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6186A521" w14:textId="77777777" w:rsidR="00A652B8" w:rsidRPr="006D0240" w:rsidRDefault="00A652B8" w:rsidP="008E6292">
          <w:r>
            <w:rPr>
              <w:noProof/>
              <w:lang w:eastAsia="zh-CN"/>
            </w:rPr>
            <w:drawing>
              <wp:anchor distT="0" distB="0" distL="114300" distR="114300" simplePos="0" relativeHeight="251658240" behindDoc="1" locked="0" layoutInCell="1" allowOverlap="1" wp14:anchorId="7C40BA44" wp14:editId="6CD79139">
                <wp:simplePos x="0" y="0"/>
                <wp:positionH relativeFrom="page">
                  <wp:posOffset>35306</wp:posOffset>
                </wp:positionH>
                <wp:positionV relativeFrom="page">
                  <wp:posOffset>9</wp:posOffset>
                </wp:positionV>
                <wp:extent cx="7558767" cy="10691998"/>
                <wp:effectExtent l="0" t="0" r="444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0579DD93" w14:textId="77777777" w:rsidR="00A652B8" w:rsidRPr="006D0240" w:rsidRDefault="00A652B8" w:rsidP="001D4EAA">
          <w:pPr>
            <w:pStyle w:val="Header"/>
            <w:spacing w:after="1320"/>
            <w:jc w:val="left"/>
          </w:pPr>
        </w:p>
        <w:p w14:paraId="2F360A2C" w14:textId="00934D00" w:rsidR="00A652B8" w:rsidRPr="001D4EAA" w:rsidRDefault="002207C3" w:rsidP="008E1E65">
          <w:pPr>
            <w:pStyle w:val="Title"/>
            <w:ind w:left="113"/>
          </w:pPr>
          <w:r w:rsidRPr="002207C3">
            <w:t>Positioning Australia’s financial</w:t>
          </w:r>
          <w:r>
            <w:t> </w:t>
          </w:r>
          <w:r w:rsidRPr="002207C3">
            <w:t>reporting system for</w:t>
          </w:r>
          <w:r>
            <w:t> </w:t>
          </w:r>
          <w:r w:rsidRPr="002207C3">
            <w:t>the future</w:t>
          </w:r>
        </w:p>
        <w:p w14:paraId="0C195CDC" w14:textId="3B73B8D5" w:rsidR="002207C3" w:rsidRPr="002207C3" w:rsidRDefault="002207C3" w:rsidP="008E1E65">
          <w:pPr>
            <w:pStyle w:val="Subtitle"/>
            <w:spacing w:after="240"/>
            <w:ind w:left="113"/>
            <w:rPr>
              <w:b/>
              <w:bCs/>
            </w:rPr>
          </w:pPr>
          <w:r w:rsidRPr="002207C3">
            <w:rPr>
              <w:b/>
              <w:bCs/>
            </w:rPr>
            <w:t>Designing a single, flexible standard setting body</w:t>
          </w:r>
        </w:p>
        <w:p w14:paraId="4731158C" w14:textId="041DF3A9" w:rsidR="00A652B8" w:rsidRPr="001D4EAA" w:rsidRDefault="00A652B8" w:rsidP="008E1E65">
          <w:pPr>
            <w:pStyle w:val="Subtitle"/>
            <w:spacing w:after="240"/>
            <w:ind w:left="113"/>
          </w:pPr>
          <w:r>
            <w:t>Consultation paper</w:t>
          </w:r>
        </w:p>
        <w:p w14:paraId="4114745A" w14:textId="55E0B8FD" w:rsidR="00A652B8" w:rsidRDefault="00D37FFB" w:rsidP="008E1E65">
          <w:pPr>
            <w:pStyle w:val="ReportDate"/>
            <w:ind w:left="113"/>
            <w:rPr>
              <w:rFonts w:ascii="Rockwell" w:hAnsi="Rockwell"/>
              <w:sz w:val="24"/>
            </w:rPr>
          </w:pPr>
          <w:r w:rsidRPr="00CC6D43">
            <w:rPr>
              <w:rStyle w:val="ReportDateChar"/>
            </w:rPr>
            <w:t>January 2025</w:t>
          </w:r>
        </w:p>
        <w:p w14:paraId="7F35AB66" w14:textId="77777777" w:rsidR="00A652B8" w:rsidRDefault="00A652B8" w:rsidP="00775702">
          <w:pPr>
            <w:spacing w:after="1640"/>
          </w:pPr>
        </w:p>
        <w:p w14:paraId="48FD73F2" w14:textId="77777777" w:rsidR="00A652B8" w:rsidRDefault="00A652B8" w:rsidP="00775702">
          <w:pPr>
            <w:spacing w:after="1640"/>
          </w:pPr>
        </w:p>
        <w:p w14:paraId="3E55E98D" w14:textId="77777777" w:rsidR="00A652B8" w:rsidRDefault="00A652B8">
          <w:pPr>
            <w:spacing w:before="0" w:after="160" w:line="259" w:lineRule="auto"/>
          </w:pPr>
          <w:r>
            <w:br w:type="page"/>
          </w:r>
        </w:p>
      </w:sdtContent>
    </w:sdt>
    <w:p w14:paraId="00ED8983" w14:textId="77777777" w:rsidR="000E0B74" w:rsidRDefault="000E0B74" w:rsidP="000E0B74">
      <w:pPr>
        <w:sectPr w:rsidR="000E0B74" w:rsidSect="00555D14">
          <w:pgSz w:w="11906" w:h="16838" w:code="9"/>
          <w:pgMar w:top="1843" w:right="1418" w:bottom="1418" w:left="1418" w:header="709" w:footer="709" w:gutter="0"/>
          <w:pgNumType w:fmt="lowerRoman" w:start="0"/>
          <w:cols w:space="720"/>
          <w:titlePg/>
          <w:docGrid w:linePitch="299"/>
        </w:sectPr>
      </w:pPr>
    </w:p>
    <w:p w14:paraId="5EF4C64C" w14:textId="740593EE" w:rsidR="000E0B74" w:rsidRDefault="000E0B74" w:rsidP="000E0B74">
      <w:pPr>
        <w:spacing w:before="240"/>
      </w:pPr>
      <w:r w:rsidRPr="00661BF0">
        <w:lastRenderedPageBreak/>
        <w:t xml:space="preserve">© Commonwealth of </w:t>
      </w:r>
      <w:r w:rsidRPr="002207C3">
        <w:t xml:space="preserve">Australia </w:t>
      </w:r>
      <w:r w:rsidR="00CC6D43" w:rsidRPr="002207C3">
        <w:t>202</w:t>
      </w:r>
      <w:r w:rsidR="00CC6D43">
        <w:t>5</w:t>
      </w:r>
    </w:p>
    <w:p w14:paraId="6E4D2D72" w14:textId="08D3ED34" w:rsidR="001817E5" w:rsidRPr="0063541E" w:rsidRDefault="000D7E26" w:rsidP="000D7E26">
      <w:pPr>
        <w:tabs>
          <w:tab w:val="left" w:pos="1650"/>
        </w:tabs>
        <w:rPr>
          <w:rFonts w:cstheme="minorHAnsi"/>
          <w:szCs w:val="22"/>
        </w:rPr>
      </w:pPr>
      <w:r w:rsidRPr="002F1BC2">
        <w:t>This publication is available for your use under a</w:t>
      </w:r>
      <w:r w:rsidRPr="00476F09">
        <w:rPr>
          <w:rFonts w:cstheme="minorHAnsi"/>
          <w:sz w:val="24"/>
          <w:szCs w:val="24"/>
        </w:rPr>
        <w:t xml:space="preserve"> </w:t>
      </w:r>
      <w:hyperlink r:id="rId8" w:history="1">
        <w:r w:rsidRPr="00AC102B">
          <w:rPr>
            <w:rStyle w:val="Hyperlink"/>
          </w:rPr>
          <w:t>Creative Commons Attribution 4.0 International</w:t>
        </w:r>
      </w:hyperlink>
      <w:r>
        <w:rPr>
          <w:rFonts w:cstheme="minorHAnsi"/>
          <w:sz w:val="24"/>
          <w:szCs w:val="24"/>
        </w:rPr>
        <w:t xml:space="preserve"> </w:t>
      </w:r>
      <w:r w:rsidRPr="002F1BC2">
        <w:t xml:space="preserve">licence, with the exception of the Commonwealth Coat of Arms, the </w:t>
      </w:r>
      <w:r w:rsidR="001817E5">
        <w:t>Treasury</w:t>
      </w:r>
      <w:r w:rsidRPr="002F1BC2">
        <w:t xml:space="preserve"> logo</w:t>
      </w:r>
      <w:r>
        <w:t xml:space="preserve">, photographs, images, </w:t>
      </w:r>
      <w:r w:rsidR="00C05450" w:rsidRPr="0063541E">
        <w:t>third party materials, materials protected by a trademark,</w:t>
      </w:r>
      <w:r w:rsidR="00C05450" w:rsidRPr="004F5ACF">
        <w:t xml:space="preserve"> </w:t>
      </w:r>
      <w:r>
        <w:t xml:space="preserve">signatures </w:t>
      </w:r>
      <w:r w:rsidRPr="002F1BC2">
        <w:t>and where otherwise stated. The full licence terms are available from</w:t>
      </w:r>
      <w:r w:rsidRPr="00476F09">
        <w:rPr>
          <w:rFonts w:cstheme="minorHAnsi"/>
          <w:sz w:val="24"/>
          <w:szCs w:val="24"/>
        </w:rPr>
        <w:t xml:space="preserve"> </w:t>
      </w:r>
      <w:hyperlink r:id="rId9" w:history="1">
        <w:r w:rsidRPr="0063541E">
          <w:rPr>
            <w:rStyle w:val="Hyperlink"/>
            <w:rFonts w:cstheme="minorHAnsi"/>
            <w:szCs w:val="22"/>
          </w:rPr>
          <w:t>http://creativecommons.org/licenses/by/4.0/legalcode</w:t>
        </w:r>
      </w:hyperlink>
      <w:r w:rsidRPr="0063541E">
        <w:rPr>
          <w:rFonts w:cstheme="minorHAnsi"/>
          <w:szCs w:val="22"/>
        </w:rPr>
        <w:t xml:space="preserve">. </w:t>
      </w:r>
    </w:p>
    <w:p w14:paraId="2F36C3E0" w14:textId="77777777" w:rsidR="000D7E26" w:rsidRDefault="000D7E26" w:rsidP="000D7E26">
      <w:pPr>
        <w:pStyle w:val="ChartGraphic"/>
        <w:jc w:val="left"/>
      </w:pPr>
      <w:r w:rsidRPr="00E56DFB">
        <w:rPr>
          <w:noProof/>
        </w:rPr>
        <w:drawing>
          <wp:inline distT="0" distB="0" distL="0" distR="0" wp14:anchorId="5AF55339" wp14:editId="10868927">
            <wp:extent cx="809625" cy="285750"/>
            <wp:effectExtent l="0" t="0" r="9525" b="0"/>
            <wp:docPr id="1"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9FFE5BB" w14:textId="45926E00" w:rsidR="008A40D0" w:rsidRPr="001817E5" w:rsidRDefault="000D7E26" w:rsidP="001817E5">
      <w:pPr>
        <w:tabs>
          <w:tab w:val="left" w:pos="1650"/>
        </w:tabs>
      </w:pPr>
      <w:r w:rsidRPr="006627B4">
        <w:t xml:space="preserve">Use of </w:t>
      </w:r>
      <w:r>
        <w:t>Treasury</w:t>
      </w:r>
      <w:r w:rsidRPr="006627B4">
        <w:t xml:space="preserve"> material under a</w:t>
      </w:r>
      <w:r w:rsidRPr="00476F09">
        <w:rPr>
          <w:rFonts w:cstheme="minorHAnsi"/>
          <w:sz w:val="24"/>
          <w:szCs w:val="24"/>
        </w:rPr>
        <w:t xml:space="preserve"> </w:t>
      </w:r>
      <w:hyperlink r:id="rId11" w:history="1">
        <w:r w:rsidRPr="00AC102B">
          <w:rPr>
            <w:rStyle w:val="Hyperlink"/>
          </w:rPr>
          <w:t>Creative Commons Attribution 4.0 International</w:t>
        </w:r>
      </w:hyperlink>
      <w:r w:rsidRPr="00AC102B">
        <w:rPr>
          <w:rFonts w:ascii="Calibri" w:hAnsi="Calibri"/>
          <w:color w:val="000000"/>
        </w:rPr>
        <w:t xml:space="preserve"> </w:t>
      </w:r>
      <w:r w:rsidRPr="006627B4">
        <w:t xml:space="preserve">licence requires you to attribute the work (but not in any way that suggests that </w:t>
      </w:r>
      <w:r w:rsidR="001817E5">
        <w:t>Treasury</w:t>
      </w:r>
      <w:r w:rsidRPr="006627B4">
        <w:t xml:space="preserve"> endorse</w:t>
      </w:r>
      <w:r>
        <w:t>s you or your use of the work).</w:t>
      </w:r>
    </w:p>
    <w:p w14:paraId="059EEAC0" w14:textId="4B8F4D1B" w:rsidR="000E0B74" w:rsidRPr="0031276E" w:rsidRDefault="000E0B74" w:rsidP="0031276E">
      <w:pPr>
        <w:spacing w:before="240"/>
        <w:rPr>
          <w:b/>
        </w:rPr>
      </w:pPr>
      <w:r w:rsidRPr="0031276E">
        <w:rPr>
          <w:b/>
        </w:rPr>
        <w:t>Treasury material used ‘as supplied’</w:t>
      </w:r>
    </w:p>
    <w:p w14:paraId="3CA06F3D"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1D8466E" w14:textId="75890440" w:rsidR="000E0B74" w:rsidRPr="00A13A11" w:rsidRDefault="000E0B74" w:rsidP="000E0B74">
      <w:pPr>
        <w:ind w:firstLine="720"/>
      </w:pPr>
      <w:r w:rsidRPr="002F1BC2">
        <w:rPr>
          <w:i/>
        </w:rPr>
        <w:t xml:space="preserve">Source: </w:t>
      </w:r>
      <w:r w:rsidRPr="00AC2B70">
        <w:rPr>
          <w:rStyle w:val="Emphasis"/>
        </w:rPr>
        <w:t xml:space="preserve">The </w:t>
      </w:r>
      <w:r w:rsidR="00E7192E" w:rsidRPr="00AC2B70">
        <w:rPr>
          <w:rStyle w:val="Emphasis"/>
        </w:rPr>
        <w:t>Commonwealth of Australia</w:t>
      </w:r>
      <w:r w:rsidR="00DE7681">
        <w:t>.</w:t>
      </w:r>
    </w:p>
    <w:p w14:paraId="1112F0E9" w14:textId="77777777" w:rsidR="000E0B74" w:rsidRPr="006627B4" w:rsidRDefault="000E0B74" w:rsidP="000E0B74">
      <w:pPr>
        <w:spacing w:before="240"/>
      </w:pPr>
      <w:r w:rsidRPr="00CC63CC">
        <w:rPr>
          <w:b/>
        </w:rPr>
        <w:t>Derivative</w:t>
      </w:r>
      <w:r w:rsidRPr="006627B4">
        <w:t xml:space="preserve"> </w:t>
      </w:r>
      <w:r w:rsidRPr="00CC63CC">
        <w:rPr>
          <w:b/>
        </w:rPr>
        <w:t>material</w:t>
      </w:r>
    </w:p>
    <w:p w14:paraId="1EB0D35E"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00A983E3" w14:textId="5E48B822" w:rsidR="000E0B74" w:rsidRPr="006627B4" w:rsidRDefault="000E0B74" w:rsidP="000E0B74">
      <w:pPr>
        <w:ind w:firstLine="720"/>
      </w:pPr>
      <w:r w:rsidRPr="002F1BC2">
        <w:rPr>
          <w:i/>
        </w:rPr>
        <w:t xml:space="preserve">Based on </w:t>
      </w:r>
      <w:r w:rsidR="00414FE1" w:rsidRPr="00AC2B70">
        <w:rPr>
          <w:rStyle w:val="Emphasis"/>
        </w:rPr>
        <w:t>Commonwealth of Australia</w:t>
      </w:r>
      <w:r w:rsidR="00414FE1" w:rsidRPr="00AC2B70" w:rsidDel="002A3368">
        <w:rPr>
          <w:rStyle w:val="Emphasis"/>
        </w:rPr>
        <w:t xml:space="preserve"> </w:t>
      </w:r>
      <w:r w:rsidR="00414FE1" w:rsidRPr="00AC2B70">
        <w:rPr>
          <w:rStyle w:val="Emphasis"/>
        </w:rPr>
        <w:t>data</w:t>
      </w:r>
      <w:r>
        <w:t>.</w:t>
      </w:r>
    </w:p>
    <w:p w14:paraId="02353A90" w14:textId="77777777" w:rsidR="000E0B74" w:rsidRPr="006627B4" w:rsidRDefault="000E0B74" w:rsidP="000E0B74">
      <w:pPr>
        <w:spacing w:before="240"/>
        <w:rPr>
          <w:b/>
        </w:rPr>
      </w:pPr>
      <w:r w:rsidRPr="006627B4">
        <w:rPr>
          <w:b/>
        </w:rPr>
        <w:t>Use of the Coat of Arms</w:t>
      </w:r>
    </w:p>
    <w:p w14:paraId="4F146866" w14:textId="01D6FE99"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2" w:history="1">
        <w:r w:rsidR="00EA0E15">
          <w:rPr>
            <w:rStyle w:val="Hyperlink"/>
          </w:rPr>
          <w:t>www.pmc.gov.au/government/commonwealth-coat-arms</w:t>
        </w:r>
      </w:hyperlink>
      <w:r w:rsidRPr="004A7BC2">
        <w:t>).</w:t>
      </w:r>
    </w:p>
    <w:p w14:paraId="5CF5FE55" w14:textId="77777777" w:rsidR="000E0B74" w:rsidRPr="006627B4" w:rsidRDefault="000E0B74" w:rsidP="000E0B74">
      <w:pPr>
        <w:spacing w:before="240"/>
        <w:rPr>
          <w:b/>
        </w:rPr>
      </w:pPr>
      <w:r>
        <w:rPr>
          <w:b/>
        </w:rPr>
        <w:t>Other u</w:t>
      </w:r>
      <w:r w:rsidRPr="006627B4">
        <w:rPr>
          <w:b/>
        </w:rPr>
        <w:t>ses</w:t>
      </w:r>
    </w:p>
    <w:p w14:paraId="642AFC56" w14:textId="77777777" w:rsidR="000E0B74" w:rsidRPr="006627B4" w:rsidRDefault="000E0B74" w:rsidP="000E0B74">
      <w:r>
        <w:t>E</w:t>
      </w:r>
      <w:r w:rsidRPr="006627B4">
        <w:t>nquiries regarding this licence and any other use of this document are welcome at:</w:t>
      </w:r>
    </w:p>
    <w:p w14:paraId="2DCA3F34" w14:textId="71934F76" w:rsidR="00746881" w:rsidRPr="002437D1" w:rsidRDefault="000E0B74" w:rsidP="003339E3">
      <w:pPr>
        <w:ind w:left="720"/>
        <w:rPr>
          <w:i/>
          <w:iCs/>
        </w:rPr>
      </w:pPr>
      <w:r w:rsidRPr="006627B4">
        <w:t>Manager</w:t>
      </w:r>
      <w:r w:rsidR="009A668A">
        <w:br/>
      </w:r>
      <w:r>
        <w:t>Media</w:t>
      </w:r>
      <w:r w:rsidR="008E1D08">
        <w:t xml:space="preserve"> and Speeches</w:t>
      </w:r>
      <w:r>
        <w:t xml:space="preserve">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3" w:history="1">
        <w:r w:rsidR="004A077D" w:rsidRPr="000951A5">
          <w:rPr>
            <w:rStyle w:val="Hyperlink"/>
          </w:rPr>
          <w:t>media@treasury.gov.au</w:t>
        </w:r>
      </w:hyperlink>
      <w:r w:rsidR="004A077D">
        <w:t xml:space="preserve"> </w:t>
      </w:r>
    </w:p>
    <w:p w14:paraId="42E780C3" w14:textId="77777777" w:rsidR="00746881" w:rsidRPr="00746881" w:rsidRDefault="00746881" w:rsidP="00746881"/>
    <w:p w14:paraId="09AEC991" w14:textId="77777777" w:rsidR="00414965" w:rsidRPr="00283EEA" w:rsidRDefault="00414965" w:rsidP="00414965">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46438EA2" w14:textId="77777777" w:rsidR="000E0B74" w:rsidRDefault="000E0B74" w:rsidP="000E0B74">
      <w:pPr>
        <w:pStyle w:val="SingleParagraph"/>
        <w:sectPr w:rsidR="000E0B74" w:rsidSect="008043EA">
          <w:headerReference w:type="even" r:id="rId14"/>
          <w:headerReference w:type="default" r:id="rId15"/>
          <w:footerReference w:type="even" r:id="rId16"/>
          <w:pgSz w:w="11906" w:h="16838" w:code="9"/>
          <w:pgMar w:top="1843" w:right="1418" w:bottom="1418" w:left="1418" w:header="709" w:footer="709" w:gutter="0"/>
          <w:pgNumType w:fmt="lowerRoman"/>
          <w:cols w:space="708"/>
          <w:titlePg/>
          <w:docGrid w:linePitch="360"/>
        </w:sectPr>
      </w:pPr>
    </w:p>
    <w:p w14:paraId="28C3B5DE" w14:textId="77777777" w:rsidR="000E0B74" w:rsidRPr="00354FBB" w:rsidRDefault="000E0B74" w:rsidP="00354FBB">
      <w:pPr>
        <w:pStyle w:val="Heading1"/>
      </w:pPr>
      <w:bookmarkStart w:id="0" w:name="_Toc188280708"/>
      <w:r w:rsidRPr="00354FBB">
        <w:lastRenderedPageBreak/>
        <w:t>Contents</w:t>
      </w:r>
      <w:bookmarkEnd w:id="0"/>
    </w:p>
    <w:p w14:paraId="68BF85AA" w14:textId="111B10AD" w:rsidR="00FC4ABF" w:rsidRDefault="00257AEE">
      <w:pPr>
        <w:pStyle w:val="TOC1"/>
        <w:rPr>
          <w:rFonts w:asciiTheme="minorHAnsi" w:eastAsiaTheme="minorEastAsia" w:hAnsiTheme="minorHAnsi" w:cstheme="minorBidi"/>
          <w:b w:val="0"/>
          <w:color w:val="auto"/>
          <w:kern w:val="2"/>
          <w:sz w:val="24"/>
          <w:szCs w:val="24"/>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88280708" w:history="1">
        <w:r w:rsidR="00FC4ABF" w:rsidRPr="00CB15EE">
          <w:rPr>
            <w:rStyle w:val="Hyperlink"/>
          </w:rPr>
          <w:t>Contents</w:t>
        </w:r>
        <w:r w:rsidR="00FC4ABF">
          <w:rPr>
            <w:webHidden/>
          </w:rPr>
          <w:tab/>
        </w:r>
        <w:r w:rsidR="00FC4ABF">
          <w:rPr>
            <w:webHidden/>
          </w:rPr>
          <w:fldChar w:fldCharType="begin"/>
        </w:r>
        <w:r w:rsidR="00FC4ABF">
          <w:rPr>
            <w:webHidden/>
          </w:rPr>
          <w:instrText xml:space="preserve"> PAGEREF _Toc188280708 \h </w:instrText>
        </w:r>
        <w:r w:rsidR="00FC4ABF">
          <w:rPr>
            <w:webHidden/>
          </w:rPr>
        </w:r>
        <w:r w:rsidR="00FC4ABF">
          <w:rPr>
            <w:webHidden/>
          </w:rPr>
          <w:fldChar w:fldCharType="separate"/>
        </w:r>
        <w:r w:rsidR="000E1B11">
          <w:rPr>
            <w:webHidden/>
          </w:rPr>
          <w:t>ii</w:t>
        </w:r>
        <w:r w:rsidR="00FC4ABF">
          <w:rPr>
            <w:webHidden/>
          </w:rPr>
          <w:fldChar w:fldCharType="end"/>
        </w:r>
      </w:hyperlink>
    </w:p>
    <w:p w14:paraId="1677BE26" w14:textId="0CEB7F2F" w:rsidR="00FC4ABF" w:rsidRDefault="001B1014">
      <w:pPr>
        <w:pStyle w:val="TOC1"/>
        <w:rPr>
          <w:rFonts w:asciiTheme="minorHAnsi" w:eastAsiaTheme="minorEastAsia" w:hAnsiTheme="minorHAnsi" w:cstheme="minorBidi"/>
          <w:b w:val="0"/>
          <w:color w:val="auto"/>
          <w:kern w:val="2"/>
          <w:sz w:val="24"/>
          <w:szCs w:val="24"/>
          <w14:ligatures w14:val="standardContextual"/>
        </w:rPr>
      </w:pPr>
      <w:hyperlink w:anchor="_Toc188280709" w:history="1">
        <w:r w:rsidR="00FC4ABF" w:rsidRPr="00CB15EE">
          <w:rPr>
            <w:rStyle w:val="Hyperlink"/>
          </w:rPr>
          <w:t>Consultation process</w:t>
        </w:r>
        <w:r w:rsidR="00FC4ABF">
          <w:rPr>
            <w:webHidden/>
          </w:rPr>
          <w:tab/>
        </w:r>
        <w:r w:rsidR="00FC4ABF">
          <w:rPr>
            <w:webHidden/>
          </w:rPr>
          <w:fldChar w:fldCharType="begin"/>
        </w:r>
        <w:r w:rsidR="00FC4ABF">
          <w:rPr>
            <w:webHidden/>
          </w:rPr>
          <w:instrText xml:space="preserve"> PAGEREF _Toc188280709 \h </w:instrText>
        </w:r>
        <w:r w:rsidR="00FC4ABF">
          <w:rPr>
            <w:webHidden/>
          </w:rPr>
        </w:r>
        <w:r w:rsidR="00FC4ABF">
          <w:rPr>
            <w:webHidden/>
          </w:rPr>
          <w:fldChar w:fldCharType="separate"/>
        </w:r>
        <w:r w:rsidR="000E1B11">
          <w:rPr>
            <w:webHidden/>
          </w:rPr>
          <w:t>1</w:t>
        </w:r>
        <w:r w:rsidR="00FC4ABF">
          <w:rPr>
            <w:webHidden/>
          </w:rPr>
          <w:fldChar w:fldCharType="end"/>
        </w:r>
      </w:hyperlink>
    </w:p>
    <w:p w14:paraId="0AC68728" w14:textId="21039D38" w:rsidR="00FC4ABF" w:rsidRDefault="001B1014">
      <w:pPr>
        <w:pStyle w:val="TOC2"/>
        <w:rPr>
          <w:rFonts w:asciiTheme="minorHAnsi" w:eastAsiaTheme="minorEastAsia" w:hAnsiTheme="minorHAnsi" w:cstheme="minorBidi"/>
          <w:color w:val="auto"/>
          <w:kern w:val="2"/>
          <w:sz w:val="24"/>
          <w:szCs w:val="24"/>
          <w14:ligatures w14:val="standardContextual"/>
        </w:rPr>
      </w:pPr>
      <w:hyperlink w:anchor="_Toc188280710" w:history="1">
        <w:r w:rsidR="00FC4ABF" w:rsidRPr="00CB15EE">
          <w:rPr>
            <w:rStyle w:val="Hyperlink"/>
          </w:rPr>
          <w:t>Request for feedback and comments</w:t>
        </w:r>
        <w:r w:rsidR="00FC4ABF">
          <w:rPr>
            <w:webHidden/>
          </w:rPr>
          <w:tab/>
        </w:r>
        <w:r w:rsidR="00FC4ABF">
          <w:rPr>
            <w:webHidden/>
          </w:rPr>
          <w:fldChar w:fldCharType="begin"/>
        </w:r>
        <w:r w:rsidR="00FC4ABF">
          <w:rPr>
            <w:webHidden/>
          </w:rPr>
          <w:instrText xml:space="preserve"> PAGEREF _Toc188280710 \h </w:instrText>
        </w:r>
        <w:r w:rsidR="00FC4ABF">
          <w:rPr>
            <w:webHidden/>
          </w:rPr>
        </w:r>
        <w:r w:rsidR="00FC4ABF">
          <w:rPr>
            <w:webHidden/>
          </w:rPr>
          <w:fldChar w:fldCharType="separate"/>
        </w:r>
        <w:r w:rsidR="000E1B11">
          <w:rPr>
            <w:webHidden/>
          </w:rPr>
          <w:t>1</w:t>
        </w:r>
        <w:r w:rsidR="00FC4ABF">
          <w:rPr>
            <w:webHidden/>
          </w:rPr>
          <w:fldChar w:fldCharType="end"/>
        </w:r>
      </w:hyperlink>
    </w:p>
    <w:p w14:paraId="7D3BCAB7" w14:textId="4D4C8678" w:rsidR="00FC4ABF" w:rsidRDefault="001B1014">
      <w:pPr>
        <w:pStyle w:val="TOC3"/>
        <w:rPr>
          <w:rFonts w:asciiTheme="minorHAnsi" w:eastAsiaTheme="minorEastAsia" w:hAnsiTheme="minorHAnsi" w:cstheme="minorBidi"/>
          <w:kern w:val="2"/>
          <w:sz w:val="24"/>
          <w:szCs w:val="24"/>
          <w14:ligatures w14:val="standardContextual"/>
        </w:rPr>
      </w:pPr>
      <w:hyperlink w:anchor="_Toc188280711" w:history="1">
        <w:r w:rsidR="00FC4ABF" w:rsidRPr="00CB15EE">
          <w:rPr>
            <w:rStyle w:val="Hyperlink"/>
          </w:rPr>
          <w:t xml:space="preserve">Closing date for submissions: </w:t>
        </w:r>
        <w:r w:rsidR="00FC4ABF" w:rsidRPr="00CB15EE">
          <w:rPr>
            <w:rStyle w:val="Hyperlink"/>
            <w:bCs/>
          </w:rPr>
          <w:t>21 February 2025</w:t>
        </w:r>
        <w:r w:rsidR="00FC4ABF">
          <w:rPr>
            <w:webHidden/>
          </w:rPr>
          <w:tab/>
        </w:r>
        <w:r w:rsidR="00FC4ABF">
          <w:rPr>
            <w:webHidden/>
          </w:rPr>
          <w:fldChar w:fldCharType="begin"/>
        </w:r>
        <w:r w:rsidR="00FC4ABF">
          <w:rPr>
            <w:webHidden/>
          </w:rPr>
          <w:instrText xml:space="preserve"> PAGEREF _Toc188280711 \h </w:instrText>
        </w:r>
        <w:r w:rsidR="00FC4ABF">
          <w:rPr>
            <w:webHidden/>
          </w:rPr>
        </w:r>
        <w:r w:rsidR="00FC4ABF">
          <w:rPr>
            <w:webHidden/>
          </w:rPr>
          <w:fldChar w:fldCharType="separate"/>
        </w:r>
        <w:r w:rsidR="000E1B11">
          <w:rPr>
            <w:webHidden/>
          </w:rPr>
          <w:t>1</w:t>
        </w:r>
        <w:r w:rsidR="00FC4ABF">
          <w:rPr>
            <w:webHidden/>
          </w:rPr>
          <w:fldChar w:fldCharType="end"/>
        </w:r>
      </w:hyperlink>
    </w:p>
    <w:p w14:paraId="79DCCFBB" w14:textId="3373652D" w:rsidR="00FC4ABF" w:rsidRDefault="001B1014">
      <w:pPr>
        <w:pStyle w:val="TOC2"/>
        <w:rPr>
          <w:rFonts w:asciiTheme="minorHAnsi" w:eastAsiaTheme="minorEastAsia" w:hAnsiTheme="minorHAnsi" w:cstheme="minorBidi"/>
          <w:color w:val="auto"/>
          <w:kern w:val="2"/>
          <w:sz w:val="24"/>
          <w:szCs w:val="24"/>
          <w14:ligatures w14:val="standardContextual"/>
        </w:rPr>
      </w:pPr>
      <w:hyperlink w:anchor="_Toc188280712" w:history="1">
        <w:r w:rsidR="00FC4ABF" w:rsidRPr="00CB15EE">
          <w:rPr>
            <w:rStyle w:val="Hyperlink"/>
          </w:rPr>
          <w:t>Confidentiality</w:t>
        </w:r>
        <w:r w:rsidR="00FC4ABF">
          <w:rPr>
            <w:webHidden/>
          </w:rPr>
          <w:tab/>
        </w:r>
        <w:r w:rsidR="00FC4ABF">
          <w:rPr>
            <w:webHidden/>
          </w:rPr>
          <w:fldChar w:fldCharType="begin"/>
        </w:r>
        <w:r w:rsidR="00FC4ABF">
          <w:rPr>
            <w:webHidden/>
          </w:rPr>
          <w:instrText xml:space="preserve"> PAGEREF _Toc188280712 \h </w:instrText>
        </w:r>
        <w:r w:rsidR="00FC4ABF">
          <w:rPr>
            <w:webHidden/>
          </w:rPr>
        </w:r>
        <w:r w:rsidR="00FC4ABF">
          <w:rPr>
            <w:webHidden/>
          </w:rPr>
          <w:fldChar w:fldCharType="separate"/>
        </w:r>
        <w:r w:rsidR="000E1B11">
          <w:rPr>
            <w:webHidden/>
          </w:rPr>
          <w:t>1</w:t>
        </w:r>
        <w:r w:rsidR="00FC4ABF">
          <w:rPr>
            <w:webHidden/>
          </w:rPr>
          <w:fldChar w:fldCharType="end"/>
        </w:r>
      </w:hyperlink>
    </w:p>
    <w:p w14:paraId="271A1F83" w14:textId="4CD09DE4" w:rsidR="00FC4ABF" w:rsidRDefault="001B1014">
      <w:pPr>
        <w:pStyle w:val="TOC1"/>
        <w:rPr>
          <w:rFonts w:asciiTheme="minorHAnsi" w:eastAsiaTheme="minorEastAsia" w:hAnsiTheme="minorHAnsi" w:cstheme="minorBidi"/>
          <w:b w:val="0"/>
          <w:color w:val="auto"/>
          <w:kern w:val="2"/>
          <w:sz w:val="24"/>
          <w:szCs w:val="24"/>
          <w14:ligatures w14:val="standardContextual"/>
        </w:rPr>
      </w:pPr>
      <w:hyperlink w:anchor="_Toc188280713" w:history="1">
        <w:r w:rsidR="00FC4ABF" w:rsidRPr="00CB15EE">
          <w:rPr>
            <w:rStyle w:val="Hyperlink"/>
          </w:rPr>
          <w:t>Glossary</w:t>
        </w:r>
        <w:r w:rsidR="00FC4ABF">
          <w:rPr>
            <w:webHidden/>
          </w:rPr>
          <w:tab/>
        </w:r>
        <w:r w:rsidR="00FC4ABF">
          <w:rPr>
            <w:webHidden/>
          </w:rPr>
          <w:fldChar w:fldCharType="begin"/>
        </w:r>
        <w:r w:rsidR="00FC4ABF">
          <w:rPr>
            <w:webHidden/>
          </w:rPr>
          <w:instrText xml:space="preserve"> PAGEREF _Toc188280713 \h </w:instrText>
        </w:r>
        <w:r w:rsidR="00FC4ABF">
          <w:rPr>
            <w:webHidden/>
          </w:rPr>
        </w:r>
        <w:r w:rsidR="00FC4ABF">
          <w:rPr>
            <w:webHidden/>
          </w:rPr>
          <w:fldChar w:fldCharType="separate"/>
        </w:r>
        <w:r w:rsidR="000E1B11">
          <w:rPr>
            <w:webHidden/>
          </w:rPr>
          <w:t>2</w:t>
        </w:r>
        <w:r w:rsidR="00FC4ABF">
          <w:rPr>
            <w:webHidden/>
          </w:rPr>
          <w:fldChar w:fldCharType="end"/>
        </w:r>
      </w:hyperlink>
    </w:p>
    <w:p w14:paraId="3037B1B1" w14:textId="6F6CC96D" w:rsidR="00FC4ABF" w:rsidRDefault="001B1014">
      <w:pPr>
        <w:pStyle w:val="TOC1"/>
        <w:rPr>
          <w:rFonts w:asciiTheme="minorHAnsi" w:eastAsiaTheme="minorEastAsia" w:hAnsiTheme="minorHAnsi" w:cstheme="minorBidi"/>
          <w:b w:val="0"/>
          <w:color w:val="auto"/>
          <w:kern w:val="2"/>
          <w:sz w:val="24"/>
          <w:szCs w:val="24"/>
          <w14:ligatures w14:val="standardContextual"/>
        </w:rPr>
      </w:pPr>
      <w:hyperlink w:anchor="_Toc188280714" w:history="1">
        <w:r w:rsidR="00FC4ABF" w:rsidRPr="00CB15EE">
          <w:rPr>
            <w:rStyle w:val="Hyperlink"/>
          </w:rPr>
          <w:t>Introduction</w:t>
        </w:r>
        <w:r w:rsidR="00FC4ABF">
          <w:rPr>
            <w:webHidden/>
          </w:rPr>
          <w:tab/>
        </w:r>
        <w:r w:rsidR="00FC4ABF">
          <w:rPr>
            <w:webHidden/>
          </w:rPr>
          <w:fldChar w:fldCharType="begin"/>
        </w:r>
        <w:r w:rsidR="00FC4ABF">
          <w:rPr>
            <w:webHidden/>
          </w:rPr>
          <w:instrText xml:space="preserve"> PAGEREF _Toc188280714 \h </w:instrText>
        </w:r>
        <w:r w:rsidR="00FC4ABF">
          <w:rPr>
            <w:webHidden/>
          </w:rPr>
        </w:r>
        <w:r w:rsidR="00FC4ABF">
          <w:rPr>
            <w:webHidden/>
          </w:rPr>
          <w:fldChar w:fldCharType="separate"/>
        </w:r>
        <w:r w:rsidR="000E1B11">
          <w:rPr>
            <w:webHidden/>
          </w:rPr>
          <w:t>3</w:t>
        </w:r>
        <w:r w:rsidR="00FC4ABF">
          <w:rPr>
            <w:webHidden/>
          </w:rPr>
          <w:fldChar w:fldCharType="end"/>
        </w:r>
      </w:hyperlink>
    </w:p>
    <w:p w14:paraId="63A8A99E" w14:textId="0F12EC55" w:rsidR="00FC4ABF" w:rsidRDefault="001B1014">
      <w:pPr>
        <w:pStyle w:val="TOC2"/>
        <w:rPr>
          <w:rFonts w:asciiTheme="minorHAnsi" w:eastAsiaTheme="minorEastAsia" w:hAnsiTheme="minorHAnsi" w:cstheme="minorBidi"/>
          <w:color w:val="auto"/>
          <w:kern w:val="2"/>
          <w:sz w:val="24"/>
          <w:szCs w:val="24"/>
          <w14:ligatures w14:val="standardContextual"/>
        </w:rPr>
      </w:pPr>
      <w:hyperlink w:anchor="_Toc188280715" w:history="1">
        <w:r w:rsidR="00FC4ABF" w:rsidRPr="00CB15EE">
          <w:rPr>
            <w:rStyle w:val="Hyperlink"/>
          </w:rPr>
          <w:t>The current institutional arrangements</w:t>
        </w:r>
        <w:r w:rsidR="00FC4ABF">
          <w:rPr>
            <w:webHidden/>
          </w:rPr>
          <w:tab/>
        </w:r>
        <w:r w:rsidR="00FC4ABF">
          <w:rPr>
            <w:webHidden/>
          </w:rPr>
          <w:fldChar w:fldCharType="begin"/>
        </w:r>
        <w:r w:rsidR="00FC4ABF">
          <w:rPr>
            <w:webHidden/>
          </w:rPr>
          <w:instrText xml:space="preserve"> PAGEREF _Toc188280715 \h </w:instrText>
        </w:r>
        <w:r w:rsidR="00FC4ABF">
          <w:rPr>
            <w:webHidden/>
          </w:rPr>
        </w:r>
        <w:r w:rsidR="00FC4ABF">
          <w:rPr>
            <w:webHidden/>
          </w:rPr>
          <w:fldChar w:fldCharType="separate"/>
        </w:r>
        <w:r w:rsidR="000E1B11">
          <w:rPr>
            <w:webHidden/>
          </w:rPr>
          <w:t>4</w:t>
        </w:r>
        <w:r w:rsidR="00FC4ABF">
          <w:rPr>
            <w:webHidden/>
          </w:rPr>
          <w:fldChar w:fldCharType="end"/>
        </w:r>
      </w:hyperlink>
    </w:p>
    <w:p w14:paraId="587FF5D4" w14:textId="1CD00811" w:rsidR="00FC4ABF" w:rsidRDefault="001B1014">
      <w:pPr>
        <w:pStyle w:val="TOC2"/>
        <w:rPr>
          <w:rFonts w:asciiTheme="minorHAnsi" w:eastAsiaTheme="minorEastAsia" w:hAnsiTheme="minorHAnsi" w:cstheme="minorBidi"/>
          <w:color w:val="auto"/>
          <w:kern w:val="2"/>
          <w:sz w:val="24"/>
          <w:szCs w:val="24"/>
          <w14:ligatures w14:val="standardContextual"/>
        </w:rPr>
      </w:pPr>
      <w:hyperlink w:anchor="_Toc188280716" w:history="1">
        <w:r w:rsidR="00FC4ABF" w:rsidRPr="00CB15EE">
          <w:rPr>
            <w:rStyle w:val="Hyperlink"/>
          </w:rPr>
          <w:t>Rationale for change</w:t>
        </w:r>
        <w:r w:rsidR="00FC4ABF">
          <w:rPr>
            <w:webHidden/>
          </w:rPr>
          <w:tab/>
        </w:r>
        <w:r w:rsidR="00FC4ABF">
          <w:rPr>
            <w:webHidden/>
          </w:rPr>
          <w:fldChar w:fldCharType="begin"/>
        </w:r>
        <w:r w:rsidR="00FC4ABF">
          <w:rPr>
            <w:webHidden/>
          </w:rPr>
          <w:instrText xml:space="preserve"> PAGEREF _Toc188280716 \h </w:instrText>
        </w:r>
        <w:r w:rsidR="00FC4ABF">
          <w:rPr>
            <w:webHidden/>
          </w:rPr>
        </w:r>
        <w:r w:rsidR="00FC4ABF">
          <w:rPr>
            <w:webHidden/>
          </w:rPr>
          <w:fldChar w:fldCharType="separate"/>
        </w:r>
        <w:r w:rsidR="000E1B11">
          <w:rPr>
            <w:webHidden/>
          </w:rPr>
          <w:t>4</w:t>
        </w:r>
        <w:r w:rsidR="00FC4ABF">
          <w:rPr>
            <w:webHidden/>
          </w:rPr>
          <w:fldChar w:fldCharType="end"/>
        </w:r>
      </w:hyperlink>
    </w:p>
    <w:p w14:paraId="4006A147" w14:textId="64D42EF6" w:rsidR="00FC4ABF" w:rsidRDefault="001B1014">
      <w:pPr>
        <w:pStyle w:val="TOC1"/>
        <w:rPr>
          <w:rFonts w:asciiTheme="minorHAnsi" w:eastAsiaTheme="minorEastAsia" w:hAnsiTheme="minorHAnsi" w:cstheme="minorBidi"/>
          <w:b w:val="0"/>
          <w:color w:val="auto"/>
          <w:kern w:val="2"/>
          <w:sz w:val="24"/>
          <w:szCs w:val="24"/>
          <w14:ligatures w14:val="standardContextual"/>
        </w:rPr>
      </w:pPr>
      <w:hyperlink w:anchor="_Toc188280717" w:history="1">
        <w:r w:rsidR="00FC4ABF" w:rsidRPr="00CB15EE">
          <w:rPr>
            <w:rStyle w:val="Hyperlink"/>
          </w:rPr>
          <w:t>The proposed new institutional arrangements</w:t>
        </w:r>
        <w:r w:rsidR="00FC4ABF">
          <w:rPr>
            <w:webHidden/>
          </w:rPr>
          <w:tab/>
        </w:r>
        <w:r w:rsidR="00FC4ABF">
          <w:rPr>
            <w:webHidden/>
          </w:rPr>
          <w:fldChar w:fldCharType="begin"/>
        </w:r>
        <w:r w:rsidR="00FC4ABF">
          <w:rPr>
            <w:webHidden/>
          </w:rPr>
          <w:instrText xml:space="preserve"> PAGEREF _Toc188280717 \h </w:instrText>
        </w:r>
        <w:r w:rsidR="00FC4ABF">
          <w:rPr>
            <w:webHidden/>
          </w:rPr>
        </w:r>
        <w:r w:rsidR="00FC4ABF">
          <w:rPr>
            <w:webHidden/>
          </w:rPr>
          <w:fldChar w:fldCharType="separate"/>
        </w:r>
        <w:r w:rsidR="000E1B11">
          <w:rPr>
            <w:webHidden/>
          </w:rPr>
          <w:t>5</w:t>
        </w:r>
        <w:r w:rsidR="00FC4ABF">
          <w:rPr>
            <w:webHidden/>
          </w:rPr>
          <w:fldChar w:fldCharType="end"/>
        </w:r>
      </w:hyperlink>
    </w:p>
    <w:p w14:paraId="596603C6" w14:textId="02A53BDB" w:rsidR="00FC4ABF" w:rsidRDefault="001B1014">
      <w:pPr>
        <w:pStyle w:val="TOC2"/>
        <w:rPr>
          <w:rFonts w:asciiTheme="minorHAnsi" w:eastAsiaTheme="minorEastAsia" w:hAnsiTheme="minorHAnsi" w:cstheme="minorBidi"/>
          <w:color w:val="auto"/>
          <w:kern w:val="2"/>
          <w:sz w:val="24"/>
          <w:szCs w:val="24"/>
          <w14:ligatures w14:val="standardContextual"/>
        </w:rPr>
      </w:pPr>
      <w:hyperlink w:anchor="_Toc188280718" w:history="1">
        <w:r w:rsidR="00FC4ABF" w:rsidRPr="00CB15EE">
          <w:rPr>
            <w:rStyle w:val="Hyperlink"/>
          </w:rPr>
          <w:t>Benefits and objectives</w:t>
        </w:r>
        <w:r w:rsidR="00FC4ABF">
          <w:rPr>
            <w:webHidden/>
          </w:rPr>
          <w:tab/>
        </w:r>
        <w:r w:rsidR="00FC4ABF">
          <w:rPr>
            <w:webHidden/>
          </w:rPr>
          <w:fldChar w:fldCharType="begin"/>
        </w:r>
        <w:r w:rsidR="00FC4ABF">
          <w:rPr>
            <w:webHidden/>
          </w:rPr>
          <w:instrText xml:space="preserve"> PAGEREF _Toc188280718 \h </w:instrText>
        </w:r>
        <w:r w:rsidR="00FC4ABF">
          <w:rPr>
            <w:webHidden/>
          </w:rPr>
        </w:r>
        <w:r w:rsidR="00FC4ABF">
          <w:rPr>
            <w:webHidden/>
          </w:rPr>
          <w:fldChar w:fldCharType="separate"/>
        </w:r>
        <w:r w:rsidR="000E1B11">
          <w:rPr>
            <w:webHidden/>
          </w:rPr>
          <w:t>5</w:t>
        </w:r>
        <w:r w:rsidR="00FC4ABF">
          <w:rPr>
            <w:webHidden/>
          </w:rPr>
          <w:fldChar w:fldCharType="end"/>
        </w:r>
      </w:hyperlink>
    </w:p>
    <w:p w14:paraId="39AB9ABF" w14:textId="539F77EC" w:rsidR="00FC4ABF" w:rsidRDefault="001B1014">
      <w:pPr>
        <w:pStyle w:val="TOC2"/>
        <w:rPr>
          <w:rFonts w:asciiTheme="minorHAnsi" w:eastAsiaTheme="minorEastAsia" w:hAnsiTheme="minorHAnsi" w:cstheme="minorBidi"/>
          <w:color w:val="auto"/>
          <w:kern w:val="2"/>
          <w:sz w:val="24"/>
          <w:szCs w:val="24"/>
          <w14:ligatures w14:val="standardContextual"/>
        </w:rPr>
      </w:pPr>
      <w:hyperlink w:anchor="_Toc188280719" w:history="1">
        <w:r w:rsidR="00FC4ABF" w:rsidRPr="00CB15EE">
          <w:rPr>
            <w:rStyle w:val="Hyperlink"/>
          </w:rPr>
          <w:t>Design principles</w:t>
        </w:r>
        <w:r w:rsidR="00FC4ABF">
          <w:rPr>
            <w:webHidden/>
          </w:rPr>
          <w:tab/>
        </w:r>
        <w:r w:rsidR="00FC4ABF">
          <w:rPr>
            <w:webHidden/>
          </w:rPr>
          <w:fldChar w:fldCharType="begin"/>
        </w:r>
        <w:r w:rsidR="00FC4ABF">
          <w:rPr>
            <w:webHidden/>
          </w:rPr>
          <w:instrText xml:space="preserve"> PAGEREF _Toc188280719 \h </w:instrText>
        </w:r>
        <w:r w:rsidR="00FC4ABF">
          <w:rPr>
            <w:webHidden/>
          </w:rPr>
        </w:r>
        <w:r w:rsidR="00FC4ABF">
          <w:rPr>
            <w:webHidden/>
          </w:rPr>
          <w:fldChar w:fldCharType="separate"/>
        </w:r>
        <w:r w:rsidR="000E1B11">
          <w:rPr>
            <w:webHidden/>
          </w:rPr>
          <w:t>6</w:t>
        </w:r>
        <w:r w:rsidR="00FC4ABF">
          <w:rPr>
            <w:webHidden/>
          </w:rPr>
          <w:fldChar w:fldCharType="end"/>
        </w:r>
      </w:hyperlink>
    </w:p>
    <w:p w14:paraId="075C66BC" w14:textId="528F442A" w:rsidR="00FC4ABF" w:rsidRDefault="001B1014">
      <w:pPr>
        <w:pStyle w:val="TOC2"/>
        <w:rPr>
          <w:rFonts w:asciiTheme="minorHAnsi" w:eastAsiaTheme="minorEastAsia" w:hAnsiTheme="minorHAnsi" w:cstheme="minorBidi"/>
          <w:color w:val="auto"/>
          <w:kern w:val="2"/>
          <w:sz w:val="24"/>
          <w:szCs w:val="24"/>
          <w14:ligatures w14:val="standardContextual"/>
        </w:rPr>
      </w:pPr>
      <w:hyperlink w:anchor="_Toc188280720" w:history="1">
        <w:r w:rsidR="00FC4ABF" w:rsidRPr="00CB15EE">
          <w:rPr>
            <w:rStyle w:val="Hyperlink"/>
          </w:rPr>
          <w:t>Overview of the proposed new statutory body</w:t>
        </w:r>
        <w:r w:rsidR="00FC4ABF">
          <w:rPr>
            <w:webHidden/>
          </w:rPr>
          <w:tab/>
        </w:r>
        <w:r w:rsidR="00FC4ABF">
          <w:rPr>
            <w:webHidden/>
          </w:rPr>
          <w:fldChar w:fldCharType="begin"/>
        </w:r>
        <w:r w:rsidR="00FC4ABF">
          <w:rPr>
            <w:webHidden/>
          </w:rPr>
          <w:instrText xml:space="preserve"> PAGEREF _Toc188280720 \h </w:instrText>
        </w:r>
        <w:r w:rsidR="00FC4ABF">
          <w:rPr>
            <w:webHidden/>
          </w:rPr>
        </w:r>
        <w:r w:rsidR="00FC4ABF">
          <w:rPr>
            <w:webHidden/>
          </w:rPr>
          <w:fldChar w:fldCharType="separate"/>
        </w:r>
        <w:r w:rsidR="000E1B11">
          <w:rPr>
            <w:webHidden/>
          </w:rPr>
          <w:t>7</w:t>
        </w:r>
        <w:r w:rsidR="00FC4ABF">
          <w:rPr>
            <w:webHidden/>
          </w:rPr>
          <w:fldChar w:fldCharType="end"/>
        </w:r>
      </w:hyperlink>
    </w:p>
    <w:p w14:paraId="7EDDE980" w14:textId="1E0230EF" w:rsidR="00FC4ABF" w:rsidRDefault="001B1014">
      <w:pPr>
        <w:pStyle w:val="TOC2"/>
        <w:rPr>
          <w:rFonts w:asciiTheme="minorHAnsi" w:eastAsiaTheme="minorEastAsia" w:hAnsiTheme="minorHAnsi" w:cstheme="minorBidi"/>
          <w:color w:val="auto"/>
          <w:kern w:val="2"/>
          <w:sz w:val="24"/>
          <w:szCs w:val="24"/>
          <w14:ligatures w14:val="standardContextual"/>
        </w:rPr>
      </w:pPr>
      <w:hyperlink w:anchor="_Toc188280721" w:history="1">
        <w:r w:rsidR="00FC4ABF" w:rsidRPr="00CB15EE">
          <w:rPr>
            <w:rStyle w:val="Hyperlink"/>
          </w:rPr>
          <w:t>Key considerations</w:t>
        </w:r>
        <w:r w:rsidR="00FC4ABF">
          <w:rPr>
            <w:webHidden/>
          </w:rPr>
          <w:tab/>
        </w:r>
        <w:r w:rsidR="00FC4ABF">
          <w:rPr>
            <w:webHidden/>
          </w:rPr>
          <w:fldChar w:fldCharType="begin"/>
        </w:r>
        <w:r w:rsidR="00FC4ABF">
          <w:rPr>
            <w:webHidden/>
          </w:rPr>
          <w:instrText xml:space="preserve"> PAGEREF _Toc188280721 \h </w:instrText>
        </w:r>
        <w:r w:rsidR="00FC4ABF">
          <w:rPr>
            <w:webHidden/>
          </w:rPr>
        </w:r>
        <w:r w:rsidR="00FC4ABF">
          <w:rPr>
            <w:webHidden/>
          </w:rPr>
          <w:fldChar w:fldCharType="separate"/>
        </w:r>
        <w:r w:rsidR="000E1B11">
          <w:rPr>
            <w:webHidden/>
          </w:rPr>
          <w:t>10</w:t>
        </w:r>
        <w:r w:rsidR="00FC4ABF">
          <w:rPr>
            <w:webHidden/>
          </w:rPr>
          <w:fldChar w:fldCharType="end"/>
        </w:r>
      </w:hyperlink>
    </w:p>
    <w:p w14:paraId="2253BDFA" w14:textId="307471BC" w:rsidR="00FC4ABF" w:rsidRDefault="001B1014">
      <w:pPr>
        <w:pStyle w:val="TOC3"/>
        <w:rPr>
          <w:rFonts w:asciiTheme="minorHAnsi" w:eastAsiaTheme="minorEastAsia" w:hAnsiTheme="minorHAnsi" w:cstheme="minorBidi"/>
          <w:kern w:val="2"/>
          <w:sz w:val="24"/>
          <w:szCs w:val="24"/>
          <w14:ligatures w14:val="standardContextual"/>
        </w:rPr>
      </w:pPr>
      <w:hyperlink w:anchor="_Toc188280722" w:history="1">
        <w:r w:rsidR="00FC4ABF" w:rsidRPr="00CB15EE">
          <w:rPr>
            <w:rStyle w:val="Hyperlink"/>
          </w:rPr>
          <w:t>Functions and powers of the new body</w:t>
        </w:r>
        <w:r w:rsidR="00FC4ABF">
          <w:rPr>
            <w:webHidden/>
          </w:rPr>
          <w:tab/>
        </w:r>
        <w:r w:rsidR="00FC4ABF">
          <w:rPr>
            <w:webHidden/>
          </w:rPr>
          <w:fldChar w:fldCharType="begin"/>
        </w:r>
        <w:r w:rsidR="00FC4ABF">
          <w:rPr>
            <w:webHidden/>
          </w:rPr>
          <w:instrText xml:space="preserve"> PAGEREF _Toc188280722 \h </w:instrText>
        </w:r>
        <w:r w:rsidR="00FC4ABF">
          <w:rPr>
            <w:webHidden/>
          </w:rPr>
        </w:r>
        <w:r w:rsidR="00FC4ABF">
          <w:rPr>
            <w:webHidden/>
          </w:rPr>
          <w:fldChar w:fldCharType="separate"/>
        </w:r>
        <w:r w:rsidR="000E1B11">
          <w:rPr>
            <w:webHidden/>
          </w:rPr>
          <w:t>10</w:t>
        </w:r>
        <w:r w:rsidR="00FC4ABF">
          <w:rPr>
            <w:webHidden/>
          </w:rPr>
          <w:fldChar w:fldCharType="end"/>
        </w:r>
      </w:hyperlink>
    </w:p>
    <w:p w14:paraId="01ABD7A5" w14:textId="60DF6116" w:rsidR="00FC4ABF" w:rsidRDefault="001B1014">
      <w:pPr>
        <w:pStyle w:val="TOC3"/>
        <w:rPr>
          <w:rFonts w:asciiTheme="minorHAnsi" w:eastAsiaTheme="minorEastAsia" w:hAnsiTheme="minorHAnsi" w:cstheme="minorBidi"/>
          <w:kern w:val="2"/>
          <w:sz w:val="24"/>
          <w:szCs w:val="24"/>
          <w14:ligatures w14:val="standardContextual"/>
        </w:rPr>
      </w:pPr>
      <w:hyperlink w:anchor="_Toc188280723" w:history="1">
        <w:r w:rsidR="00FC4ABF" w:rsidRPr="00CB15EE">
          <w:rPr>
            <w:rStyle w:val="Hyperlink"/>
          </w:rPr>
          <w:t>Roles of the governing Board and the standard setting committees</w:t>
        </w:r>
        <w:r w:rsidR="00FC4ABF">
          <w:rPr>
            <w:webHidden/>
          </w:rPr>
          <w:tab/>
        </w:r>
        <w:r w:rsidR="00FC4ABF">
          <w:rPr>
            <w:webHidden/>
          </w:rPr>
          <w:fldChar w:fldCharType="begin"/>
        </w:r>
        <w:r w:rsidR="00FC4ABF">
          <w:rPr>
            <w:webHidden/>
          </w:rPr>
          <w:instrText xml:space="preserve"> PAGEREF _Toc188280723 \h </w:instrText>
        </w:r>
        <w:r w:rsidR="00FC4ABF">
          <w:rPr>
            <w:webHidden/>
          </w:rPr>
        </w:r>
        <w:r w:rsidR="00FC4ABF">
          <w:rPr>
            <w:webHidden/>
          </w:rPr>
          <w:fldChar w:fldCharType="separate"/>
        </w:r>
        <w:r w:rsidR="000E1B11">
          <w:rPr>
            <w:webHidden/>
          </w:rPr>
          <w:t>12</w:t>
        </w:r>
        <w:r w:rsidR="00FC4ABF">
          <w:rPr>
            <w:webHidden/>
          </w:rPr>
          <w:fldChar w:fldCharType="end"/>
        </w:r>
      </w:hyperlink>
    </w:p>
    <w:p w14:paraId="387C94C8" w14:textId="2ECD53F3" w:rsidR="00FC4ABF" w:rsidRDefault="001B1014">
      <w:pPr>
        <w:pStyle w:val="TOC3"/>
        <w:rPr>
          <w:rFonts w:asciiTheme="minorHAnsi" w:eastAsiaTheme="minorEastAsia" w:hAnsiTheme="minorHAnsi" w:cstheme="minorBidi"/>
          <w:kern w:val="2"/>
          <w:sz w:val="24"/>
          <w:szCs w:val="24"/>
          <w14:ligatures w14:val="standardContextual"/>
        </w:rPr>
      </w:pPr>
      <w:hyperlink w:anchor="_Toc188280724" w:history="1">
        <w:r w:rsidR="00FC4ABF" w:rsidRPr="00CB15EE">
          <w:rPr>
            <w:rStyle w:val="Hyperlink"/>
          </w:rPr>
          <w:t>Appointments, qualifications and staff</w:t>
        </w:r>
        <w:r w:rsidR="00FC4ABF">
          <w:rPr>
            <w:webHidden/>
          </w:rPr>
          <w:tab/>
        </w:r>
        <w:r w:rsidR="00FC4ABF">
          <w:rPr>
            <w:webHidden/>
          </w:rPr>
          <w:fldChar w:fldCharType="begin"/>
        </w:r>
        <w:r w:rsidR="00FC4ABF">
          <w:rPr>
            <w:webHidden/>
          </w:rPr>
          <w:instrText xml:space="preserve"> PAGEREF _Toc188280724 \h </w:instrText>
        </w:r>
        <w:r w:rsidR="00FC4ABF">
          <w:rPr>
            <w:webHidden/>
          </w:rPr>
        </w:r>
        <w:r w:rsidR="00FC4ABF">
          <w:rPr>
            <w:webHidden/>
          </w:rPr>
          <w:fldChar w:fldCharType="separate"/>
        </w:r>
        <w:r w:rsidR="000E1B11">
          <w:rPr>
            <w:webHidden/>
          </w:rPr>
          <w:t>14</w:t>
        </w:r>
        <w:r w:rsidR="00FC4ABF">
          <w:rPr>
            <w:webHidden/>
          </w:rPr>
          <w:fldChar w:fldCharType="end"/>
        </w:r>
      </w:hyperlink>
    </w:p>
    <w:p w14:paraId="1E648D35" w14:textId="0B2DD65F" w:rsidR="00FC4ABF" w:rsidRDefault="001B1014">
      <w:pPr>
        <w:pStyle w:val="TOC3"/>
        <w:rPr>
          <w:rFonts w:asciiTheme="minorHAnsi" w:eastAsiaTheme="minorEastAsia" w:hAnsiTheme="minorHAnsi" w:cstheme="minorBidi"/>
          <w:kern w:val="2"/>
          <w:sz w:val="24"/>
          <w:szCs w:val="24"/>
          <w14:ligatures w14:val="standardContextual"/>
        </w:rPr>
      </w:pPr>
      <w:hyperlink w:anchor="_Toc188280725" w:history="1">
        <w:r w:rsidR="00FC4ABF" w:rsidRPr="00CB15EE">
          <w:rPr>
            <w:rStyle w:val="Hyperlink"/>
          </w:rPr>
          <w:t>Strengthening institutional governance</w:t>
        </w:r>
        <w:r w:rsidR="00FC4ABF">
          <w:rPr>
            <w:webHidden/>
          </w:rPr>
          <w:tab/>
        </w:r>
        <w:r w:rsidR="00FC4ABF">
          <w:rPr>
            <w:webHidden/>
          </w:rPr>
          <w:fldChar w:fldCharType="begin"/>
        </w:r>
        <w:r w:rsidR="00FC4ABF">
          <w:rPr>
            <w:webHidden/>
          </w:rPr>
          <w:instrText xml:space="preserve"> PAGEREF _Toc188280725 \h </w:instrText>
        </w:r>
        <w:r w:rsidR="00FC4ABF">
          <w:rPr>
            <w:webHidden/>
          </w:rPr>
        </w:r>
        <w:r w:rsidR="00FC4ABF">
          <w:rPr>
            <w:webHidden/>
          </w:rPr>
          <w:fldChar w:fldCharType="separate"/>
        </w:r>
        <w:r w:rsidR="000E1B11">
          <w:rPr>
            <w:webHidden/>
          </w:rPr>
          <w:t>15</w:t>
        </w:r>
        <w:r w:rsidR="00FC4ABF">
          <w:rPr>
            <w:webHidden/>
          </w:rPr>
          <w:fldChar w:fldCharType="end"/>
        </w:r>
      </w:hyperlink>
    </w:p>
    <w:p w14:paraId="1289FEDA" w14:textId="3CACC65B" w:rsidR="00FC4ABF" w:rsidRDefault="001B1014">
      <w:pPr>
        <w:pStyle w:val="TOC1"/>
        <w:rPr>
          <w:rFonts w:asciiTheme="minorHAnsi" w:eastAsiaTheme="minorEastAsia" w:hAnsiTheme="minorHAnsi" w:cstheme="minorBidi"/>
          <w:b w:val="0"/>
          <w:color w:val="auto"/>
          <w:kern w:val="2"/>
          <w:sz w:val="24"/>
          <w:szCs w:val="24"/>
          <w14:ligatures w14:val="standardContextual"/>
        </w:rPr>
      </w:pPr>
      <w:hyperlink w:anchor="_Toc188280726" w:history="1">
        <w:r w:rsidR="00FC4ABF" w:rsidRPr="00CB15EE">
          <w:rPr>
            <w:rStyle w:val="Hyperlink"/>
          </w:rPr>
          <w:t>Next steps</w:t>
        </w:r>
        <w:r w:rsidR="00FC4ABF">
          <w:rPr>
            <w:webHidden/>
          </w:rPr>
          <w:tab/>
        </w:r>
        <w:r w:rsidR="00FC4ABF">
          <w:rPr>
            <w:webHidden/>
          </w:rPr>
          <w:fldChar w:fldCharType="begin"/>
        </w:r>
        <w:r w:rsidR="00FC4ABF">
          <w:rPr>
            <w:webHidden/>
          </w:rPr>
          <w:instrText xml:space="preserve"> PAGEREF _Toc188280726 \h </w:instrText>
        </w:r>
        <w:r w:rsidR="00FC4ABF">
          <w:rPr>
            <w:webHidden/>
          </w:rPr>
        </w:r>
        <w:r w:rsidR="00FC4ABF">
          <w:rPr>
            <w:webHidden/>
          </w:rPr>
          <w:fldChar w:fldCharType="separate"/>
        </w:r>
        <w:r w:rsidR="000E1B11">
          <w:rPr>
            <w:webHidden/>
          </w:rPr>
          <w:t>16</w:t>
        </w:r>
        <w:r w:rsidR="00FC4ABF">
          <w:rPr>
            <w:webHidden/>
          </w:rPr>
          <w:fldChar w:fldCharType="end"/>
        </w:r>
      </w:hyperlink>
    </w:p>
    <w:p w14:paraId="5302A771" w14:textId="4F08BFD8" w:rsidR="00FC4ABF" w:rsidRDefault="001B1014">
      <w:pPr>
        <w:pStyle w:val="TOC1"/>
        <w:rPr>
          <w:rFonts w:asciiTheme="minorHAnsi" w:eastAsiaTheme="minorEastAsia" w:hAnsiTheme="minorHAnsi" w:cstheme="minorBidi"/>
          <w:b w:val="0"/>
          <w:color w:val="auto"/>
          <w:kern w:val="2"/>
          <w:sz w:val="24"/>
          <w:szCs w:val="24"/>
          <w14:ligatures w14:val="standardContextual"/>
        </w:rPr>
      </w:pPr>
      <w:hyperlink w:anchor="_Toc188280727" w:history="1">
        <w:r w:rsidR="00FC4ABF" w:rsidRPr="00CB15EE">
          <w:rPr>
            <w:rStyle w:val="Hyperlink"/>
          </w:rPr>
          <w:t>Attachment A: International comparison</w:t>
        </w:r>
        <w:r w:rsidR="00FC4ABF">
          <w:rPr>
            <w:webHidden/>
          </w:rPr>
          <w:tab/>
        </w:r>
        <w:r w:rsidR="00FC4ABF">
          <w:rPr>
            <w:webHidden/>
          </w:rPr>
          <w:fldChar w:fldCharType="begin"/>
        </w:r>
        <w:r w:rsidR="00FC4ABF">
          <w:rPr>
            <w:webHidden/>
          </w:rPr>
          <w:instrText xml:space="preserve"> PAGEREF _Toc188280727 \h </w:instrText>
        </w:r>
        <w:r w:rsidR="00FC4ABF">
          <w:rPr>
            <w:webHidden/>
          </w:rPr>
        </w:r>
        <w:r w:rsidR="00FC4ABF">
          <w:rPr>
            <w:webHidden/>
          </w:rPr>
          <w:fldChar w:fldCharType="separate"/>
        </w:r>
        <w:r w:rsidR="000E1B11">
          <w:rPr>
            <w:webHidden/>
          </w:rPr>
          <w:t>17</w:t>
        </w:r>
        <w:r w:rsidR="00FC4ABF">
          <w:rPr>
            <w:webHidden/>
          </w:rPr>
          <w:fldChar w:fldCharType="end"/>
        </w:r>
      </w:hyperlink>
    </w:p>
    <w:p w14:paraId="27DE875F" w14:textId="37CA93F0" w:rsidR="00FC4ABF" w:rsidRDefault="001B1014">
      <w:pPr>
        <w:pStyle w:val="TOC1"/>
        <w:rPr>
          <w:rFonts w:asciiTheme="minorHAnsi" w:eastAsiaTheme="minorEastAsia" w:hAnsiTheme="minorHAnsi" w:cstheme="minorBidi"/>
          <w:b w:val="0"/>
          <w:color w:val="auto"/>
          <w:kern w:val="2"/>
          <w:sz w:val="24"/>
          <w:szCs w:val="24"/>
          <w14:ligatures w14:val="standardContextual"/>
        </w:rPr>
      </w:pPr>
      <w:hyperlink w:anchor="_Toc188280728" w:history="1">
        <w:r w:rsidR="00FC4ABF" w:rsidRPr="00CB15EE">
          <w:rPr>
            <w:rStyle w:val="Hyperlink"/>
          </w:rPr>
          <w:t>Attachment B: Comparison of key features</w:t>
        </w:r>
        <w:r w:rsidR="00FC4ABF">
          <w:rPr>
            <w:webHidden/>
          </w:rPr>
          <w:tab/>
        </w:r>
        <w:r w:rsidR="00FC4ABF">
          <w:rPr>
            <w:webHidden/>
          </w:rPr>
          <w:fldChar w:fldCharType="begin"/>
        </w:r>
        <w:r w:rsidR="00FC4ABF">
          <w:rPr>
            <w:webHidden/>
          </w:rPr>
          <w:instrText xml:space="preserve"> PAGEREF _Toc188280728 \h </w:instrText>
        </w:r>
        <w:r w:rsidR="00FC4ABF">
          <w:rPr>
            <w:webHidden/>
          </w:rPr>
        </w:r>
        <w:r w:rsidR="00FC4ABF">
          <w:rPr>
            <w:webHidden/>
          </w:rPr>
          <w:fldChar w:fldCharType="separate"/>
        </w:r>
        <w:r w:rsidR="000E1B11">
          <w:rPr>
            <w:webHidden/>
          </w:rPr>
          <w:t>18</w:t>
        </w:r>
        <w:r w:rsidR="00FC4ABF">
          <w:rPr>
            <w:webHidden/>
          </w:rPr>
          <w:fldChar w:fldCharType="end"/>
        </w:r>
      </w:hyperlink>
    </w:p>
    <w:p w14:paraId="1EFC21E1" w14:textId="41D4D3B4" w:rsidR="00FC4ABF" w:rsidRDefault="001B1014">
      <w:pPr>
        <w:pStyle w:val="TOC3"/>
        <w:rPr>
          <w:rFonts w:asciiTheme="minorHAnsi" w:eastAsiaTheme="minorEastAsia" w:hAnsiTheme="minorHAnsi" w:cstheme="minorBidi"/>
          <w:kern w:val="2"/>
          <w:sz w:val="24"/>
          <w:szCs w:val="24"/>
          <w14:ligatures w14:val="standardContextual"/>
        </w:rPr>
      </w:pPr>
      <w:hyperlink w:anchor="_Toc188280729" w:history="1">
        <w:r w:rsidR="00FC4ABF" w:rsidRPr="00CB15EE">
          <w:rPr>
            <w:rStyle w:val="Hyperlink"/>
          </w:rPr>
          <w:t>Table 1: Summary comparison of key features</w:t>
        </w:r>
        <w:r w:rsidR="00FC4ABF">
          <w:rPr>
            <w:webHidden/>
          </w:rPr>
          <w:tab/>
        </w:r>
        <w:r w:rsidR="00FC4ABF">
          <w:rPr>
            <w:webHidden/>
          </w:rPr>
          <w:fldChar w:fldCharType="begin"/>
        </w:r>
        <w:r w:rsidR="00FC4ABF">
          <w:rPr>
            <w:webHidden/>
          </w:rPr>
          <w:instrText xml:space="preserve"> PAGEREF _Toc188280729 \h </w:instrText>
        </w:r>
        <w:r w:rsidR="00FC4ABF">
          <w:rPr>
            <w:webHidden/>
          </w:rPr>
        </w:r>
        <w:r w:rsidR="00FC4ABF">
          <w:rPr>
            <w:webHidden/>
          </w:rPr>
          <w:fldChar w:fldCharType="separate"/>
        </w:r>
        <w:r w:rsidR="000E1B11">
          <w:rPr>
            <w:webHidden/>
          </w:rPr>
          <w:t>18</w:t>
        </w:r>
        <w:r w:rsidR="00FC4ABF">
          <w:rPr>
            <w:webHidden/>
          </w:rPr>
          <w:fldChar w:fldCharType="end"/>
        </w:r>
      </w:hyperlink>
    </w:p>
    <w:p w14:paraId="49AC6A76" w14:textId="1BC91D40" w:rsidR="00FC4ABF" w:rsidRDefault="001B1014">
      <w:pPr>
        <w:pStyle w:val="TOC1"/>
        <w:rPr>
          <w:rFonts w:asciiTheme="minorHAnsi" w:eastAsiaTheme="minorEastAsia" w:hAnsiTheme="minorHAnsi" w:cstheme="minorBidi"/>
          <w:b w:val="0"/>
          <w:color w:val="auto"/>
          <w:kern w:val="2"/>
          <w:sz w:val="24"/>
          <w:szCs w:val="24"/>
          <w14:ligatures w14:val="standardContextual"/>
        </w:rPr>
      </w:pPr>
      <w:hyperlink w:anchor="_Toc188280730" w:history="1">
        <w:r w:rsidR="00FC4ABF" w:rsidRPr="00CB15EE">
          <w:rPr>
            <w:rStyle w:val="Hyperlink"/>
          </w:rPr>
          <w:t>Attachment C: List of consultation questions</w:t>
        </w:r>
        <w:r w:rsidR="00FC4ABF">
          <w:rPr>
            <w:webHidden/>
          </w:rPr>
          <w:tab/>
        </w:r>
        <w:r w:rsidR="00FC4ABF">
          <w:rPr>
            <w:webHidden/>
          </w:rPr>
          <w:fldChar w:fldCharType="begin"/>
        </w:r>
        <w:r w:rsidR="00FC4ABF">
          <w:rPr>
            <w:webHidden/>
          </w:rPr>
          <w:instrText xml:space="preserve"> PAGEREF _Toc188280730 \h </w:instrText>
        </w:r>
        <w:r w:rsidR="00FC4ABF">
          <w:rPr>
            <w:webHidden/>
          </w:rPr>
        </w:r>
        <w:r w:rsidR="00FC4ABF">
          <w:rPr>
            <w:webHidden/>
          </w:rPr>
          <w:fldChar w:fldCharType="separate"/>
        </w:r>
        <w:r w:rsidR="000E1B11">
          <w:rPr>
            <w:webHidden/>
          </w:rPr>
          <w:t>20</w:t>
        </w:r>
        <w:r w:rsidR="00FC4ABF">
          <w:rPr>
            <w:webHidden/>
          </w:rPr>
          <w:fldChar w:fldCharType="end"/>
        </w:r>
      </w:hyperlink>
    </w:p>
    <w:p w14:paraId="2A9DA7C7" w14:textId="767D13C5" w:rsidR="000E0B74" w:rsidRDefault="00257AEE" w:rsidP="00656356">
      <w:pPr>
        <w:pStyle w:val="SingleParagraph"/>
        <w:tabs>
          <w:tab w:val="right" w:leader="dot" w:pos="9072"/>
        </w:tabs>
        <w:ind w:right="-2"/>
        <w:sectPr w:rsidR="000E0B74" w:rsidSect="008043EA">
          <w:footerReference w:type="default" r:id="rId17"/>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7D3A582D" w14:textId="6ACCF342" w:rsidR="000E0B74" w:rsidRDefault="000E0B74" w:rsidP="00354FBB">
      <w:pPr>
        <w:pStyle w:val="Heading1"/>
      </w:pPr>
      <w:bookmarkStart w:id="1" w:name="_Toc188280709"/>
      <w:bookmarkStart w:id="2" w:name="_Toc432067103"/>
      <w:r>
        <w:lastRenderedPageBreak/>
        <w:t xml:space="preserve">Consultation </w:t>
      </w:r>
      <w:r w:rsidR="005676CA">
        <w:t>p</w:t>
      </w:r>
      <w:r>
        <w:t>rocess</w:t>
      </w:r>
      <w:bookmarkEnd w:id="1"/>
    </w:p>
    <w:p w14:paraId="4255C337" w14:textId="77777777" w:rsidR="000E0B74" w:rsidRDefault="000E0B74" w:rsidP="000E0B74">
      <w:pPr>
        <w:pStyle w:val="Heading2"/>
      </w:pPr>
      <w:bookmarkStart w:id="3" w:name="_Toc188280710"/>
      <w:r>
        <w:t>Request for feedback and comments</w:t>
      </w:r>
      <w:bookmarkEnd w:id="3"/>
    </w:p>
    <w:p w14:paraId="6421A777" w14:textId="77777777" w:rsidR="00E73A14" w:rsidRDefault="005676CA" w:rsidP="005676CA">
      <w:r>
        <w:t xml:space="preserve">This consultation paper seeks feedback on the proposed design of new institutional arrangements for the setting of accounting, sustainability and auditing and assurance standards in Australia. The proposed design combines the Australian Accounting Standards Board (AASB), the Auditing and Assurance Standards Board (AUASB) and the Financial Reporting Council (FRC) into a single body. </w:t>
      </w:r>
    </w:p>
    <w:p w14:paraId="6F2EDB09" w14:textId="17651CA2" w:rsidR="000E0B74" w:rsidRDefault="005676CA" w:rsidP="005676CA">
      <w:pPr>
        <w:pStyle w:val="Heading3"/>
      </w:pPr>
      <w:bookmarkStart w:id="4" w:name="_Toc188280711"/>
      <w:r>
        <w:t xml:space="preserve">Closing date for submissions: </w:t>
      </w:r>
      <w:r w:rsidR="00D1713F" w:rsidRPr="00864C2D">
        <w:rPr>
          <w:b w:val="0"/>
          <w:bCs/>
        </w:rPr>
        <w:t>21</w:t>
      </w:r>
      <w:r w:rsidRPr="00864C2D">
        <w:rPr>
          <w:b w:val="0"/>
        </w:rPr>
        <w:t xml:space="preserve"> </w:t>
      </w:r>
      <w:r w:rsidR="00FB799E" w:rsidRPr="00851663">
        <w:rPr>
          <w:b w:val="0"/>
          <w:bCs/>
        </w:rPr>
        <w:t xml:space="preserve">February </w:t>
      </w:r>
      <w:r w:rsidR="00292C4A" w:rsidRPr="00851663">
        <w:rPr>
          <w:b w:val="0"/>
          <w:bCs/>
        </w:rPr>
        <w:t>2025</w:t>
      </w:r>
      <w:bookmarkEnd w:id="4"/>
      <w:r w:rsidRPr="005676CA">
        <w:rPr>
          <w:b w:val="0"/>
          <w:bCs/>
        </w:rPr>
        <w:t xml:space="preserve"> </w:t>
      </w:r>
    </w:p>
    <w:tbl>
      <w:tblPr>
        <w:tblStyle w:val="TableGrid"/>
        <w:tblW w:w="0" w:type="auto"/>
        <w:tblLook w:val="04A0" w:firstRow="1" w:lastRow="0" w:firstColumn="1" w:lastColumn="0" w:noHBand="0" w:noVBand="1"/>
      </w:tblPr>
      <w:tblGrid>
        <w:gridCol w:w="1517"/>
        <w:gridCol w:w="7553"/>
      </w:tblGrid>
      <w:tr w:rsidR="00EC2FC6" w:rsidRPr="002C12C1" w14:paraId="4FFC3317" w14:textId="77777777" w:rsidTr="00EC2FC6">
        <w:trPr>
          <w:cnfStyle w:val="100000000000" w:firstRow="1" w:lastRow="0" w:firstColumn="0" w:lastColumn="0" w:oddVBand="0" w:evenVBand="0" w:oddHBand="0" w:evenHBand="0" w:firstRowFirstColumn="0" w:firstRowLastColumn="0" w:lastRowFirstColumn="0" w:lastRowLastColumn="0"/>
        </w:trPr>
        <w:tc>
          <w:tcPr>
            <w:tcW w:w="1517" w:type="dxa"/>
          </w:tcPr>
          <w:p w14:paraId="71E41AFF" w14:textId="77777777" w:rsidR="00EC2FC6" w:rsidRPr="00910C8D" w:rsidRDefault="00EC2FC6">
            <w:pPr>
              <w:spacing w:before="96" w:after="96"/>
              <w:rPr>
                <w:sz w:val="22"/>
                <w:szCs w:val="22"/>
              </w:rPr>
            </w:pPr>
            <w:r w:rsidRPr="00910C8D">
              <w:rPr>
                <w:sz w:val="22"/>
                <w:szCs w:val="22"/>
              </w:rPr>
              <w:t>Email</w:t>
            </w:r>
          </w:p>
        </w:tc>
        <w:tc>
          <w:tcPr>
            <w:tcW w:w="7553" w:type="dxa"/>
          </w:tcPr>
          <w:p w14:paraId="56ECA82A" w14:textId="71FFEFF4" w:rsidR="00EC2FC6" w:rsidRPr="00910C8D" w:rsidRDefault="00542297">
            <w:pPr>
              <w:spacing w:before="96" w:after="96"/>
              <w:rPr>
                <w:sz w:val="22"/>
                <w:szCs w:val="22"/>
              </w:rPr>
            </w:pPr>
            <w:r w:rsidRPr="00F060A7">
              <w:rPr>
                <w:rFonts w:cs="Arial"/>
                <w:sz w:val="22"/>
                <w:szCs w:val="22"/>
              </w:rPr>
              <w:t>FR</w:t>
            </w:r>
            <w:r w:rsidR="00DB19DF" w:rsidRPr="00F060A7">
              <w:rPr>
                <w:rFonts w:cs="Arial"/>
                <w:sz w:val="22"/>
                <w:szCs w:val="22"/>
              </w:rPr>
              <w:t>SR</w:t>
            </w:r>
            <w:r w:rsidR="00F060A7" w:rsidRPr="00F060A7">
              <w:rPr>
                <w:rFonts w:cs="Arial"/>
                <w:sz w:val="22"/>
                <w:szCs w:val="22"/>
              </w:rPr>
              <w:t>eform</w:t>
            </w:r>
            <w:r w:rsidR="00EC2FC6" w:rsidRPr="00910C8D">
              <w:rPr>
                <w:rFonts w:cs="Arial"/>
                <w:sz w:val="22"/>
                <w:szCs w:val="22"/>
              </w:rPr>
              <w:t>@treasury.gov.au</w:t>
            </w:r>
          </w:p>
        </w:tc>
      </w:tr>
      <w:tr w:rsidR="000E0B74" w:rsidRPr="00B85F47" w14:paraId="69D3F100" w14:textId="77777777" w:rsidTr="002C2082">
        <w:tc>
          <w:tcPr>
            <w:tcW w:w="1517" w:type="dxa"/>
          </w:tcPr>
          <w:p w14:paraId="33575091" w14:textId="77777777" w:rsidR="008D7F38" w:rsidRPr="00CB5323" w:rsidRDefault="000E0B74" w:rsidP="0017089D">
            <w:pPr>
              <w:rPr>
                <w:sz w:val="22"/>
                <w:szCs w:val="22"/>
              </w:rPr>
            </w:pPr>
            <w:r w:rsidRPr="00CB5323">
              <w:rPr>
                <w:sz w:val="22"/>
                <w:szCs w:val="22"/>
              </w:rPr>
              <w:t>Mail</w:t>
            </w:r>
          </w:p>
        </w:tc>
        <w:tc>
          <w:tcPr>
            <w:tcW w:w="7553" w:type="dxa"/>
          </w:tcPr>
          <w:p w14:paraId="12E4C886" w14:textId="6968813C" w:rsidR="00B45C26" w:rsidRDefault="00B45C26" w:rsidP="005676CA">
            <w:pPr>
              <w:pStyle w:val="SingleParagraph"/>
              <w:spacing w:before="120"/>
              <w:rPr>
                <w:rFonts w:cs="Arial"/>
                <w:sz w:val="22"/>
                <w:szCs w:val="22"/>
              </w:rPr>
            </w:pPr>
            <w:r>
              <w:rPr>
                <w:rFonts w:cs="Arial"/>
                <w:sz w:val="22"/>
                <w:szCs w:val="22"/>
              </w:rPr>
              <w:t>Director</w:t>
            </w:r>
          </w:p>
          <w:p w14:paraId="726FBB67" w14:textId="0C5ACFDB" w:rsidR="005676CA" w:rsidRPr="00CB5323" w:rsidRDefault="005676CA" w:rsidP="00B45C26">
            <w:pPr>
              <w:pStyle w:val="SingleParagraph"/>
              <w:rPr>
                <w:rFonts w:cs="Arial"/>
                <w:sz w:val="22"/>
                <w:szCs w:val="22"/>
              </w:rPr>
            </w:pPr>
            <w:r w:rsidRPr="00CB5323">
              <w:rPr>
                <w:rFonts w:cs="Arial"/>
                <w:sz w:val="22"/>
                <w:szCs w:val="22"/>
              </w:rPr>
              <w:t>Financial Reporting System Reform Unit</w:t>
            </w:r>
          </w:p>
          <w:p w14:paraId="437540A6" w14:textId="56157543" w:rsidR="005676CA" w:rsidRPr="00CB5323" w:rsidRDefault="005676CA" w:rsidP="005676CA">
            <w:pPr>
              <w:pStyle w:val="SingleParagraph"/>
              <w:rPr>
                <w:rFonts w:cs="Arial"/>
                <w:sz w:val="22"/>
                <w:szCs w:val="22"/>
              </w:rPr>
            </w:pPr>
            <w:r w:rsidRPr="00CB5323">
              <w:rPr>
                <w:rFonts w:cs="Arial"/>
                <w:sz w:val="22"/>
                <w:szCs w:val="22"/>
              </w:rPr>
              <w:t>Market Conduct Division</w:t>
            </w:r>
          </w:p>
          <w:p w14:paraId="043DFF3E" w14:textId="77777777" w:rsidR="005676CA" w:rsidRPr="00CB5323" w:rsidRDefault="005676CA" w:rsidP="005676CA">
            <w:pPr>
              <w:pStyle w:val="SingleParagraph"/>
              <w:rPr>
                <w:rFonts w:cs="Arial"/>
                <w:sz w:val="22"/>
                <w:szCs w:val="22"/>
              </w:rPr>
            </w:pPr>
            <w:r w:rsidRPr="00CB5323">
              <w:rPr>
                <w:rFonts w:cs="Arial"/>
                <w:sz w:val="22"/>
                <w:szCs w:val="22"/>
              </w:rPr>
              <w:t xml:space="preserve">The Treasury </w:t>
            </w:r>
          </w:p>
          <w:p w14:paraId="5975A651" w14:textId="77777777" w:rsidR="005676CA" w:rsidRPr="00CB5323" w:rsidRDefault="005676CA" w:rsidP="005676CA">
            <w:pPr>
              <w:pStyle w:val="SingleParagraph"/>
              <w:rPr>
                <w:rFonts w:cs="Arial"/>
                <w:sz w:val="22"/>
                <w:szCs w:val="22"/>
              </w:rPr>
            </w:pPr>
            <w:r w:rsidRPr="00CB5323">
              <w:rPr>
                <w:rFonts w:cs="Arial"/>
                <w:sz w:val="22"/>
                <w:szCs w:val="22"/>
              </w:rPr>
              <w:t xml:space="preserve">Langton Crescent </w:t>
            </w:r>
          </w:p>
          <w:p w14:paraId="0DE6C9AF" w14:textId="1E175657" w:rsidR="000E0B74" w:rsidRPr="00CB5323" w:rsidRDefault="00DE7681" w:rsidP="0017089D">
            <w:pPr>
              <w:pStyle w:val="SingleParagraph"/>
              <w:rPr>
                <w:rFonts w:cs="Arial"/>
                <w:sz w:val="22"/>
                <w:szCs w:val="22"/>
              </w:rPr>
            </w:pPr>
            <w:r w:rsidRPr="00CB5323">
              <w:rPr>
                <w:rFonts w:cs="Arial"/>
                <w:sz w:val="22"/>
                <w:szCs w:val="22"/>
              </w:rPr>
              <w:t>P</w:t>
            </w:r>
            <w:r w:rsidR="003625E0">
              <w:rPr>
                <w:rFonts w:cs="Arial"/>
                <w:sz w:val="22"/>
                <w:szCs w:val="22"/>
              </w:rPr>
              <w:t>ARKES</w:t>
            </w:r>
            <w:r w:rsidRPr="00CB5323">
              <w:rPr>
                <w:rFonts w:cs="Arial"/>
                <w:sz w:val="22"/>
                <w:szCs w:val="22"/>
              </w:rPr>
              <w:t xml:space="preserve"> </w:t>
            </w:r>
            <w:r w:rsidR="005676CA" w:rsidRPr="00CB5323">
              <w:rPr>
                <w:rFonts w:cs="Arial"/>
                <w:sz w:val="22"/>
                <w:szCs w:val="22"/>
              </w:rPr>
              <w:t>ACT 2600</w:t>
            </w:r>
          </w:p>
        </w:tc>
      </w:tr>
      <w:tr w:rsidR="000E0B74" w:rsidRPr="00B85F47" w14:paraId="6AF5BB04" w14:textId="77777777" w:rsidTr="002C2082">
        <w:tc>
          <w:tcPr>
            <w:tcW w:w="1517" w:type="dxa"/>
          </w:tcPr>
          <w:p w14:paraId="02D17036" w14:textId="77777777" w:rsidR="000E0B74" w:rsidRPr="00CB5323" w:rsidRDefault="000E0B74" w:rsidP="0017089D">
            <w:pPr>
              <w:rPr>
                <w:sz w:val="22"/>
                <w:szCs w:val="22"/>
              </w:rPr>
            </w:pPr>
            <w:r w:rsidRPr="00CB5323">
              <w:rPr>
                <w:sz w:val="22"/>
                <w:szCs w:val="22"/>
              </w:rPr>
              <w:t>Enquiries</w:t>
            </w:r>
          </w:p>
        </w:tc>
        <w:tc>
          <w:tcPr>
            <w:tcW w:w="7553" w:type="dxa"/>
          </w:tcPr>
          <w:p w14:paraId="37CA679D" w14:textId="2A3C53D6" w:rsidR="000E0B74" w:rsidRPr="00CB5323" w:rsidRDefault="000E0B74" w:rsidP="0017089D">
            <w:pPr>
              <w:rPr>
                <w:sz w:val="22"/>
                <w:szCs w:val="22"/>
              </w:rPr>
            </w:pPr>
            <w:r w:rsidRPr="00CB5323">
              <w:rPr>
                <w:rFonts w:cs="Arial"/>
                <w:sz w:val="22"/>
                <w:szCs w:val="22"/>
              </w:rPr>
              <w:t>Enquiries can be initially directed to</w:t>
            </w:r>
            <w:r w:rsidR="006F2AC5">
              <w:rPr>
                <w:rFonts w:cs="Arial"/>
                <w:sz w:val="22"/>
                <w:szCs w:val="22"/>
              </w:rPr>
              <w:t xml:space="preserve"> </w:t>
            </w:r>
            <w:r w:rsidR="00F36F60" w:rsidRPr="00F060A7">
              <w:rPr>
                <w:rFonts w:cs="Arial"/>
                <w:sz w:val="22"/>
                <w:szCs w:val="22"/>
              </w:rPr>
              <w:t>FRSR</w:t>
            </w:r>
            <w:r w:rsidR="00EE0ECF">
              <w:rPr>
                <w:rFonts w:cs="Arial"/>
                <w:sz w:val="22"/>
                <w:szCs w:val="22"/>
              </w:rPr>
              <w:t>eform</w:t>
            </w:r>
            <w:r w:rsidR="00F36F60" w:rsidRPr="00F060A7">
              <w:rPr>
                <w:rFonts w:cs="Arial"/>
                <w:sz w:val="22"/>
                <w:szCs w:val="22"/>
              </w:rPr>
              <w:t>@treasury.gov.au</w:t>
            </w:r>
            <w:r w:rsidR="00332758">
              <w:rPr>
                <w:rFonts w:cs="Arial"/>
                <w:sz w:val="22"/>
                <w:szCs w:val="22"/>
              </w:rPr>
              <w:t xml:space="preserve"> </w:t>
            </w:r>
          </w:p>
        </w:tc>
      </w:tr>
      <w:bookmarkEnd w:id="2"/>
    </w:tbl>
    <w:p w14:paraId="6530A4AB" w14:textId="77777777" w:rsidR="00E10D39" w:rsidRDefault="00E10D39" w:rsidP="002C2082">
      <w:pPr>
        <w:pStyle w:val="SingleParagraph"/>
      </w:pPr>
    </w:p>
    <w:p w14:paraId="38A556F6" w14:textId="56C26E78" w:rsidR="006E1938" w:rsidRDefault="00A16E03" w:rsidP="00A16E03">
      <w:r>
        <w:t xml:space="preserve">The </w:t>
      </w:r>
      <w:r w:rsidR="00661B61">
        <w:t xml:space="preserve">principles and </w:t>
      </w:r>
      <w:r w:rsidR="00CA5417">
        <w:t xml:space="preserve">detailed </w:t>
      </w:r>
      <w:r w:rsidR="00A517FB">
        <w:t>propos</w:t>
      </w:r>
      <w:r w:rsidR="0044657A">
        <w:t>als</w:t>
      </w:r>
      <w:r>
        <w:t xml:space="preserve"> outlined in this paper have not received Government approval and are not yet law. As a consequence, this paper is merely a guide as to how the </w:t>
      </w:r>
      <w:r w:rsidRPr="00E7032C">
        <w:t>principles</w:t>
      </w:r>
      <w:r>
        <w:t xml:space="preserve"> might operate</w:t>
      </w:r>
      <w:r w:rsidR="00065DDE">
        <w:t xml:space="preserve"> and </w:t>
      </w:r>
      <w:r w:rsidR="00CF7A1C">
        <w:t xml:space="preserve">the </w:t>
      </w:r>
      <w:r w:rsidR="00EF1B35">
        <w:t>proposals that might be adopted</w:t>
      </w:r>
      <w:r>
        <w:t>.</w:t>
      </w:r>
    </w:p>
    <w:p w14:paraId="13446F7B" w14:textId="77777777" w:rsidR="006E1938" w:rsidRDefault="006E1938" w:rsidP="006E1938">
      <w:pPr>
        <w:pStyle w:val="Heading2"/>
      </w:pPr>
      <w:bookmarkStart w:id="5" w:name="_Toc188280712"/>
      <w:r>
        <w:t>Confidentiality</w:t>
      </w:r>
      <w:bookmarkEnd w:id="5"/>
    </w:p>
    <w:p w14:paraId="43757589" w14:textId="13CAD827" w:rsidR="006E1938" w:rsidRDefault="006E1938" w:rsidP="006E1938">
      <w:r>
        <w:t>Submissions received in response to this consultation may be shared with other Commonwealth agencies for the purposes of developing and progressing the proposed reforms. All information (including name and address details) contained in submissions may be made available to the public on the Treasury website unless you indicate that you would like all or part of your submission to remain confiden</w:t>
      </w:r>
      <w:r w:rsidR="00495832">
        <w:t>tial</w:t>
      </w:r>
      <w:r>
        <w:t>. Automatically generated confidentiality statements in emails are not sufficient for this purpose.</w:t>
      </w:r>
    </w:p>
    <w:p w14:paraId="0C2AD6EC" w14:textId="77777777" w:rsidR="006E1938" w:rsidRDefault="006E1938" w:rsidP="006E1938">
      <w:r>
        <w:t>If you would like only part of your submission to remain confidential, please provide this information clearly marked as such in a separate attachment.</w:t>
      </w:r>
    </w:p>
    <w:p w14:paraId="2CBDC688" w14:textId="439496C0" w:rsidR="006E1938" w:rsidRDefault="006E1938" w:rsidP="006E1938">
      <w:r>
        <w:t xml:space="preserve">Please note that legal requirements, such as those imposed by the </w:t>
      </w:r>
      <w:r w:rsidRPr="006E1938">
        <w:rPr>
          <w:i/>
          <w:iCs/>
        </w:rPr>
        <w:t>Freedom of Information Act 1982</w:t>
      </w:r>
      <w:r>
        <w:t xml:space="preserve">, may affect the confidentiality of your submission. For further information, please refer to Treasury’s </w:t>
      </w:r>
      <w:hyperlink r:id="rId18" w:history="1">
        <w:r w:rsidRPr="00E30A7D">
          <w:rPr>
            <w:rStyle w:val="Hyperlink"/>
          </w:rPr>
          <w:t>Submission Guidelines</w:t>
        </w:r>
      </w:hyperlink>
      <w:r>
        <w:t>.</w:t>
      </w:r>
    </w:p>
    <w:p w14:paraId="678B9AD8" w14:textId="77777777" w:rsidR="008D7F38" w:rsidRPr="008D7F38" w:rsidRDefault="008D7F38" w:rsidP="008D7F38"/>
    <w:p w14:paraId="71C051DE" w14:textId="77777777" w:rsidR="00E10D39" w:rsidRDefault="00E10D39" w:rsidP="00D0797D">
      <w:r>
        <w:br w:type="page"/>
      </w:r>
    </w:p>
    <w:p w14:paraId="10FB815B" w14:textId="71534BD9" w:rsidR="006E1938" w:rsidRDefault="006E1938" w:rsidP="006E1938">
      <w:pPr>
        <w:pStyle w:val="Heading1"/>
      </w:pPr>
      <w:bookmarkStart w:id="6" w:name="_Toc188280713"/>
      <w:r>
        <w:lastRenderedPageBreak/>
        <w:t>Glossary</w:t>
      </w:r>
      <w:bookmarkEnd w:id="6"/>
    </w:p>
    <w:tbl>
      <w:tblPr>
        <w:tblW w:w="5000" w:type="pct"/>
        <w:tblLook w:val="01E0" w:firstRow="1" w:lastRow="1" w:firstColumn="1" w:lastColumn="1" w:noHBand="0" w:noVBand="0"/>
      </w:tblPr>
      <w:tblGrid>
        <w:gridCol w:w="2411"/>
        <w:gridCol w:w="6659"/>
      </w:tblGrid>
      <w:tr w:rsidR="006E1938" w14:paraId="61A3F5A7" w14:textId="77777777" w:rsidTr="00DA5C95">
        <w:trPr>
          <w:tblHeader/>
        </w:trPr>
        <w:tc>
          <w:tcPr>
            <w:tcW w:w="1329" w:type="pct"/>
            <w:shd w:val="clear" w:color="auto" w:fill="E5E5E5"/>
          </w:tcPr>
          <w:p w14:paraId="3A7A5D3F" w14:textId="16B2D8D8" w:rsidR="006E1938" w:rsidRDefault="006E1938" w:rsidP="00933903">
            <w:pPr>
              <w:pStyle w:val="TableColumnHeadingLeft"/>
              <w:spacing w:beforeLines="40" w:before="96"/>
            </w:pPr>
            <w:r>
              <w:br w:type="page"/>
              <w:t>Term</w:t>
            </w:r>
          </w:p>
        </w:tc>
        <w:tc>
          <w:tcPr>
            <w:tcW w:w="3671" w:type="pct"/>
            <w:shd w:val="clear" w:color="auto" w:fill="E5E5E5"/>
          </w:tcPr>
          <w:p w14:paraId="0357FD7A" w14:textId="69D6A3DF" w:rsidR="006E1938" w:rsidRDefault="006E1938" w:rsidP="00933903">
            <w:pPr>
              <w:pStyle w:val="TableColumnHeadingLeft"/>
              <w:spacing w:beforeLines="40" w:before="96"/>
            </w:pPr>
            <w:r>
              <w:t>Definition / meaning</w:t>
            </w:r>
          </w:p>
        </w:tc>
      </w:tr>
      <w:tr w:rsidR="006E1938" w14:paraId="53569135" w14:textId="77777777" w:rsidTr="00DA5C95">
        <w:tc>
          <w:tcPr>
            <w:tcW w:w="1329" w:type="pct"/>
          </w:tcPr>
          <w:p w14:paraId="6A13FAAE" w14:textId="2DDBD3D6" w:rsidR="006E1938" w:rsidRDefault="005E46C2" w:rsidP="00933903">
            <w:pPr>
              <w:pStyle w:val="TableTextLeft"/>
              <w:spacing w:beforeLines="40" w:before="96"/>
            </w:pPr>
            <w:r>
              <w:t>AASB</w:t>
            </w:r>
          </w:p>
        </w:tc>
        <w:tc>
          <w:tcPr>
            <w:tcW w:w="3671" w:type="pct"/>
          </w:tcPr>
          <w:p w14:paraId="1B84DE73" w14:textId="71C63168" w:rsidR="006E1938" w:rsidRDefault="005E46C2" w:rsidP="00933903">
            <w:pPr>
              <w:pStyle w:val="TableTextLeft"/>
              <w:spacing w:beforeLines="40" w:before="96"/>
            </w:pPr>
            <w:r>
              <w:t>Australian Accounting Standards Board</w:t>
            </w:r>
          </w:p>
        </w:tc>
      </w:tr>
      <w:tr w:rsidR="005E46C2" w14:paraId="369E06F4" w14:textId="77777777" w:rsidTr="00DA5C95">
        <w:tc>
          <w:tcPr>
            <w:tcW w:w="1329" w:type="pct"/>
          </w:tcPr>
          <w:p w14:paraId="63854FC2" w14:textId="0DA850B4" w:rsidR="005E46C2" w:rsidRDefault="005E46C2" w:rsidP="00933903">
            <w:pPr>
              <w:pStyle w:val="TableTextLeft"/>
              <w:spacing w:beforeLines="40" w:before="96"/>
            </w:pPr>
            <w:r>
              <w:t>ASIC</w:t>
            </w:r>
          </w:p>
        </w:tc>
        <w:tc>
          <w:tcPr>
            <w:tcW w:w="3671" w:type="pct"/>
          </w:tcPr>
          <w:p w14:paraId="0C51BBCB" w14:textId="71D52036" w:rsidR="005E46C2" w:rsidRDefault="005E46C2" w:rsidP="00933903">
            <w:pPr>
              <w:pStyle w:val="TableTextLeft"/>
              <w:spacing w:beforeLines="40" w:before="96"/>
            </w:pPr>
            <w:r>
              <w:t>Australian Securities and Investments Commission</w:t>
            </w:r>
          </w:p>
        </w:tc>
      </w:tr>
      <w:tr w:rsidR="005E46C2" w14:paraId="65729A4B" w14:textId="77777777" w:rsidTr="00DA5C95">
        <w:tc>
          <w:tcPr>
            <w:tcW w:w="1329" w:type="pct"/>
          </w:tcPr>
          <w:p w14:paraId="109A8B64" w14:textId="15C3D202" w:rsidR="005E46C2" w:rsidRDefault="005E46C2" w:rsidP="00933903">
            <w:pPr>
              <w:pStyle w:val="TableTextLeft"/>
              <w:spacing w:beforeLines="40" w:before="96"/>
            </w:pPr>
            <w:r>
              <w:t>AUASB</w:t>
            </w:r>
          </w:p>
        </w:tc>
        <w:tc>
          <w:tcPr>
            <w:tcW w:w="3671" w:type="pct"/>
          </w:tcPr>
          <w:p w14:paraId="13E22358" w14:textId="1C739D65" w:rsidR="005E46C2" w:rsidRDefault="005E46C2" w:rsidP="00933903">
            <w:pPr>
              <w:pStyle w:val="TableTextLeft"/>
              <w:spacing w:beforeLines="40" w:before="96"/>
            </w:pPr>
            <w:r>
              <w:t>Auditing and Assurance Standards Board</w:t>
            </w:r>
          </w:p>
        </w:tc>
      </w:tr>
      <w:tr w:rsidR="005E46C2" w14:paraId="5EAE0043" w14:textId="77777777" w:rsidTr="00DA5C95">
        <w:tc>
          <w:tcPr>
            <w:tcW w:w="1329" w:type="pct"/>
          </w:tcPr>
          <w:p w14:paraId="34ED3E89" w14:textId="4DCBD7D1" w:rsidR="005E46C2" w:rsidRDefault="005E46C2" w:rsidP="00933903">
            <w:pPr>
              <w:pStyle w:val="TableTextLeft"/>
              <w:spacing w:beforeLines="40" w:before="96"/>
            </w:pPr>
            <w:r>
              <w:t>CLERP</w:t>
            </w:r>
          </w:p>
        </w:tc>
        <w:tc>
          <w:tcPr>
            <w:tcW w:w="3671" w:type="pct"/>
          </w:tcPr>
          <w:p w14:paraId="0C84D362" w14:textId="4914CA4C" w:rsidR="005E46C2" w:rsidRDefault="005E46C2" w:rsidP="00933903">
            <w:pPr>
              <w:pStyle w:val="TableTextLeft"/>
              <w:spacing w:beforeLines="40" w:before="96"/>
            </w:pPr>
            <w:r>
              <w:t>Corporate Law Economic Reform Program</w:t>
            </w:r>
          </w:p>
        </w:tc>
      </w:tr>
      <w:tr w:rsidR="005E46C2" w14:paraId="4AC8373A" w14:textId="77777777" w:rsidTr="00DA5C95">
        <w:tc>
          <w:tcPr>
            <w:tcW w:w="1329" w:type="pct"/>
          </w:tcPr>
          <w:p w14:paraId="3FD9A866" w14:textId="4325D7D1" w:rsidR="005E46C2" w:rsidRDefault="005E46C2" w:rsidP="00933903">
            <w:pPr>
              <w:pStyle w:val="TableTextLeft"/>
              <w:spacing w:beforeLines="40" w:before="96"/>
            </w:pPr>
            <w:r>
              <w:t>External reporting</w:t>
            </w:r>
          </w:p>
        </w:tc>
        <w:tc>
          <w:tcPr>
            <w:tcW w:w="3671" w:type="pct"/>
          </w:tcPr>
          <w:p w14:paraId="1C1E2042" w14:textId="7B53BD38" w:rsidR="005E46C2" w:rsidRDefault="00764156" w:rsidP="00933903">
            <w:pPr>
              <w:pStyle w:val="TableTextLeft"/>
              <w:spacing w:beforeLines="40" w:before="96"/>
            </w:pPr>
            <w:r>
              <w:t>P</w:t>
            </w:r>
            <w:r w:rsidR="005E46C2">
              <w:t>eriodic communication</w:t>
            </w:r>
            <w:r>
              <w:t>s</w:t>
            </w:r>
            <w:r w:rsidR="005E46C2">
              <w:t xml:space="preserve"> of financial and other information concerning an entity </w:t>
            </w:r>
            <w:r w:rsidR="00B66EC3">
              <w:t xml:space="preserve">for the purposes of informing </w:t>
            </w:r>
            <w:r w:rsidR="005E46C2">
              <w:t>stakeholders external to the entity (</w:t>
            </w:r>
            <w:r w:rsidR="00B64094">
              <w:t>for example,</w:t>
            </w:r>
            <w:r w:rsidR="005E46C2">
              <w:t xml:space="preserve"> a company’s annual report). The term contrasts with report</w:t>
            </w:r>
            <w:r>
              <w:t>ing</w:t>
            </w:r>
            <w:r w:rsidR="005E46C2">
              <w:t xml:space="preserve"> prepared for internal business purposes (such as management accounts)</w:t>
            </w:r>
          </w:p>
        </w:tc>
      </w:tr>
      <w:tr w:rsidR="005E46C2" w14:paraId="0DD8E674" w14:textId="77777777" w:rsidTr="00DA5C95">
        <w:tc>
          <w:tcPr>
            <w:tcW w:w="1329" w:type="pct"/>
          </w:tcPr>
          <w:p w14:paraId="0B2C5AB5" w14:textId="0ACA92B6" w:rsidR="005E46C2" w:rsidRDefault="005E46C2" w:rsidP="00933903">
            <w:pPr>
              <w:pStyle w:val="TableTextLeft"/>
              <w:spacing w:beforeLines="40" w:before="96"/>
            </w:pPr>
            <w:r>
              <w:t>Financial reporting system</w:t>
            </w:r>
          </w:p>
        </w:tc>
        <w:tc>
          <w:tcPr>
            <w:tcW w:w="3671" w:type="pct"/>
          </w:tcPr>
          <w:p w14:paraId="3FA0909E" w14:textId="0E821E25" w:rsidR="005E46C2" w:rsidRDefault="005E46C2" w:rsidP="00933903">
            <w:pPr>
              <w:pStyle w:val="TableTextLeft"/>
              <w:spacing w:beforeLines="40" w:before="96"/>
            </w:pPr>
            <w:r>
              <w:t>The institutional arrangements for accounting, sustainability and auditing and assurance standard setting and oversight established under Part 12 of the ASIC Act</w:t>
            </w:r>
          </w:p>
        </w:tc>
      </w:tr>
      <w:tr w:rsidR="005E46C2" w14:paraId="5F1FCF47" w14:textId="77777777" w:rsidTr="00DA5C95">
        <w:tc>
          <w:tcPr>
            <w:tcW w:w="1329" w:type="pct"/>
          </w:tcPr>
          <w:p w14:paraId="0CA18DFC" w14:textId="0908EF80" w:rsidR="005E46C2" w:rsidRDefault="005E46C2" w:rsidP="00933903">
            <w:pPr>
              <w:pStyle w:val="TableTextLeft"/>
              <w:spacing w:beforeLines="40" w:before="96"/>
            </w:pPr>
            <w:r>
              <w:t>FRC</w:t>
            </w:r>
          </w:p>
        </w:tc>
        <w:tc>
          <w:tcPr>
            <w:tcW w:w="3671" w:type="pct"/>
          </w:tcPr>
          <w:p w14:paraId="2CD0BE43" w14:textId="58FFE3C5" w:rsidR="005E46C2" w:rsidRDefault="005E46C2" w:rsidP="00933903">
            <w:pPr>
              <w:pStyle w:val="TableTextLeft"/>
              <w:spacing w:beforeLines="40" w:before="96"/>
            </w:pPr>
            <w:r>
              <w:t>Financial Reporting Council</w:t>
            </w:r>
          </w:p>
        </w:tc>
      </w:tr>
      <w:tr w:rsidR="005E46C2" w14:paraId="13E0A0D8" w14:textId="77777777" w:rsidTr="00DA5C95">
        <w:tc>
          <w:tcPr>
            <w:tcW w:w="1329" w:type="pct"/>
          </w:tcPr>
          <w:p w14:paraId="0341C03F" w14:textId="310B025C" w:rsidR="005E46C2" w:rsidRDefault="005E46C2" w:rsidP="00933903">
            <w:pPr>
              <w:pStyle w:val="TableTextLeft"/>
              <w:spacing w:beforeLines="40" w:before="96"/>
            </w:pPr>
            <w:r>
              <w:t>PAB</w:t>
            </w:r>
          </w:p>
        </w:tc>
        <w:tc>
          <w:tcPr>
            <w:tcW w:w="3671" w:type="pct"/>
          </w:tcPr>
          <w:p w14:paraId="0C78DDC6" w14:textId="2833D98D" w:rsidR="005E46C2" w:rsidRDefault="005E46C2" w:rsidP="00933903">
            <w:pPr>
              <w:pStyle w:val="TableTextLeft"/>
              <w:spacing w:beforeLines="40" w:before="96"/>
            </w:pPr>
            <w:r>
              <w:t xml:space="preserve">An Australian professional accounting body (one of </w:t>
            </w:r>
            <w:r w:rsidR="00C362F1">
              <w:t xml:space="preserve">Chartered Accountants Australia and New Zealand, </w:t>
            </w:r>
            <w:r>
              <w:t>CPA</w:t>
            </w:r>
            <w:r w:rsidR="00A45614">
              <w:t xml:space="preserve"> </w:t>
            </w:r>
            <w:r>
              <w:t>A</w:t>
            </w:r>
            <w:r w:rsidR="00A45614">
              <w:t>ustralia</w:t>
            </w:r>
            <w:r>
              <w:t xml:space="preserve"> and </w:t>
            </w:r>
            <w:r w:rsidR="00C43AEA">
              <w:t>the Institute of Public Accountants</w:t>
            </w:r>
            <w:r>
              <w:t>)</w:t>
            </w:r>
          </w:p>
        </w:tc>
      </w:tr>
      <w:tr w:rsidR="00234CBE" w14:paraId="7FD20031" w14:textId="77777777" w:rsidTr="00DA5C95">
        <w:tc>
          <w:tcPr>
            <w:tcW w:w="1329" w:type="pct"/>
          </w:tcPr>
          <w:p w14:paraId="3D442CF0" w14:textId="7A4EF89F" w:rsidR="00234CBE" w:rsidRDefault="00234CBE" w:rsidP="00933903">
            <w:pPr>
              <w:pStyle w:val="TableTextLeft"/>
              <w:spacing w:beforeLines="40" w:before="96"/>
            </w:pPr>
            <w:r>
              <w:t>PJC Report</w:t>
            </w:r>
          </w:p>
        </w:tc>
        <w:tc>
          <w:tcPr>
            <w:tcW w:w="3671" w:type="pct"/>
          </w:tcPr>
          <w:p w14:paraId="7B7CDA5C" w14:textId="34B21FF8" w:rsidR="00234CBE" w:rsidRDefault="00234CBE" w:rsidP="00933903">
            <w:pPr>
              <w:pStyle w:val="TableTextLeft"/>
              <w:spacing w:beforeLines="40" w:before="96"/>
            </w:pPr>
            <w:r>
              <w:t xml:space="preserve">Report of the </w:t>
            </w:r>
            <w:r w:rsidR="00183CB7" w:rsidRPr="00161960">
              <w:t>Parliamentary Joint Committee on Corporations and Financial Services inquiry</w:t>
            </w:r>
            <w:r w:rsidR="00183CB7">
              <w:t>,</w:t>
            </w:r>
            <w:r w:rsidR="00183CB7" w:rsidRPr="00161960">
              <w:t xml:space="preserve"> </w:t>
            </w:r>
            <w:r w:rsidR="00183CB7" w:rsidRPr="00051D85">
              <w:rPr>
                <w:i/>
                <w:iCs/>
              </w:rPr>
              <w:t>Ethics and Professional Accountability: Structural Challenges in the Audit, Assurance and Consultancy Industry</w:t>
            </w:r>
            <w:r w:rsidR="00183CB7" w:rsidRPr="00051D85">
              <w:rPr>
                <w:rStyle w:val="Hyperlink"/>
                <w:color w:val="auto"/>
                <w:u w:val="none"/>
              </w:rPr>
              <w:t>,</w:t>
            </w:r>
            <w:r w:rsidR="00AE6AA7">
              <w:rPr>
                <w:rStyle w:val="Hyperlink"/>
                <w:color w:val="auto"/>
                <w:u w:val="none"/>
              </w:rPr>
              <w:t xml:space="preserve"> </w:t>
            </w:r>
            <w:r w:rsidR="00B66E0A">
              <w:rPr>
                <w:rStyle w:val="Hyperlink"/>
                <w:color w:val="auto"/>
                <w:u w:val="none"/>
              </w:rPr>
              <w:t xml:space="preserve">which commenced in June 2023 with the report </w:t>
            </w:r>
            <w:r w:rsidR="007A7C84">
              <w:t>released on 7 November 2024</w:t>
            </w:r>
          </w:p>
        </w:tc>
      </w:tr>
      <w:tr w:rsidR="005E46C2" w14:paraId="2F1B3479" w14:textId="77777777" w:rsidTr="00DA5C95">
        <w:tc>
          <w:tcPr>
            <w:tcW w:w="1329" w:type="pct"/>
          </w:tcPr>
          <w:p w14:paraId="3C7EC470" w14:textId="35B821EC" w:rsidR="005E46C2" w:rsidRDefault="005E46C2" w:rsidP="00933903">
            <w:pPr>
              <w:pStyle w:val="TableTextLeft"/>
              <w:spacing w:beforeLines="40" w:before="96"/>
            </w:pPr>
            <w:r>
              <w:t>Statutory body</w:t>
            </w:r>
          </w:p>
        </w:tc>
        <w:tc>
          <w:tcPr>
            <w:tcW w:w="3671" w:type="pct"/>
          </w:tcPr>
          <w:p w14:paraId="6642E36A" w14:textId="541898A5" w:rsidR="005E46C2" w:rsidRDefault="005E46C2" w:rsidP="00933903">
            <w:pPr>
              <w:pStyle w:val="TableTextLeft"/>
              <w:spacing w:beforeLines="40" w:before="96"/>
            </w:pPr>
            <w:r>
              <w:t>An Australian Government body established through legislation for a public purpose</w:t>
            </w:r>
          </w:p>
        </w:tc>
      </w:tr>
      <w:tr w:rsidR="005E46C2" w14:paraId="1EEACF11" w14:textId="77777777" w:rsidTr="00DA5C95">
        <w:tc>
          <w:tcPr>
            <w:tcW w:w="1329" w:type="pct"/>
          </w:tcPr>
          <w:p w14:paraId="63E906AA" w14:textId="298FB252" w:rsidR="005E46C2" w:rsidRDefault="005E46C2" w:rsidP="00933903">
            <w:pPr>
              <w:pStyle w:val="TableTextLeft"/>
              <w:spacing w:beforeLines="40" w:before="96"/>
            </w:pPr>
            <w:r>
              <w:t>UK FRC</w:t>
            </w:r>
          </w:p>
        </w:tc>
        <w:tc>
          <w:tcPr>
            <w:tcW w:w="3671" w:type="pct"/>
          </w:tcPr>
          <w:p w14:paraId="7DB1893C" w14:textId="2B6DA28C" w:rsidR="005E46C2" w:rsidRDefault="005E46C2" w:rsidP="00933903">
            <w:pPr>
              <w:pStyle w:val="TableTextLeft"/>
              <w:spacing w:beforeLines="40" w:before="96"/>
            </w:pPr>
            <w:r>
              <w:t>Financial Reporting Council (UK)</w:t>
            </w:r>
          </w:p>
        </w:tc>
      </w:tr>
      <w:tr w:rsidR="005E46C2" w14:paraId="1C04A2D2" w14:textId="77777777" w:rsidTr="00DA5C95">
        <w:tc>
          <w:tcPr>
            <w:tcW w:w="1329" w:type="pct"/>
          </w:tcPr>
          <w:p w14:paraId="53A5D564" w14:textId="1B8C08C0" w:rsidR="005E46C2" w:rsidRDefault="005E46C2" w:rsidP="00933903">
            <w:pPr>
              <w:pStyle w:val="TableTextLeft"/>
              <w:spacing w:beforeLines="40" w:before="96"/>
            </w:pPr>
            <w:r>
              <w:t>XRB</w:t>
            </w:r>
          </w:p>
        </w:tc>
        <w:tc>
          <w:tcPr>
            <w:tcW w:w="3671" w:type="pct"/>
          </w:tcPr>
          <w:p w14:paraId="1BF8348C" w14:textId="0B431CDC" w:rsidR="005E46C2" w:rsidRDefault="005E46C2" w:rsidP="00933903">
            <w:pPr>
              <w:pStyle w:val="TableTextLeft"/>
              <w:spacing w:beforeLines="40" w:before="96"/>
            </w:pPr>
            <w:r>
              <w:t>External Reporting Board</w:t>
            </w:r>
            <w:r w:rsidR="00E147A8">
              <w:t xml:space="preserve"> (New Zealand)</w:t>
            </w:r>
          </w:p>
        </w:tc>
      </w:tr>
      <w:tr w:rsidR="005E46C2" w:rsidRPr="00DA5C95" w14:paraId="2CA9706A" w14:textId="77777777" w:rsidTr="00DA5C95">
        <w:tc>
          <w:tcPr>
            <w:tcW w:w="1329" w:type="pct"/>
          </w:tcPr>
          <w:p w14:paraId="093C5297" w14:textId="07B8315C" w:rsidR="005E46C2" w:rsidRPr="00DA5C95" w:rsidRDefault="005E46C2" w:rsidP="00933903">
            <w:pPr>
              <w:pStyle w:val="TableTextLeft"/>
              <w:spacing w:beforeLines="40" w:before="96"/>
              <w:rPr>
                <w:b/>
                <w:bCs/>
                <w:i/>
                <w:iCs/>
              </w:rPr>
            </w:pPr>
            <w:r w:rsidRPr="00DA5C95">
              <w:rPr>
                <w:b/>
                <w:bCs/>
                <w:i/>
                <w:iCs/>
              </w:rPr>
              <w:t>Legislation</w:t>
            </w:r>
          </w:p>
        </w:tc>
        <w:tc>
          <w:tcPr>
            <w:tcW w:w="3671" w:type="pct"/>
          </w:tcPr>
          <w:p w14:paraId="6A3920BA" w14:textId="77777777" w:rsidR="005E46C2" w:rsidRPr="00DA5C95" w:rsidRDefault="005E46C2" w:rsidP="00933903">
            <w:pPr>
              <w:pStyle w:val="TableTextLeft"/>
              <w:spacing w:beforeLines="40" w:before="96"/>
              <w:rPr>
                <w:b/>
                <w:bCs/>
                <w:i/>
                <w:iCs/>
              </w:rPr>
            </w:pPr>
          </w:p>
        </w:tc>
      </w:tr>
      <w:tr w:rsidR="005E46C2" w14:paraId="321830B5" w14:textId="77777777" w:rsidTr="00DA5C95">
        <w:tc>
          <w:tcPr>
            <w:tcW w:w="1329" w:type="pct"/>
          </w:tcPr>
          <w:p w14:paraId="0A03778D" w14:textId="0DC1D753" w:rsidR="005E46C2" w:rsidRDefault="001040EF" w:rsidP="00933903">
            <w:pPr>
              <w:pStyle w:val="TableTextLeft"/>
              <w:spacing w:beforeLines="40" w:before="96"/>
            </w:pPr>
            <w:r>
              <w:t>ASIC Act</w:t>
            </w:r>
          </w:p>
        </w:tc>
        <w:tc>
          <w:tcPr>
            <w:tcW w:w="3671" w:type="pct"/>
          </w:tcPr>
          <w:p w14:paraId="420E1A6A" w14:textId="78FB1D4B" w:rsidR="005E46C2" w:rsidRPr="00DA5C95" w:rsidRDefault="001040EF" w:rsidP="00933903">
            <w:pPr>
              <w:pStyle w:val="TableTextLeft"/>
              <w:spacing w:beforeLines="40" w:before="96"/>
              <w:rPr>
                <w:i/>
                <w:iCs/>
              </w:rPr>
            </w:pPr>
            <w:r w:rsidRPr="00DA5C95">
              <w:rPr>
                <w:i/>
                <w:iCs/>
              </w:rPr>
              <w:t>Australian Securities and Investments Commission Act 2001</w:t>
            </w:r>
          </w:p>
        </w:tc>
      </w:tr>
      <w:tr w:rsidR="005E46C2" w14:paraId="1A277C48" w14:textId="77777777" w:rsidTr="00DA5C95">
        <w:tc>
          <w:tcPr>
            <w:tcW w:w="1329" w:type="pct"/>
          </w:tcPr>
          <w:p w14:paraId="5EEA1AC8" w14:textId="7846EC68" w:rsidR="005E46C2" w:rsidRDefault="001040EF" w:rsidP="00933903">
            <w:pPr>
              <w:pStyle w:val="TableTextLeft"/>
              <w:spacing w:beforeLines="40" w:before="96"/>
            </w:pPr>
            <w:r>
              <w:t>Corporations Act</w:t>
            </w:r>
          </w:p>
        </w:tc>
        <w:tc>
          <w:tcPr>
            <w:tcW w:w="3671" w:type="pct"/>
          </w:tcPr>
          <w:p w14:paraId="56126131" w14:textId="271002E2" w:rsidR="005E46C2" w:rsidRPr="00DA5C95" w:rsidRDefault="001040EF" w:rsidP="00933903">
            <w:pPr>
              <w:pStyle w:val="TableTextLeft"/>
              <w:spacing w:beforeLines="40" w:before="96"/>
              <w:rPr>
                <w:i/>
                <w:iCs/>
              </w:rPr>
            </w:pPr>
            <w:r w:rsidRPr="00DA5C95">
              <w:rPr>
                <w:i/>
                <w:iCs/>
              </w:rPr>
              <w:t>Corporations Act 2001</w:t>
            </w:r>
          </w:p>
        </w:tc>
      </w:tr>
      <w:tr w:rsidR="00C07B6D" w14:paraId="2E6D7349" w14:textId="77777777" w:rsidTr="00DA5C95">
        <w:tc>
          <w:tcPr>
            <w:tcW w:w="1329" w:type="pct"/>
          </w:tcPr>
          <w:p w14:paraId="16110D0B" w14:textId="631054B2" w:rsidR="00C07B6D" w:rsidRDefault="00C07B6D" w:rsidP="00933903">
            <w:pPr>
              <w:pStyle w:val="TableTextLeft"/>
              <w:spacing w:beforeLines="40" w:before="96"/>
            </w:pPr>
            <w:r>
              <w:t>Public Service Act</w:t>
            </w:r>
          </w:p>
        </w:tc>
        <w:tc>
          <w:tcPr>
            <w:tcW w:w="3671" w:type="pct"/>
          </w:tcPr>
          <w:p w14:paraId="272E1878" w14:textId="083D0FBC" w:rsidR="00C07B6D" w:rsidRPr="00DA5C95" w:rsidRDefault="00C07B6D" w:rsidP="00933903">
            <w:pPr>
              <w:pStyle w:val="TableTextLeft"/>
              <w:spacing w:beforeLines="40" w:before="96"/>
              <w:rPr>
                <w:i/>
                <w:iCs/>
              </w:rPr>
            </w:pPr>
            <w:r>
              <w:rPr>
                <w:i/>
                <w:iCs/>
              </w:rPr>
              <w:t>Public Service Act 1999</w:t>
            </w:r>
          </w:p>
        </w:tc>
      </w:tr>
    </w:tbl>
    <w:p w14:paraId="74829C86" w14:textId="77777777" w:rsidR="001040EF" w:rsidRDefault="001040EF" w:rsidP="001040EF"/>
    <w:p w14:paraId="2BCF253F" w14:textId="77777777" w:rsidR="001040EF" w:rsidRDefault="001040EF">
      <w:pPr>
        <w:spacing w:before="0" w:after="160" w:line="259" w:lineRule="auto"/>
      </w:pPr>
      <w:r>
        <w:br w:type="page"/>
      </w:r>
    </w:p>
    <w:p w14:paraId="121D7E53" w14:textId="28E8F6A3" w:rsidR="000E0B74" w:rsidRDefault="000E0B74" w:rsidP="006315BB">
      <w:pPr>
        <w:pStyle w:val="Heading1"/>
      </w:pPr>
      <w:bookmarkStart w:id="7" w:name="_Toc306887371"/>
      <w:bookmarkStart w:id="8" w:name="_Toc432064635"/>
      <w:bookmarkStart w:id="9" w:name="_Toc188280714"/>
      <w:r w:rsidRPr="00763E52">
        <w:lastRenderedPageBreak/>
        <w:t>Introduction</w:t>
      </w:r>
      <w:bookmarkEnd w:id="7"/>
      <w:bookmarkEnd w:id="8"/>
      <w:bookmarkEnd w:id="9"/>
    </w:p>
    <w:p w14:paraId="1286697D" w14:textId="77777777" w:rsidR="00D21119" w:rsidRDefault="001040EF" w:rsidP="001040EF">
      <w:r>
        <w:t xml:space="preserve">Australia’s financial reporting system aims to support the Australian economy by maintaining investor confidence, reducing the cost of capital, and enabling Australian entities to compete overseas effectively. </w:t>
      </w:r>
    </w:p>
    <w:p w14:paraId="0FEC1DB1" w14:textId="5773DA31" w:rsidR="001040EF" w:rsidRDefault="001040EF" w:rsidP="001040EF">
      <w:r>
        <w:t xml:space="preserve">Recent efforts to develop sustainability and climate-related financial disclosure standards in Australia and internationally have </w:t>
      </w:r>
      <w:r w:rsidR="004A2BE8">
        <w:t xml:space="preserve">highlighted </w:t>
      </w:r>
      <w:r w:rsidR="00B47893">
        <w:t xml:space="preserve">the </w:t>
      </w:r>
      <w:r w:rsidR="002957F0">
        <w:t xml:space="preserve">need </w:t>
      </w:r>
      <w:r w:rsidR="00B655E7">
        <w:t>to ensure</w:t>
      </w:r>
      <w:r w:rsidR="00A71D67">
        <w:t xml:space="preserve"> </w:t>
      </w:r>
      <w:r>
        <w:t xml:space="preserve">the institutional arrangements for standard setting </w:t>
      </w:r>
      <w:r w:rsidR="008E4A74">
        <w:t xml:space="preserve">are sufficiently flexible to </w:t>
      </w:r>
      <w:r>
        <w:t xml:space="preserve">respond to developments in </w:t>
      </w:r>
      <w:r w:rsidR="006A5600">
        <w:t xml:space="preserve">the </w:t>
      </w:r>
      <w:r>
        <w:t>reporting</w:t>
      </w:r>
      <w:r w:rsidR="006A5600">
        <w:t xml:space="preserve"> landscape</w:t>
      </w:r>
      <w:r>
        <w:t xml:space="preserve"> </w:t>
      </w:r>
      <w:r w:rsidR="00322BD8">
        <w:t>now and in the future</w:t>
      </w:r>
      <w:r>
        <w:t xml:space="preserve">. </w:t>
      </w:r>
    </w:p>
    <w:p w14:paraId="703BD3B5" w14:textId="41339C60" w:rsidR="001040EF" w:rsidRDefault="001040EF" w:rsidP="008552B6">
      <w:pPr>
        <w:spacing w:before="0" w:after="0"/>
      </w:pPr>
      <w:r>
        <w:t xml:space="preserve">To this end, in November 2023 the Government announced its intention to </w:t>
      </w:r>
      <w:r w:rsidR="008552B6">
        <w:t xml:space="preserve">streamline </w:t>
      </w:r>
      <w:r w:rsidR="00217BE5">
        <w:t>the financial reporting</w:t>
      </w:r>
      <w:r w:rsidR="00217BE5" w:rsidDel="008552B6">
        <w:t xml:space="preserve"> </w:t>
      </w:r>
      <w:r w:rsidR="008552B6">
        <w:t xml:space="preserve">architecture </w:t>
      </w:r>
      <w:r w:rsidR="00217BE5">
        <w:t xml:space="preserve">by </w:t>
      </w:r>
      <w:r>
        <w:t>combin</w:t>
      </w:r>
      <w:r w:rsidR="00217BE5">
        <w:t>ing</w:t>
      </w:r>
      <w:r>
        <w:t xml:space="preserve"> the Financial Reporting Council (FRC), the Australian Accounting Standards Board (AASB) and the Auditing and Assurance Standards Board (AUASB) into a single body.</w:t>
      </w:r>
      <w:r>
        <w:rPr>
          <w:rStyle w:val="FootnoteReference"/>
        </w:rPr>
        <w:footnoteReference w:id="2"/>
      </w:r>
      <w:r>
        <w:t xml:space="preserve"> </w:t>
      </w:r>
    </w:p>
    <w:p w14:paraId="0766364E" w14:textId="0EA464D2" w:rsidR="00C26F66" w:rsidRDefault="001040EF" w:rsidP="001040EF">
      <w:r>
        <w:t>As foreshadowed in Treasury’s December 2022 consultation paper</w:t>
      </w:r>
      <w:r w:rsidR="007C0102">
        <w:t>,</w:t>
      </w:r>
      <w:r w:rsidR="00736F92">
        <w:rPr>
          <w:rStyle w:val="FootnoteReference"/>
        </w:rPr>
        <w:footnoteReference w:id="3"/>
      </w:r>
      <w:r>
        <w:t xml:space="preserve"> this consultation seeks feedback from stakeholders to assist in refining and settling the proposed design of the new single, flexible standard setting body ahead of draft legislation being </w:t>
      </w:r>
      <w:r w:rsidR="00930B1F">
        <w:t>finalised</w:t>
      </w:r>
      <w:r>
        <w:t xml:space="preserve">. </w:t>
      </w:r>
      <w:r w:rsidR="00384BA4">
        <w:t xml:space="preserve">For </w:t>
      </w:r>
      <w:r w:rsidR="001E5D07">
        <w:t>the avoidance of doubt</w:t>
      </w:r>
      <w:r w:rsidR="00384BA4">
        <w:t>, we are</w:t>
      </w:r>
      <w:r>
        <w:t xml:space="preserve"> not seek</w:t>
      </w:r>
      <w:r w:rsidR="00384BA4">
        <w:t>ing</w:t>
      </w:r>
      <w:r>
        <w:t xml:space="preserve"> views on the merits of combining the AASB, AUASB and FRC into a single body. </w:t>
      </w:r>
    </w:p>
    <w:p w14:paraId="3AE47182" w14:textId="77777777" w:rsidR="00BE031E" w:rsidRDefault="00BE031E" w:rsidP="00BE031E">
      <w:r>
        <w:t>In May 2024 Treasury released a consultation paper</w:t>
      </w:r>
      <w:r>
        <w:rPr>
          <w:rStyle w:val="FootnoteReference"/>
        </w:rPr>
        <w:footnoteReference w:id="4"/>
      </w:r>
      <w:r>
        <w:t xml:space="preserve"> seeking stakeholder feedback on the regulation of accounting, auditing and consulting firms in Australia and raising questions on the following matters (amongst others):</w:t>
      </w:r>
    </w:p>
    <w:p w14:paraId="68E348E3" w14:textId="77777777" w:rsidR="00E45F07" w:rsidRDefault="00E45F07" w:rsidP="00E45F07">
      <w:pPr>
        <w:pStyle w:val="Bullet"/>
      </w:pPr>
      <w:r>
        <w:t>the adequacy of prescribed governance requirements for large partnerships</w:t>
      </w:r>
    </w:p>
    <w:p w14:paraId="7270234C" w14:textId="77777777" w:rsidR="00E45F07" w:rsidRDefault="00E45F07" w:rsidP="00E45F07">
      <w:pPr>
        <w:pStyle w:val="Bullet"/>
      </w:pPr>
      <w:r>
        <w:t>the adequacy of current professional standards, regulations and laws (including those relating to independence and the management of conflicts of interest)</w:t>
      </w:r>
    </w:p>
    <w:p w14:paraId="53071DF5" w14:textId="77777777" w:rsidR="00E45F07" w:rsidRDefault="00E45F07" w:rsidP="00E45F07">
      <w:pPr>
        <w:pStyle w:val="Bullet"/>
      </w:pPr>
      <w:r>
        <w:t>whether the transparency requirements for accounting, auditing and consulting firms are sufficient to:</w:t>
      </w:r>
    </w:p>
    <w:p w14:paraId="531529E0" w14:textId="77777777" w:rsidR="00E45F07" w:rsidRDefault="00E45F07" w:rsidP="00E45F07">
      <w:pPr>
        <w:pStyle w:val="Dash"/>
        <w:tabs>
          <w:tab w:val="clear" w:pos="567"/>
          <w:tab w:val="num" w:pos="993"/>
        </w:tabs>
        <w:spacing w:before="120"/>
        <w:ind w:left="992" w:hanging="425"/>
      </w:pPr>
      <w:r>
        <w:t>give capital markets confidence that independent audit services are delivered in accordance with prescribed laws and standards</w:t>
      </w:r>
    </w:p>
    <w:p w14:paraId="6DF46976" w14:textId="77777777" w:rsidR="00E45F07" w:rsidRDefault="00E45F07" w:rsidP="00E45F07">
      <w:pPr>
        <w:pStyle w:val="Dash"/>
        <w:tabs>
          <w:tab w:val="clear" w:pos="567"/>
          <w:tab w:val="num" w:pos="993"/>
        </w:tabs>
        <w:ind w:left="993" w:hanging="426"/>
      </w:pPr>
      <w:r>
        <w:t>enable stakeholders</w:t>
      </w:r>
      <w:r w:rsidRPr="005F20A9">
        <w:t xml:space="preserve"> </w:t>
      </w:r>
      <w:r>
        <w:t>to obtain the information they need to inform their engagement with the firm(s)</w:t>
      </w:r>
      <w:r>
        <w:rPr>
          <w:rStyle w:val="FootnoteReference"/>
        </w:rPr>
        <w:footnoteReference w:id="5"/>
      </w:r>
      <w:r>
        <w:t xml:space="preserve"> </w:t>
      </w:r>
    </w:p>
    <w:p w14:paraId="547ED412" w14:textId="77777777" w:rsidR="00E45F07" w:rsidRDefault="00E45F07" w:rsidP="00E45F07">
      <w:pPr>
        <w:pStyle w:val="Bullet"/>
      </w:pPr>
      <w:r>
        <w:t>the adequacy of regulatory enforcement capabilities and standard setting</w:t>
      </w:r>
    </w:p>
    <w:p w14:paraId="209A884A" w14:textId="77777777" w:rsidR="00E45F07" w:rsidRDefault="00E45F07" w:rsidP="00E45F07">
      <w:pPr>
        <w:pStyle w:val="Bullet"/>
      </w:pPr>
      <w:r>
        <w:t>the protection of whistleblowers</w:t>
      </w:r>
    </w:p>
    <w:p w14:paraId="636B38E0" w14:textId="77777777" w:rsidR="00E45F07" w:rsidRDefault="00E45F07" w:rsidP="00E45F07">
      <w:pPr>
        <w:pStyle w:val="Bullet"/>
      </w:pPr>
      <w:r>
        <w:t>competition and resilience in the audit sector.</w:t>
      </w:r>
    </w:p>
    <w:p w14:paraId="61BEFF98" w14:textId="6230777E" w:rsidR="00BE031E" w:rsidRDefault="00B43DC0" w:rsidP="00BE031E">
      <w:r>
        <w:t xml:space="preserve">Informed by this consultation process, a </w:t>
      </w:r>
      <w:r w:rsidR="00BE031E">
        <w:t xml:space="preserve">key focus of the merger of the financial reporting bodies is to embed additional flexibility within </w:t>
      </w:r>
      <w:r>
        <w:t>Australia’s financial reporting system.</w:t>
      </w:r>
    </w:p>
    <w:p w14:paraId="6FF3EB2C" w14:textId="77777777" w:rsidR="00736F92" w:rsidRDefault="00736F92" w:rsidP="00D61ABF">
      <w:pPr>
        <w:pStyle w:val="Heading2"/>
      </w:pPr>
      <w:bookmarkStart w:id="10" w:name="_Toc188280715"/>
      <w:bookmarkStart w:id="11" w:name="_Toc306887372"/>
      <w:bookmarkStart w:id="12" w:name="_Toc432064636"/>
      <w:r>
        <w:lastRenderedPageBreak/>
        <w:t>The current institutional arrangements</w:t>
      </w:r>
      <w:bookmarkEnd w:id="10"/>
    </w:p>
    <w:p w14:paraId="7B91EBB8" w14:textId="4C91A1C2" w:rsidR="00736F92" w:rsidRDefault="00736F92" w:rsidP="00736F92">
      <w:r>
        <w:t xml:space="preserve">The institutional arrangements for accounting, sustainability and auditing and assurance standard setting in Australia </w:t>
      </w:r>
      <w:r w:rsidR="00623A86">
        <w:t xml:space="preserve">constitute the Australian financial reporting system </w:t>
      </w:r>
      <w:r w:rsidR="004A3491">
        <w:t>as</w:t>
      </w:r>
      <w:r w:rsidR="00623A86">
        <w:t xml:space="preserve"> set out in Part 12 </w:t>
      </w:r>
      <w:r>
        <w:t xml:space="preserve">of the </w:t>
      </w:r>
      <w:r w:rsidRPr="005018C6">
        <w:rPr>
          <w:i/>
          <w:iCs/>
        </w:rPr>
        <w:t>Australian Securities and Investments Commission Act 2001</w:t>
      </w:r>
      <w:r>
        <w:t xml:space="preserve"> (ASIC Act</w:t>
      </w:r>
      <w:r w:rsidRPr="007F6DDA">
        <w:t xml:space="preserve">). In addition to establishing the AASB, the AUASB, their respective </w:t>
      </w:r>
      <w:r w:rsidR="00B458BD" w:rsidRPr="007F6DDA">
        <w:t>O</w:t>
      </w:r>
      <w:r w:rsidRPr="007F6DDA">
        <w:t xml:space="preserve">ffices and the FRC, the </w:t>
      </w:r>
      <w:r w:rsidR="00CE6A76" w:rsidRPr="007F6DDA">
        <w:t>ASIC Act</w:t>
      </w:r>
      <w:r w:rsidRPr="007F6DDA">
        <w:t xml:space="preserve"> recognises the roles of a range of other government and non-government organisations in the financial reporting landscape, including the Australian</w:t>
      </w:r>
      <w:r>
        <w:t xml:space="preserve"> Securities and Investments Commission (ASIC), the Compan</w:t>
      </w:r>
      <w:r w:rsidR="005E06DE">
        <w:t>ies</w:t>
      </w:r>
      <w:r>
        <w:t xml:space="preserve"> Auditors Disciplinary Board, the professional accounting bodies (PABs) and the international standard setting bodies. </w:t>
      </w:r>
      <w:r w:rsidR="00344226">
        <w:t>Other organisations such as the Accounting Pr</w:t>
      </w:r>
      <w:r w:rsidR="00CC74CF">
        <w:t>o</w:t>
      </w:r>
      <w:r w:rsidR="00344226">
        <w:t xml:space="preserve">fessional &amp; Ethical Standards Board </w:t>
      </w:r>
      <w:r w:rsidR="00CC74CF">
        <w:t>also play a role.</w:t>
      </w:r>
    </w:p>
    <w:p w14:paraId="280CF20C" w14:textId="6E161A70" w:rsidR="00736F92" w:rsidRDefault="00736F92" w:rsidP="00736F92">
      <w:r>
        <w:t>The AASB and the AUASB have the power to</w:t>
      </w:r>
      <w:r w:rsidR="002F4411">
        <w:t xml:space="preserve"> make</w:t>
      </w:r>
      <w:r>
        <w:t xml:space="preserve"> standards under the </w:t>
      </w:r>
      <w:r w:rsidRPr="005018C6">
        <w:rPr>
          <w:i/>
          <w:iCs/>
        </w:rPr>
        <w:t>Corporations Act 2001</w:t>
      </w:r>
      <w:r>
        <w:t xml:space="preserve"> (Corporations Act)</w:t>
      </w:r>
      <w:r w:rsidR="009A6A96">
        <w:t>.</w:t>
      </w:r>
      <w:r w:rsidR="005018C6" w:rsidRPr="00B82B38">
        <w:rPr>
          <w:rStyle w:val="FootnoteReference"/>
        </w:rPr>
        <w:footnoteReference w:id="6"/>
      </w:r>
      <w:r w:rsidRPr="00B82B38">
        <w:t xml:space="preserve"> </w:t>
      </w:r>
      <w:r>
        <w:t xml:space="preserve">While the AASB and AUASB operate independently in developing and implementing standards, they are subject to the broad strategic direction, oversight and </w:t>
      </w:r>
      <w:r w:rsidR="006E7925">
        <w:t xml:space="preserve">advice </w:t>
      </w:r>
      <w:r>
        <w:t xml:space="preserve">of the FRC. The FRC’s functions also include broad oversight of </w:t>
      </w:r>
      <w:r w:rsidR="002D4A0A">
        <w:t xml:space="preserve">standard setting processes and </w:t>
      </w:r>
      <w:r>
        <w:t>audit quality</w:t>
      </w:r>
      <w:r w:rsidR="002D4A0A" w:rsidDel="009E66CE">
        <w:t>.</w:t>
      </w:r>
    </w:p>
    <w:p w14:paraId="13AE881C" w14:textId="77777777" w:rsidR="00736F92" w:rsidRDefault="00736F92" w:rsidP="00736F92">
      <w:r>
        <w:t>In practice, the FRC has partly relied on the resources of the AASB and AUASB for various initiatives, including implementing its Audit Quality Action Plan and leading international and domestic stakeholder engagement on current and emerging issues.</w:t>
      </w:r>
    </w:p>
    <w:p w14:paraId="29A8542B" w14:textId="5C3FDFA3" w:rsidR="00736F92" w:rsidRDefault="00736F92" w:rsidP="00736F92">
      <w:r>
        <w:t>In November 2023</w:t>
      </w:r>
      <w:r w:rsidR="0042276C">
        <w:t>,</w:t>
      </w:r>
      <w:r>
        <w:t xml:space="preserve"> the financial reporting system was amended to </w:t>
      </w:r>
      <w:r w:rsidR="00CB1C44">
        <w:t>facilitate</w:t>
      </w:r>
      <w:r>
        <w:t xml:space="preserve"> the development and implementation of sustainability standards, by: </w:t>
      </w:r>
    </w:p>
    <w:p w14:paraId="39B1BFBA" w14:textId="2E8889ED" w:rsidR="00736F92" w:rsidRDefault="00736F92" w:rsidP="00057CBB">
      <w:pPr>
        <w:pStyle w:val="Bullet"/>
      </w:pPr>
      <w:r>
        <w:t>expanding the role of the AASB to include formulating sustainability standards</w:t>
      </w:r>
    </w:p>
    <w:p w14:paraId="73150EB2" w14:textId="5B456CE8" w:rsidR="00736F92" w:rsidRDefault="00736F92" w:rsidP="005018C6">
      <w:pPr>
        <w:pStyle w:val="Bullet"/>
      </w:pPr>
      <w:r>
        <w:t>expressly confirming that the AUASB’s functions include developing and maintaining relevant auditing and assurance standards for sustainability purposes</w:t>
      </w:r>
    </w:p>
    <w:p w14:paraId="09E1B17D" w14:textId="65E725B8" w:rsidR="00736F92" w:rsidRDefault="00736F92" w:rsidP="005018C6">
      <w:pPr>
        <w:pStyle w:val="Bullet"/>
      </w:pPr>
      <w:r>
        <w:t xml:space="preserve">empowering the FRC to </w:t>
      </w:r>
      <w:r w:rsidR="00333FF8">
        <w:t>p</w:t>
      </w:r>
      <w:r w:rsidR="00667A6D">
        <w:t>rovide</w:t>
      </w:r>
      <w:r>
        <w:t xml:space="preserve"> strategic oversight and governance in relation to the AASB’s and AUASB’s new sustainability standard</w:t>
      </w:r>
      <w:r w:rsidR="007A7DD4">
        <w:t xml:space="preserve"> setting</w:t>
      </w:r>
      <w:r>
        <w:t xml:space="preserve"> functions. </w:t>
      </w:r>
    </w:p>
    <w:p w14:paraId="5612A04B" w14:textId="68CEFD6E" w:rsidR="00736F92" w:rsidRDefault="00297D6F" w:rsidP="00736F92">
      <w:r w:rsidRPr="004707BC">
        <w:t xml:space="preserve">Parliament has </w:t>
      </w:r>
      <w:r w:rsidR="00AF54FA">
        <w:t xml:space="preserve">also recently </w:t>
      </w:r>
      <w:r w:rsidRPr="004707BC">
        <w:t xml:space="preserve">passed </w:t>
      </w:r>
      <w:r w:rsidR="00397800" w:rsidRPr="004707BC">
        <w:t xml:space="preserve">further legislation setting out new climate-related financial disclosure requirements that leverage the existing financial reporting requirements in the Corporations Act. </w:t>
      </w:r>
      <w:r w:rsidR="001E53BD">
        <w:t>Under t</w:t>
      </w:r>
      <w:r w:rsidR="00397800" w:rsidRPr="004707BC">
        <w:t xml:space="preserve">he </w:t>
      </w:r>
      <w:r w:rsidR="00397800" w:rsidRPr="44EE2AE1">
        <w:rPr>
          <w:i/>
          <w:iCs/>
        </w:rPr>
        <w:t xml:space="preserve">Treasury Laws Amendment (Financial Market Infrastructure and Other Measures) </w:t>
      </w:r>
      <w:r w:rsidR="004707BC" w:rsidRPr="44EE2AE1">
        <w:rPr>
          <w:i/>
          <w:iCs/>
        </w:rPr>
        <w:t xml:space="preserve">Act </w:t>
      </w:r>
      <w:r w:rsidR="00397800" w:rsidRPr="44EE2AE1">
        <w:rPr>
          <w:i/>
          <w:iCs/>
        </w:rPr>
        <w:t>2024</w:t>
      </w:r>
      <w:r w:rsidR="00BC0C00" w:rsidRPr="004707BC">
        <w:t>, which received Royal Assent on 17 September 2024,</w:t>
      </w:r>
      <w:r w:rsidR="00397800" w:rsidRPr="004707BC">
        <w:t xml:space="preserve"> certain entities </w:t>
      </w:r>
      <w:r w:rsidR="00BD7592">
        <w:t xml:space="preserve">will be required </w:t>
      </w:r>
      <w:r w:rsidR="00850710">
        <w:t>to pr</w:t>
      </w:r>
      <w:r w:rsidR="006B45E0">
        <w:t>epare</w:t>
      </w:r>
      <w:r w:rsidR="00850710">
        <w:t xml:space="preserve"> a new ‘sustainability report’ </w:t>
      </w:r>
      <w:r w:rsidR="00397800" w:rsidRPr="004707BC">
        <w:t>alongside their annual financial report</w:t>
      </w:r>
      <w:r w:rsidR="002306F3">
        <w:t xml:space="preserve"> f</w:t>
      </w:r>
      <w:r w:rsidR="00245AD6">
        <w:t>or financial</w:t>
      </w:r>
      <w:r w:rsidDel="002306F3">
        <w:t xml:space="preserve"> </w:t>
      </w:r>
      <w:r w:rsidR="00AB0F54">
        <w:t>years commencing</w:t>
      </w:r>
      <w:r w:rsidR="002306F3">
        <w:t xml:space="preserve"> </w:t>
      </w:r>
      <w:r w:rsidR="00245AD6">
        <w:t xml:space="preserve">on or after </w:t>
      </w:r>
      <w:r w:rsidR="002306F3">
        <w:t>1 January 2025</w:t>
      </w:r>
      <w:r w:rsidR="00397800" w:rsidRPr="004707BC">
        <w:t>. The sustainability report will include a ‘climate statement’ to be prepared in line with sustainability standards made by the AASB.</w:t>
      </w:r>
      <w:r w:rsidR="00700EC5" w:rsidRPr="004707BC">
        <w:rPr>
          <w:rStyle w:val="FootnoteReference"/>
        </w:rPr>
        <w:footnoteReference w:id="7"/>
      </w:r>
    </w:p>
    <w:p w14:paraId="3AE9E05E" w14:textId="77777777" w:rsidR="005018C6" w:rsidRDefault="005018C6" w:rsidP="001A180E">
      <w:pPr>
        <w:pStyle w:val="Heading2"/>
      </w:pPr>
      <w:bookmarkStart w:id="13" w:name="_Toc188280716"/>
      <w:r>
        <w:t>Rationale for change</w:t>
      </w:r>
      <w:bookmarkEnd w:id="13"/>
    </w:p>
    <w:p w14:paraId="39515263" w14:textId="64A7CA49" w:rsidR="005018C6" w:rsidRDefault="005018C6" w:rsidP="005018C6">
      <w:r>
        <w:t>International best practice financial reporting is undergoing a significant shift. Financial markets are recognising that a wider range of factors, including environmental, social and governance concerns, are important sources of material financial risks and opportunities for businesses and financial institutions. This in turn is driving demand from investors, regulators and other interested parties for greater transparency in the form of high-quality, standardised disclosures. The creation of the International Sustainability Standards Board in 2021 by the I</w:t>
      </w:r>
      <w:r w:rsidR="00255EDC">
        <w:t xml:space="preserve">nternational </w:t>
      </w:r>
      <w:r>
        <w:t>F</w:t>
      </w:r>
      <w:r w:rsidR="00DC47C9">
        <w:t xml:space="preserve">inancial </w:t>
      </w:r>
      <w:r>
        <w:t>R</w:t>
      </w:r>
      <w:r w:rsidR="00DC47C9">
        <w:t xml:space="preserve">eporting </w:t>
      </w:r>
      <w:r>
        <w:t>S</w:t>
      </w:r>
      <w:r w:rsidR="00DC47C9">
        <w:t>tandards</w:t>
      </w:r>
      <w:r>
        <w:t xml:space="preserve"> </w:t>
      </w:r>
      <w:r>
        <w:lastRenderedPageBreak/>
        <w:t xml:space="preserve">Foundation to develop globally consistent and financially integrated sustainability-related disclosure standards responds to this demand. </w:t>
      </w:r>
    </w:p>
    <w:p w14:paraId="7FD26A71" w14:textId="77777777" w:rsidR="005018C6" w:rsidRDefault="005018C6" w:rsidP="005018C6">
      <w:r>
        <w:t xml:space="preserve">It is critical that Australia’s financial reporting system keeps pace with these and other developments to support Australia’s reputation as an attractive destination for international capital. However, there are structural barriers within the current institutional arrangements for standard setting that constrain the Government’s ability to respond to future developments and needs. </w:t>
      </w:r>
    </w:p>
    <w:p w14:paraId="2373B785" w14:textId="5849222E" w:rsidR="005018C6" w:rsidRDefault="005018C6" w:rsidP="005018C6">
      <w:r>
        <w:t>With the potential for further changes in the reporting landscape in the future, consolidating standard setting within a single body with greater structural flexibility, while leveraging the existing bodies’ standard setting expertise and credibility, will better position Australia’s financial reporting system for the future.</w:t>
      </w:r>
    </w:p>
    <w:p w14:paraId="56F49359" w14:textId="77777777" w:rsidR="005018C6" w:rsidRDefault="005018C6" w:rsidP="001462C8">
      <w:pPr>
        <w:pStyle w:val="Heading1"/>
      </w:pPr>
      <w:bookmarkStart w:id="14" w:name="_Toc188280717"/>
      <w:r>
        <w:t>The proposed new institutional arrangements</w:t>
      </w:r>
      <w:bookmarkEnd w:id="14"/>
    </w:p>
    <w:p w14:paraId="7FC5A04F" w14:textId="77777777" w:rsidR="005018C6" w:rsidRDefault="005018C6" w:rsidP="001462C8">
      <w:pPr>
        <w:pStyle w:val="Heading2"/>
      </w:pPr>
      <w:bookmarkStart w:id="15" w:name="_Toc188280718"/>
      <w:r>
        <w:t>Benefits and objectives</w:t>
      </w:r>
      <w:bookmarkEnd w:id="15"/>
    </w:p>
    <w:p w14:paraId="5BA3F4E1" w14:textId="1CDB23C3" w:rsidR="005018C6" w:rsidRDefault="005018C6" w:rsidP="005018C6">
      <w:r>
        <w:t xml:space="preserve">To implement the Government’s announced change, legislation will be developed to combine the functions and powers of the FRC, AASB and AUASB </w:t>
      </w:r>
      <w:r w:rsidR="000C6629">
        <w:t xml:space="preserve">within </w:t>
      </w:r>
      <w:r>
        <w:t>a single statutory body responsible for</w:t>
      </w:r>
      <w:r w:rsidR="000C6629">
        <w:t xml:space="preserve"> </w:t>
      </w:r>
      <w:r>
        <w:t>standard setting</w:t>
      </w:r>
      <w:r w:rsidR="000C6629">
        <w:t xml:space="preserve"> and </w:t>
      </w:r>
      <w:r>
        <w:t>advice to government</w:t>
      </w:r>
      <w:r w:rsidR="00F042C6">
        <w:t xml:space="preserve"> in relation to external reporting</w:t>
      </w:r>
      <w:r>
        <w:t>.</w:t>
      </w:r>
      <w:r w:rsidR="00F042C6">
        <w:rPr>
          <w:rStyle w:val="FootnoteReference"/>
        </w:rPr>
        <w:footnoteReference w:id="8"/>
      </w:r>
      <w:r w:rsidR="00F042C6">
        <w:t xml:space="preserve"> </w:t>
      </w:r>
    </w:p>
    <w:p w14:paraId="3BF63115" w14:textId="68CCE9A4" w:rsidR="005018C6" w:rsidRDefault="005018C6" w:rsidP="001462C8">
      <w:pPr>
        <w:keepNext/>
      </w:pPr>
      <w:r>
        <w:t xml:space="preserve">Reforming the existing institutions into a single, flexible body will seek to realise several benefits: </w:t>
      </w:r>
    </w:p>
    <w:p w14:paraId="6EC5C832" w14:textId="70DBC115" w:rsidR="005018C6" w:rsidRDefault="005018C6" w:rsidP="005018C6">
      <w:pPr>
        <w:pStyle w:val="Bullet"/>
      </w:pPr>
      <w:r w:rsidRPr="00A62EB5">
        <w:rPr>
          <w:b/>
          <w:bCs/>
        </w:rPr>
        <w:t>Facilitating sustainability reporting standard setting by a dedicated technical committee.</w:t>
      </w:r>
      <w:r w:rsidR="00537CDA">
        <w:t xml:space="preserve"> New institutional arrangements </w:t>
      </w:r>
      <w:r>
        <w:t>will enable the transition of sustainability reporting standard setting to a standalone technical committee with a focussed remit while retaining access to support</w:t>
      </w:r>
      <w:r w:rsidR="00BA7749">
        <w:t xml:space="preserve"> and relevant</w:t>
      </w:r>
      <w:r>
        <w:t xml:space="preserve"> expertise </w:t>
      </w:r>
      <w:r w:rsidR="00BA7749">
        <w:t>from within</w:t>
      </w:r>
      <w:r>
        <w:t xml:space="preserve"> the body more broadly.</w:t>
      </w:r>
    </w:p>
    <w:p w14:paraId="349E10A3" w14:textId="60A4E068" w:rsidR="005018C6" w:rsidRDefault="005018C6" w:rsidP="00057CBB">
      <w:pPr>
        <w:pStyle w:val="Bullet"/>
      </w:pPr>
      <w:r w:rsidRPr="00A62EB5">
        <w:rPr>
          <w:b/>
          <w:bCs/>
        </w:rPr>
        <w:t xml:space="preserve">Greater flexibility to meet future </w:t>
      </w:r>
      <w:r w:rsidR="004D3D2A">
        <w:rPr>
          <w:b/>
          <w:bCs/>
        </w:rPr>
        <w:t xml:space="preserve">external reporting </w:t>
      </w:r>
      <w:r w:rsidRPr="00A62EB5">
        <w:rPr>
          <w:b/>
          <w:bCs/>
        </w:rPr>
        <w:t>needs.</w:t>
      </w:r>
      <w:r>
        <w:t xml:space="preserve"> Removing some of the structural barriers inherent in having separately constituted statutory bodies responsible for different aspects of the financial reporting system will improve </w:t>
      </w:r>
      <w:r w:rsidR="00781BEC">
        <w:t xml:space="preserve">the </w:t>
      </w:r>
      <w:r>
        <w:t>capacity to respond to future developments in the external reporting landscape – including</w:t>
      </w:r>
      <w:r w:rsidR="00C54AFA">
        <w:t>,</w:t>
      </w:r>
      <w:r>
        <w:t xml:space="preserve"> </w:t>
      </w:r>
      <w:r w:rsidR="005F1334">
        <w:t>for example</w:t>
      </w:r>
      <w:r w:rsidR="00C54AFA">
        <w:t>,</w:t>
      </w:r>
      <w:r>
        <w:t xml:space="preserve"> taking on new standard setting functions. Within a single body:</w:t>
      </w:r>
    </w:p>
    <w:p w14:paraId="2EF11B67" w14:textId="08EBADA7" w:rsidR="005018C6" w:rsidRDefault="005018C6" w:rsidP="00603270">
      <w:pPr>
        <w:pStyle w:val="Dash"/>
        <w:tabs>
          <w:tab w:val="clear" w:pos="567"/>
          <w:tab w:val="num" w:pos="993"/>
        </w:tabs>
        <w:spacing w:before="120"/>
        <w:ind w:left="992" w:hanging="425"/>
      </w:pPr>
      <w:r>
        <w:t>the established internal governance and accountability arrangements can be leveraged whenever new functions are acquired, avoiding duplication and further fragmentation within the system</w:t>
      </w:r>
    </w:p>
    <w:p w14:paraId="72B4FE41" w14:textId="61779034" w:rsidR="005018C6" w:rsidRDefault="005018C6" w:rsidP="00057CBB">
      <w:pPr>
        <w:pStyle w:val="Dash"/>
        <w:tabs>
          <w:tab w:val="clear" w:pos="567"/>
          <w:tab w:val="num" w:pos="993"/>
        </w:tabs>
        <w:ind w:left="993" w:hanging="426"/>
      </w:pPr>
      <w:r>
        <w:t xml:space="preserve">administrative arrangements to ensure appropriate technical expertise and insight are brought to bear in standard setting (such as the establishment by </w:t>
      </w:r>
      <w:r w:rsidR="00C60FDB">
        <w:t>a governing b</w:t>
      </w:r>
      <w:r>
        <w:t>oard of technical standard setting committees to</w:t>
      </w:r>
      <w:r w:rsidR="002F4411">
        <w:t xml:space="preserve"> make, formulate </w:t>
      </w:r>
      <w:r>
        <w:t>or advise on standards) can be more easily adopted and adapted as responsibilities and priorities evolve</w:t>
      </w:r>
    </w:p>
    <w:p w14:paraId="248AFA87" w14:textId="26BA437C" w:rsidR="005018C6" w:rsidRDefault="005018C6" w:rsidP="00057CBB">
      <w:pPr>
        <w:pStyle w:val="Dash"/>
        <w:tabs>
          <w:tab w:val="clear" w:pos="567"/>
          <w:tab w:val="num" w:pos="993"/>
        </w:tabs>
        <w:ind w:left="993" w:hanging="426"/>
      </w:pPr>
      <w:r>
        <w:t>it will be easier to allocate and redeploy resources in a way that both addresses urgent and emerging issues and reflects a holistic view of standard setting and other priorities across the system</w:t>
      </w:r>
    </w:p>
    <w:p w14:paraId="02B9CAB7" w14:textId="37274BF9" w:rsidR="005018C6" w:rsidRDefault="005018C6" w:rsidP="00057CBB">
      <w:pPr>
        <w:pStyle w:val="Dash"/>
        <w:tabs>
          <w:tab w:val="clear" w:pos="567"/>
          <w:tab w:val="num" w:pos="993"/>
        </w:tabs>
        <w:ind w:left="993" w:hanging="426"/>
      </w:pPr>
      <w:r>
        <w:lastRenderedPageBreak/>
        <w:t xml:space="preserve">there will be greater scope to implement continuous improvements in the structure without the need for legislative changes. </w:t>
      </w:r>
    </w:p>
    <w:p w14:paraId="6760C1F5" w14:textId="2B9A9AB2" w:rsidR="00F71FFB" w:rsidRDefault="005018C6" w:rsidP="00386F24">
      <w:pPr>
        <w:pStyle w:val="Bullet"/>
      </w:pPr>
      <w:r w:rsidRPr="00A62EB5">
        <w:rPr>
          <w:b/>
          <w:bCs/>
        </w:rPr>
        <w:t>Further streamlining of administrative operations.</w:t>
      </w:r>
      <w:r>
        <w:t xml:space="preserve"> Removing the need for separate secretariat functions to be provided by Treasury </w:t>
      </w:r>
      <w:r w:rsidR="00676E0D">
        <w:t xml:space="preserve">for the FRC </w:t>
      </w:r>
      <w:r>
        <w:t>will enable full internalisation and integration of administrative and specialist staff and support services.</w:t>
      </w:r>
    </w:p>
    <w:p w14:paraId="438D0C0D" w14:textId="77777777" w:rsidR="00A62EB5" w:rsidRDefault="00A62EB5" w:rsidP="00AE4312">
      <w:pPr>
        <w:pStyle w:val="Heading2"/>
      </w:pPr>
      <w:bookmarkStart w:id="16" w:name="_Toc188280719"/>
      <w:r>
        <w:t>Design principles</w:t>
      </w:r>
      <w:bookmarkEnd w:id="16"/>
    </w:p>
    <w:p w14:paraId="15142531" w14:textId="2F3E98D8" w:rsidR="00A62EB5" w:rsidRDefault="00A62EB5" w:rsidP="00A62EB5">
      <w:r>
        <w:t xml:space="preserve">Having regard to the </w:t>
      </w:r>
      <w:r w:rsidR="00D43735">
        <w:t xml:space="preserve">benefits and </w:t>
      </w:r>
      <w:r>
        <w:t xml:space="preserve">objectives of consolidating the existing bodies, the following key design principles have informed the </w:t>
      </w:r>
      <w:r w:rsidR="006853E6">
        <w:t>new</w:t>
      </w:r>
      <w:r w:rsidR="00606C8F">
        <w:t xml:space="preserve"> </w:t>
      </w:r>
      <w:r w:rsidR="006853E6">
        <w:t>institutional arrangements</w:t>
      </w:r>
      <w:r w:rsidR="00606C8F">
        <w:t xml:space="preserve"> </w:t>
      </w:r>
      <w:r w:rsidR="006853E6">
        <w:t xml:space="preserve">for standard setting </w:t>
      </w:r>
      <w:r w:rsidR="0080302C">
        <w:t xml:space="preserve">now </w:t>
      </w:r>
      <w:r w:rsidR="006853E6">
        <w:t>proposed</w:t>
      </w:r>
      <w:r>
        <w:t>. Feedback on the proposals in this paper will be considered having regard to these principles.</w:t>
      </w:r>
    </w:p>
    <w:p w14:paraId="40E393CE" w14:textId="77777777" w:rsidR="00A62EB5" w:rsidRDefault="00A62EB5" w:rsidP="005F6A54">
      <w:pPr>
        <w:pStyle w:val="Heading4"/>
      </w:pPr>
      <w:r>
        <w:t xml:space="preserve">1. Flexibility – ensuring the institutional arrangements are positioned for the future </w:t>
      </w:r>
    </w:p>
    <w:p w14:paraId="75AA18DB" w14:textId="77777777" w:rsidR="00A62EB5" w:rsidRDefault="00A62EB5" w:rsidP="00A62EB5">
      <w:r>
        <w:t>Designing the new body with a view to maximising flexibility will better facilitate the evolution of standard setting and other functions over time and increase the responsiveness and adaptability of the body to address new developments and emerging challenges.</w:t>
      </w:r>
    </w:p>
    <w:p w14:paraId="19886D4A" w14:textId="0F106A53" w:rsidR="00A62EB5" w:rsidRDefault="00A62EB5" w:rsidP="00A62EB5">
      <w:r>
        <w:t>Increased flexibility will require comparatively less prescription in legislation on matters such as the operations and internal governance</w:t>
      </w:r>
      <w:r w:rsidR="00FA7B35">
        <w:t xml:space="preserve"> and organisation</w:t>
      </w:r>
      <w:r>
        <w:t xml:space="preserve"> of the body. The new institutional arrangements will need to strike the right balance between flexibility and prescription so</w:t>
      </w:r>
      <w:r w:rsidR="0080302C">
        <w:t xml:space="preserve"> that</w:t>
      </w:r>
      <w:r>
        <w:t xml:space="preserve"> the new body has a clear remit while being able to adapt to future needs</w:t>
      </w:r>
      <w:r w:rsidR="0080302C">
        <w:t xml:space="preserve"> in external reporting</w:t>
      </w:r>
      <w:r w:rsidR="00927EE5">
        <w:t>, including any new responsibilities</w:t>
      </w:r>
      <w:r>
        <w:t xml:space="preserve">. Too little specificity in the legislation may compromise user and market confidence, while too much would reduce the benefits of merging the existing bodies and be inconsistent with the objectives of the reform. An appropriate balance </w:t>
      </w:r>
      <w:r w:rsidR="00FA7B35">
        <w:t>ensure</w:t>
      </w:r>
      <w:r w:rsidR="008A6713">
        <w:t>s</w:t>
      </w:r>
      <w:r w:rsidR="00FA7B35">
        <w:t xml:space="preserve"> flexibility while </w:t>
      </w:r>
      <w:r>
        <w:t>support</w:t>
      </w:r>
      <w:r w:rsidR="00FA7B35">
        <w:t>ing</w:t>
      </w:r>
      <w:r>
        <w:t xml:space="preserve"> </w:t>
      </w:r>
      <w:r w:rsidR="0080302C">
        <w:t xml:space="preserve">both </w:t>
      </w:r>
      <w:r>
        <w:t>autonomy and accountability.</w:t>
      </w:r>
    </w:p>
    <w:p w14:paraId="21D580BC" w14:textId="77777777" w:rsidR="00A62EB5" w:rsidRDefault="00A62EB5" w:rsidP="00A62EB5">
      <w:pPr>
        <w:pStyle w:val="Heading4"/>
      </w:pPr>
      <w:r>
        <w:t>2. Preserving, as far as practicable, key features of the current institutional arrangements that work well</w:t>
      </w:r>
    </w:p>
    <w:p w14:paraId="16B85F67" w14:textId="213E1573" w:rsidR="00A62EB5" w:rsidRDefault="00A62EB5" w:rsidP="00A62EB5">
      <w:r>
        <w:t xml:space="preserve">A key goal </w:t>
      </w:r>
      <w:r w:rsidR="0069348B">
        <w:t xml:space="preserve">in the transition to the new body </w:t>
      </w:r>
      <w:r>
        <w:t xml:space="preserve">is to minimise any disruption to ongoing standard setting processes, including the development of new standards in relation to sustainability, and to reduce the impacts on stakeholders and markets of the uncertainty that is inherent to any change process. Many of the key features of the current arrangements are proposed to be retained, including the high level and variety of skills, experience and expertise of the individuals involved in the standard setting functions. </w:t>
      </w:r>
    </w:p>
    <w:p w14:paraId="3A30A140" w14:textId="7D5E8EF8" w:rsidR="00A62EB5" w:rsidRDefault="00A62EB5" w:rsidP="00A62EB5">
      <w:r>
        <w:t xml:space="preserve">Some features of the current approach will </w:t>
      </w:r>
      <w:r w:rsidR="00EF3588">
        <w:t xml:space="preserve">need to </w:t>
      </w:r>
      <w:r>
        <w:t>evolve</w:t>
      </w:r>
      <w:r w:rsidR="006F6203">
        <w:t>,</w:t>
      </w:r>
      <w:r>
        <w:t xml:space="preserve"> </w:t>
      </w:r>
      <w:r w:rsidR="00EF3588">
        <w:t>however</w:t>
      </w:r>
      <w:r w:rsidR="006F6203">
        <w:t>,</w:t>
      </w:r>
      <w:r w:rsidR="00EF3588">
        <w:t xml:space="preserve"> </w:t>
      </w:r>
      <w:r>
        <w:t xml:space="preserve">to accommodate </w:t>
      </w:r>
      <w:r w:rsidR="00EF3588">
        <w:t>the merger of the bodies</w:t>
      </w:r>
      <w:r>
        <w:t>, given, for example, that the standard setting functions</w:t>
      </w:r>
      <w:r w:rsidDel="004C1756">
        <w:t xml:space="preserve"> and </w:t>
      </w:r>
      <w:r w:rsidR="00FA6109">
        <w:t xml:space="preserve">broad </w:t>
      </w:r>
      <w:r>
        <w:t xml:space="preserve">oversight function will be performed </w:t>
      </w:r>
      <w:r w:rsidR="00EF3588">
        <w:t xml:space="preserve">within </w:t>
      </w:r>
      <w:r w:rsidR="00CF1722">
        <w:t>the same body</w:t>
      </w:r>
      <w:r>
        <w:t>.</w:t>
      </w:r>
    </w:p>
    <w:p w14:paraId="76A6DBE1" w14:textId="77777777" w:rsidR="00A62EB5" w:rsidRDefault="00A62EB5" w:rsidP="00A62EB5">
      <w:pPr>
        <w:pStyle w:val="Heading4"/>
      </w:pPr>
      <w:r>
        <w:t>3. Ensuring institutional accountability</w:t>
      </w:r>
    </w:p>
    <w:p w14:paraId="65EE7DF7" w14:textId="53F56D09" w:rsidR="00AE57FB" w:rsidRDefault="00A62EB5" w:rsidP="00A62EB5">
      <w:r>
        <w:t xml:space="preserve">It is important that the new single body has appropriate accountability arrangements. </w:t>
      </w:r>
      <w:r w:rsidR="005B252D">
        <w:t>At the same time t</w:t>
      </w:r>
      <w:r>
        <w:t xml:space="preserve">hese arrangements must not themselves create a barrier to future expansion or evolution of the body’s functions. </w:t>
      </w:r>
    </w:p>
    <w:p w14:paraId="6AD26D0A" w14:textId="2247F010" w:rsidR="00A62EB5" w:rsidRDefault="00A62EB5" w:rsidP="00A62EB5">
      <w:r>
        <w:t xml:space="preserve">The consolidation of the existing bodies also provides an opportunity to review and strengthen the </w:t>
      </w:r>
      <w:r w:rsidR="00AE57FB">
        <w:t xml:space="preserve">new body’s </w:t>
      </w:r>
      <w:r>
        <w:t>accountability and governance arrangements, for example</w:t>
      </w:r>
      <w:r w:rsidR="001532AA">
        <w:t>,</w:t>
      </w:r>
      <w:r>
        <w:t xml:space="preserve"> through the </w:t>
      </w:r>
      <w:r w:rsidR="00F870F0">
        <w:t>incorporation</w:t>
      </w:r>
      <w:r>
        <w:t xml:space="preserve"> of mechanisms to </w:t>
      </w:r>
      <w:r w:rsidR="00A2398E">
        <w:t xml:space="preserve">identify and address </w:t>
      </w:r>
      <w:r>
        <w:t xml:space="preserve">conflicts of interests and </w:t>
      </w:r>
      <w:r w:rsidR="00F870F0">
        <w:t>ensur</w:t>
      </w:r>
      <w:r w:rsidR="00493BFD">
        <w:t>ing</w:t>
      </w:r>
      <w:r w:rsidR="00F870F0">
        <w:t xml:space="preserve"> </w:t>
      </w:r>
      <w:r>
        <w:t>the responsible Minister</w:t>
      </w:r>
      <w:r w:rsidR="00F870F0">
        <w:t xml:space="preserve"> has </w:t>
      </w:r>
      <w:r w:rsidR="00F870F0">
        <w:lastRenderedPageBreak/>
        <w:t>the capacity to</w:t>
      </w:r>
      <w:r>
        <w:t xml:space="preserve"> terminate </w:t>
      </w:r>
      <w:r w:rsidR="005C6E97">
        <w:t xml:space="preserve">Board </w:t>
      </w:r>
      <w:r>
        <w:t>appointment</w:t>
      </w:r>
      <w:r w:rsidR="00F870F0">
        <w:t>s</w:t>
      </w:r>
      <w:r>
        <w:t xml:space="preserve"> in </w:t>
      </w:r>
      <w:r w:rsidR="00F870F0">
        <w:t xml:space="preserve">appropriate </w:t>
      </w:r>
      <w:r>
        <w:t>circumstances.</w:t>
      </w:r>
      <w:r w:rsidR="00EB7D11">
        <w:t xml:space="preserve"> The standards will </w:t>
      </w:r>
      <w:r w:rsidR="002B2E58">
        <w:t xml:space="preserve">also </w:t>
      </w:r>
      <w:r w:rsidR="00EB7D11">
        <w:t xml:space="preserve">continue to be disallowable instruments and subject to the normal tabling and scrutiny process as required by the </w:t>
      </w:r>
      <w:r w:rsidR="00EB7D11">
        <w:rPr>
          <w:i/>
          <w:iCs/>
        </w:rPr>
        <w:t>Legislation Act 2003.</w:t>
      </w:r>
    </w:p>
    <w:p w14:paraId="584ED311" w14:textId="77777777" w:rsidR="00A62EB5" w:rsidRDefault="00A62EB5" w:rsidP="00AE57FB">
      <w:pPr>
        <w:pStyle w:val="Heading2"/>
      </w:pPr>
      <w:bookmarkStart w:id="17" w:name="_Toc188280720"/>
      <w:r>
        <w:t>Overview of the proposed new statutory body</w:t>
      </w:r>
      <w:bookmarkEnd w:id="17"/>
    </w:p>
    <w:p w14:paraId="63040AFD" w14:textId="4DC592C7" w:rsidR="00A62EB5" w:rsidRDefault="00A62EB5" w:rsidP="00A62EB5">
      <w:r>
        <w:t xml:space="preserve">It is proposed a new </w:t>
      </w:r>
      <w:r w:rsidR="004D68E1">
        <w:t>statutory</w:t>
      </w:r>
      <w:r>
        <w:t xml:space="preserve"> body</w:t>
      </w:r>
      <w:r w:rsidR="00367A05">
        <w:t xml:space="preserve"> </w:t>
      </w:r>
      <w:r>
        <w:t xml:space="preserve">will be responsible for the functions currently performed by the FRC, AASB and AUASB – including formulating, issuing, and providing advice and reports to government relating to, accounting standards, auditing and assurance standards and sustainability standards. </w:t>
      </w:r>
    </w:p>
    <w:p w14:paraId="2D26879E" w14:textId="1C6D6E76" w:rsidR="00A62EB5" w:rsidRDefault="00F96C20" w:rsidP="00A62EB5">
      <w:r>
        <w:t xml:space="preserve">The new body </w:t>
      </w:r>
      <w:r w:rsidR="00A62EB5">
        <w:t xml:space="preserve">will be governed by a government-appointed Board, constituted by members with experience and expertise appropriate to its functions </w:t>
      </w:r>
      <w:r w:rsidR="007733B3">
        <w:t>as well as its</w:t>
      </w:r>
      <w:r w:rsidR="00A62EB5">
        <w:t xml:space="preserve"> strategic direction setting, general oversight and governance role</w:t>
      </w:r>
      <w:r w:rsidR="00B30A96">
        <w:t>s</w:t>
      </w:r>
      <w:r w:rsidR="00A62EB5">
        <w:t xml:space="preserve">. </w:t>
      </w:r>
      <w:r w:rsidR="007733B3">
        <w:t>It is proposed t</w:t>
      </w:r>
      <w:r w:rsidR="00A62EB5">
        <w:t xml:space="preserve">he Board will be the accountable authority of </w:t>
      </w:r>
      <w:r w:rsidR="0009316D">
        <w:t xml:space="preserve">the new body </w:t>
      </w:r>
      <w:r w:rsidR="00A62EB5">
        <w:t xml:space="preserve">and collectively responsible for the relevant duties and powers outlined in the </w:t>
      </w:r>
      <w:r w:rsidR="00A62EB5" w:rsidRPr="00A62EB5">
        <w:rPr>
          <w:i/>
          <w:iCs/>
        </w:rPr>
        <w:t>Public Governance, Performance and Accountability Act 2013</w:t>
      </w:r>
      <w:r w:rsidR="00A62EB5">
        <w:t xml:space="preserve">. </w:t>
      </w:r>
    </w:p>
    <w:p w14:paraId="3A2D8DF8" w14:textId="630FE593" w:rsidR="00A62EB5" w:rsidRDefault="00A62EB5" w:rsidP="00A62EB5">
      <w:r>
        <w:t xml:space="preserve">While </w:t>
      </w:r>
      <w:r w:rsidR="0009316D">
        <w:t xml:space="preserve">the new body </w:t>
      </w:r>
      <w:r>
        <w:t xml:space="preserve">will be vested with functions and powers currently </w:t>
      </w:r>
      <w:r w:rsidR="007733B3">
        <w:t xml:space="preserve">performed and </w:t>
      </w:r>
      <w:r>
        <w:t xml:space="preserve">exercised by the FRC, AASB and AUASB, it is anticipated the Board will </w:t>
      </w:r>
      <w:r w:rsidR="00CE2092">
        <w:t xml:space="preserve">initially </w:t>
      </w:r>
      <w:r>
        <w:t>establish</w:t>
      </w:r>
      <w:r w:rsidR="00EA0B54">
        <w:t xml:space="preserve"> </w:t>
      </w:r>
      <w:r>
        <w:t>three dedicated technical committees</w:t>
      </w:r>
      <w:r w:rsidR="00EA0B54">
        <w:t xml:space="preserve"> to perform its standard setting functions</w:t>
      </w:r>
      <w:r w:rsidR="00CE2092">
        <w:t>:</w:t>
      </w:r>
      <w:r>
        <w:t xml:space="preserve"> an accounting standards committee, a sustainability reporting standards committee</w:t>
      </w:r>
      <w:r w:rsidR="00CE2092">
        <w:t>,</w:t>
      </w:r>
      <w:r>
        <w:t xml:space="preserve"> and an auditing and assurance standards committee. </w:t>
      </w:r>
    </w:p>
    <w:p w14:paraId="00AC2735" w14:textId="5AE13484" w:rsidR="00A62EB5" w:rsidRDefault="00A62EB5" w:rsidP="00A62EB5">
      <w:r>
        <w:t>The technical committees, which will be constituted by professionals with relevant technical knowledge and expertise appointed by the Board, will have delegated power to</w:t>
      </w:r>
      <w:r w:rsidR="002F4411">
        <w:t xml:space="preserve"> make and</w:t>
      </w:r>
      <w:r>
        <w:t xml:space="preserve"> formulate standards directly. </w:t>
      </w:r>
      <w:r w:rsidR="00EA0B54">
        <w:t>Additionally</w:t>
      </w:r>
      <w:r>
        <w:t xml:space="preserve">, the Board will </w:t>
      </w:r>
      <w:r w:rsidR="00EA0B54">
        <w:t xml:space="preserve">be able to set up other committees (such as advisory committees) and will </w:t>
      </w:r>
      <w:r>
        <w:t xml:space="preserve">have </w:t>
      </w:r>
      <w:r w:rsidR="00EA0B54">
        <w:t xml:space="preserve">the power to delegate </w:t>
      </w:r>
      <w:r>
        <w:t>powers for administrative purposes comparable to other Commonwealth entities</w:t>
      </w:r>
      <w:r w:rsidR="00EA0B54">
        <w:t>. E</w:t>
      </w:r>
      <w:r>
        <w:t>xisting procedural arrangements are expected to be largely retained.</w:t>
      </w:r>
    </w:p>
    <w:p w14:paraId="6768D400" w14:textId="0CC208D5" w:rsidR="00A62EB5" w:rsidRDefault="00A62EB5" w:rsidP="00A62EB5">
      <w:r>
        <w:t>The Board, Chair and committees will be supported by a Chief Executive Officer</w:t>
      </w:r>
      <w:r w:rsidR="00DA5C95">
        <w:rPr>
          <w:rStyle w:val="FootnoteReference"/>
        </w:rPr>
        <w:footnoteReference w:id="9"/>
      </w:r>
      <w:r>
        <w:t xml:space="preserve"> leading a team of permanent staff supplemented by external expertise where appropriate. Unlike the current arrangements whereby the FRC is supported by a </w:t>
      </w:r>
      <w:r w:rsidR="0094516F">
        <w:t xml:space="preserve">secretariat within </w:t>
      </w:r>
      <w:r>
        <w:t xml:space="preserve">Treasury, </w:t>
      </w:r>
      <w:r w:rsidR="0009316D">
        <w:t xml:space="preserve">the new body </w:t>
      </w:r>
      <w:r>
        <w:t>will be fully resourced in</w:t>
      </w:r>
      <w:r w:rsidR="00490A6D">
        <w:noBreakHyphen/>
      </w:r>
      <w:r>
        <w:t>house.</w:t>
      </w:r>
      <w:r w:rsidR="006249C0">
        <w:t xml:space="preserve"> </w:t>
      </w:r>
    </w:p>
    <w:p w14:paraId="19AF54EF" w14:textId="2BEFBE92" w:rsidR="00A62EB5" w:rsidRDefault="00A62EB5" w:rsidP="00A62EB5">
      <w:r>
        <w:t xml:space="preserve">There are some parallels between the proposed board and committee structure within </w:t>
      </w:r>
      <w:r w:rsidR="0009316D">
        <w:t xml:space="preserve">the new body </w:t>
      </w:r>
      <w:r>
        <w:t>and the current split of functions between the three</w:t>
      </w:r>
      <w:r w:rsidR="00490A6D">
        <w:t xml:space="preserve"> existing</w:t>
      </w:r>
      <w:r>
        <w:t xml:space="preserve"> bodies. While the </w:t>
      </w:r>
      <w:r w:rsidR="0009316D">
        <w:t xml:space="preserve">the new body’s </w:t>
      </w:r>
      <w:r>
        <w:t>Board will necessarily assume some of the governance and administrative functions currently undertaken by the</w:t>
      </w:r>
      <w:r w:rsidR="00E9210A">
        <w:t xml:space="preserve"> Offices of the</w:t>
      </w:r>
      <w:r>
        <w:t xml:space="preserve"> AASB and AUASB, the role of the technical committees in relation to accounting</w:t>
      </w:r>
      <w:r w:rsidR="00490A6D">
        <w:t xml:space="preserve"> and</w:t>
      </w:r>
      <w:r>
        <w:t xml:space="preserve"> audit and assurance will have recognisable parallels to the current system</w:t>
      </w:r>
      <w:r w:rsidR="00490A6D">
        <w:t>,</w:t>
      </w:r>
      <w:r>
        <w:t xml:space="preserve"> preserving a number of key benefits of the existing structure</w:t>
      </w:r>
      <w:r w:rsidR="0099407E">
        <w:t>. This</w:t>
      </w:r>
      <w:r w:rsidR="00BF74AE">
        <w:t xml:space="preserve"> will</w:t>
      </w:r>
      <w:r>
        <w:t xml:space="preserve"> assist with minimising disruption to the bodies during the transition and </w:t>
      </w:r>
      <w:r w:rsidR="00BF74AE">
        <w:t xml:space="preserve">will </w:t>
      </w:r>
      <w:r>
        <w:t>facilitate the continuation of existing arrangements for international engagement and trans-Tasman cooperation.</w:t>
      </w:r>
    </w:p>
    <w:p w14:paraId="33ECB9E2" w14:textId="501F0CAB" w:rsidR="001B7C72" w:rsidRPr="00183835" w:rsidRDefault="001B7C72" w:rsidP="001B7C72">
      <w:r>
        <w:t>Although there is no single, typical model</w:t>
      </w:r>
      <w:r w:rsidR="00A24064">
        <w:t xml:space="preserve"> for financial reporting standard setting institutions</w:t>
      </w:r>
      <w:r>
        <w:t xml:space="preserve"> internationally, delegatin</w:t>
      </w:r>
      <w:r w:rsidR="00CF3162">
        <w:t>g the standard setting function</w:t>
      </w:r>
      <w:r>
        <w:t xml:space="preserve"> to committees or sub-boards is consistent with approaches that have been taken</w:t>
      </w:r>
      <w:r w:rsidR="00CF3162">
        <w:t xml:space="preserve"> in</w:t>
      </w:r>
      <w:r>
        <w:t xml:space="preserve"> comparable jurisdictions which have a single body responsible for standard setting</w:t>
      </w:r>
      <w:r w:rsidR="00CF3162">
        <w:t xml:space="preserve"> functions</w:t>
      </w:r>
      <w:r>
        <w:t xml:space="preserve"> (</w:t>
      </w:r>
      <w:r w:rsidRPr="00183835">
        <w:t xml:space="preserve">see Attachment </w:t>
      </w:r>
      <w:r w:rsidR="00483D8D" w:rsidRPr="00183835">
        <w:t>A</w:t>
      </w:r>
      <w:r w:rsidRPr="00183835">
        <w:t>).</w:t>
      </w:r>
      <w:r w:rsidR="002F7C47" w:rsidRPr="00183835">
        <w:t xml:space="preserve"> </w:t>
      </w:r>
    </w:p>
    <w:p w14:paraId="40FEFB6A" w14:textId="0396B918" w:rsidR="00E41687" w:rsidRDefault="00A62EB5" w:rsidP="00A62EB5">
      <w:bookmarkStart w:id="18" w:name="_Hlk178698877"/>
      <w:r w:rsidRPr="00183835">
        <w:t>The diagrams below illustrate th</w:t>
      </w:r>
      <w:r w:rsidR="00850262" w:rsidRPr="00183835">
        <w:t>e</w:t>
      </w:r>
      <w:r w:rsidRPr="00183835">
        <w:t xml:space="preserve"> proposed structure of the new body, and Attachment </w:t>
      </w:r>
      <w:r w:rsidR="00483D8D" w:rsidRPr="00183835">
        <w:t>B</w:t>
      </w:r>
      <w:r w:rsidRPr="00183835">
        <w:t xml:space="preserve"> elaborates</w:t>
      </w:r>
      <w:r>
        <w:t xml:space="preserve"> on key details </w:t>
      </w:r>
      <w:r w:rsidR="00491E53">
        <w:t>– including a c</w:t>
      </w:r>
      <w:r>
        <w:t>ompar</w:t>
      </w:r>
      <w:r w:rsidR="00491E53">
        <w:t>ison between</w:t>
      </w:r>
      <w:r>
        <w:t xml:space="preserve"> the current </w:t>
      </w:r>
      <w:r w:rsidR="00491E53">
        <w:t xml:space="preserve">institutional </w:t>
      </w:r>
      <w:r>
        <w:t xml:space="preserve">arrangements </w:t>
      </w:r>
      <w:r w:rsidR="00491E53">
        <w:t xml:space="preserve">and </w:t>
      </w:r>
      <w:r>
        <w:t>the proposed structure</w:t>
      </w:r>
      <w:r w:rsidR="00491E53">
        <w:t xml:space="preserve"> of </w:t>
      </w:r>
      <w:r w:rsidR="00DA30A0">
        <w:t>the new body</w:t>
      </w:r>
      <w:r>
        <w:t xml:space="preserve">. </w:t>
      </w:r>
    </w:p>
    <w:p w14:paraId="765A0A05" w14:textId="05060B31" w:rsidR="00A62EB5" w:rsidRDefault="00A62EB5" w:rsidP="00A62EB5">
      <w:r>
        <w:lastRenderedPageBreak/>
        <w:t xml:space="preserve">Particular matters for consideration are discussed in the following section of this paper. </w:t>
      </w:r>
      <w:bookmarkEnd w:id="18"/>
    </w:p>
    <w:p w14:paraId="356EB30A" w14:textId="5ED9583F" w:rsidR="00A62EB5" w:rsidRDefault="00A62EB5" w:rsidP="00FA6D99">
      <w:pPr>
        <w:pStyle w:val="Heading4"/>
      </w:pPr>
      <w:r>
        <w:t xml:space="preserve">Diagram 1: Current </w:t>
      </w:r>
      <w:r w:rsidR="0089261A">
        <w:t xml:space="preserve">institutional </w:t>
      </w:r>
      <w:r>
        <w:t>arrangements compared to indicative future structure</w:t>
      </w:r>
    </w:p>
    <w:p w14:paraId="4B8F38CE" w14:textId="1E32B8C0" w:rsidR="00F11655" w:rsidRPr="00F11655" w:rsidRDefault="00E1226E" w:rsidP="00F11655">
      <w:r>
        <w:rPr>
          <w:noProof/>
        </w:rPr>
        <w:drawing>
          <wp:inline distT="0" distB="0" distL="0" distR="0" wp14:anchorId="0E0A4DB9" wp14:editId="3B2B7368">
            <wp:extent cx="5632450" cy="6368415"/>
            <wp:effectExtent l="0" t="0" r="6350" b="0"/>
            <wp:docPr id="284967558" name="Picture 2" descr="The functions of the FRC, AASB and AUASB will be combined. The three existing bodies consist of Chairs and members, as well as staff. The new body will consist of a Board with committees sitting below, such as an accounting standards committee, a sustainability reporting standards committee, an audit and assurance standards committee, and other committees as required. It will have a CEO and staff. The FRC Secretariat provided by Treasury will not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67558" name="Picture 2" descr="The functions of the FRC, AASB and AUASB will be combined. The three existing bodies consist of Chairs and members, as well as staff. The new body will consist of a Board with committees sitting below, such as an accounting standards committee, a sustainability reporting standards committee, an audit and assurance standards committee, and other committees as required. It will have a CEO and staff. The FRC Secretariat provided by Treasury will not transfer."/>
                    <pic:cNvPicPr/>
                  </pic:nvPicPr>
                  <pic:blipFill rotWithShape="1">
                    <a:blip r:embed="rId19" cstate="print">
                      <a:extLst>
                        <a:ext uri="{28A0092B-C50C-407E-A947-70E740481C1C}">
                          <a14:useLocalDpi xmlns:a14="http://schemas.microsoft.com/office/drawing/2010/main" val="0"/>
                        </a:ext>
                      </a:extLst>
                    </a:blip>
                    <a:srcRect/>
                    <a:stretch/>
                  </pic:blipFill>
                  <pic:spPr bwMode="auto">
                    <a:xfrm>
                      <a:off x="0" y="0"/>
                      <a:ext cx="5632450" cy="6368415"/>
                    </a:xfrm>
                    <a:prstGeom prst="rect">
                      <a:avLst/>
                    </a:prstGeom>
                    <a:ln>
                      <a:noFill/>
                    </a:ln>
                    <a:extLst>
                      <a:ext uri="{53640926-AAD7-44D8-BBD7-CCE9431645EC}">
                        <a14:shadowObscured xmlns:a14="http://schemas.microsoft.com/office/drawing/2010/main"/>
                      </a:ext>
                    </a:extLst>
                  </pic:spPr>
                </pic:pic>
              </a:graphicData>
            </a:graphic>
          </wp:inline>
        </w:drawing>
      </w:r>
    </w:p>
    <w:p w14:paraId="5C18008D" w14:textId="2FF733A8" w:rsidR="004C6505" w:rsidRDefault="004C6505" w:rsidP="00F437F1"/>
    <w:p w14:paraId="71E3DBC6" w14:textId="03508B31" w:rsidR="006239D1" w:rsidRDefault="00F437F1" w:rsidP="00AB7B3A">
      <w:pPr>
        <w:pStyle w:val="Heading4"/>
      </w:pPr>
      <w:r>
        <w:lastRenderedPageBreak/>
        <w:t xml:space="preserve">Diagram 2: </w:t>
      </w:r>
      <w:r w:rsidRPr="00D825CA">
        <w:t>Indicative organisation of the new body</w:t>
      </w:r>
      <w:bookmarkEnd w:id="11"/>
      <w:bookmarkEnd w:id="12"/>
    </w:p>
    <w:p w14:paraId="0DA3793F" w14:textId="178B4A4E" w:rsidR="00297998" w:rsidRPr="006239D1" w:rsidRDefault="0085546F" w:rsidP="006239D1">
      <w:r>
        <w:rPr>
          <w:noProof/>
        </w:rPr>
        <w:drawing>
          <wp:inline distT="0" distB="0" distL="0" distR="0" wp14:anchorId="1C2DD5EE" wp14:editId="1549616E">
            <wp:extent cx="5489224" cy="7930419"/>
            <wp:effectExtent l="0" t="0" r="0" b="0"/>
            <wp:docPr id="293312566" name="Picture 1" descr="The new body comprises the Board, standard setting committees, other committees (including advisory) established by the Board, and a Chief Executive Officer, executive team and staff. The responsible Minister will appoint the Chair and members of the new Board. The new Board will have a high level governance and oversight role. It will appoint Chairs and members of committees and delegate functions to them. Standard setting committees will formulate technical standards. Other committees such as nominations or advisory committees will provide advice or perform particular functions. The Chief Executive Officer and executive team will manage the new body’s staff and day to day op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312566" name="Picture 1" descr="The new body comprises the Board, standard setting committees, other committees (including advisory) established by the Board, and a Chief Executive Officer, executive team and staff. The responsible Minister will appoint the Chair and members of the new Board. The new Board will have a high level governance and oversight role. It will appoint Chairs and members of committees and delegate functions to them. Standard setting committees will formulate technical standards. Other committees such as nominations or advisory committees will provide advice or perform particular functions. The Chief Executive Officer and executive team will manage the new body’s staff and day to day operations."/>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89224" cy="7930419"/>
                    </a:xfrm>
                    <a:prstGeom prst="rect">
                      <a:avLst/>
                    </a:prstGeom>
                  </pic:spPr>
                </pic:pic>
              </a:graphicData>
            </a:graphic>
          </wp:inline>
        </w:drawing>
      </w:r>
    </w:p>
    <w:p w14:paraId="1B8B2D56" w14:textId="33A3F61E" w:rsidR="00BC446D" w:rsidRDefault="00BC446D" w:rsidP="00FD1E85">
      <w:pPr>
        <w:pStyle w:val="Heading2"/>
      </w:pPr>
      <w:bookmarkStart w:id="19" w:name="_Toc188280721"/>
      <w:r>
        <w:lastRenderedPageBreak/>
        <w:t>Key considerations</w:t>
      </w:r>
      <w:bookmarkEnd w:id="19"/>
    </w:p>
    <w:p w14:paraId="4556F197" w14:textId="71A5AA34" w:rsidR="00BC446D" w:rsidRDefault="00BC446D" w:rsidP="00FD1E85">
      <w:pPr>
        <w:pStyle w:val="Heading3"/>
      </w:pPr>
      <w:bookmarkStart w:id="20" w:name="_Toc188280722"/>
      <w:r>
        <w:t>Functions and powers of the new body</w:t>
      </w:r>
      <w:bookmarkEnd w:id="20"/>
    </w:p>
    <w:p w14:paraId="337F1449" w14:textId="50C91B7C" w:rsidR="00BC446D" w:rsidRDefault="00EA5A3D" w:rsidP="00BC446D">
      <w:r>
        <w:t xml:space="preserve">It is proposed that </w:t>
      </w:r>
      <w:r w:rsidR="0085546F">
        <w:t xml:space="preserve">the new body </w:t>
      </w:r>
      <w:r w:rsidR="00BC446D">
        <w:t>will be responsible for the key standard setting</w:t>
      </w:r>
      <w:r w:rsidR="00FE30B5">
        <w:t xml:space="preserve"> and advice</w:t>
      </w:r>
      <w:r w:rsidR="00BC446D">
        <w:t xml:space="preserve"> functions currently performed by the FRC, AASB and AUASB, including:</w:t>
      </w:r>
    </w:p>
    <w:p w14:paraId="2D39F39C" w14:textId="2EDD73C5" w:rsidR="00BC446D" w:rsidRDefault="00FE30B5" w:rsidP="00BC446D">
      <w:pPr>
        <w:pStyle w:val="Bullet"/>
      </w:pPr>
      <w:r>
        <w:rPr>
          <w:i/>
          <w:iCs/>
        </w:rPr>
        <w:t>S</w:t>
      </w:r>
      <w:r w:rsidR="00BC446D" w:rsidRPr="00FE30B5">
        <w:rPr>
          <w:i/>
          <w:iCs/>
        </w:rPr>
        <w:t>tandard</w:t>
      </w:r>
      <w:r>
        <w:rPr>
          <w:i/>
          <w:iCs/>
        </w:rPr>
        <w:t xml:space="preserve"> setting</w:t>
      </w:r>
      <w:r w:rsidR="00BC446D">
        <w:t xml:space="preserve"> – </w:t>
      </w:r>
      <w:r>
        <w:t xml:space="preserve">making and </w:t>
      </w:r>
      <w:r w:rsidR="00BC446D">
        <w:t>formulating accounting standards, auditing and assurance standards and sustainability standards</w:t>
      </w:r>
      <w:r>
        <w:t>.</w:t>
      </w:r>
      <w:r w:rsidR="00BC446D">
        <w:t xml:space="preserve"> </w:t>
      </w:r>
    </w:p>
    <w:p w14:paraId="2089AE33" w14:textId="77777777" w:rsidR="00316494" w:rsidRDefault="00316494" w:rsidP="00316494">
      <w:pPr>
        <w:pStyle w:val="Bullet"/>
      </w:pPr>
      <w:r w:rsidRPr="00316494">
        <w:rPr>
          <w:i/>
          <w:iCs/>
        </w:rPr>
        <w:t>Evaluation and consultation</w:t>
      </w:r>
      <w:r>
        <w:t xml:space="preserve"> – developing conceptual frameworks for the purpose of evaluating proposed domestic and international accounting, auditing and sustainability standards and establishing appropriate consultative mechanisms.</w:t>
      </w:r>
    </w:p>
    <w:p w14:paraId="23437F44" w14:textId="5E0276DF" w:rsidR="00BC446D" w:rsidRDefault="00BC446D" w:rsidP="00BC446D">
      <w:pPr>
        <w:pStyle w:val="Bullet"/>
      </w:pPr>
      <w:r w:rsidRPr="00FE30B5">
        <w:rPr>
          <w:i/>
          <w:iCs/>
        </w:rPr>
        <w:t xml:space="preserve">International </w:t>
      </w:r>
      <w:r w:rsidR="00FE30B5">
        <w:rPr>
          <w:i/>
          <w:iCs/>
        </w:rPr>
        <w:t xml:space="preserve">monitoring and </w:t>
      </w:r>
      <w:r w:rsidRPr="00FE30B5">
        <w:rPr>
          <w:i/>
          <w:iCs/>
        </w:rPr>
        <w:t>engagement</w:t>
      </w:r>
      <w:r>
        <w:t xml:space="preserve"> –</w:t>
      </w:r>
      <w:r w:rsidR="00316494">
        <w:t xml:space="preserve"> </w:t>
      </w:r>
      <w:r>
        <w:t>monitoring the development of international standards and the development of standards that apply in major international financial centres</w:t>
      </w:r>
      <w:r w:rsidR="00316494">
        <w:t xml:space="preserve"> and participating in, and contributing to, the development of a single set of relevant standards for world</w:t>
      </w:r>
      <w:r w:rsidR="007A74C7">
        <w:t>-</w:t>
      </w:r>
      <w:r w:rsidR="00316494">
        <w:t>wide use</w:t>
      </w:r>
    </w:p>
    <w:p w14:paraId="6F761424" w14:textId="74F62A6D" w:rsidR="00BC446D" w:rsidRDefault="00FE30B5" w:rsidP="00BC446D">
      <w:pPr>
        <w:pStyle w:val="Bullet"/>
      </w:pPr>
      <w:r w:rsidRPr="00FE30B5">
        <w:rPr>
          <w:i/>
          <w:iCs/>
        </w:rPr>
        <w:t>Strategic advice and r</w:t>
      </w:r>
      <w:r w:rsidR="00BC446D" w:rsidRPr="00FE30B5">
        <w:rPr>
          <w:i/>
          <w:iCs/>
        </w:rPr>
        <w:t>eporting</w:t>
      </w:r>
      <w:r w:rsidR="00BC446D">
        <w:t xml:space="preserve"> – giving the responsible Minister reports about the processes for setting relevant standards in Australia </w:t>
      </w:r>
      <w:r w:rsidR="00316494">
        <w:t xml:space="preserve">and </w:t>
      </w:r>
      <w:r w:rsidR="00BE3437">
        <w:t xml:space="preserve">giving strategic policy advice and reports in relation to the quality of </w:t>
      </w:r>
      <w:r w:rsidR="00316494">
        <w:t>audit</w:t>
      </w:r>
      <w:r w:rsidR="00BE3437">
        <w:t>s</w:t>
      </w:r>
    </w:p>
    <w:p w14:paraId="1FEF8B03" w14:textId="4F48D59E" w:rsidR="00BC446D" w:rsidRDefault="007A74C7" w:rsidP="00BC446D">
      <w:pPr>
        <w:pStyle w:val="Bullet"/>
      </w:pPr>
      <w:r>
        <w:rPr>
          <w:i/>
          <w:iCs/>
        </w:rPr>
        <w:t>Advancing and p</w:t>
      </w:r>
      <w:r w:rsidR="00046C2F" w:rsidRPr="00046C2F">
        <w:rPr>
          <w:i/>
          <w:iCs/>
        </w:rPr>
        <w:t xml:space="preserve">romoting the objectives of the </w:t>
      </w:r>
      <w:r w:rsidR="00F24494">
        <w:rPr>
          <w:i/>
          <w:iCs/>
        </w:rPr>
        <w:t>f</w:t>
      </w:r>
      <w:r w:rsidR="00046C2F" w:rsidRPr="00046C2F">
        <w:rPr>
          <w:i/>
          <w:iCs/>
        </w:rPr>
        <w:t xml:space="preserve">inancial </w:t>
      </w:r>
      <w:r w:rsidR="00F24494">
        <w:rPr>
          <w:i/>
          <w:iCs/>
        </w:rPr>
        <w:t>r</w:t>
      </w:r>
      <w:r w:rsidR="00046C2F" w:rsidRPr="00046C2F">
        <w:rPr>
          <w:i/>
          <w:iCs/>
        </w:rPr>
        <w:t xml:space="preserve">eporting </w:t>
      </w:r>
      <w:r w:rsidR="00F24494">
        <w:rPr>
          <w:i/>
          <w:iCs/>
        </w:rPr>
        <w:t>s</w:t>
      </w:r>
      <w:r w:rsidR="00046C2F" w:rsidRPr="00046C2F">
        <w:rPr>
          <w:i/>
          <w:iCs/>
        </w:rPr>
        <w:t>ystem</w:t>
      </w:r>
      <w:r w:rsidR="00046C2F">
        <w:t xml:space="preserve"> </w:t>
      </w:r>
      <w:r w:rsidR="00BC446D">
        <w:t>–</w:t>
      </w:r>
      <w:r w:rsidR="00046C2F">
        <w:t xml:space="preserve"> including </w:t>
      </w:r>
      <w:r w:rsidR="00BC446D">
        <w:t>educati</w:t>
      </w:r>
      <w:r w:rsidR="00610D56">
        <w:t>ve</w:t>
      </w:r>
      <w:r w:rsidR="00BC446D">
        <w:t xml:space="preserve"> activities to support implementation and adoption of standards in Australia</w:t>
      </w:r>
      <w:r>
        <w:t>.</w:t>
      </w:r>
      <w:r w:rsidR="00BC446D">
        <w:t xml:space="preserve"> </w:t>
      </w:r>
    </w:p>
    <w:p w14:paraId="32635A40" w14:textId="2C698EAB" w:rsidR="00701964" w:rsidRDefault="00BC446D" w:rsidP="00BC446D">
      <w:r>
        <w:t xml:space="preserve">Functions and powers in the current law which relate to the FRC’s oversight of the AASB and AUASB would naturally form part of </w:t>
      </w:r>
      <w:r w:rsidR="0085546F">
        <w:t xml:space="preserve">the new body’s </w:t>
      </w:r>
      <w:r>
        <w:t>internal management. Further discussion of this is set out in the following section of this consultation paper.</w:t>
      </w:r>
    </w:p>
    <w:p w14:paraId="3A91E99C" w14:textId="2C07AF6B" w:rsidR="00BC446D" w:rsidRDefault="00BC446D" w:rsidP="00BC446D">
      <w:r>
        <w:t xml:space="preserve">The responsible Minister will have the ability to confer new functions on </w:t>
      </w:r>
      <w:r w:rsidR="0085546F">
        <w:t xml:space="preserve">the new body </w:t>
      </w:r>
      <w:r>
        <w:t xml:space="preserve">in writing, as is currently the case in relation to the FRC. </w:t>
      </w:r>
      <w:r w:rsidR="0085546F">
        <w:t xml:space="preserve">The new body </w:t>
      </w:r>
      <w:r>
        <w:t xml:space="preserve">will also have the power to establish standard setting and other committees, advisory groups and consultative groups as </w:t>
      </w:r>
      <w:r w:rsidR="007C1BC9">
        <w:t xml:space="preserve">is </w:t>
      </w:r>
      <w:r>
        <w:t>necessary or convenient to carry out its functions. Together these powers support the objective of increasing flexibility in the financial reporting system as:</w:t>
      </w:r>
    </w:p>
    <w:p w14:paraId="0ABBCDD5" w14:textId="66F0FF56" w:rsidR="00BC446D" w:rsidRDefault="00BC446D" w:rsidP="00BC446D">
      <w:pPr>
        <w:pStyle w:val="Bullet"/>
      </w:pPr>
      <w:r>
        <w:t xml:space="preserve">should future circumstances warrant, </w:t>
      </w:r>
      <w:r w:rsidR="0085546F">
        <w:t xml:space="preserve">the new body </w:t>
      </w:r>
      <w:r>
        <w:t xml:space="preserve">may be empowered to formulate new </w:t>
      </w:r>
      <w:r w:rsidR="00C901EC">
        <w:t xml:space="preserve">kinds </w:t>
      </w:r>
      <w:r>
        <w:t xml:space="preserve">of standards and in turn </w:t>
      </w:r>
      <w:r w:rsidR="00B6472E">
        <w:t xml:space="preserve">would be able to </w:t>
      </w:r>
      <w:r>
        <w:t>set up a new committee with appropriate expertise and delegated authority to deliver that function</w:t>
      </w:r>
    </w:p>
    <w:p w14:paraId="61D414C8" w14:textId="0D87786E" w:rsidR="00BC446D" w:rsidRDefault="0085546F" w:rsidP="00BC446D">
      <w:pPr>
        <w:pStyle w:val="Bullet"/>
      </w:pPr>
      <w:r>
        <w:t xml:space="preserve">the new body </w:t>
      </w:r>
      <w:r w:rsidR="00BC446D">
        <w:t>will also be able to optimise its internal structure to meet evolving priorities within its existing functions (for example, if it were considered efficient and appropriate for future tranches of sustainability standard</w:t>
      </w:r>
      <w:r w:rsidR="004B26CB">
        <w:t>s</w:t>
      </w:r>
      <w:r w:rsidR="00BC446D">
        <w:t xml:space="preserve"> to be set by technical committee</w:t>
      </w:r>
      <w:r w:rsidR="00F80DEB">
        <w:t>s</w:t>
      </w:r>
      <w:r w:rsidR="00BC446D">
        <w:t xml:space="preserve"> separately constituted with expertise relevant to </w:t>
      </w:r>
      <w:r w:rsidR="00227CD7">
        <w:t xml:space="preserve">each </w:t>
      </w:r>
      <w:r w:rsidR="007C1BC9">
        <w:t xml:space="preserve">particular </w:t>
      </w:r>
      <w:r w:rsidR="00BC446D">
        <w:t xml:space="preserve">kind of </w:t>
      </w:r>
      <w:r w:rsidR="00227CD7">
        <w:t>sustainability</w:t>
      </w:r>
      <w:r w:rsidR="00BC446D">
        <w:t xml:space="preserve"> standard).</w:t>
      </w:r>
    </w:p>
    <w:p w14:paraId="202E2389" w14:textId="5DA4CE25" w:rsidR="00BC446D" w:rsidRDefault="00BC446D" w:rsidP="00BC446D">
      <w:r>
        <w:t>Legislative changes may still be required from time to time, for example, to introduce new reporting requirements</w:t>
      </w:r>
      <w:r w:rsidR="00D12A3F">
        <w:t>,</w:t>
      </w:r>
      <w:r>
        <w:t xml:space="preserve"> make compliance with </w:t>
      </w:r>
      <w:r w:rsidR="007A5D85">
        <w:t xml:space="preserve">new kinds of </w:t>
      </w:r>
      <w:r>
        <w:t>standards mandatory</w:t>
      </w:r>
      <w:r w:rsidR="005D7811">
        <w:t>,</w:t>
      </w:r>
      <w:r w:rsidR="00D12A3F">
        <w:t xml:space="preserve"> or to confer different functions on </w:t>
      </w:r>
      <w:r w:rsidR="0085546F">
        <w:t>the body</w:t>
      </w:r>
      <w:r>
        <w:t xml:space="preserve">. However, the new institutional arrangements </w:t>
      </w:r>
      <w:r w:rsidR="00F76C20">
        <w:t>may</w:t>
      </w:r>
      <w:r>
        <w:t xml:space="preserve"> provide greater scope and flexibility for </w:t>
      </w:r>
      <w:r w:rsidR="0085546F">
        <w:t xml:space="preserve">the new body </w:t>
      </w:r>
      <w:r>
        <w:t xml:space="preserve">to formulate proposed or voluntary standards without the need for legislation. </w:t>
      </w:r>
    </w:p>
    <w:p w14:paraId="2516014F" w14:textId="2B3EA3B9" w:rsidR="00BC446D" w:rsidRPr="00B231A8" w:rsidRDefault="007813D4" w:rsidP="007A5D85">
      <w:pPr>
        <w:pStyle w:val="Heading4"/>
      </w:pPr>
      <w:r>
        <w:lastRenderedPageBreak/>
        <w:t xml:space="preserve">The </w:t>
      </w:r>
      <w:r w:rsidR="00BC446D" w:rsidRPr="00B231A8">
        <w:t>Financial Reporting Council’s audit quality function</w:t>
      </w:r>
    </w:p>
    <w:p w14:paraId="263AA7BB" w14:textId="624C97A0" w:rsidR="000729B8" w:rsidRDefault="00BC446D" w:rsidP="00BC446D">
      <w:r>
        <w:t xml:space="preserve">In addition to </w:t>
      </w:r>
      <w:r w:rsidR="00D12BC7">
        <w:t xml:space="preserve">its role providing </w:t>
      </w:r>
      <w:r>
        <w:t xml:space="preserve">oversight of, and advice in relation to, standard setting, the FRC also has </w:t>
      </w:r>
      <w:r w:rsidR="00303F86">
        <w:t>responsibility for</w:t>
      </w:r>
      <w:r>
        <w:t xml:space="preserve"> strategic policy advice and reports in relation to the quality of audits conducted by Australian auditors.</w:t>
      </w:r>
      <w:r>
        <w:rPr>
          <w:rStyle w:val="FootnoteReference"/>
        </w:rPr>
        <w:footnoteReference w:id="10"/>
      </w:r>
      <w:r>
        <w:t xml:space="preserve"> This extends to matters such as</w:t>
      </w:r>
      <w:r w:rsidR="000729B8">
        <w:t>:</w:t>
      </w:r>
      <w:r>
        <w:t xml:space="preserve"> </w:t>
      </w:r>
    </w:p>
    <w:p w14:paraId="453B2E56" w14:textId="33D99FC3" w:rsidR="000729B8" w:rsidRDefault="00BC446D" w:rsidP="00057CBB">
      <w:pPr>
        <w:pStyle w:val="Bullet"/>
      </w:pPr>
      <w:r>
        <w:t xml:space="preserve">the adequacy of the Australian requirements (relevant legislative provisions, auditing standards and applicable codes of professional conduct) in light of international developments regarding audit quality </w:t>
      </w:r>
    </w:p>
    <w:p w14:paraId="2EC1357F" w14:textId="30B488D8" w:rsidR="000729B8" w:rsidRDefault="00C020A1" w:rsidP="00057CBB">
      <w:pPr>
        <w:pStyle w:val="Bullet"/>
      </w:pPr>
      <w:r>
        <w:t xml:space="preserve">the oversight of quality assurance reviews by PABs </w:t>
      </w:r>
    </w:p>
    <w:p w14:paraId="677A2831" w14:textId="23E0FF2A" w:rsidR="000729B8" w:rsidRDefault="00C020A1" w:rsidP="00057CBB">
      <w:pPr>
        <w:pStyle w:val="Bullet"/>
      </w:pPr>
      <w:r>
        <w:t xml:space="preserve">the investigation and disciplinary procedures of PABs </w:t>
      </w:r>
    </w:p>
    <w:p w14:paraId="583CF290" w14:textId="5162F3F3" w:rsidR="00BC446D" w:rsidRDefault="00BC446D" w:rsidP="00057CBB">
      <w:pPr>
        <w:pStyle w:val="Bullet"/>
      </w:pPr>
      <w:r>
        <w:t>the teaching of professional and business ethics by</w:t>
      </w:r>
      <w:r w:rsidR="00557850">
        <w:t>,</w:t>
      </w:r>
      <w:r w:rsidR="00C020A1">
        <w:t xml:space="preserve"> or on behalf of</w:t>
      </w:r>
      <w:r w:rsidR="00557850">
        <w:t>,</w:t>
      </w:r>
      <w:r w:rsidR="007A74C7">
        <w:t xml:space="preserve"> </w:t>
      </w:r>
      <w:r>
        <w:t xml:space="preserve">PABs insofar as it relates to audit quality. </w:t>
      </w:r>
    </w:p>
    <w:p w14:paraId="3532675D" w14:textId="3B72A247" w:rsidR="00BC446D" w:rsidRDefault="007C6EFD" w:rsidP="00BC446D">
      <w:r>
        <w:t>T</w:t>
      </w:r>
      <w:r w:rsidR="00BC446D">
        <w:t>he FRC</w:t>
      </w:r>
      <w:r>
        <w:t xml:space="preserve"> </w:t>
      </w:r>
      <w:r w:rsidR="00BC446D">
        <w:t xml:space="preserve">does not have the power to </w:t>
      </w:r>
      <w:r w:rsidR="005C5AD7">
        <w:t xml:space="preserve">take </w:t>
      </w:r>
      <w:r w:rsidR="00BC446D">
        <w:t>enforce</w:t>
      </w:r>
      <w:r w:rsidR="005C5AD7">
        <w:t>ment action in relation to</w:t>
      </w:r>
      <w:r w:rsidR="00BC446D">
        <w:t xml:space="preserve"> any deficiencies that it becomes aware of</w:t>
      </w:r>
      <w:r w:rsidR="00A565ED">
        <w:t>,</w:t>
      </w:r>
      <w:r w:rsidR="00BC446D">
        <w:t xml:space="preserve"> or compel action as a result of</w:t>
      </w:r>
      <w:r w:rsidR="00EC1CE3">
        <w:t>,</w:t>
      </w:r>
      <w:r w:rsidR="00BC446D">
        <w:t xml:space="preserve"> its investigations.</w:t>
      </w:r>
      <w:r w:rsidR="00190D1A">
        <w:t xml:space="preserve"> </w:t>
      </w:r>
    </w:p>
    <w:p w14:paraId="69B42796" w14:textId="18F05E78" w:rsidR="00BC446D" w:rsidRDefault="00BC446D" w:rsidP="00BC446D">
      <w:r w:rsidRPr="003807BA">
        <w:t xml:space="preserve">Broader scrutiny </w:t>
      </w:r>
      <w:r w:rsidR="00B35E28" w:rsidRPr="003807BA">
        <w:t>ha</w:t>
      </w:r>
      <w:r w:rsidRPr="003807BA">
        <w:t>s</w:t>
      </w:r>
      <w:r w:rsidR="00B35E28" w:rsidRPr="003807BA">
        <w:t xml:space="preserve"> been</w:t>
      </w:r>
      <w:r w:rsidRPr="003807BA">
        <w:t xml:space="preserve"> given to the frameworks for ethical standard setting, audit quality assurance and enforcement through </w:t>
      </w:r>
      <w:r w:rsidR="0093322A" w:rsidRPr="003807BA">
        <w:t>processes such a</w:t>
      </w:r>
      <w:r w:rsidR="00AE4AB1" w:rsidRPr="00294D2E">
        <w:t>s the Parliamentary Joint Committee on Corporations and Financial Services 2023 inquiry into the audit, assurance and consultancy industry</w:t>
      </w:r>
      <w:r w:rsidR="003807BA" w:rsidRPr="00294D2E">
        <w:t xml:space="preserve"> (PJC Report)</w:t>
      </w:r>
      <w:r w:rsidR="007711A4" w:rsidRPr="003807BA">
        <w:t>,</w:t>
      </w:r>
      <w:r w:rsidR="00AB21D1" w:rsidRPr="003807BA">
        <w:t xml:space="preserve"> and Treasury’s ongoing </w:t>
      </w:r>
      <w:r w:rsidR="00EF50BF" w:rsidRPr="003807BA">
        <w:t>consideration</w:t>
      </w:r>
      <w:r w:rsidR="00AB21D1" w:rsidRPr="003807BA">
        <w:t xml:space="preserve"> of the regulation of accounting, auditing and consulting firms in Australia</w:t>
      </w:r>
      <w:r w:rsidR="004D30BB" w:rsidRPr="003807BA">
        <w:t xml:space="preserve"> –</w:t>
      </w:r>
      <w:r w:rsidR="007711A4" w:rsidRPr="003807BA">
        <w:t xml:space="preserve"> </w:t>
      </w:r>
      <w:r w:rsidR="007370A4" w:rsidRPr="003807BA">
        <w:t xml:space="preserve">including via </w:t>
      </w:r>
      <w:r w:rsidR="00BB27AB" w:rsidRPr="003807BA">
        <w:t>the consultation paper released in May 2024</w:t>
      </w:r>
      <w:r w:rsidRPr="003807BA">
        <w:t>.</w:t>
      </w:r>
      <w:r w:rsidR="00BB27AB" w:rsidRPr="003807BA">
        <w:rPr>
          <w:rStyle w:val="FootnoteReference"/>
        </w:rPr>
        <w:footnoteReference w:id="11"/>
      </w:r>
      <w:r w:rsidRPr="003807BA">
        <w:t xml:space="preserve"> </w:t>
      </w:r>
    </w:p>
    <w:p w14:paraId="3F5F864D" w14:textId="1EF2C6D3" w:rsidR="00BC446D" w:rsidRDefault="00BC446D" w:rsidP="00BC446D">
      <w:r>
        <w:t>The</w:t>
      </w:r>
      <w:r w:rsidR="008F51AF">
        <w:t xml:space="preserve">se papers </w:t>
      </w:r>
      <w:r w:rsidR="001F735D">
        <w:t>acknowledge</w:t>
      </w:r>
      <w:r w:rsidDel="001730EA">
        <w:t xml:space="preserve"> </w:t>
      </w:r>
      <w:r w:rsidR="00787B00">
        <w:t xml:space="preserve">a number of </w:t>
      </w:r>
      <w:r>
        <w:t>potential issues relating to enforcement and standard setting, including</w:t>
      </w:r>
      <w:r w:rsidR="00787B00">
        <w:t xml:space="preserve"> that</w:t>
      </w:r>
      <w:r>
        <w:t>:</w:t>
      </w:r>
    </w:p>
    <w:p w14:paraId="4EB00586" w14:textId="7F61BB3E" w:rsidR="00BC446D" w:rsidRDefault="00BC446D" w:rsidP="00BA36DB">
      <w:pPr>
        <w:pStyle w:val="Bullet"/>
      </w:pPr>
      <w:r>
        <w:t xml:space="preserve">a large number of bodies are tasked with setting, overseeing and enforcing audit-related standards </w:t>
      </w:r>
      <w:r w:rsidR="00F06280">
        <w:t xml:space="preserve">which </w:t>
      </w:r>
      <w:r>
        <w:t>may be resulting in overlaps and gaps</w:t>
      </w:r>
    </w:p>
    <w:p w14:paraId="05AC8B9C" w14:textId="2C168AD5" w:rsidR="0093322A" w:rsidRDefault="00BC446D" w:rsidP="0093322A">
      <w:pPr>
        <w:pStyle w:val="Bullet"/>
      </w:pPr>
      <w:r>
        <w:t xml:space="preserve">ASIC </w:t>
      </w:r>
      <w:r w:rsidR="00AC70BD">
        <w:t xml:space="preserve">has a broad range of regulatory priorities, limiting the </w:t>
      </w:r>
      <w:r w:rsidR="00AB3B91">
        <w:t xml:space="preserve">total </w:t>
      </w:r>
      <w:r w:rsidR="00AC70BD">
        <w:t xml:space="preserve">regulatory effort that </w:t>
      </w:r>
      <w:r w:rsidR="0074395F">
        <w:t>can</w:t>
      </w:r>
      <w:r w:rsidR="00AC70BD">
        <w:t xml:space="preserve"> be</w:t>
      </w:r>
      <w:r w:rsidR="0074395F">
        <w:t xml:space="preserve"> </w:t>
      </w:r>
      <w:r w:rsidR="00AC70BD">
        <w:t xml:space="preserve">dedicated </w:t>
      </w:r>
      <w:r>
        <w:t>to audit quality oversight</w:t>
      </w:r>
      <w:r w:rsidR="00990F55">
        <w:t>.</w:t>
      </w:r>
    </w:p>
    <w:tbl>
      <w:tblPr>
        <w:tblpPr w:leftFromText="180" w:rightFromText="180" w:vertAnchor="text" w:horzAnchor="margin" w:tblpY="1078"/>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E26033" w:rsidDel="0093322A" w14:paraId="32AB5F59" w14:textId="77777777" w:rsidTr="00E26033">
        <w:tc>
          <w:tcPr>
            <w:tcW w:w="5000" w:type="pct"/>
            <w:shd w:val="clear" w:color="auto" w:fill="F2F9FC"/>
            <w:hideMark/>
          </w:tcPr>
          <w:p w14:paraId="4A84F6CF" w14:textId="77777777" w:rsidR="00E26033" w:rsidDel="0093322A" w:rsidRDefault="00E26033" w:rsidP="00E26033">
            <w:pPr>
              <w:pStyle w:val="BoxHeading"/>
              <w:rPr>
                <w:lang w:eastAsia="en-US"/>
              </w:rPr>
            </w:pPr>
            <w:r w:rsidRPr="003F3B1B" w:rsidDel="0093322A">
              <w:rPr>
                <w:szCs w:val="28"/>
                <w:lang w:eastAsia="en-US"/>
              </w:rPr>
              <w:t>Consultation</w:t>
            </w:r>
            <w:r w:rsidDel="0093322A">
              <w:rPr>
                <w:lang w:eastAsia="en-US"/>
              </w:rPr>
              <w:t xml:space="preserve"> questions</w:t>
            </w:r>
          </w:p>
          <w:p w14:paraId="69FD3A1D" w14:textId="2E1617C9" w:rsidR="00E26033" w:rsidDel="0093322A" w:rsidRDefault="00E26033" w:rsidP="00E26033">
            <w:pPr>
              <w:pStyle w:val="BoxText"/>
              <w:rPr>
                <w:lang w:eastAsia="en-US"/>
              </w:rPr>
            </w:pPr>
            <w:r w:rsidDel="005B7634">
              <w:rPr>
                <w:lang w:eastAsia="en-US"/>
              </w:rPr>
              <w:t xml:space="preserve">1. </w:t>
            </w:r>
            <w:r w:rsidDel="0093322A">
              <w:rPr>
                <w:lang w:eastAsia="en-US"/>
              </w:rPr>
              <w:t xml:space="preserve">Structure of </w:t>
            </w:r>
            <w:r w:rsidR="001A1259">
              <w:rPr>
                <w:lang w:eastAsia="en-US"/>
              </w:rPr>
              <w:t>the new body</w:t>
            </w:r>
            <w:r w:rsidR="001A1259" w:rsidDel="0093322A">
              <w:rPr>
                <w:lang w:eastAsia="en-US"/>
              </w:rPr>
              <w:t xml:space="preserve"> </w:t>
            </w:r>
            <w:r w:rsidDel="0093322A">
              <w:rPr>
                <w:lang w:eastAsia="en-US"/>
              </w:rPr>
              <w:t xml:space="preserve">– Do you agree with the proposed structure for </w:t>
            </w:r>
            <w:r w:rsidR="001A1259">
              <w:rPr>
                <w:lang w:eastAsia="en-US"/>
              </w:rPr>
              <w:t>the new body</w:t>
            </w:r>
            <w:r w:rsidDel="0093322A">
              <w:rPr>
                <w:lang w:eastAsia="en-US"/>
              </w:rPr>
              <w:t xml:space="preserve">? Are there any changes to </w:t>
            </w:r>
            <w:r w:rsidR="001A1259">
              <w:rPr>
                <w:lang w:eastAsia="en-US"/>
              </w:rPr>
              <w:t xml:space="preserve">the </w:t>
            </w:r>
            <w:r w:rsidR="00496566">
              <w:rPr>
                <w:lang w:eastAsia="en-US"/>
              </w:rPr>
              <w:t xml:space="preserve">proposed </w:t>
            </w:r>
            <w:r w:rsidDel="0093322A">
              <w:rPr>
                <w:lang w:eastAsia="en-US"/>
              </w:rPr>
              <w:t>structure that will better meet the design principles?</w:t>
            </w:r>
          </w:p>
        </w:tc>
      </w:tr>
    </w:tbl>
    <w:p w14:paraId="3AD93BCF" w14:textId="6B7A599D" w:rsidR="0093322A" w:rsidRDefault="0093322A" w:rsidP="00946A4C">
      <w:pPr>
        <w:pStyle w:val="Bullet"/>
        <w:numPr>
          <w:ilvl w:val="0"/>
          <w:numId w:val="0"/>
        </w:numPr>
      </w:pPr>
      <w:r>
        <w:t xml:space="preserve">While in principle the FRC’s existing function of giving strategic policy advice and reports relating to audit quality will be assumed by </w:t>
      </w:r>
      <w:r w:rsidR="00544EDA">
        <w:t>the new body</w:t>
      </w:r>
      <w:r>
        <w:t xml:space="preserve">, further consideration will be given to matters such as the best fit and appropriate </w:t>
      </w:r>
      <w:r w:rsidRPr="00987F51">
        <w:t>scope of this function</w:t>
      </w:r>
      <w:r w:rsidR="00BB27AB">
        <w:t xml:space="preserve"> in the context of Treasury’s ongoing review</w:t>
      </w:r>
      <w:r>
        <w:t>.</w:t>
      </w:r>
    </w:p>
    <w:p w14:paraId="19FD6193" w14:textId="33E73CE3" w:rsidR="00B07824" w:rsidRDefault="00B07824" w:rsidP="00AC6000">
      <w:pPr>
        <w:pStyle w:val="Heading3"/>
      </w:pPr>
      <w:bookmarkStart w:id="21" w:name="_Toc188280723"/>
      <w:r>
        <w:lastRenderedPageBreak/>
        <w:t>Roles of the governing Board and the standard setting committees</w:t>
      </w:r>
      <w:bookmarkEnd w:id="21"/>
    </w:p>
    <w:p w14:paraId="28950884" w14:textId="02503D9C" w:rsidR="00B07824" w:rsidRDefault="00B07824" w:rsidP="00B231A8">
      <w:r>
        <w:t xml:space="preserve">A key design issue is the relationship between the governing Board of </w:t>
      </w:r>
      <w:r w:rsidR="001A1259">
        <w:t xml:space="preserve">the new body </w:t>
      </w:r>
      <w:r>
        <w:t>and its technical</w:t>
      </w:r>
      <w:r w:rsidR="00AC6000">
        <w:t xml:space="preserve"> standard setting</w:t>
      </w:r>
      <w:r>
        <w:t xml:space="preserve"> committees – in particular, the functional and authoritative separation between the </w:t>
      </w:r>
      <w:r w:rsidR="00AC6000">
        <w:t>two</w:t>
      </w:r>
      <w:r>
        <w:t>.</w:t>
      </w:r>
    </w:p>
    <w:p w14:paraId="787467B2" w14:textId="77777777" w:rsidR="00B07824" w:rsidRPr="00B231A8" w:rsidRDefault="00B07824" w:rsidP="00AC6000">
      <w:pPr>
        <w:pStyle w:val="Heading4"/>
      </w:pPr>
      <w:r w:rsidRPr="00B231A8">
        <w:t>Background</w:t>
      </w:r>
    </w:p>
    <w:p w14:paraId="24BB1D43" w14:textId="0045C8C3" w:rsidR="00B07824" w:rsidRDefault="00B07824" w:rsidP="00B231A8">
      <w:r>
        <w:t>The current institutional arrangements for standard setting in Australia have their origins in the CLERP</w:t>
      </w:r>
      <w:r w:rsidR="00B231A8">
        <w:t> </w:t>
      </w:r>
      <w:r>
        <w:t>1 reforms of 2000.</w:t>
      </w:r>
      <w:r w:rsidR="00B231A8">
        <w:rPr>
          <w:rStyle w:val="FootnoteReference"/>
        </w:rPr>
        <w:footnoteReference w:id="12"/>
      </w:r>
      <w:r>
        <w:t xml:space="preserve"> Under those reforms the FRC was established as an advisory body to represent key interest groups and provide broad oversight of the accounting standard setting process. The FRC was given responsibility for approving and monitoring the priorities and business plan, budget and staffing arrangements of a reconstituted AASB with a view to engendering greater stakeholder involvement in accounting standard setting and more fit for purpose financial reporting. The FRC also had a power to determine the AASB’s broad strategic direction and give the AASB directions on matters of general policy which the AASB was required to follow.</w:t>
      </w:r>
    </w:p>
    <w:p w14:paraId="395E6816" w14:textId="0037FCAD" w:rsidR="00B07824" w:rsidRDefault="00B07824" w:rsidP="00B231A8">
      <w:r>
        <w:t>A key element of the CLERP 1 reforms was the delineation of the policy setting roles of the advisory and oversight body and the standard setting body</w:t>
      </w:r>
      <w:r w:rsidR="0027486C">
        <w:t>,</w:t>
      </w:r>
      <w:r w:rsidR="00993720" w:rsidDel="0027486C">
        <w:t xml:space="preserve"> </w:t>
      </w:r>
      <w:r>
        <w:t>with the FRC setting the general and strategic policy direction and priorities</w:t>
      </w:r>
      <w:r w:rsidR="00692B4E">
        <w:t>,</w:t>
      </w:r>
      <w:r>
        <w:t xml:space="preserve"> and the standard setting body independently free to determine the technical content of particular standards within the confines of that framework.</w:t>
      </w:r>
    </w:p>
    <w:p w14:paraId="75CBD82D" w14:textId="3FEB03CD" w:rsidR="00B07824" w:rsidRDefault="00B07824" w:rsidP="00B231A8">
      <w:r>
        <w:t>These arrangements were replicated in 2004 when the AUASB was reconstituted as a statutory body and auditing standards were given a statutory footing as part of the CLERP 9 reforms.</w:t>
      </w:r>
      <w:r w:rsidR="00271C0E">
        <w:rPr>
          <w:rStyle w:val="FootnoteReference"/>
        </w:rPr>
        <w:footnoteReference w:id="13"/>
      </w:r>
    </w:p>
    <w:p w14:paraId="28311B6D" w14:textId="120655F5" w:rsidR="00B07824" w:rsidRDefault="00B07824" w:rsidP="00B231A8">
      <w:r>
        <w:t>Given the FRC was purposely designed to have broad stakeholder representation in order to bring a variety of distinct perspectives to the standard setting system, there was a concern that if it were to make and formulate detailed standards itself a ‘lowest common denominator’ approach may emerge whereby the standards would need to accommodate the preferences of every interest group represented</w:t>
      </w:r>
      <w:r w:rsidR="00F74348">
        <w:t>,</w:t>
      </w:r>
      <w:r>
        <w:t xml:space="preserve"> ultimately undermining the credibility of the standards.</w:t>
      </w:r>
    </w:p>
    <w:p w14:paraId="165971F4" w14:textId="04416340" w:rsidR="00117005" w:rsidRDefault="00B07824" w:rsidP="00B231A8">
      <w:r>
        <w:t>As such</w:t>
      </w:r>
      <w:r w:rsidR="00617E55">
        <w:t>,</w:t>
      </w:r>
      <w:r>
        <w:t xml:space="preserve"> the FRC was expressly prevented from directing, or exercising a power of veto over, the AASB and AUASB in relation to the development, making or</w:t>
      </w:r>
      <w:r w:rsidDel="00CD3213">
        <w:t xml:space="preserve"> </w:t>
      </w:r>
      <w:r>
        <w:t>recommendation of a particular standard.</w:t>
      </w:r>
      <w:r w:rsidR="000746DE">
        <w:rPr>
          <w:rStyle w:val="FootnoteReference"/>
        </w:rPr>
        <w:footnoteReference w:id="14"/>
      </w:r>
    </w:p>
    <w:p w14:paraId="1B81F5B0" w14:textId="77777777" w:rsidR="00B241AC" w:rsidRPr="00B241AC" w:rsidRDefault="00B241AC" w:rsidP="00993720">
      <w:pPr>
        <w:pStyle w:val="Heading4"/>
      </w:pPr>
      <w:r w:rsidRPr="00B241AC">
        <w:t>Adapting to a single body</w:t>
      </w:r>
    </w:p>
    <w:p w14:paraId="63BB1503" w14:textId="0810CA9E" w:rsidR="00B241AC" w:rsidRDefault="00B241AC" w:rsidP="00B241AC">
      <w:r>
        <w:t xml:space="preserve">With the merger of the existing bodies and the transition to a board and committee structure, it is not proposed to retain an express legislative provision delineating the role and powers of </w:t>
      </w:r>
      <w:r w:rsidR="000B252D">
        <w:t xml:space="preserve">the new </w:t>
      </w:r>
      <w:r>
        <w:t>Board and its standard setting committees. There are several reasons for this.</w:t>
      </w:r>
    </w:p>
    <w:p w14:paraId="1B21F726" w14:textId="5C934072" w:rsidR="00B241AC" w:rsidRDefault="00B241AC" w:rsidP="00993720">
      <w:pPr>
        <w:pStyle w:val="Bullet"/>
      </w:pPr>
      <w:r>
        <w:t xml:space="preserve">With the new institutional arrangements, the Board will be accountable for the decisions and performance of </w:t>
      </w:r>
      <w:r w:rsidR="0059003F">
        <w:t xml:space="preserve">the new body </w:t>
      </w:r>
      <w:r>
        <w:t xml:space="preserve">as a whole. While the delegation of its standard setting function would </w:t>
      </w:r>
      <w:r w:rsidRPr="00156332">
        <w:t>mean it would be rare for the Board to involve itself in day-to-day technical standard</w:t>
      </w:r>
      <w:r>
        <w:t xml:space="preserve"> setting, it is nonetheless appropriate for the Board to reserve </w:t>
      </w:r>
      <w:r w:rsidR="00B86764">
        <w:t>its</w:t>
      </w:r>
      <w:r>
        <w:t xml:space="preserve"> power to act. This avoids unnecessary fragmentation of </w:t>
      </w:r>
      <w:r w:rsidR="0059003F">
        <w:t xml:space="preserve">the new body’s </w:t>
      </w:r>
      <w:r>
        <w:t xml:space="preserve">accountability arrangements where the Board is </w:t>
      </w:r>
      <w:r>
        <w:lastRenderedPageBreak/>
        <w:t>responsible for, but ultimately has no ability to address, exceptional but significant issues that may arise.</w:t>
      </w:r>
    </w:p>
    <w:p w14:paraId="0113253B" w14:textId="58344F4D" w:rsidR="00B241AC" w:rsidRPr="000B15F2" w:rsidRDefault="00B241AC" w:rsidP="00B241AC">
      <w:pPr>
        <w:pStyle w:val="Bullet"/>
      </w:pPr>
      <w:r w:rsidRPr="000B15F2">
        <w:t>Consistent with the objective of enhancing flexibility, it is generally preferable to minimise the legislative prescription around matters such as the internal management of the new body.</w:t>
      </w:r>
    </w:p>
    <w:p w14:paraId="5687F34B" w14:textId="01A90164" w:rsidR="00B241AC" w:rsidRDefault="00B241AC" w:rsidP="00603270">
      <w:pPr>
        <w:pStyle w:val="Bullet"/>
        <w:keepNext/>
        <w:ind w:left="522" w:hanging="522"/>
      </w:pPr>
      <w:r w:rsidRPr="000B15F2">
        <w:t>Removal of the express legislative provision will not preclude key benefits of the current</w:t>
      </w:r>
      <w:r>
        <w:t xml:space="preserve"> institutional arrangements</w:t>
      </w:r>
      <w:r w:rsidR="00603270">
        <w:t xml:space="preserve"> being retained</w:t>
      </w:r>
      <w:r>
        <w:t>:</w:t>
      </w:r>
    </w:p>
    <w:p w14:paraId="388D5A31" w14:textId="52AFABFF" w:rsidR="00B241AC" w:rsidRPr="00B71DE1" w:rsidRDefault="00B241AC" w:rsidP="00603270">
      <w:pPr>
        <w:pStyle w:val="Dash"/>
        <w:tabs>
          <w:tab w:val="clear" w:pos="567"/>
          <w:tab w:val="num" w:pos="993"/>
        </w:tabs>
        <w:spacing w:before="120"/>
        <w:ind w:left="992" w:hanging="425"/>
      </w:pPr>
      <w:r w:rsidRPr="00B71DE1">
        <w:t>appropriate technical expertise will still be brought to bear in standard setting with the technical committees</w:t>
      </w:r>
      <w:r w:rsidR="00DA7616">
        <w:t>,</w:t>
      </w:r>
      <w:r w:rsidRPr="00B71DE1">
        <w:t xml:space="preserve"> constituted by members selected for their relevant expertise</w:t>
      </w:r>
      <w:r w:rsidR="00DA7616">
        <w:t>,</w:t>
      </w:r>
      <w:r w:rsidRPr="00B71DE1">
        <w:t xml:space="preserve"> being responsible for making and formulating standards directly </w:t>
      </w:r>
    </w:p>
    <w:p w14:paraId="21C9D5DB" w14:textId="3E716A36" w:rsidR="00B241AC" w:rsidRDefault="00B241AC" w:rsidP="00603270">
      <w:pPr>
        <w:pStyle w:val="Dash"/>
        <w:tabs>
          <w:tab w:val="clear" w:pos="567"/>
          <w:tab w:val="num" w:pos="993"/>
        </w:tabs>
        <w:ind w:left="993" w:hanging="426"/>
      </w:pPr>
      <w:r>
        <w:t xml:space="preserve">the standard setting committees will retain their own distinctiveness as part of </w:t>
      </w:r>
      <w:r w:rsidR="0059003F">
        <w:t xml:space="preserve">the new body </w:t>
      </w:r>
      <w:r>
        <w:t xml:space="preserve">and </w:t>
      </w:r>
      <w:r w:rsidR="00603270">
        <w:t xml:space="preserve">will </w:t>
      </w:r>
      <w:r>
        <w:t>be free to continue to engage directly</w:t>
      </w:r>
      <w:r w:rsidR="00603270">
        <w:t>,</w:t>
      </w:r>
      <w:r>
        <w:t xml:space="preserve"> and on their own behalf</w:t>
      </w:r>
      <w:r w:rsidR="00603270">
        <w:t>,</w:t>
      </w:r>
      <w:r>
        <w:t xml:space="preserve"> with international counterparts.</w:t>
      </w:r>
    </w:p>
    <w:p w14:paraId="571DF40B" w14:textId="70909379" w:rsidR="00B241AC" w:rsidRDefault="00B241AC" w:rsidP="00603270">
      <w:pPr>
        <w:pStyle w:val="Bullet"/>
      </w:pPr>
      <w:r>
        <w:t xml:space="preserve">Not expressly delineating the role and powers of </w:t>
      </w:r>
      <w:r w:rsidR="0059003F">
        <w:t xml:space="preserve">the </w:t>
      </w:r>
      <w:r>
        <w:t xml:space="preserve">Board and its standard setting committees in legislation is consistent with the institutional arrangements in comparable jurisdictions where standard setting </w:t>
      </w:r>
      <w:r w:rsidR="002B05D0">
        <w:t xml:space="preserve">is </w:t>
      </w:r>
      <w:r>
        <w:t xml:space="preserve">performed by a single statutory body, such as the UK’s Financial Reporting Council </w:t>
      </w:r>
      <w:r w:rsidR="00D27359">
        <w:t xml:space="preserve">(UK FRC) </w:t>
      </w:r>
      <w:r>
        <w:t>and New Zealand’s External Reporting Board</w:t>
      </w:r>
      <w:r w:rsidR="00D27359">
        <w:t xml:space="preserve"> (XRB)</w:t>
      </w:r>
      <w:r>
        <w:t>.</w:t>
      </w:r>
    </w:p>
    <w:p w14:paraId="332840C2" w14:textId="4B26B2E8" w:rsidR="00B241AC" w:rsidRDefault="00B241AC" w:rsidP="00F417A7">
      <w:pPr>
        <w:pStyle w:val="Bullet"/>
      </w:pPr>
      <w:r>
        <w:t xml:space="preserve">With respect to the concerns originally raised in the CLERP 1 reforms which led to the express division of responsibility in the legislation: </w:t>
      </w:r>
    </w:p>
    <w:p w14:paraId="2A49287F" w14:textId="7BCE0E25" w:rsidR="00B241AC" w:rsidRDefault="00B241AC" w:rsidP="006E40DB">
      <w:pPr>
        <w:pStyle w:val="Dash"/>
        <w:tabs>
          <w:tab w:val="clear" w:pos="567"/>
          <w:tab w:val="num" w:pos="993"/>
        </w:tabs>
        <w:spacing w:before="120"/>
        <w:ind w:left="993" w:hanging="426"/>
      </w:pPr>
      <w:r>
        <w:t xml:space="preserve">the </w:t>
      </w:r>
      <w:r w:rsidR="001B612D">
        <w:t xml:space="preserve">new </w:t>
      </w:r>
      <w:r>
        <w:t xml:space="preserve">Board’s role with respect to the committees will differ </w:t>
      </w:r>
      <w:r w:rsidR="0094431B">
        <w:t xml:space="preserve">somewhat </w:t>
      </w:r>
      <w:r>
        <w:t>from the FRC’s role (as a representative advisory body) in relation to the AASB and AUASB, particularly as the Board will have governance responsibilities necessitating a broader focus and additional considerations in terms of its membership</w:t>
      </w:r>
    </w:p>
    <w:p w14:paraId="53A357B1" w14:textId="49C10CE4" w:rsidR="00B241AC" w:rsidRDefault="00B241AC" w:rsidP="006E40DB">
      <w:pPr>
        <w:pStyle w:val="Dash"/>
        <w:tabs>
          <w:tab w:val="clear" w:pos="567"/>
          <w:tab w:val="num" w:pos="993"/>
        </w:tabs>
        <w:ind w:left="993" w:hanging="426"/>
      </w:pPr>
      <w:r>
        <w:t xml:space="preserve">on the rare occasion the Board may find it necessary to intervene in relation to </w:t>
      </w:r>
      <w:r w:rsidR="00831620">
        <w:t xml:space="preserve">the process of setting </w:t>
      </w:r>
      <w:r>
        <w:t xml:space="preserve">a particular </w:t>
      </w:r>
      <w:r w:rsidR="00390D2A">
        <w:t xml:space="preserve">technical </w:t>
      </w:r>
      <w:r>
        <w:t xml:space="preserve">standard, it would do so acting collectively rather than </w:t>
      </w:r>
      <w:r w:rsidR="003D6DFA">
        <w:t xml:space="preserve">as </w:t>
      </w:r>
      <w:r>
        <w:t>individual members representing any particular interested group or perspective.</w:t>
      </w:r>
    </w:p>
    <w:p w14:paraId="3C680D0C" w14:textId="0F5B0F62" w:rsidR="00B241AC" w:rsidRDefault="001B612D" w:rsidP="00B241AC">
      <w:r>
        <w:t xml:space="preserve">The new body </w:t>
      </w:r>
      <w:r w:rsidR="00B241AC">
        <w:t xml:space="preserve">will continue to act independently in carrying out its functions and exercising its powers. </w:t>
      </w:r>
    </w:p>
    <w:p w14:paraId="7EC966D6" w14:textId="77777777" w:rsidR="00B241AC" w:rsidRPr="00A039FE" w:rsidRDefault="00B241AC" w:rsidP="000031DA">
      <w:pPr>
        <w:pStyle w:val="Heading4"/>
      </w:pPr>
      <w:r w:rsidRPr="00A039FE">
        <w:t>Delegations</w:t>
      </w:r>
    </w:p>
    <w:p w14:paraId="3683657D" w14:textId="33D0C2BC" w:rsidR="00117005" w:rsidRDefault="00B241AC" w:rsidP="00491E6D">
      <w:r>
        <w:t>It is not proposed that the legislation prescribe that particular committees must be established or details of what should be delegated to them. Consistent with the objective of enhancing flexibility, the</w:t>
      </w:r>
      <w:r w:rsidR="003240E4">
        <w:t xml:space="preserve"> proposed design will seek to </w:t>
      </w:r>
      <w:r>
        <w:t>ensure the internal governance structures of the new body can adapt and remain appropriate over time. Accordingly,</w:t>
      </w:r>
      <w:r w:rsidR="003240E4">
        <w:t xml:space="preserve"> it is not anticipated that</w:t>
      </w:r>
      <w:r>
        <w:t xml:space="preserve"> the legislation would be overly prescriptive in describing how the Board must fulfil its functions</w:t>
      </w:r>
      <w:r w:rsidR="000031DA">
        <w:t>. A</w:t>
      </w:r>
      <w:r>
        <w:t xml:space="preserve">s responsibility vests in the Board, the Board </w:t>
      </w:r>
      <w:r w:rsidR="00937649">
        <w:t xml:space="preserve">will </w:t>
      </w:r>
      <w:r>
        <w:t>have appropriate autonomy to determine how best to perform its functions. This includes flexibility to establish</w:t>
      </w:r>
      <w:r w:rsidR="000031DA">
        <w:t xml:space="preserve"> and</w:t>
      </w:r>
      <w:r>
        <w:t xml:space="preserve"> </w:t>
      </w:r>
      <w:r w:rsidR="000031DA">
        <w:t>amend</w:t>
      </w:r>
      <w:r>
        <w:t xml:space="preserve"> committees as it sees fit.</w:t>
      </w:r>
    </w:p>
    <w:p w14:paraId="31A8EDB3" w14:textId="77777777" w:rsidR="00FD4B71" w:rsidRPr="00FD4B71" w:rsidRDefault="00FD4B71" w:rsidP="000031DA">
      <w:pPr>
        <w:pStyle w:val="Heading4"/>
      </w:pPr>
      <w:r w:rsidRPr="00FD4B71">
        <w:t>Additional mechanisms</w:t>
      </w:r>
    </w:p>
    <w:p w14:paraId="38B3C0B2" w14:textId="630C3FC9" w:rsidR="00FD4B71" w:rsidRDefault="00FD4B71" w:rsidP="00FD4B71">
      <w:r>
        <w:t xml:space="preserve">The proposed structure of </w:t>
      </w:r>
      <w:r w:rsidR="001B612D">
        <w:t xml:space="preserve">the new body </w:t>
      </w:r>
      <w:r>
        <w:t xml:space="preserve">seeks to preserve key elements of the existing institutional arrangements while making necessary changes to ensure appropriate accountability and flexibility within a single body. Even without expressly prescribing respective roles in legislation, there is an expectation that </w:t>
      </w:r>
      <w:r w:rsidR="001B612D">
        <w:t xml:space="preserve">the </w:t>
      </w:r>
      <w:r>
        <w:t xml:space="preserve">Board would be focussed on providing broad strategic direction </w:t>
      </w:r>
      <w:r w:rsidR="009B2192">
        <w:t>a</w:t>
      </w:r>
      <w:r w:rsidR="008C7D7D">
        <w:t>t</w:t>
      </w:r>
      <w:r w:rsidR="009B2192">
        <w:t xml:space="preserve"> an appropriate </w:t>
      </w:r>
      <w:r w:rsidR="009B2192">
        <w:lastRenderedPageBreak/>
        <w:t xml:space="preserve">level </w:t>
      </w:r>
      <w:r>
        <w:t xml:space="preserve">while its standard setting committees </w:t>
      </w:r>
      <w:r w:rsidR="008050AD">
        <w:t xml:space="preserve">determine </w:t>
      </w:r>
      <w:r>
        <w:t xml:space="preserve">the </w:t>
      </w:r>
      <w:r w:rsidR="008050AD">
        <w:t>need for</w:t>
      </w:r>
      <w:r w:rsidR="003B2CB8">
        <w:t>,</w:t>
      </w:r>
      <w:r w:rsidR="008050AD">
        <w:t xml:space="preserve"> and </w:t>
      </w:r>
      <w:r>
        <w:t>content of</w:t>
      </w:r>
      <w:r w:rsidR="003B2CB8">
        <w:t>,</w:t>
      </w:r>
      <w:r>
        <w:t xml:space="preserve"> particular standards</w:t>
      </w:r>
      <w:r w:rsidR="00716ED9">
        <w:t xml:space="preserve"> and any associated guidance</w:t>
      </w:r>
      <w:r>
        <w:t xml:space="preserve">. </w:t>
      </w:r>
    </w:p>
    <w:p w14:paraId="62F4503E" w14:textId="265B7455" w:rsidR="00FD4B71" w:rsidRDefault="00AE15D8" w:rsidP="009209FA">
      <w:pPr>
        <w:keepNext/>
      </w:pPr>
      <w:r>
        <w:t>M</w:t>
      </w:r>
      <w:r w:rsidR="00FD4B71">
        <w:t xml:space="preserve">echanisms </w:t>
      </w:r>
      <w:r>
        <w:t xml:space="preserve">are also available </w:t>
      </w:r>
      <w:r w:rsidR="00FD4B71">
        <w:t>to re</w:t>
      </w:r>
      <w:r>
        <w:t xml:space="preserve">inforce </w:t>
      </w:r>
      <w:r w:rsidR="00FD4B71">
        <w:t>this expectation</w:t>
      </w:r>
      <w:r w:rsidR="00A7015E">
        <w:t xml:space="preserve">, </w:t>
      </w:r>
      <w:r w:rsidR="005D0E1B">
        <w:t>for example</w:t>
      </w:r>
      <w:r w:rsidR="00FD4B71">
        <w:t>:</w:t>
      </w:r>
    </w:p>
    <w:p w14:paraId="51B743B9" w14:textId="2BAA19C5" w:rsidR="00FD4B71" w:rsidRDefault="00FB42BC" w:rsidP="00FD4B71">
      <w:pPr>
        <w:pStyle w:val="Bullet"/>
      </w:pPr>
      <w:r>
        <w:t xml:space="preserve">A </w:t>
      </w:r>
      <w:r w:rsidR="00FD4B71">
        <w:t xml:space="preserve">Statement of Expectations issued by the responsible Minister to </w:t>
      </w:r>
      <w:r w:rsidR="001B612D">
        <w:t xml:space="preserve">the new body </w:t>
      </w:r>
      <w:r w:rsidR="009B2192">
        <w:t>c</w:t>
      </w:r>
      <w:r w:rsidR="00FD4B71">
        <w:t>ould provide additional detail regarding government policies and objectives relevant to the body, including expectations as to organisational and governance matters. Statements of Expectations, along with entities’ Statements of Intent in response, are generally publi</w:t>
      </w:r>
      <w:r w:rsidR="009B2192">
        <w:t>cly available</w:t>
      </w:r>
      <w:r w:rsidR="00FD4B71">
        <w:t>.</w:t>
      </w:r>
    </w:p>
    <w:p w14:paraId="7EADEAF1" w14:textId="3B2A70C6" w:rsidR="00FD4B71" w:rsidRDefault="00FB42BC" w:rsidP="00FD4B71">
      <w:pPr>
        <w:pStyle w:val="Bullet"/>
      </w:pPr>
      <w:r>
        <w:t>P</w:t>
      </w:r>
      <w:r w:rsidR="00FD4B71">
        <w:t>rovisions concerning the Board’s transparency around its deliberations and decision</w:t>
      </w:r>
      <w:r>
        <w:noBreakHyphen/>
      </w:r>
      <w:r w:rsidR="00FD4B71">
        <w:t>making would contribute to ensuring that there is public accountability and scrutiny of its approach:</w:t>
      </w:r>
    </w:p>
    <w:p w14:paraId="711B1E7A" w14:textId="2D35951B" w:rsidR="00FD4B71" w:rsidRDefault="00A11CED" w:rsidP="009B2192">
      <w:pPr>
        <w:pStyle w:val="Dash"/>
        <w:tabs>
          <w:tab w:val="clear" w:pos="567"/>
          <w:tab w:val="num" w:pos="993"/>
        </w:tabs>
        <w:spacing w:before="120"/>
        <w:ind w:left="993" w:hanging="426"/>
      </w:pPr>
      <w:r>
        <w:t>T</w:t>
      </w:r>
      <w:r w:rsidR="00FD4B71">
        <w:t>he terms of reference of the technical committees and/or relevant delegations of power will be publicly available</w:t>
      </w:r>
      <w:r>
        <w:t>.</w:t>
      </w:r>
    </w:p>
    <w:p w14:paraId="386D2322" w14:textId="29BB14AB" w:rsidR="00FD4B71" w:rsidRDefault="00A11CED" w:rsidP="009B2192">
      <w:pPr>
        <w:pStyle w:val="Dash"/>
        <w:tabs>
          <w:tab w:val="clear" w:pos="567"/>
          <w:tab w:val="num" w:pos="993"/>
        </w:tabs>
        <w:ind w:left="993" w:hanging="426"/>
      </w:pPr>
      <w:r>
        <w:t>T</w:t>
      </w:r>
      <w:r w:rsidR="00FD4B71">
        <w:t xml:space="preserve">o the extent Board and committee meetings concern standards, they will be required to be open to observation </w:t>
      </w:r>
      <w:r w:rsidR="003D375C">
        <w:t xml:space="preserve">by </w:t>
      </w:r>
      <w:r w:rsidR="00FD4B71">
        <w:t>the public (such as is required by sections 236A and 236E of the ASIC Act in respect of the AASB and AUASB meetings currently) ensuring there is transparency in any instance where the Board were to consider it necessary to involve itself in a matter relating to technical standard setting.</w:t>
      </w: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FD4B71" w14:paraId="3F09A1BE" w14:textId="77777777" w:rsidTr="00D0797D">
        <w:tc>
          <w:tcPr>
            <w:tcW w:w="5000" w:type="pct"/>
            <w:shd w:val="clear" w:color="auto" w:fill="F2F9FC"/>
            <w:hideMark/>
          </w:tcPr>
          <w:p w14:paraId="0D8E5018" w14:textId="31930C37" w:rsidR="00FD4B71" w:rsidRDefault="00FD4B71">
            <w:pPr>
              <w:pStyle w:val="BoxHeading"/>
              <w:rPr>
                <w:szCs w:val="28"/>
                <w:lang w:eastAsia="en-US"/>
              </w:rPr>
            </w:pPr>
            <w:r>
              <w:rPr>
                <w:szCs w:val="28"/>
                <w:lang w:eastAsia="en-US"/>
              </w:rPr>
              <w:t>Consultation questions</w:t>
            </w:r>
          </w:p>
          <w:p w14:paraId="43D5F1AF" w14:textId="51868DE6" w:rsidR="00520CB2" w:rsidRDefault="000111BC" w:rsidP="00520CB2">
            <w:pPr>
              <w:pStyle w:val="BoxText"/>
              <w:rPr>
                <w:lang w:eastAsia="en-US"/>
              </w:rPr>
            </w:pPr>
            <w:r w:rsidDel="00F9437E">
              <w:rPr>
                <w:lang w:eastAsia="en-US"/>
              </w:rPr>
              <w:t>2</w:t>
            </w:r>
            <w:r w:rsidR="003D375C">
              <w:rPr>
                <w:lang w:eastAsia="en-US"/>
              </w:rPr>
              <w:t xml:space="preserve">. </w:t>
            </w:r>
            <w:r w:rsidR="00BC1A82">
              <w:rPr>
                <w:lang w:eastAsia="en-US"/>
              </w:rPr>
              <w:t xml:space="preserve">Issuing standards – </w:t>
            </w:r>
            <w:r w:rsidR="000D1D7B">
              <w:rPr>
                <w:lang w:eastAsia="en-US"/>
              </w:rPr>
              <w:t xml:space="preserve">Do you agree with </w:t>
            </w:r>
            <w:r w:rsidR="00520CB2">
              <w:rPr>
                <w:lang w:eastAsia="en-US"/>
              </w:rPr>
              <w:t xml:space="preserve">the proposed model for issuing </w:t>
            </w:r>
            <w:r w:rsidR="000D1D7B">
              <w:rPr>
                <w:lang w:eastAsia="en-US"/>
              </w:rPr>
              <w:t xml:space="preserve">technical </w:t>
            </w:r>
            <w:r w:rsidR="00520CB2">
              <w:rPr>
                <w:lang w:eastAsia="en-US"/>
              </w:rPr>
              <w:t>standards? Are there any alternative mechanisms that could be adopted that better meet the design principles?</w:t>
            </w:r>
          </w:p>
          <w:p w14:paraId="27A34E90" w14:textId="075B2FF2" w:rsidR="00FD4B71" w:rsidRDefault="000111BC" w:rsidP="00520CB2">
            <w:pPr>
              <w:pStyle w:val="BoxText"/>
              <w:rPr>
                <w:lang w:eastAsia="en-US"/>
              </w:rPr>
            </w:pPr>
            <w:r w:rsidDel="00F9437E">
              <w:rPr>
                <w:lang w:eastAsia="en-US"/>
              </w:rPr>
              <w:t>3</w:t>
            </w:r>
            <w:r w:rsidR="003D375C">
              <w:rPr>
                <w:lang w:eastAsia="en-US"/>
              </w:rPr>
              <w:t xml:space="preserve">. </w:t>
            </w:r>
            <w:r w:rsidR="00BC1A82">
              <w:rPr>
                <w:lang w:eastAsia="en-US"/>
              </w:rPr>
              <w:t xml:space="preserve">Transparency measures – </w:t>
            </w:r>
            <w:r w:rsidR="00520CB2">
              <w:rPr>
                <w:lang w:eastAsia="en-US"/>
              </w:rPr>
              <w:t>Are the proposed transparency measures relating to the respective roles of the Board and committees adequate? If not, what additional measure would you suggest?</w:t>
            </w:r>
          </w:p>
        </w:tc>
      </w:tr>
    </w:tbl>
    <w:p w14:paraId="3F1C03D3" w14:textId="77777777" w:rsidR="008C2B4A" w:rsidRDefault="008C2B4A" w:rsidP="003D375C">
      <w:pPr>
        <w:pStyle w:val="Heading3"/>
      </w:pPr>
      <w:bookmarkStart w:id="22" w:name="_Toc188280724"/>
      <w:r>
        <w:t>Appointments, qualifications and staff</w:t>
      </w:r>
      <w:bookmarkEnd w:id="22"/>
    </w:p>
    <w:p w14:paraId="30CB9B2E" w14:textId="2AE21B70" w:rsidR="008C2B4A" w:rsidRPr="008C2B4A" w:rsidRDefault="008C2B4A" w:rsidP="003D375C">
      <w:pPr>
        <w:pStyle w:val="Heading4"/>
      </w:pPr>
      <w:r w:rsidRPr="008C2B4A">
        <w:t>Appointment</w:t>
      </w:r>
      <w:r w:rsidR="007E6464">
        <w:t>s</w:t>
      </w:r>
      <w:r w:rsidRPr="008C2B4A">
        <w:t xml:space="preserve"> process</w:t>
      </w:r>
    </w:p>
    <w:p w14:paraId="0E0D1246" w14:textId="0A16071B" w:rsidR="008C2B4A" w:rsidRDefault="008C2B4A" w:rsidP="008C2B4A">
      <w:r>
        <w:t xml:space="preserve">Currently, the responsible Minister appoints the Chair and members of the FRC and the Chairs of the AASB and AUASB. The FRC appoints the other members of the AASB and AUASB. With the establishment of </w:t>
      </w:r>
      <w:r w:rsidR="001B612D">
        <w:t>the new body</w:t>
      </w:r>
      <w:r>
        <w:t xml:space="preserve">, the responsible Minister will only appoint the Chair and members of the governing Board. The Chairs and members of the technical </w:t>
      </w:r>
      <w:r w:rsidR="00E66546">
        <w:t xml:space="preserve">standard setting committees </w:t>
      </w:r>
      <w:r>
        <w:t xml:space="preserve">and </w:t>
      </w:r>
      <w:r w:rsidR="00E66546">
        <w:t xml:space="preserve">any </w:t>
      </w:r>
      <w:r>
        <w:t xml:space="preserve">other committees established by the Board will be appointed by the Board. </w:t>
      </w:r>
    </w:p>
    <w:p w14:paraId="2682C3C0" w14:textId="4C1DB23C" w:rsidR="008C2B4A" w:rsidRDefault="008C2B4A" w:rsidP="008C2B4A">
      <w:r>
        <w:t xml:space="preserve">The legislation will not prescribe that </w:t>
      </w:r>
      <w:r w:rsidR="009525AF">
        <w:t xml:space="preserve">the </w:t>
      </w:r>
      <w:r>
        <w:t xml:space="preserve">Chairs of the standard setting committees or any other member of the standard setting committees </w:t>
      </w:r>
      <w:r w:rsidR="0044523C">
        <w:t>must</w:t>
      </w:r>
      <w:r>
        <w:t xml:space="preserve"> be members of the governing Board</w:t>
      </w:r>
      <w:r w:rsidR="0044523C">
        <w:t>.</w:t>
      </w:r>
      <w:r>
        <w:t xml:space="preserve"> </w:t>
      </w:r>
    </w:p>
    <w:p w14:paraId="019C58B2" w14:textId="77777777" w:rsidR="008C2B4A" w:rsidRPr="009931E3" w:rsidRDefault="008C2B4A" w:rsidP="0044523C">
      <w:pPr>
        <w:pStyle w:val="Heading4"/>
      </w:pPr>
      <w:r w:rsidRPr="009931E3">
        <w:t>Qualifications and remuneration</w:t>
      </w:r>
    </w:p>
    <w:p w14:paraId="66036420" w14:textId="60E53702" w:rsidR="008C2B4A" w:rsidRDefault="008C2B4A" w:rsidP="008C2B4A">
      <w:r>
        <w:t xml:space="preserve">In relation to the Board, it is expected appointments will necessarily reflect: </w:t>
      </w:r>
    </w:p>
    <w:p w14:paraId="2B251A10" w14:textId="61E2288A" w:rsidR="008C2B4A" w:rsidRDefault="008C2B4A" w:rsidP="009931E3">
      <w:pPr>
        <w:pStyle w:val="Bullet"/>
      </w:pPr>
      <w:r>
        <w:t xml:space="preserve">the mandate of </w:t>
      </w:r>
      <w:r w:rsidR="001B612D">
        <w:t xml:space="preserve">the new body </w:t>
      </w:r>
      <w:r>
        <w:t>(as it may evolve over time)</w:t>
      </w:r>
    </w:p>
    <w:p w14:paraId="49658F1C" w14:textId="24DB3EF6" w:rsidR="008C2B4A" w:rsidRDefault="008C2B4A" w:rsidP="009931E3">
      <w:pPr>
        <w:pStyle w:val="Bullet"/>
      </w:pPr>
      <w:r>
        <w:t>the governance functions of the Board generally</w:t>
      </w:r>
    </w:p>
    <w:p w14:paraId="583000F5" w14:textId="1F0D75F1" w:rsidR="008C2B4A" w:rsidRDefault="008C2B4A" w:rsidP="009931E3">
      <w:pPr>
        <w:pStyle w:val="Bullet"/>
      </w:pPr>
      <w:r>
        <w:lastRenderedPageBreak/>
        <w:t>the role of the Board as the accountable authority of the new body.</w:t>
      </w:r>
    </w:p>
    <w:p w14:paraId="44A1A466" w14:textId="42FD3578" w:rsidR="008C2B4A" w:rsidRDefault="008C2B4A" w:rsidP="008C2B4A">
      <w:r>
        <w:t>As such, the requisite qualifications, skills and experience requirements for the Board</w:t>
      </w:r>
      <w:r w:rsidR="001678EC">
        <w:t xml:space="preserve"> Chair and</w:t>
      </w:r>
      <w:r>
        <w:t xml:space="preserve"> </w:t>
      </w:r>
      <w:r w:rsidR="001678EC">
        <w:t xml:space="preserve">members </w:t>
      </w:r>
      <w:r>
        <w:t xml:space="preserve">will be appropriately broad and may include </w:t>
      </w:r>
      <w:r w:rsidRPr="001F4D3E">
        <w:t xml:space="preserve">knowledge or experience </w:t>
      </w:r>
      <w:r w:rsidR="00DB0DB1" w:rsidRPr="001F4D3E">
        <w:t>in</w:t>
      </w:r>
      <w:r w:rsidRPr="001F4D3E">
        <w:t xml:space="preserve"> business, accounting, auditing, law, government, science, sustainability or climate change</w:t>
      </w:r>
      <w:r>
        <w:t xml:space="preserve">, </w:t>
      </w:r>
      <w:r w:rsidR="00315811">
        <w:t xml:space="preserve">corporate </w:t>
      </w:r>
      <w:r>
        <w:t xml:space="preserve">governance </w:t>
      </w:r>
      <w:r w:rsidR="00121BB6">
        <w:t>and/or markets, as well as</w:t>
      </w:r>
      <w:r>
        <w:t xml:space="preserve"> any other field relevant to additional functions conferred by the Minister in future.</w:t>
      </w:r>
    </w:p>
    <w:p w14:paraId="082CBE64" w14:textId="3B902A4F" w:rsidR="008C2B4A" w:rsidRDefault="001B3182" w:rsidP="008C2B4A">
      <w:r>
        <w:t>I</w:t>
      </w:r>
      <w:r w:rsidR="008C2B4A">
        <w:t>t is proposed that the skills and experience requirements currently in place for membership of the AASB and AUASB will be replicated</w:t>
      </w:r>
      <w:r w:rsidR="00F43937">
        <w:t xml:space="preserve"> for appointments to </w:t>
      </w:r>
      <w:r w:rsidR="001B612D">
        <w:t xml:space="preserve">the new body’s </w:t>
      </w:r>
      <w:r w:rsidR="00F43937">
        <w:t>standard setting committees</w:t>
      </w:r>
      <w:r w:rsidR="008C2B4A">
        <w:t>. This is appropriate having regard to their continuing focus on technical standard setting.</w:t>
      </w:r>
    </w:p>
    <w:p w14:paraId="4C6EDA62" w14:textId="1782D7EE" w:rsidR="00786738" w:rsidRDefault="00900826" w:rsidP="008C2B4A">
      <w:r>
        <w:t xml:space="preserve">The PJC </w:t>
      </w:r>
      <w:r w:rsidR="001C29C6">
        <w:t>R</w:t>
      </w:r>
      <w:r>
        <w:t xml:space="preserve">eport highlighted the tension between standard setters (and regulators) having access to relevant skills and experience to perform their functions and ensuring such bodies are able to act independently of the industry they oversee. Consideration will need to be given to whether there is the potential for conflicts of interest to arise where candidates for membership of the Board or committees have close, contemporaneous ties to the accounting and auditing industry, and how best these could be addressed or managed. </w:t>
      </w:r>
    </w:p>
    <w:p w14:paraId="3790B3EE" w14:textId="3D53788A" w:rsidR="008C2B4A" w:rsidRDefault="008C2B4A" w:rsidP="008C2B4A">
      <w:r>
        <w:t>The remuneration and terms and conditions for both the Board and technical standard setting committee Chairs and members will be determined by the Remuneration Tribunal. Remuneration and terms and conditions for Chairs and members of other committees established by the Board, such as a nominations committee or other advisory groups or committees, would be determined by the Board.</w:t>
      </w:r>
    </w:p>
    <w:p w14:paraId="455394BE" w14:textId="77777777" w:rsidR="008C2B4A" w:rsidRPr="008C2B4A" w:rsidRDefault="008C2B4A" w:rsidP="00B92ED6">
      <w:pPr>
        <w:pStyle w:val="Heading4"/>
      </w:pPr>
      <w:r w:rsidRPr="008C2B4A">
        <w:t>Staff</w:t>
      </w:r>
    </w:p>
    <w:p w14:paraId="327E0A5A" w14:textId="23769076" w:rsidR="008C2B4A" w:rsidRDefault="003D5E39" w:rsidP="008C2B4A">
      <w:r>
        <w:t xml:space="preserve">The new body </w:t>
      </w:r>
      <w:r w:rsidR="008C2B4A">
        <w:t xml:space="preserve">will be able to engage staff or consultants under written agreements. </w:t>
      </w:r>
      <w:r>
        <w:t xml:space="preserve">It </w:t>
      </w:r>
      <w:r w:rsidR="008C2B4A">
        <w:t xml:space="preserve">will also be able to engage staff under the </w:t>
      </w:r>
      <w:r w:rsidR="008C2B4A" w:rsidRPr="00310F44">
        <w:rPr>
          <w:i/>
        </w:rPr>
        <w:t>Public Service Act</w:t>
      </w:r>
      <w:r w:rsidR="00E9406D" w:rsidRPr="00310F44">
        <w:rPr>
          <w:i/>
        </w:rPr>
        <w:t xml:space="preserve"> 1999</w:t>
      </w:r>
      <w:r w:rsidR="00E9406D">
        <w:t xml:space="preserve"> (</w:t>
      </w:r>
      <w:r w:rsidR="008C2B4A">
        <w:t>Public Service Act</w:t>
      </w:r>
      <w:r w:rsidR="00310F44">
        <w:t>)</w:t>
      </w:r>
      <w:r w:rsidR="008C2B4A">
        <w:t>.</w:t>
      </w:r>
    </w:p>
    <w:p w14:paraId="692E0F8E" w14:textId="71436C6E" w:rsidR="009931E3" w:rsidRDefault="008C2B4A" w:rsidP="008C2B4A">
      <w:r>
        <w:t>It is envisaged an appropriately qualified person would be engaged as Chief Executive Officer responsible for the day</w:t>
      </w:r>
      <w:r w:rsidR="00693D1D">
        <w:t>-</w:t>
      </w:r>
      <w:r>
        <w:t>to</w:t>
      </w:r>
      <w:r w:rsidR="00693D1D">
        <w:t>-</w:t>
      </w:r>
      <w:r>
        <w:t xml:space="preserve">day operations of </w:t>
      </w:r>
      <w:r w:rsidR="009A60C1">
        <w:t>the new body</w:t>
      </w:r>
      <w:r>
        <w:t>. Staff will report to the Chief Executive Officer, who will in turn be accountable to the Board (through the Chair).</w:t>
      </w:r>
    </w:p>
    <w:tbl>
      <w:tblPr>
        <w:tblpPr w:leftFromText="180" w:rightFromText="180" w:vertAnchor="text" w:horzAnchor="margin" w:tblpY="77"/>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195FC2" w14:paraId="46D71743" w14:textId="77777777" w:rsidTr="00195FC2">
        <w:tc>
          <w:tcPr>
            <w:tcW w:w="5000" w:type="pct"/>
            <w:shd w:val="clear" w:color="auto" w:fill="F2F9FC"/>
            <w:hideMark/>
          </w:tcPr>
          <w:p w14:paraId="1CF01472" w14:textId="77777777" w:rsidR="00195FC2" w:rsidRDefault="00195FC2" w:rsidP="00195FC2">
            <w:pPr>
              <w:pStyle w:val="BoxHeading"/>
              <w:rPr>
                <w:lang w:eastAsia="en-US"/>
              </w:rPr>
            </w:pPr>
            <w:r w:rsidRPr="003F3B1B">
              <w:rPr>
                <w:szCs w:val="28"/>
                <w:lang w:eastAsia="en-US"/>
              </w:rPr>
              <w:t>Consultation</w:t>
            </w:r>
            <w:r>
              <w:rPr>
                <w:lang w:eastAsia="en-US"/>
              </w:rPr>
              <w:t xml:space="preserve"> questions</w:t>
            </w:r>
          </w:p>
          <w:p w14:paraId="414D2026" w14:textId="3DE892AB" w:rsidR="00195FC2" w:rsidRDefault="00195FC2" w:rsidP="00195FC2">
            <w:pPr>
              <w:pStyle w:val="BoxText"/>
              <w:rPr>
                <w:lang w:eastAsia="en-US"/>
              </w:rPr>
            </w:pPr>
            <w:r w:rsidDel="00F9437E">
              <w:rPr>
                <w:lang w:eastAsia="en-US"/>
              </w:rPr>
              <w:t>4</w:t>
            </w:r>
            <w:r>
              <w:rPr>
                <w:lang w:eastAsia="en-US"/>
              </w:rPr>
              <w:t xml:space="preserve">. </w:t>
            </w:r>
            <w:r w:rsidR="00417F1F">
              <w:rPr>
                <w:lang w:eastAsia="en-US"/>
              </w:rPr>
              <w:t xml:space="preserve"> Board </w:t>
            </w:r>
            <w:r w:rsidR="000A7F2A">
              <w:rPr>
                <w:lang w:eastAsia="en-US"/>
              </w:rPr>
              <w:t xml:space="preserve">and committee </w:t>
            </w:r>
            <w:r w:rsidR="00417F1F">
              <w:rPr>
                <w:lang w:eastAsia="en-US"/>
              </w:rPr>
              <w:t xml:space="preserve">appointment eligibility – Should </w:t>
            </w:r>
            <w:r w:rsidR="00E0315B">
              <w:rPr>
                <w:lang w:eastAsia="en-US"/>
              </w:rPr>
              <w:t xml:space="preserve">requirements be imposed </w:t>
            </w:r>
            <w:r w:rsidR="00FA2D0A">
              <w:rPr>
                <w:lang w:eastAsia="en-US"/>
              </w:rPr>
              <w:t xml:space="preserve">that </w:t>
            </w:r>
            <w:r w:rsidR="000A7F2A">
              <w:rPr>
                <w:lang w:eastAsia="en-US"/>
              </w:rPr>
              <w:t xml:space="preserve">candidates for membership of the </w:t>
            </w:r>
            <w:r w:rsidR="009A60C1">
              <w:rPr>
                <w:lang w:eastAsia="en-US"/>
              </w:rPr>
              <w:t xml:space="preserve">new </w:t>
            </w:r>
            <w:r w:rsidR="00417F1F">
              <w:rPr>
                <w:lang w:eastAsia="en-US"/>
              </w:rPr>
              <w:t xml:space="preserve">Board </w:t>
            </w:r>
            <w:r w:rsidR="000A7F2A">
              <w:rPr>
                <w:lang w:eastAsia="en-US"/>
              </w:rPr>
              <w:t>and/or its technical standard setting committees must</w:t>
            </w:r>
            <w:r w:rsidR="00CD4D8C">
              <w:rPr>
                <w:lang w:eastAsia="en-US"/>
              </w:rPr>
              <w:t xml:space="preserve"> </w:t>
            </w:r>
            <w:r w:rsidR="00476DAC">
              <w:rPr>
                <w:lang w:eastAsia="en-US"/>
              </w:rPr>
              <w:t>d</w:t>
            </w:r>
            <w:r w:rsidR="00417F1F">
              <w:rPr>
                <w:lang w:eastAsia="en-US"/>
              </w:rPr>
              <w:t>emonstrat</w:t>
            </w:r>
            <w:r w:rsidR="00476DAC">
              <w:rPr>
                <w:lang w:eastAsia="en-US"/>
              </w:rPr>
              <w:t>e</w:t>
            </w:r>
            <w:r w:rsidR="00417F1F">
              <w:rPr>
                <w:lang w:eastAsia="en-US"/>
              </w:rPr>
              <w:t xml:space="preserve"> appropriate </w:t>
            </w:r>
            <w:r w:rsidR="003A1321">
              <w:rPr>
                <w:lang w:eastAsia="en-US"/>
              </w:rPr>
              <w:t>independence</w:t>
            </w:r>
            <w:r w:rsidR="00417F1F">
              <w:rPr>
                <w:lang w:eastAsia="en-US"/>
              </w:rPr>
              <w:t xml:space="preserve"> from industry </w:t>
            </w:r>
            <w:r w:rsidR="004C6F5D">
              <w:rPr>
                <w:lang w:eastAsia="en-US"/>
              </w:rPr>
              <w:t>(</w:t>
            </w:r>
            <w:r w:rsidR="00417F1F">
              <w:rPr>
                <w:lang w:eastAsia="en-US"/>
              </w:rPr>
              <w:t>for example, not having worked in an accounting or auditing firm for a specified period</w:t>
            </w:r>
            <w:r w:rsidR="000A7F2A">
              <w:rPr>
                <w:lang w:eastAsia="en-US"/>
              </w:rPr>
              <w:t xml:space="preserve"> or not having financial ties to a firm</w:t>
            </w:r>
            <w:r w:rsidR="004C6F5D">
              <w:rPr>
                <w:lang w:eastAsia="en-US"/>
              </w:rPr>
              <w:t>)</w:t>
            </w:r>
            <w:r w:rsidR="00417F1F">
              <w:rPr>
                <w:lang w:eastAsia="en-US"/>
              </w:rPr>
              <w:t>? What should those particular requirements entail</w:t>
            </w:r>
            <w:r w:rsidR="000A7F2A">
              <w:rPr>
                <w:lang w:eastAsia="en-US"/>
              </w:rPr>
              <w:t xml:space="preserve"> and how can th</w:t>
            </w:r>
            <w:r w:rsidR="004C6F5D">
              <w:rPr>
                <w:lang w:eastAsia="en-US"/>
              </w:rPr>
              <w:t>ose</w:t>
            </w:r>
            <w:r w:rsidR="000A7F2A">
              <w:rPr>
                <w:lang w:eastAsia="en-US"/>
              </w:rPr>
              <w:t xml:space="preserve"> be balanced against the need for specialist expertise</w:t>
            </w:r>
            <w:r w:rsidR="00417F1F">
              <w:rPr>
                <w:lang w:eastAsia="en-US"/>
              </w:rPr>
              <w:t>?</w:t>
            </w:r>
          </w:p>
        </w:tc>
      </w:tr>
    </w:tbl>
    <w:p w14:paraId="285FE38E" w14:textId="1BB77C73" w:rsidR="008C2B4A" w:rsidRPr="009931E3" w:rsidRDefault="008C2B4A" w:rsidP="00B92ED6">
      <w:pPr>
        <w:pStyle w:val="Heading3"/>
      </w:pPr>
      <w:bookmarkStart w:id="23" w:name="_Toc188280725"/>
      <w:r w:rsidRPr="009931E3">
        <w:t>Strengthening institutional governance</w:t>
      </w:r>
      <w:bookmarkEnd w:id="23"/>
    </w:p>
    <w:p w14:paraId="01A995A8" w14:textId="1EF9F56B" w:rsidR="008C2B4A" w:rsidRDefault="000C7E04" w:rsidP="008C2B4A">
      <w:r>
        <w:t>The c</w:t>
      </w:r>
      <w:r w:rsidR="008C2B4A">
        <w:t xml:space="preserve">reation of </w:t>
      </w:r>
      <w:r w:rsidR="009A60C1">
        <w:t xml:space="preserve">the new body </w:t>
      </w:r>
      <w:r w:rsidR="008C2B4A">
        <w:t xml:space="preserve">presents an opportunity to strengthen the institutional governance arrangements and address any current gaps. Areas already identified where there are opportunities to strengthen the current arrangements include the addition of mechanisms to prohibit conflicts of </w:t>
      </w:r>
      <w:r w:rsidR="008C2B4A">
        <w:lastRenderedPageBreak/>
        <w:t>interest involving members</w:t>
      </w:r>
      <w:r w:rsidR="00856DB4">
        <w:rPr>
          <w:rStyle w:val="FootnoteReference"/>
        </w:rPr>
        <w:footnoteReference w:id="15"/>
      </w:r>
      <w:r w:rsidR="008C2B4A">
        <w:t xml:space="preserve"> and the capacity for the responsible Minister to formally terminate the appointment of </w:t>
      </w:r>
      <w:r w:rsidR="005C6E97">
        <w:t xml:space="preserve">Board </w:t>
      </w:r>
      <w:r w:rsidR="008C2B4A">
        <w:t>members in certain circumstances.</w:t>
      </w:r>
    </w:p>
    <w:p w14:paraId="61DF040E" w14:textId="77777777" w:rsidR="008C2B4A" w:rsidRDefault="008C2B4A" w:rsidP="008C2B4A">
      <w:r>
        <w:t>A more robust corporate governance framework will result from:</w:t>
      </w:r>
    </w:p>
    <w:p w14:paraId="43AB6581" w14:textId="2ABE4E9F" w:rsidR="008C2B4A" w:rsidRPr="00D57DCC" w:rsidRDefault="008C2B4A" w:rsidP="00765029">
      <w:pPr>
        <w:pStyle w:val="Bullet"/>
      </w:pPr>
      <w:r w:rsidRPr="00D57DCC">
        <w:t>requiring Board members to disclose potential or actual conflicts of interest</w:t>
      </w:r>
      <w:r w:rsidR="0023424E" w:rsidRPr="00D57DCC">
        <w:t>s</w:t>
      </w:r>
      <w:r w:rsidRPr="00D57DCC">
        <w:t>, including business relationships and financial interests, to the responsible Minister</w:t>
      </w:r>
    </w:p>
    <w:p w14:paraId="2161D1B1" w14:textId="3C5DC14E" w:rsidR="008C2B4A" w:rsidRDefault="008C2B4A" w:rsidP="00765029">
      <w:pPr>
        <w:pStyle w:val="Bullet"/>
      </w:pPr>
      <w:r w:rsidRPr="00D57DCC">
        <w:t>requiring committee members to disclose potential</w:t>
      </w:r>
      <w:r>
        <w:t xml:space="preserve"> or actual conflicts of interest</w:t>
      </w:r>
      <w:r w:rsidR="0023424E">
        <w:t>s</w:t>
      </w:r>
      <w:r>
        <w:t xml:space="preserve">, including business relationships and financial interests, to the Chair of the Board </w:t>
      </w:r>
    </w:p>
    <w:tbl>
      <w:tblPr>
        <w:tblpPr w:leftFromText="180" w:rightFromText="180" w:vertAnchor="text" w:horzAnchor="margin" w:tblpY="786"/>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297998" w14:paraId="60EE0C7C" w14:textId="77777777" w:rsidTr="00297998">
        <w:tc>
          <w:tcPr>
            <w:tcW w:w="5000" w:type="pct"/>
            <w:shd w:val="clear" w:color="auto" w:fill="F2F9FC"/>
            <w:hideMark/>
          </w:tcPr>
          <w:p w14:paraId="4E4056AF" w14:textId="77777777" w:rsidR="00297998" w:rsidRDefault="00297998" w:rsidP="00297998">
            <w:pPr>
              <w:pStyle w:val="BoxHeading"/>
              <w:rPr>
                <w:szCs w:val="28"/>
                <w:lang w:eastAsia="en-US"/>
              </w:rPr>
            </w:pPr>
            <w:r>
              <w:rPr>
                <w:szCs w:val="28"/>
                <w:lang w:eastAsia="en-US"/>
              </w:rPr>
              <w:t>Consultation questions</w:t>
            </w:r>
          </w:p>
          <w:p w14:paraId="154A5D68" w14:textId="5FDCB37C" w:rsidR="00297998" w:rsidRDefault="00BA44A4" w:rsidP="00297998">
            <w:pPr>
              <w:pStyle w:val="BoxText"/>
              <w:rPr>
                <w:lang w:eastAsia="en-US"/>
              </w:rPr>
            </w:pPr>
            <w:r w:rsidDel="00F9437E">
              <w:rPr>
                <w:lang w:eastAsia="en-US"/>
              </w:rPr>
              <w:t>5</w:t>
            </w:r>
            <w:r w:rsidR="00297998">
              <w:rPr>
                <w:lang w:eastAsia="en-US"/>
              </w:rPr>
              <w:t xml:space="preserve">. Strengthening institutional governance – </w:t>
            </w:r>
            <w:r w:rsidR="00297998" w:rsidRPr="00341001">
              <w:rPr>
                <w:lang w:eastAsia="en-US"/>
              </w:rPr>
              <w:t xml:space="preserve">Do you agree with the proposed changes to strengthen the governance and oversight? Are there any other gaps or opportunities to strengthen the governance arrangements of </w:t>
            </w:r>
            <w:r w:rsidR="000108C6">
              <w:rPr>
                <w:lang w:eastAsia="en-US"/>
              </w:rPr>
              <w:t>the new body</w:t>
            </w:r>
            <w:r w:rsidR="00297998" w:rsidRPr="00341001">
              <w:rPr>
                <w:lang w:eastAsia="en-US"/>
              </w:rPr>
              <w:t>?</w:t>
            </w:r>
          </w:p>
        </w:tc>
      </w:tr>
    </w:tbl>
    <w:p w14:paraId="41D31374" w14:textId="38D6773E" w:rsidR="00491E6D" w:rsidRDefault="008C2B4A" w:rsidP="00765029">
      <w:pPr>
        <w:pStyle w:val="Bullet"/>
      </w:pPr>
      <w:r>
        <w:t xml:space="preserve">replicating the existing AASB and AUASB termination provisions for members of the </w:t>
      </w:r>
      <w:r w:rsidR="000108C6">
        <w:t xml:space="preserve">new </w:t>
      </w:r>
      <w:r>
        <w:t>Board</w:t>
      </w:r>
      <w:r w:rsidR="00765029">
        <w:t>.</w:t>
      </w:r>
    </w:p>
    <w:p w14:paraId="61FC6FB5" w14:textId="28D57843" w:rsidR="001803AE" w:rsidRDefault="00B73759" w:rsidP="00B92ED6">
      <w:pPr>
        <w:pStyle w:val="Heading1"/>
      </w:pPr>
      <w:bookmarkStart w:id="24" w:name="_Toc188280726"/>
      <w:r>
        <w:t>Next steps</w:t>
      </w:r>
      <w:bookmarkEnd w:id="24"/>
    </w:p>
    <w:p w14:paraId="4F96B55B" w14:textId="0890694F" w:rsidR="001803AE" w:rsidRPr="001803AE" w:rsidRDefault="001803AE" w:rsidP="001803AE">
      <w:r w:rsidRPr="001803AE">
        <w:t xml:space="preserve">Stakeholders are invited to respond to the questions in this paper and provide other views on the design of </w:t>
      </w:r>
      <w:r w:rsidR="000108C6">
        <w:t>the new body</w:t>
      </w:r>
      <w:r w:rsidR="000108C6" w:rsidRPr="001803AE">
        <w:t xml:space="preserve"> </w:t>
      </w:r>
      <w:r w:rsidRPr="001803AE">
        <w:t xml:space="preserve">to assist Treasury in settling the arrangements to implement the Government’s decision to combine the existing bodies. </w:t>
      </w:r>
    </w:p>
    <w:p w14:paraId="63B83A73" w14:textId="68FDEE7C" w:rsidR="001803AE" w:rsidRPr="001803AE" w:rsidRDefault="001803AE" w:rsidP="001803AE">
      <w:r w:rsidRPr="001803AE">
        <w:t>Public consultation will be undertaken on exposure draft legislation, including appropriate transitional arrangements</w:t>
      </w:r>
      <w:r w:rsidR="000D286C">
        <w:t>, in due course</w:t>
      </w:r>
      <w:r w:rsidRPr="001803AE">
        <w:t>.</w:t>
      </w:r>
    </w:p>
    <w:p w14:paraId="6038C093" w14:textId="44CFF584" w:rsidR="005A6B85" w:rsidRDefault="005A6B85" w:rsidP="0042201A">
      <w:r>
        <w:br w:type="page"/>
      </w:r>
    </w:p>
    <w:p w14:paraId="36E5BBBA" w14:textId="3427E0F5" w:rsidR="005A6B85" w:rsidRDefault="005A6B85" w:rsidP="005A6B85">
      <w:pPr>
        <w:pStyle w:val="Heading1"/>
      </w:pPr>
      <w:bookmarkStart w:id="25" w:name="_Toc188280727"/>
      <w:r>
        <w:lastRenderedPageBreak/>
        <w:t xml:space="preserve">Attachment </w:t>
      </w:r>
      <w:r w:rsidR="00F80EB2">
        <w:t>A</w:t>
      </w:r>
      <w:r>
        <w:t>: International comparison</w:t>
      </w:r>
      <w:bookmarkEnd w:id="25"/>
    </w:p>
    <w:p w14:paraId="36A2DB7A" w14:textId="77777777" w:rsidR="00270DE3" w:rsidRDefault="002A256F" w:rsidP="005A6B85">
      <w:r w:rsidRPr="002A256F">
        <w:t xml:space="preserve">Review of </w:t>
      </w:r>
      <w:r w:rsidR="004063CE">
        <w:t>the</w:t>
      </w:r>
      <w:r w:rsidRPr="002A256F">
        <w:t xml:space="preserve"> financial reporting governance </w:t>
      </w:r>
      <w:r w:rsidR="004063CE">
        <w:t xml:space="preserve">arrangements internationally </w:t>
      </w:r>
      <w:r w:rsidRPr="002A256F">
        <w:t xml:space="preserve">reveals a range of approaches, with no single, typical model. </w:t>
      </w:r>
    </w:p>
    <w:p w14:paraId="4D6895B5" w14:textId="5846FE9E" w:rsidR="005A6B85" w:rsidRDefault="000D286C" w:rsidP="005A6B85">
      <w:r>
        <w:t>A</w:t>
      </w:r>
      <w:r w:rsidR="002A256F" w:rsidRPr="002A256F">
        <w:t xml:space="preserve"> summary of the approaches taken in two comparable jurisdictions where technical standard setting and oversight is combined in a single body </w:t>
      </w:r>
      <w:r>
        <w:t>is</w:t>
      </w:r>
      <w:r w:rsidRPr="002A256F">
        <w:t xml:space="preserve"> </w:t>
      </w:r>
      <w:r w:rsidR="002A256F" w:rsidRPr="002A256F">
        <w:t>set out below.</w:t>
      </w:r>
    </w:p>
    <w:tbl>
      <w:tblPr>
        <w:tblW w:w="5000" w:type="pct"/>
        <w:shd w:val="clear" w:color="auto" w:fill="FEF8F4"/>
        <w:tblCellMar>
          <w:top w:w="227" w:type="dxa"/>
          <w:left w:w="227" w:type="dxa"/>
          <w:bottom w:w="227" w:type="dxa"/>
          <w:right w:w="227" w:type="dxa"/>
        </w:tblCellMar>
        <w:tblLook w:val="0600" w:firstRow="0" w:lastRow="0" w:firstColumn="0" w:lastColumn="0" w:noHBand="1" w:noVBand="1"/>
      </w:tblPr>
      <w:tblGrid>
        <w:gridCol w:w="9070"/>
      </w:tblGrid>
      <w:tr w:rsidR="002A256F" w14:paraId="2C950194" w14:textId="77777777" w:rsidTr="00D46425">
        <w:tc>
          <w:tcPr>
            <w:tcW w:w="5000" w:type="pct"/>
            <w:shd w:val="clear" w:color="auto" w:fill="FCEEE5" w:themeFill="accent6" w:themeFillTint="33"/>
          </w:tcPr>
          <w:p w14:paraId="6D80D767" w14:textId="14FAD7EF" w:rsidR="002A256F" w:rsidRPr="00EE7744" w:rsidRDefault="002A256F" w:rsidP="000D1284">
            <w:pPr>
              <w:pStyle w:val="BoxHeading"/>
              <w:rPr>
                <w:b w:val="0"/>
              </w:rPr>
            </w:pPr>
            <w:r>
              <w:t>International comparison</w:t>
            </w:r>
            <w:r w:rsidR="00270DE3">
              <w:t xml:space="preserve"> – oversight and standard setting</w:t>
            </w:r>
          </w:p>
          <w:p w14:paraId="3A196DD3" w14:textId="0A4E00DB" w:rsidR="00877975" w:rsidRDefault="00877975" w:rsidP="00877975">
            <w:pPr>
              <w:pStyle w:val="BoxText"/>
            </w:pPr>
            <w:r>
              <w:t>There are precedents in other jurisdictions for oversight and standard setting being performed by a single integrated organisation:</w:t>
            </w:r>
          </w:p>
          <w:p w14:paraId="63332616" w14:textId="77777777" w:rsidR="00AB450E" w:rsidRDefault="00877975" w:rsidP="00270DE3">
            <w:pPr>
              <w:pStyle w:val="Bullet"/>
            </w:pPr>
            <w:r w:rsidRPr="00877975">
              <w:rPr>
                <w:i/>
                <w:iCs/>
              </w:rPr>
              <w:t xml:space="preserve">New </w:t>
            </w:r>
            <w:r w:rsidRPr="001371F9">
              <w:rPr>
                <w:i/>
                <w:iCs/>
              </w:rPr>
              <w:t xml:space="preserve">Zealand </w:t>
            </w:r>
            <w:r w:rsidRPr="001371F9">
              <w:t>– All functions and responsibilities of the XRB</w:t>
            </w:r>
            <w:r w:rsidR="00BE7932" w:rsidRPr="001371F9">
              <w:t xml:space="preserve"> </w:t>
            </w:r>
            <w:r w:rsidR="00774363" w:rsidRPr="001371F9">
              <w:t xml:space="preserve">ultimately </w:t>
            </w:r>
            <w:r w:rsidRPr="001371F9">
              <w:t>rest with the XRB Board. Although the XRB is the standard setter, the Board delegates its standard setting function to committees: the New Zealand Accounting Standards Board</w:t>
            </w:r>
            <w:r w:rsidR="0023673B" w:rsidRPr="001371F9">
              <w:t>, the New Zealand Sustainability Reporting Board</w:t>
            </w:r>
            <w:r w:rsidRPr="001371F9">
              <w:t xml:space="preserve"> and the New Zealand Auditing and Assurance Standards Board. This arrangement allows the XRB Board to focus on the standards framework at the strategic level, while the standard setting Boards focus on the standards’ technical detail.</w:t>
            </w:r>
            <w:r w:rsidR="00774363" w:rsidRPr="001371F9">
              <w:t xml:space="preserve"> </w:t>
            </w:r>
          </w:p>
          <w:p w14:paraId="02D47B90" w14:textId="78AEC11B" w:rsidR="00722AFB" w:rsidRPr="003A59C0" w:rsidRDefault="00877975" w:rsidP="00270DE3">
            <w:pPr>
              <w:pStyle w:val="Bullet"/>
            </w:pPr>
            <w:r w:rsidRPr="00877975">
              <w:rPr>
                <w:i/>
                <w:iCs/>
              </w:rPr>
              <w:t xml:space="preserve">United Kingdom </w:t>
            </w:r>
            <w:r>
              <w:t>– The UK FRC Board is collectively responsible for the long-term success of the UK FRC. The Board approves codes, standards, guidance, policy and major projects. The Board approves the issuing of codes and standards relating to the UK FRC’s remit – i.e. corporate governance, stewardship, corporate reporting, accounting, auditing, assurance services and actuarial work – that are developed within the UK FRC.</w:t>
            </w:r>
          </w:p>
        </w:tc>
      </w:tr>
    </w:tbl>
    <w:p w14:paraId="7A9572D8" w14:textId="77777777" w:rsidR="00270DE3" w:rsidRDefault="00270DE3" w:rsidP="00877975"/>
    <w:p w14:paraId="1B02ABF2" w14:textId="44AD8D5E" w:rsidR="005A6B85" w:rsidRDefault="005A6B85" w:rsidP="00877975">
      <w:r>
        <w:br w:type="page"/>
      </w:r>
    </w:p>
    <w:p w14:paraId="331FA874" w14:textId="41EF3212" w:rsidR="0055676D" w:rsidRDefault="0055676D" w:rsidP="0055676D">
      <w:pPr>
        <w:pStyle w:val="Heading1"/>
      </w:pPr>
      <w:bookmarkStart w:id="26" w:name="_Toc188280728"/>
      <w:r>
        <w:lastRenderedPageBreak/>
        <w:t xml:space="preserve">Attachment </w:t>
      </w:r>
      <w:r w:rsidR="00F80EB2">
        <w:t>B</w:t>
      </w:r>
      <w:r>
        <w:t>: Comparison of key features</w:t>
      </w:r>
      <w:bookmarkEnd w:id="26"/>
    </w:p>
    <w:p w14:paraId="608E2C3A" w14:textId="6055028C" w:rsidR="0055676D" w:rsidRDefault="0055676D" w:rsidP="0055676D">
      <w:r>
        <w:t>The following table elaborates on the diagrams and provides a summary comparison of the key features of the current institutional arrangements and the indicative future structure.</w:t>
      </w:r>
      <w:r w:rsidR="00863CD1">
        <w:rPr>
          <w:rStyle w:val="FootnoteReference"/>
        </w:rPr>
        <w:footnoteReference w:id="16"/>
      </w:r>
    </w:p>
    <w:p w14:paraId="6FE0C80C" w14:textId="6D7F15AF" w:rsidR="00877975" w:rsidRDefault="0055676D" w:rsidP="0055676D">
      <w:pPr>
        <w:pStyle w:val="TableMainHeading"/>
      </w:pPr>
      <w:bookmarkStart w:id="27" w:name="_Toc188280729"/>
      <w:r>
        <w:t>Table 1: Summary comparison of key features</w:t>
      </w:r>
      <w:bookmarkEnd w:id="27"/>
    </w:p>
    <w:tbl>
      <w:tblPr>
        <w:tblW w:w="5000" w:type="pct"/>
        <w:tblLook w:val="01E0" w:firstRow="1" w:lastRow="1" w:firstColumn="1" w:lastColumn="1" w:noHBand="0" w:noVBand="0"/>
      </w:tblPr>
      <w:tblGrid>
        <w:gridCol w:w="1985"/>
        <w:gridCol w:w="3403"/>
        <w:gridCol w:w="3682"/>
      </w:tblGrid>
      <w:tr w:rsidR="00C47D2A" w14:paraId="1355CEB0" w14:textId="0ADA8F9A" w:rsidTr="009E1366">
        <w:trPr>
          <w:cantSplit/>
          <w:trHeight w:val="634"/>
          <w:tblHeader/>
        </w:trPr>
        <w:tc>
          <w:tcPr>
            <w:tcW w:w="1094" w:type="pct"/>
            <w:shd w:val="clear" w:color="auto" w:fill="E5E5E5"/>
          </w:tcPr>
          <w:p w14:paraId="135C82BB" w14:textId="52D72FB4" w:rsidR="00C47D2A" w:rsidRDefault="00C47D2A" w:rsidP="00BA26D9">
            <w:pPr>
              <w:pStyle w:val="TableColumnHeadingLeft"/>
              <w:spacing w:before="120" w:after="0"/>
              <w:jc w:val="center"/>
            </w:pPr>
            <w:r>
              <w:t>Feature</w:t>
            </w:r>
          </w:p>
        </w:tc>
        <w:tc>
          <w:tcPr>
            <w:tcW w:w="1876" w:type="pct"/>
            <w:shd w:val="clear" w:color="auto" w:fill="E5E5E5"/>
          </w:tcPr>
          <w:p w14:paraId="5F1002EB" w14:textId="22EE2084" w:rsidR="00C47D2A" w:rsidRDefault="00C47D2A" w:rsidP="00BA26D9">
            <w:pPr>
              <w:pStyle w:val="TableColumnHeadingLeft"/>
              <w:spacing w:before="120" w:after="0"/>
              <w:jc w:val="center"/>
            </w:pPr>
            <w:r>
              <w:t>Current state</w:t>
            </w:r>
          </w:p>
        </w:tc>
        <w:tc>
          <w:tcPr>
            <w:tcW w:w="2030" w:type="pct"/>
            <w:shd w:val="clear" w:color="auto" w:fill="E5E5E5"/>
          </w:tcPr>
          <w:p w14:paraId="6EDB23CB" w14:textId="64C63F55" w:rsidR="00C47051" w:rsidRDefault="009E1366" w:rsidP="00BA26D9">
            <w:pPr>
              <w:pStyle w:val="TableColumnHeadingLeft"/>
              <w:spacing w:before="120" w:after="0"/>
              <w:jc w:val="center"/>
            </w:pPr>
            <w:r>
              <w:t>Indicative future state</w:t>
            </w:r>
          </w:p>
        </w:tc>
      </w:tr>
      <w:tr w:rsidR="00603D00" w14:paraId="117B7D8D" w14:textId="5EBA0212" w:rsidTr="009E1366">
        <w:trPr>
          <w:cantSplit/>
          <w:trHeight w:val="270"/>
        </w:trPr>
        <w:tc>
          <w:tcPr>
            <w:tcW w:w="1094" w:type="pct"/>
          </w:tcPr>
          <w:p w14:paraId="5DE6DE9F" w14:textId="35EBED43" w:rsidR="00603D00" w:rsidRDefault="00603D00" w:rsidP="003F26D4">
            <w:pPr>
              <w:pStyle w:val="TableTextLeft"/>
              <w:spacing w:beforeLines="40" w:before="96" w:afterLines="40" w:after="96"/>
            </w:pPr>
            <w:r w:rsidRPr="00CC2590">
              <w:t>Broad institutional arrangements</w:t>
            </w:r>
          </w:p>
        </w:tc>
        <w:tc>
          <w:tcPr>
            <w:tcW w:w="1876" w:type="pct"/>
          </w:tcPr>
          <w:p w14:paraId="375FDAC1" w14:textId="0605566F" w:rsidR="00011CF8" w:rsidRDefault="00011CF8" w:rsidP="003F26D4">
            <w:pPr>
              <w:pStyle w:val="TableTextLeft"/>
              <w:spacing w:beforeLines="40" w:before="96" w:afterLines="40" w:after="96"/>
            </w:pPr>
            <w:r>
              <w:t>FRC, AASB and AUASB are separately constituted with their own functions and responsibilities</w:t>
            </w:r>
          </w:p>
          <w:p w14:paraId="7357E418" w14:textId="63CE0B7E" w:rsidR="00011CF8" w:rsidRDefault="00011CF8" w:rsidP="003F26D4">
            <w:pPr>
              <w:pStyle w:val="TableTextLeft"/>
              <w:spacing w:beforeLines="40" w:before="96" w:afterLines="40" w:after="96"/>
            </w:pPr>
            <w:r>
              <w:t>FRC is a representative advisory body with advice, general oversight and strategic direction setting functions but no power itself to set standards. It has no staff of its own with secretariat functions provided by Treasury</w:t>
            </w:r>
          </w:p>
          <w:p w14:paraId="29C4F259" w14:textId="11BEFA89" w:rsidR="00011CF8" w:rsidRDefault="00011CF8" w:rsidP="003F26D4">
            <w:pPr>
              <w:pStyle w:val="TableTextLeft"/>
              <w:spacing w:beforeLines="40" w:before="96" w:afterLines="40" w:after="96"/>
            </w:pPr>
            <w:r>
              <w:t>AASB and AUASB operate as standalone technical standard setters. Financial and administrative arrangements are handled by the Chair</w:t>
            </w:r>
            <w:r w:rsidR="00AB4839">
              <w:t>s</w:t>
            </w:r>
            <w:r>
              <w:t xml:space="preserve"> of the boards through separate</w:t>
            </w:r>
            <w:r w:rsidR="00AB4839">
              <w:t xml:space="preserve">ly constituted </w:t>
            </w:r>
            <w:r>
              <w:t>Offices</w:t>
            </w:r>
            <w:r w:rsidR="00B46B30">
              <w:t xml:space="preserve"> but under a shared services model. There is one corporate services team for both Offices</w:t>
            </w:r>
          </w:p>
          <w:p w14:paraId="7CF76BCD" w14:textId="7C1BBB26" w:rsidR="00B174F0" w:rsidRDefault="00B174F0" w:rsidP="003F26D4">
            <w:pPr>
              <w:pStyle w:val="TableTextLeft"/>
              <w:spacing w:beforeLines="40" w:before="96" w:afterLines="40" w:after="96"/>
            </w:pPr>
          </w:p>
        </w:tc>
        <w:tc>
          <w:tcPr>
            <w:tcW w:w="2030" w:type="pct"/>
          </w:tcPr>
          <w:p w14:paraId="1F57D5A0" w14:textId="0A90AD10" w:rsidR="00E400EF" w:rsidRDefault="000108C6" w:rsidP="003F26D4">
            <w:pPr>
              <w:pStyle w:val="TableTextLeft"/>
              <w:spacing w:beforeLines="40" w:before="96" w:afterLines="40" w:after="96"/>
            </w:pPr>
            <w:r>
              <w:t xml:space="preserve">The new body </w:t>
            </w:r>
            <w:r w:rsidR="00843439">
              <w:t xml:space="preserve">will be </w:t>
            </w:r>
            <w:r w:rsidR="00E400EF">
              <w:t>constituted as a single non</w:t>
            </w:r>
            <w:r w:rsidR="00843439">
              <w:noBreakHyphen/>
            </w:r>
            <w:r w:rsidR="00E400EF">
              <w:t xml:space="preserve">corporate Commonwealth entity to perform functions </w:t>
            </w:r>
            <w:r w:rsidR="00360D13">
              <w:t>currently performed by</w:t>
            </w:r>
            <w:r w:rsidR="00E400EF">
              <w:t xml:space="preserve"> the three </w:t>
            </w:r>
            <w:r w:rsidR="00843439">
              <w:t xml:space="preserve">existing </w:t>
            </w:r>
            <w:r w:rsidR="00E400EF">
              <w:t>bodies</w:t>
            </w:r>
          </w:p>
          <w:p w14:paraId="07AB2023" w14:textId="57279030" w:rsidR="00E400EF" w:rsidRDefault="00880FA1" w:rsidP="003F26D4">
            <w:pPr>
              <w:pStyle w:val="TableTextLeft"/>
              <w:spacing w:beforeLines="40" w:before="96" w:afterLines="40" w:after="96"/>
            </w:pPr>
            <w:r>
              <w:t>S</w:t>
            </w:r>
            <w:r w:rsidR="00E400EF">
              <w:t xml:space="preserve">tandard setting will be performed by technical committees through delegations from a governing </w:t>
            </w:r>
            <w:r w:rsidR="00BC2A87">
              <w:t>B</w:t>
            </w:r>
            <w:r w:rsidR="00E400EF">
              <w:t>oard</w:t>
            </w:r>
          </w:p>
          <w:p w14:paraId="345EB418" w14:textId="33DEEA9F" w:rsidR="00DA4AA6" w:rsidRDefault="00E400EF" w:rsidP="003F26D4">
            <w:pPr>
              <w:pStyle w:val="TableTextLeft"/>
              <w:spacing w:beforeLines="40" w:before="96" w:afterLines="40" w:after="96"/>
            </w:pPr>
            <w:r>
              <w:t xml:space="preserve">Financial and administrative matters will ultimately be the responsibility of the governing </w:t>
            </w:r>
            <w:r w:rsidR="00843439">
              <w:t>B</w:t>
            </w:r>
            <w:r>
              <w:t>oard rather than the Chairs of the technical committees</w:t>
            </w:r>
          </w:p>
          <w:p w14:paraId="4ED8DDDF" w14:textId="5E93A590" w:rsidR="00530E7D" w:rsidRDefault="00E400EF" w:rsidP="003F26D4">
            <w:pPr>
              <w:pStyle w:val="TableTextLeft"/>
              <w:spacing w:beforeLines="40" w:before="96" w:afterLines="40" w:after="96"/>
            </w:pPr>
            <w:r>
              <w:t xml:space="preserve">Both the Board and committees will be supported by, and </w:t>
            </w:r>
            <w:r w:rsidRPr="00A62169">
              <w:t>work closely with, administrative and technical staff led by a Chief Executive Officer delegated responsibility for the day</w:t>
            </w:r>
            <w:r w:rsidR="00A35089" w:rsidRPr="00A62169">
              <w:t>-</w:t>
            </w:r>
            <w:r w:rsidRPr="00A62169">
              <w:t>to</w:t>
            </w:r>
            <w:r w:rsidR="00A35089" w:rsidRPr="00A62169">
              <w:t>-</w:t>
            </w:r>
            <w:r w:rsidRPr="00A62169">
              <w:t xml:space="preserve">day operations of </w:t>
            </w:r>
            <w:r w:rsidR="000108C6">
              <w:t>the new body</w:t>
            </w:r>
          </w:p>
          <w:p w14:paraId="3AEF82D8" w14:textId="3EC4C73B" w:rsidR="00603D00" w:rsidRDefault="00E400EF" w:rsidP="003F26D4">
            <w:pPr>
              <w:pStyle w:val="TableTextLeft"/>
              <w:spacing w:beforeLines="40" w:before="96" w:afterLines="40" w:after="96"/>
            </w:pPr>
            <w:r>
              <w:t>Treasury will no longer provide secretariat services (as it currently does for the FRC)</w:t>
            </w:r>
          </w:p>
        </w:tc>
      </w:tr>
      <w:tr w:rsidR="00293B5A" w14:paraId="5D6E94B3" w14:textId="1C99BA57" w:rsidTr="009E1366">
        <w:trPr>
          <w:cantSplit/>
          <w:trHeight w:val="270"/>
        </w:trPr>
        <w:tc>
          <w:tcPr>
            <w:tcW w:w="1094" w:type="pct"/>
          </w:tcPr>
          <w:p w14:paraId="696683FC" w14:textId="6D5BCE4D" w:rsidR="00293B5A" w:rsidRDefault="0055309C" w:rsidP="003F26D4">
            <w:pPr>
              <w:pStyle w:val="TableTextLeft"/>
              <w:spacing w:beforeLines="40" w:before="96" w:afterLines="40" w:after="96"/>
            </w:pPr>
            <w:r w:rsidRPr="0055309C">
              <w:t>Functions and powers</w:t>
            </w:r>
          </w:p>
        </w:tc>
        <w:tc>
          <w:tcPr>
            <w:tcW w:w="1876" w:type="pct"/>
          </w:tcPr>
          <w:p w14:paraId="0DC7956A" w14:textId="5FA2B5EF" w:rsidR="00DF2B70" w:rsidRDefault="00DF2B70" w:rsidP="003F26D4">
            <w:pPr>
              <w:pStyle w:val="TableTextLeft"/>
              <w:spacing w:beforeLines="40" w:before="96" w:afterLines="40" w:after="96"/>
            </w:pPr>
            <w:r>
              <w:t>Together the bodies are responsible for setting of standards for accounting, sustainability, and auditing and assurance, advice in relation to standard setting and audit quality</w:t>
            </w:r>
          </w:p>
          <w:p w14:paraId="3CBBB88F" w14:textId="5A795FEE" w:rsidR="00DF2B70" w:rsidRDefault="00DF2B70" w:rsidP="003F26D4">
            <w:pPr>
              <w:pStyle w:val="TableTextLeft"/>
              <w:spacing w:beforeLines="40" w:before="96" w:afterLines="40" w:after="96"/>
            </w:pPr>
            <w:r>
              <w:t>The responsible Minister can confer additional functions on the FRC, but not the AASB and AUASB</w:t>
            </w:r>
          </w:p>
          <w:p w14:paraId="2AEA060C" w14:textId="77777777" w:rsidR="00293B5A" w:rsidRDefault="00DF2B70" w:rsidP="003F26D4">
            <w:pPr>
              <w:pStyle w:val="TableTextLeft"/>
              <w:spacing w:beforeLines="40" w:before="96" w:afterLines="40" w:after="96"/>
            </w:pPr>
            <w:r>
              <w:t>The FRC has the power to establish committees and advisory groups. The AASB and AUASB can also create advisory panels and consultative groups</w:t>
            </w:r>
          </w:p>
          <w:p w14:paraId="1CE23D3B" w14:textId="0161FD38" w:rsidR="004A5D68" w:rsidRDefault="004A5D68" w:rsidP="003F26D4">
            <w:pPr>
              <w:pStyle w:val="TableTextLeft"/>
              <w:spacing w:beforeLines="40" w:before="96" w:afterLines="40" w:after="96"/>
            </w:pPr>
          </w:p>
        </w:tc>
        <w:tc>
          <w:tcPr>
            <w:tcW w:w="2030" w:type="pct"/>
          </w:tcPr>
          <w:p w14:paraId="41AD5C4B" w14:textId="6C8E1863" w:rsidR="00863CD1" w:rsidRPr="00F04621" w:rsidRDefault="000108C6" w:rsidP="00F04621">
            <w:pPr>
              <w:pStyle w:val="Bullet"/>
              <w:numPr>
                <w:ilvl w:val="0"/>
                <w:numId w:val="0"/>
              </w:numPr>
              <w:spacing w:beforeLines="40" w:before="96" w:afterLines="40" w:after="96" w:line="240" w:lineRule="auto"/>
              <w:rPr>
                <w:sz w:val="18"/>
                <w:szCs w:val="18"/>
              </w:rPr>
            </w:pPr>
            <w:r>
              <w:rPr>
                <w:sz w:val="18"/>
                <w:szCs w:val="18"/>
              </w:rPr>
              <w:t>The new body</w:t>
            </w:r>
            <w:r w:rsidRPr="00F04621">
              <w:rPr>
                <w:sz w:val="18"/>
                <w:szCs w:val="18"/>
              </w:rPr>
              <w:t xml:space="preserve"> </w:t>
            </w:r>
            <w:r w:rsidR="00863CD1" w:rsidRPr="00F04621">
              <w:rPr>
                <w:sz w:val="18"/>
                <w:szCs w:val="18"/>
              </w:rPr>
              <w:t>will have similar</w:t>
            </w:r>
            <w:r w:rsidR="00482D55" w:rsidRPr="00F04621">
              <w:rPr>
                <w:sz w:val="18"/>
                <w:szCs w:val="18"/>
              </w:rPr>
              <w:t xml:space="preserve"> legislative</w:t>
            </w:r>
            <w:r w:rsidR="00863CD1" w:rsidRPr="00F04621">
              <w:rPr>
                <w:sz w:val="18"/>
                <w:szCs w:val="18"/>
              </w:rPr>
              <w:t xml:space="preserve"> functions to the three </w:t>
            </w:r>
            <w:r w:rsidR="00BC2A87">
              <w:rPr>
                <w:sz w:val="18"/>
                <w:szCs w:val="18"/>
              </w:rPr>
              <w:t xml:space="preserve">existing </w:t>
            </w:r>
            <w:r w:rsidR="00863CD1" w:rsidRPr="00F04621">
              <w:rPr>
                <w:sz w:val="18"/>
                <w:szCs w:val="18"/>
              </w:rPr>
              <w:t>bodies</w:t>
            </w:r>
            <w:r w:rsidR="00A35089">
              <w:rPr>
                <w:sz w:val="18"/>
                <w:szCs w:val="18"/>
              </w:rPr>
              <w:t>. Certain</w:t>
            </w:r>
            <w:r w:rsidR="00863CD1" w:rsidRPr="00F04621">
              <w:rPr>
                <w:sz w:val="18"/>
                <w:szCs w:val="18"/>
              </w:rPr>
              <w:t xml:space="preserve"> functions</w:t>
            </w:r>
            <w:r w:rsidR="00A35089">
              <w:rPr>
                <w:sz w:val="18"/>
                <w:szCs w:val="18"/>
              </w:rPr>
              <w:t xml:space="preserve"> of the FRC</w:t>
            </w:r>
            <w:r w:rsidR="00863CD1" w:rsidRPr="00F04621">
              <w:rPr>
                <w:sz w:val="18"/>
                <w:szCs w:val="18"/>
              </w:rPr>
              <w:t xml:space="preserve"> will become matters of internal management</w:t>
            </w:r>
            <w:r w:rsidR="00A35089">
              <w:rPr>
                <w:sz w:val="18"/>
                <w:szCs w:val="18"/>
              </w:rPr>
              <w:t xml:space="preserve"> within a merged body</w:t>
            </w:r>
            <w:r w:rsidR="00863CD1" w:rsidRPr="00F04621">
              <w:rPr>
                <w:sz w:val="18"/>
                <w:szCs w:val="18"/>
              </w:rPr>
              <w:t xml:space="preserve"> </w:t>
            </w:r>
          </w:p>
          <w:p w14:paraId="32BA8602" w14:textId="2A64C507" w:rsidR="00863CD1" w:rsidRPr="00F04621" w:rsidRDefault="00863CD1" w:rsidP="009E1D11">
            <w:pPr>
              <w:pStyle w:val="Bullet"/>
              <w:numPr>
                <w:ilvl w:val="0"/>
                <w:numId w:val="0"/>
              </w:numPr>
              <w:spacing w:beforeLines="40" w:before="96" w:afterLines="40" w:after="96" w:line="240" w:lineRule="auto"/>
              <w:rPr>
                <w:sz w:val="18"/>
                <w:szCs w:val="18"/>
              </w:rPr>
            </w:pPr>
            <w:r w:rsidRPr="00F04621">
              <w:rPr>
                <w:sz w:val="18"/>
                <w:szCs w:val="18"/>
              </w:rPr>
              <w:t xml:space="preserve">Flexibility is built in to enable new standard setting </w:t>
            </w:r>
            <w:r w:rsidR="005B212C">
              <w:rPr>
                <w:sz w:val="18"/>
                <w:szCs w:val="18"/>
              </w:rPr>
              <w:t>functions to be assumed</w:t>
            </w:r>
            <w:r w:rsidR="00B60139">
              <w:rPr>
                <w:sz w:val="18"/>
                <w:szCs w:val="18"/>
              </w:rPr>
              <w:t xml:space="preserve"> </w:t>
            </w:r>
            <w:r w:rsidRPr="00F04621">
              <w:rPr>
                <w:sz w:val="18"/>
                <w:szCs w:val="18"/>
              </w:rPr>
              <w:t xml:space="preserve">by </w:t>
            </w:r>
            <w:r w:rsidR="000108C6">
              <w:rPr>
                <w:sz w:val="18"/>
                <w:szCs w:val="18"/>
              </w:rPr>
              <w:t>the new body</w:t>
            </w:r>
            <w:r w:rsidR="000108C6" w:rsidRPr="00F04621">
              <w:rPr>
                <w:sz w:val="18"/>
                <w:szCs w:val="18"/>
              </w:rPr>
              <w:t xml:space="preserve"> </w:t>
            </w:r>
            <w:r w:rsidRPr="00F04621">
              <w:rPr>
                <w:sz w:val="18"/>
                <w:szCs w:val="18"/>
              </w:rPr>
              <w:t>as and when required</w:t>
            </w:r>
            <w:r w:rsidR="00AB4E9E">
              <w:rPr>
                <w:sz w:val="18"/>
                <w:szCs w:val="18"/>
              </w:rPr>
              <w:t xml:space="preserve"> </w:t>
            </w:r>
          </w:p>
          <w:p w14:paraId="38B3CF9F" w14:textId="314AB089" w:rsidR="00863CD1" w:rsidRPr="00F04621" w:rsidRDefault="000108C6" w:rsidP="00F04621">
            <w:pPr>
              <w:pStyle w:val="Bullet"/>
              <w:numPr>
                <w:ilvl w:val="0"/>
                <w:numId w:val="0"/>
              </w:numPr>
              <w:spacing w:beforeLines="40" w:before="96" w:afterLines="40" w:after="96" w:line="240" w:lineRule="auto"/>
              <w:ind w:left="38"/>
              <w:rPr>
                <w:sz w:val="18"/>
                <w:szCs w:val="18"/>
              </w:rPr>
            </w:pPr>
            <w:r>
              <w:rPr>
                <w:sz w:val="18"/>
                <w:szCs w:val="18"/>
              </w:rPr>
              <w:t>The new</w:t>
            </w:r>
            <w:r w:rsidRPr="00F04621">
              <w:rPr>
                <w:sz w:val="18"/>
                <w:szCs w:val="18"/>
              </w:rPr>
              <w:t xml:space="preserve"> </w:t>
            </w:r>
            <w:r w:rsidR="00863CD1" w:rsidRPr="00F04621">
              <w:rPr>
                <w:sz w:val="18"/>
                <w:szCs w:val="18"/>
              </w:rPr>
              <w:t>Board will have the power to create</w:t>
            </w:r>
            <w:r w:rsidR="00E61D76">
              <w:rPr>
                <w:sz w:val="18"/>
                <w:szCs w:val="18"/>
              </w:rPr>
              <w:t>,</w:t>
            </w:r>
            <w:r w:rsidR="00863CD1" w:rsidRPr="00F04621">
              <w:rPr>
                <w:sz w:val="18"/>
                <w:szCs w:val="18"/>
              </w:rPr>
              <w:t xml:space="preserve"> and delegate to:</w:t>
            </w:r>
          </w:p>
          <w:p w14:paraId="5370BAB9" w14:textId="6A8C3598" w:rsidR="00F04621" w:rsidRPr="00863CD1" w:rsidRDefault="00863CD1" w:rsidP="00F04621">
            <w:pPr>
              <w:pStyle w:val="Bullet"/>
              <w:tabs>
                <w:tab w:val="clear" w:pos="520"/>
                <w:tab w:val="num" w:pos="322"/>
              </w:tabs>
              <w:spacing w:beforeLines="40" w:before="96" w:afterLines="40" w:after="96" w:line="240" w:lineRule="auto"/>
              <w:ind w:left="322" w:hanging="284"/>
              <w:rPr>
                <w:sz w:val="18"/>
                <w:szCs w:val="18"/>
              </w:rPr>
            </w:pPr>
            <w:r w:rsidRPr="00863CD1">
              <w:rPr>
                <w:sz w:val="18"/>
                <w:szCs w:val="18"/>
              </w:rPr>
              <w:t>standard setting committees (delegated the power to make and formulate standards)</w:t>
            </w:r>
          </w:p>
          <w:p w14:paraId="2E53BC61" w14:textId="47EA2EDF" w:rsidR="00293B5A" w:rsidRPr="00F04621" w:rsidRDefault="00863CD1" w:rsidP="00F04621">
            <w:pPr>
              <w:pStyle w:val="Bullet"/>
              <w:tabs>
                <w:tab w:val="clear" w:pos="520"/>
                <w:tab w:val="num" w:pos="322"/>
              </w:tabs>
              <w:spacing w:beforeLines="40" w:before="96" w:afterLines="40" w:after="96" w:line="240" w:lineRule="auto"/>
              <w:ind w:left="322" w:hanging="284"/>
              <w:rPr>
                <w:sz w:val="18"/>
                <w:szCs w:val="18"/>
              </w:rPr>
            </w:pPr>
            <w:r w:rsidRPr="00F04621">
              <w:rPr>
                <w:sz w:val="18"/>
                <w:szCs w:val="18"/>
              </w:rPr>
              <w:t>other committees, advisory groups or consultative group</w:t>
            </w:r>
            <w:r w:rsidR="00F04621">
              <w:rPr>
                <w:sz w:val="18"/>
                <w:szCs w:val="18"/>
              </w:rPr>
              <w:t>s</w:t>
            </w:r>
            <w:r w:rsidRPr="00F04621">
              <w:rPr>
                <w:sz w:val="18"/>
                <w:szCs w:val="18"/>
              </w:rPr>
              <w:t xml:space="preserve"> (e.g. nominations committee, advisory groups to assist the </w:t>
            </w:r>
            <w:r w:rsidR="00E61D76">
              <w:rPr>
                <w:sz w:val="18"/>
                <w:szCs w:val="18"/>
              </w:rPr>
              <w:t xml:space="preserve">Board and/or </w:t>
            </w:r>
            <w:r w:rsidRPr="00F04621">
              <w:rPr>
                <w:sz w:val="18"/>
                <w:szCs w:val="18"/>
              </w:rPr>
              <w:t>standard setting committees)</w:t>
            </w:r>
          </w:p>
        </w:tc>
      </w:tr>
      <w:tr w:rsidR="00293B5A" w14:paraId="6C245377" w14:textId="1B24F933" w:rsidTr="009E1366">
        <w:trPr>
          <w:cantSplit/>
          <w:trHeight w:val="270"/>
        </w:trPr>
        <w:tc>
          <w:tcPr>
            <w:tcW w:w="1094" w:type="pct"/>
          </w:tcPr>
          <w:p w14:paraId="3A7863E6" w14:textId="2B0D2F77" w:rsidR="00293B5A" w:rsidRDefault="00AA033B" w:rsidP="003F26D4">
            <w:pPr>
              <w:pStyle w:val="TableTextLeft"/>
              <w:spacing w:beforeLines="40" w:before="96" w:afterLines="40" w:after="96"/>
            </w:pPr>
            <w:r w:rsidRPr="00AA033B">
              <w:t>Procedural provisions and</w:t>
            </w:r>
            <w:r w:rsidR="003F26D4">
              <w:t> </w:t>
            </w:r>
            <w:r w:rsidRPr="00AA033B">
              <w:t>transparency</w:t>
            </w:r>
          </w:p>
        </w:tc>
        <w:tc>
          <w:tcPr>
            <w:tcW w:w="1876" w:type="pct"/>
          </w:tcPr>
          <w:p w14:paraId="379D3D3B" w14:textId="474B7C06" w:rsidR="00293B5A" w:rsidRDefault="0029160C" w:rsidP="003F26D4">
            <w:pPr>
              <w:pStyle w:val="TableTextLeft"/>
              <w:spacing w:beforeLines="40" w:before="96" w:afterLines="40" w:after="96"/>
            </w:pPr>
            <w:r w:rsidRPr="0029160C">
              <w:t xml:space="preserve">Meetings </w:t>
            </w:r>
            <w:r w:rsidR="00C666D5">
              <w:t>(</w:t>
            </w:r>
            <w:r w:rsidRPr="0029160C">
              <w:t>or parts of meetings</w:t>
            </w:r>
            <w:r w:rsidR="00C666D5">
              <w:t>)</w:t>
            </w:r>
            <w:r w:rsidRPr="0029160C">
              <w:t xml:space="preserve"> of the AASB and AUASB that concern the contents of accounting, auditing</w:t>
            </w:r>
            <w:r w:rsidR="00C666D5">
              <w:t xml:space="preserve"> and assurance</w:t>
            </w:r>
            <w:r w:rsidRPr="0029160C">
              <w:t xml:space="preserve"> or sustainability standards </w:t>
            </w:r>
            <w:r w:rsidR="00014376">
              <w:t>(</w:t>
            </w:r>
            <w:r w:rsidRPr="0029160C">
              <w:t xml:space="preserve">or international </w:t>
            </w:r>
            <w:r w:rsidR="00014376">
              <w:t>equivalents)</w:t>
            </w:r>
            <w:r w:rsidRPr="0029160C">
              <w:t xml:space="preserve"> must be held in public</w:t>
            </w:r>
          </w:p>
        </w:tc>
        <w:tc>
          <w:tcPr>
            <w:tcW w:w="2030" w:type="pct"/>
          </w:tcPr>
          <w:p w14:paraId="2642CFA2" w14:textId="281AC49D" w:rsidR="00293B5A" w:rsidRDefault="007F4AF7" w:rsidP="003F26D4">
            <w:pPr>
              <w:pStyle w:val="TableTextLeft"/>
              <w:spacing w:beforeLines="40" w:before="96" w:afterLines="40" w:after="96"/>
            </w:pPr>
            <w:r>
              <w:t>Similar requirements will apply to Board meetings and standard setting committee meetings</w:t>
            </w:r>
          </w:p>
        </w:tc>
      </w:tr>
      <w:tr w:rsidR="00293B5A" w14:paraId="339B2939" w14:textId="4501E80C" w:rsidTr="009E1366">
        <w:trPr>
          <w:cantSplit/>
          <w:trHeight w:val="270"/>
        </w:trPr>
        <w:tc>
          <w:tcPr>
            <w:tcW w:w="1094" w:type="pct"/>
          </w:tcPr>
          <w:p w14:paraId="3E2F5226" w14:textId="0D732B5E" w:rsidR="00293B5A" w:rsidRDefault="009A5E6C" w:rsidP="003F26D4">
            <w:pPr>
              <w:pStyle w:val="TableTextLeft"/>
              <w:spacing w:beforeLines="40" w:before="96" w:afterLines="40" w:after="96"/>
            </w:pPr>
            <w:r w:rsidRPr="009A5E6C">
              <w:lastRenderedPageBreak/>
              <w:t xml:space="preserve">Accountabilities under </w:t>
            </w:r>
            <w:r w:rsidR="00861CBB">
              <w:t>the</w:t>
            </w:r>
            <w:r w:rsidRPr="009A5E6C">
              <w:t xml:space="preserve"> </w:t>
            </w:r>
            <w:r w:rsidR="00F363D7" w:rsidRPr="00A62EB5">
              <w:rPr>
                <w:i/>
                <w:iCs/>
              </w:rPr>
              <w:t>Public Governance, Performance and Accountability Act 2013</w:t>
            </w:r>
            <w:r w:rsidR="00F363D7">
              <w:rPr>
                <w:i/>
                <w:iCs/>
              </w:rPr>
              <w:t xml:space="preserve"> </w:t>
            </w:r>
          </w:p>
        </w:tc>
        <w:tc>
          <w:tcPr>
            <w:tcW w:w="1876" w:type="pct"/>
          </w:tcPr>
          <w:p w14:paraId="386F5678" w14:textId="5B8C6B43" w:rsidR="00293B5A" w:rsidRDefault="008F2A9E" w:rsidP="003F26D4">
            <w:pPr>
              <w:pStyle w:val="TableTextLeft"/>
              <w:spacing w:beforeLines="40" w:before="96" w:afterLines="40" w:after="96"/>
            </w:pPr>
            <w:r>
              <w:t>The AASB Chair and AUASB Chair are the accountable authorities of the Office of the AASB and Office of the AUASB, respectively</w:t>
            </w:r>
          </w:p>
        </w:tc>
        <w:tc>
          <w:tcPr>
            <w:tcW w:w="2030" w:type="pct"/>
          </w:tcPr>
          <w:p w14:paraId="22550B31" w14:textId="43D14E3F" w:rsidR="00293B5A" w:rsidRDefault="00C93E44" w:rsidP="003F26D4">
            <w:pPr>
              <w:pStyle w:val="TableTextLeft"/>
              <w:spacing w:beforeLines="40" w:before="96" w:afterLines="40" w:after="96"/>
            </w:pPr>
            <w:r w:rsidRPr="00C93E44">
              <w:t xml:space="preserve">The Board will be the accountable authority of </w:t>
            </w:r>
            <w:r w:rsidR="00867B9D">
              <w:t>the new body</w:t>
            </w:r>
          </w:p>
        </w:tc>
      </w:tr>
      <w:tr w:rsidR="00293B5A" w14:paraId="7495DFBC" w14:textId="042FB5C5" w:rsidTr="009E1366">
        <w:trPr>
          <w:cantSplit/>
          <w:trHeight w:val="270"/>
        </w:trPr>
        <w:tc>
          <w:tcPr>
            <w:tcW w:w="1094" w:type="pct"/>
          </w:tcPr>
          <w:p w14:paraId="453227FE" w14:textId="5726B538" w:rsidR="00293B5A" w:rsidRDefault="006C129F" w:rsidP="003F26D4">
            <w:pPr>
              <w:pStyle w:val="TableTextLeft"/>
              <w:spacing w:beforeLines="40" w:before="96" w:afterLines="40" w:after="96"/>
            </w:pPr>
            <w:r w:rsidRPr="006C129F">
              <w:t>Appointments and qualifications</w:t>
            </w:r>
          </w:p>
        </w:tc>
        <w:tc>
          <w:tcPr>
            <w:tcW w:w="1876" w:type="pct"/>
          </w:tcPr>
          <w:p w14:paraId="2EFFA303" w14:textId="77777777" w:rsidR="002A58A0" w:rsidRDefault="002A58A0" w:rsidP="003F26D4">
            <w:pPr>
              <w:pStyle w:val="TableTextLeft"/>
              <w:spacing w:beforeLines="40" w:before="96" w:afterLines="40" w:after="96"/>
            </w:pPr>
            <w:r>
              <w:t>The responsible Minister appoints the FRC’s Chair and members as well as the Chairs of the AASB and AUASB</w:t>
            </w:r>
          </w:p>
          <w:p w14:paraId="0BC6AA0B" w14:textId="4D41FA32" w:rsidR="000D045A" w:rsidRDefault="002A58A0" w:rsidP="003F26D4">
            <w:pPr>
              <w:pStyle w:val="TableTextLeft"/>
              <w:spacing w:beforeLines="40" w:before="96" w:afterLines="40" w:after="96"/>
            </w:pPr>
            <w:r>
              <w:t xml:space="preserve">Other AASB and AUASB members are appointed by the FRC </w:t>
            </w:r>
          </w:p>
          <w:p w14:paraId="201D6942" w14:textId="7A98CB82" w:rsidR="002A58A0" w:rsidRDefault="009C2DB7" w:rsidP="003F26D4">
            <w:pPr>
              <w:pStyle w:val="TableTextLeft"/>
              <w:spacing w:beforeLines="40" w:before="96" w:afterLines="40" w:after="96"/>
            </w:pPr>
            <w:r>
              <w:t xml:space="preserve">The </w:t>
            </w:r>
            <w:r w:rsidR="002A58A0">
              <w:t>FRC, AASB and AUASB have no</w:t>
            </w:r>
            <w:r w:rsidR="000D045A">
              <w:t xml:space="preserve"> legislated</w:t>
            </w:r>
            <w:r w:rsidR="002A58A0">
              <w:t xml:space="preserve"> minimum</w:t>
            </w:r>
            <w:r>
              <w:t xml:space="preserve"> size</w:t>
            </w:r>
            <w:r w:rsidR="002A58A0">
              <w:t xml:space="preserve">. </w:t>
            </w:r>
            <w:r w:rsidR="000D045A">
              <w:t xml:space="preserve">The </w:t>
            </w:r>
            <w:r w:rsidR="002A58A0">
              <w:t xml:space="preserve">FRC has no maximum for membership while </w:t>
            </w:r>
            <w:r w:rsidR="000D045A">
              <w:t xml:space="preserve">the </w:t>
            </w:r>
            <w:r w:rsidR="00EA5BB3">
              <w:t xml:space="preserve">Board </w:t>
            </w:r>
            <w:r w:rsidR="000D045A">
              <w:t xml:space="preserve">Charter of the </w:t>
            </w:r>
            <w:r w:rsidR="002A58A0">
              <w:t xml:space="preserve">AASB and AUASB </w:t>
            </w:r>
            <w:r w:rsidR="000D045A">
              <w:t xml:space="preserve">stipulate </w:t>
            </w:r>
            <w:r w:rsidR="00172037">
              <w:t>maximums of</w:t>
            </w:r>
            <w:r w:rsidR="002A58A0">
              <w:t xml:space="preserve"> 14 members</w:t>
            </w:r>
          </w:p>
          <w:p w14:paraId="30351929" w14:textId="64FBB4D6" w:rsidR="00293B5A" w:rsidRDefault="002A58A0" w:rsidP="003F26D4">
            <w:pPr>
              <w:pStyle w:val="TableTextLeft"/>
              <w:spacing w:beforeLines="40" w:before="96" w:afterLines="40" w:after="96"/>
            </w:pPr>
            <w:r>
              <w:t xml:space="preserve">Persons may only be appointed to the AASB </w:t>
            </w:r>
            <w:r w:rsidR="00CB05F3">
              <w:t xml:space="preserve">or </w:t>
            </w:r>
            <w:r>
              <w:t xml:space="preserve">AUASB if their knowledge of, or experience in, business, accounting, law, government, science, sustainability, climate change </w:t>
            </w:r>
            <w:r w:rsidR="00543948">
              <w:t xml:space="preserve">(or </w:t>
            </w:r>
            <w:r>
              <w:t>in the case of the AUASB</w:t>
            </w:r>
            <w:r w:rsidR="00543948">
              <w:t xml:space="preserve"> -  </w:t>
            </w:r>
            <w:r>
              <w:t>auditing</w:t>
            </w:r>
            <w:r w:rsidR="00543948">
              <w:t>)</w:t>
            </w:r>
            <w:r>
              <w:t xml:space="preserve"> qualifies them for the appointment</w:t>
            </w:r>
          </w:p>
        </w:tc>
        <w:tc>
          <w:tcPr>
            <w:tcW w:w="2030" w:type="pct"/>
          </w:tcPr>
          <w:p w14:paraId="36B1EAF8" w14:textId="15D34E9F" w:rsidR="00194149" w:rsidRDefault="00867B9D" w:rsidP="003F26D4">
            <w:pPr>
              <w:pStyle w:val="TableTextLeft"/>
              <w:spacing w:beforeLines="40" w:before="96" w:afterLines="40" w:after="96"/>
            </w:pPr>
            <w:r>
              <w:t xml:space="preserve">The </w:t>
            </w:r>
            <w:r w:rsidR="00194149">
              <w:t xml:space="preserve">Chair and Board </w:t>
            </w:r>
            <w:r>
              <w:t xml:space="preserve">of the new body </w:t>
            </w:r>
            <w:r w:rsidR="00194149">
              <w:t>will be appointed by the responsible Minister. The legislation will not prescribe the size of the Board</w:t>
            </w:r>
          </w:p>
          <w:p w14:paraId="0A26CCA3" w14:textId="209B7ABA" w:rsidR="004B2A26" w:rsidRDefault="004B2A26" w:rsidP="003F26D4">
            <w:pPr>
              <w:pStyle w:val="TableTextLeft"/>
              <w:spacing w:beforeLines="40" w:before="96" w:afterLines="40" w:after="96"/>
            </w:pPr>
            <w:r>
              <w:t xml:space="preserve">Qualification requirements in relation to Board appointments will </w:t>
            </w:r>
            <w:r w:rsidR="00543948">
              <w:t xml:space="preserve">be similar to those applying currently to the AASB and AUASB but also </w:t>
            </w:r>
            <w:r w:rsidR="00A5312A">
              <w:t xml:space="preserve">reflect the </w:t>
            </w:r>
            <w:r w:rsidR="00543948">
              <w:t>governance</w:t>
            </w:r>
            <w:r w:rsidR="00A5312A">
              <w:t xml:space="preserve"> role of the Board</w:t>
            </w:r>
          </w:p>
          <w:p w14:paraId="62900F99" w14:textId="521CC0E2" w:rsidR="00194149" w:rsidRDefault="00194149" w:rsidP="003F26D4">
            <w:pPr>
              <w:pStyle w:val="TableTextLeft"/>
              <w:spacing w:beforeLines="40" w:before="96" w:afterLines="40" w:after="96"/>
            </w:pPr>
            <w:r>
              <w:t xml:space="preserve">The Board will have the power to establish committees and appoint </w:t>
            </w:r>
            <w:r w:rsidR="004B2A26">
              <w:t xml:space="preserve">their </w:t>
            </w:r>
            <w:r>
              <w:t>members. The Board will determine the appropriate size of committees</w:t>
            </w:r>
          </w:p>
          <w:p w14:paraId="0013043A" w14:textId="0E3B57FA" w:rsidR="00293B5A" w:rsidRDefault="00194149" w:rsidP="004C3B77">
            <w:pPr>
              <w:pStyle w:val="TableTextLeft"/>
              <w:spacing w:beforeLines="40" w:before="96" w:afterLines="40" w:after="96"/>
            </w:pPr>
            <w:r>
              <w:t>Similar qualification requirements will apply to appointments to committees delegated the power to make or formulate accounting, auditing</w:t>
            </w:r>
            <w:r w:rsidR="004B2A26">
              <w:t xml:space="preserve"> and assurance</w:t>
            </w:r>
            <w:r>
              <w:t xml:space="preserve"> or sustainability standards</w:t>
            </w:r>
          </w:p>
        </w:tc>
      </w:tr>
      <w:tr w:rsidR="00BE7FE1" w14:paraId="371B8608" w14:textId="5014F849" w:rsidTr="009E1366">
        <w:trPr>
          <w:cantSplit/>
          <w:trHeight w:val="270"/>
        </w:trPr>
        <w:tc>
          <w:tcPr>
            <w:tcW w:w="1094" w:type="pct"/>
          </w:tcPr>
          <w:p w14:paraId="366014A6" w14:textId="48AE6404" w:rsidR="00BE7FE1" w:rsidRPr="006C129F" w:rsidRDefault="00BE7FE1" w:rsidP="003F26D4">
            <w:pPr>
              <w:pStyle w:val="TableTextLeft"/>
              <w:spacing w:beforeLines="40" w:before="96" w:afterLines="40" w:after="96"/>
            </w:pPr>
            <w:r>
              <w:t>Remuneration</w:t>
            </w:r>
            <w:r w:rsidR="004E0D6C">
              <w:t xml:space="preserve"> arrangements</w:t>
            </w:r>
          </w:p>
        </w:tc>
        <w:tc>
          <w:tcPr>
            <w:tcW w:w="1876" w:type="pct"/>
          </w:tcPr>
          <w:p w14:paraId="1F04F947" w14:textId="044BE004" w:rsidR="00BE7FE1" w:rsidRDefault="00BE7FE1" w:rsidP="003F26D4">
            <w:pPr>
              <w:pStyle w:val="TableTextLeft"/>
              <w:spacing w:beforeLines="40" w:before="96" w:afterLines="40" w:after="96"/>
            </w:pPr>
            <w:r>
              <w:t>All FRC, AASB and AUASB positions are statutory appointments remunerated in accordance with a Remuneration Tribunal determination</w:t>
            </w:r>
          </w:p>
        </w:tc>
        <w:tc>
          <w:tcPr>
            <w:tcW w:w="2030" w:type="pct"/>
          </w:tcPr>
          <w:p w14:paraId="1CDBCB86" w14:textId="2EFAF5FE" w:rsidR="00BE7FE1" w:rsidRDefault="00F563BA" w:rsidP="003F26D4">
            <w:pPr>
              <w:pStyle w:val="TableTextLeft"/>
              <w:spacing w:beforeLines="40" w:before="96" w:afterLines="40" w:after="96"/>
            </w:pPr>
            <w:r>
              <w:t>Individuals a</w:t>
            </w:r>
            <w:r w:rsidR="00BE7FE1">
              <w:t>ppoint</w:t>
            </w:r>
            <w:r>
              <w:t>ed</w:t>
            </w:r>
            <w:r w:rsidR="00BE7FE1">
              <w:t xml:space="preserve"> to the Board and to committees delegated the power to make or formulate standards will be remunerated in accordance with a Remuneration Tribunal determination</w:t>
            </w:r>
          </w:p>
        </w:tc>
      </w:tr>
      <w:tr w:rsidR="004B2C32" w14:paraId="5982A343" w14:textId="0CA2EA3D" w:rsidTr="009E1366">
        <w:trPr>
          <w:cantSplit/>
          <w:trHeight w:val="270"/>
        </w:trPr>
        <w:tc>
          <w:tcPr>
            <w:tcW w:w="1094" w:type="pct"/>
          </w:tcPr>
          <w:p w14:paraId="2C3D43C0" w14:textId="33844FF1" w:rsidR="004B2C32" w:rsidRDefault="00EB718D" w:rsidP="003F26D4">
            <w:pPr>
              <w:pStyle w:val="TableTextLeft"/>
              <w:spacing w:beforeLines="40" w:before="96" w:afterLines="40" w:after="96"/>
            </w:pPr>
            <w:r w:rsidRPr="00EB718D">
              <w:t>Staff</w:t>
            </w:r>
            <w:r w:rsidR="00BE7FE1">
              <w:t>ing</w:t>
            </w:r>
            <w:r w:rsidRPr="00EB718D">
              <w:t xml:space="preserve"> </w:t>
            </w:r>
          </w:p>
        </w:tc>
        <w:tc>
          <w:tcPr>
            <w:tcW w:w="1876" w:type="pct"/>
          </w:tcPr>
          <w:p w14:paraId="65522266" w14:textId="3BED645E" w:rsidR="004B2C32" w:rsidRDefault="00283A45" w:rsidP="003F26D4">
            <w:pPr>
              <w:pStyle w:val="TableTextLeft"/>
              <w:spacing w:beforeLines="40" w:before="96" w:afterLines="40" w:after="96"/>
            </w:pPr>
            <w:r>
              <w:t>T</w:t>
            </w:r>
            <w:r w:rsidR="00F9681E">
              <w:t xml:space="preserve">he AASB and AUASB </w:t>
            </w:r>
            <w:r w:rsidR="00DF5212">
              <w:t xml:space="preserve">(through their respective Offices) </w:t>
            </w:r>
            <w:r w:rsidR="00F9681E">
              <w:t>are able to engage staff or consultants under written agreements on terms and conditions determined by the Chair. Staff are also able to be engaged under the Public Service Act</w:t>
            </w:r>
          </w:p>
          <w:p w14:paraId="455CF8C3" w14:textId="5D9355D0" w:rsidR="000F4BCE" w:rsidRDefault="000F4BCE" w:rsidP="003F26D4">
            <w:pPr>
              <w:pStyle w:val="TableTextLeft"/>
              <w:spacing w:beforeLines="40" w:before="96" w:afterLines="40" w:after="96"/>
            </w:pPr>
            <w:r>
              <w:t xml:space="preserve">AASB and AUASB participate in a shared services model whereby </w:t>
            </w:r>
            <w:r w:rsidR="00F0387D">
              <w:t>administrative</w:t>
            </w:r>
            <w:r>
              <w:t xml:space="preserve"> staff and back of house functions are shared</w:t>
            </w:r>
          </w:p>
        </w:tc>
        <w:tc>
          <w:tcPr>
            <w:tcW w:w="2030" w:type="pct"/>
          </w:tcPr>
          <w:p w14:paraId="2337CE9A" w14:textId="2F9BF97C" w:rsidR="000F4BCE" w:rsidRDefault="00852EF2" w:rsidP="00BE7FE1">
            <w:pPr>
              <w:pStyle w:val="TableTextLeft"/>
              <w:spacing w:beforeLines="40" w:before="96" w:afterLines="40" w:after="96"/>
            </w:pPr>
            <w:r>
              <w:t xml:space="preserve">The new body </w:t>
            </w:r>
            <w:r w:rsidR="003505C4">
              <w:t>will be able to engage staff or consultants under written agreements. Staff will also be able to be engaged under the Public Service Act</w:t>
            </w:r>
            <w:r w:rsidR="000F4BCE">
              <w:t xml:space="preserve"> </w:t>
            </w:r>
          </w:p>
          <w:p w14:paraId="1AC02CC8" w14:textId="1557ACA7" w:rsidR="004B2C32" w:rsidRDefault="000F4BCE" w:rsidP="00BE7FE1">
            <w:pPr>
              <w:pStyle w:val="TableTextLeft"/>
              <w:spacing w:beforeLines="40" w:before="96" w:afterLines="40" w:after="96"/>
            </w:pPr>
            <w:r>
              <w:t xml:space="preserve">Staff will be staff of </w:t>
            </w:r>
            <w:r w:rsidR="00852EF2">
              <w:t>the new body</w:t>
            </w:r>
          </w:p>
        </w:tc>
      </w:tr>
      <w:tr w:rsidR="004B2C32" w14:paraId="5ABBFB43" w14:textId="35A197F4" w:rsidTr="009E1366">
        <w:trPr>
          <w:cantSplit/>
          <w:trHeight w:val="270"/>
        </w:trPr>
        <w:tc>
          <w:tcPr>
            <w:tcW w:w="1094" w:type="pct"/>
          </w:tcPr>
          <w:p w14:paraId="4AF854E9" w14:textId="775BBB97" w:rsidR="004B2C32" w:rsidRDefault="000F4BCE" w:rsidP="003F26D4">
            <w:pPr>
              <w:pStyle w:val="TableTextLeft"/>
              <w:spacing w:beforeLines="40" w:before="96" w:afterLines="40" w:after="96"/>
            </w:pPr>
            <w:r>
              <w:t>F</w:t>
            </w:r>
            <w:r w:rsidR="00325C30">
              <w:t>unding and r</w:t>
            </w:r>
            <w:r w:rsidR="00C16DD0" w:rsidRPr="00C16DD0">
              <w:t>esourcing</w:t>
            </w:r>
          </w:p>
        </w:tc>
        <w:tc>
          <w:tcPr>
            <w:tcW w:w="1876" w:type="pct"/>
          </w:tcPr>
          <w:p w14:paraId="56B7293C" w14:textId="3A0E683F" w:rsidR="002769B1" w:rsidRDefault="002769B1" w:rsidP="003F26D4">
            <w:pPr>
              <w:pStyle w:val="TableTextLeft"/>
              <w:spacing w:beforeLines="40" w:before="96" w:afterLines="40" w:after="96"/>
            </w:pPr>
            <w:r>
              <w:t>FRC does not receive an annual appropriation and is supported by a secretariat within Treasury</w:t>
            </w:r>
          </w:p>
          <w:p w14:paraId="4BB5CA46" w14:textId="490563C0" w:rsidR="002769B1" w:rsidRDefault="002769B1" w:rsidP="003F26D4">
            <w:pPr>
              <w:pStyle w:val="TableTextLeft"/>
              <w:spacing w:beforeLines="40" w:before="96" w:afterLines="40" w:after="96"/>
            </w:pPr>
            <w:r>
              <w:t>AASB and AUASB receive annual appropriations and are subject to usual public sector scrutiny and accountability mechanisms consistent with their status as Commonwealth entities</w:t>
            </w:r>
          </w:p>
          <w:p w14:paraId="33DE450A" w14:textId="6A13BAEF" w:rsidR="004B2C32" w:rsidRDefault="004B2C32" w:rsidP="003F26D4">
            <w:pPr>
              <w:pStyle w:val="TableTextLeft"/>
              <w:spacing w:beforeLines="40" w:before="96" w:afterLines="40" w:after="96"/>
            </w:pPr>
          </w:p>
        </w:tc>
        <w:tc>
          <w:tcPr>
            <w:tcW w:w="2030" w:type="pct"/>
          </w:tcPr>
          <w:p w14:paraId="1EBA6C66" w14:textId="7AAF9664" w:rsidR="003F26D4" w:rsidRDefault="00852EF2" w:rsidP="003F26D4">
            <w:pPr>
              <w:pStyle w:val="TableTextLeft"/>
              <w:spacing w:beforeLines="40" w:before="96" w:afterLines="40" w:after="96"/>
            </w:pPr>
            <w:r>
              <w:t xml:space="preserve">The new body </w:t>
            </w:r>
            <w:r w:rsidR="003F26D4">
              <w:t xml:space="preserve">will be independently resourced through annual appropriations and will be subject to usual public sector scrutiny and accountability mechanisms consistent with its status as a Commonwealth entity </w:t>
            </w:r>
          </w:p>
          <w:p w14:paraId="70DD3CB9" w14:textId="2D362E50" w:rsidR="003F26D4" w:rsidRDefault="00852EF2" w:rsidP="003F26D4">
            <w:pPr>
              <w:pStyle w:val="TableTextLeft"/>
              <w:spacing w:beforeLines="40" w:before="96" w:afterLines="40" w:after="96"/>
            </w:pPr>
            <w:r>
              <w:t xml:space="preserve">The new body </w:t>
            </w:r>
            <w:r w:rsidR="003F26D4">
              <w:t>will have flexibility to allocate its resources across its functions as appropriate</w:t>
            </w:r>
          </w:p>
          <w:p w14:paraId="710B54AA" w14:textId="4507F9C0" w:rsidR="004B2C32" w:rsidRDefault="003F26D4" w:rsidP="003F26D4">
            <w:pPr>
              <w:pStyle w:val="TableTextLeft"/>
              <w:spacing w:beforeLines="40" w:before="96" w:afterLines="40" w:after="96"/>
            </w:pPr>
            <w:r>
              <w:t xml:space="preserve">Secretariat support </w:t>
            </w:r>
            <w:r w:rsidR="0037226D">
              <w:t xml:space="preserve">will </w:t>
            </w:r>
            <w:r>
              <w:t xml:space="preserve">no longer </w:t>
            </w:r>
            <w:r w:rsidR="0037226D">
              <w:t xml:space="preserve">be </w:t>
            </w:r>
            <w:r>
              <w:t>provided by Treasury</w:t>
            </w:r>
          </w:p>
        </w:tc>
      </w:tr>
    </w:tbl>
    <w:p w14:paraId="627905A4" w14:textId="1A4C8AE1" w:rsidR="005A6B85" w:rsidRDefault="005A6B85">
      <w:pPr>
        <w:spacing w:before="0" w:after="160" w:line="259" w:lineRule="auto"/>
      </w:pPr>
      <w:r>
        <w:br w:type="page"/>
      </w:r>
    </w:p>
    <w:p w14:paraId="34440641" w14:textId="1F8A1601" w:rsidR="004B2C32" w:rsidRDefault="005848B2" w:rsidP="001F73AD">
      <w:pPr>
        <w:pStyle w:val="Heading1"/>
      </w:pPr>
      <w:bookmarkStart w:id="28" w:name="_Toc188280730"/>
      <w:r w:rsidDel="00F9437E">
        <w:lastRenderedPageBreak/>
        <w:t xml:space="preserve">Attachment C: </w:t>
      </w:r>
      <w:r w:rsidR="001F73AD" w:rsidRPr="001F73AD">
        <w:t>List of consultation questions</w:t>
      </w:r>
      <w:bookmarkEnd w:id="28"/>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1F73AD" w14:paraId="45692C26" w14:textId="77777777" w:rsidTr="00D0797D">
        <w:tc>
          <w:tcPr>
            <w:tcW w:w="5000" w:type="pct"/>
            <w:shd w:val="clear" w:color="auto" w:fill="F2F9FC"/>
            <w:hideMark/>
          </w:tcPr>
          <w:p w14:paraId="52F63915" w14:textId="2C6BE8E6" w:rsidR="001F73AD" w:rsidRDefault="001F73AD">
            <w:pPr>
              <w:pStyle w:val="BoxHeading"/>
              <w:rPr>
                <w:szCs w:val="28"/>
                <w:lang w:eastAsia="en-US"/>
              </w:rPr>
            </w:pPr>
            <w:r>
              <w:rPr>
                <w:szCs w:val="28"/>
                <w:lang w:eastAsia="en-US"/>
              </w:rPr>
              <w:t>Consultation questions</w:t>
            </w:r>
          </w:p>
          <w:p w14:paraId="7FA87982" w14:textId="082F57EE" w:rsidR="00FF04FE" w:rsidRPr="00FF04FE" w:rsidRDefault="00FF04FE" w:rsidP="00CA1ADA">
            <w:pPr>
              <w:pStyle w:val="Heading4"/>
              <w:rPr>
                <w:lang w:eastAsia="en-US"/>
              </w:rPr>
            </w:pPr>
            <w:r>
              <w:rPr>
                <w:lang w:eastAsia="en-US"/>
              </w:rPr>
              <w:t xml:space="preserve">The proposed new institutional arrangements </w:t>
            </w:r>
          </w:p>
          <w:p w14:paraId="7D75A1A4" w14:textId="43AD0FF0" w:rsidR="001F73AD" w:rsidRDefault="000D1D7B" w:rsidP="00F9437E">
            <w:pPr>
              <w:pStyle w:val="BoxText"/>
              <w:rPr>
                <w:lang w:eastAsia="en-US"/>
              </w:rPr>
            </w:pPr>
            <w:r w:rsidDel="00F9437E">
              <w:rPr>
                <w:lang w:eastAsia="en-US"/>
              </w:rPr>
              <w:t xml:space="preserve">1. </w:t>
            </w:r>
            <w:r w:rsidR="00BC1A82">
              <w:rPr>
                <w:lang w:eastAsia="en-US"/>
              </w:rPr>
              <w:t xml:space="preserve">Structure of </w:t>
            </w:r>
            <w:r w:rsidR="00852EF2">
              <w:rPr>
                <w:lang w:eastAsia="en-US"/>
              </w:rPr>
              <w:t xml:space="preserve">the new body </w:t>
            </w:r>
            <w:r w:rsidR="00BC1A82">
              <w:rPr>
                <w:lang w:eastAsia="en-US"/>
              </w:rPr>
              <w:t xml:space="preserve">– Do you agree </w:t>
            </w:r>
            <w:r w:rsidR="002232BF">
              <w:rPr>
                <w:lang w:eastAsia="en-US"/>
              </w:rPr>
              <w:t xml:space="preserve">with </w:t>
            </w:r>
            <w:r w:rsidR="00BC1A82">
              <w:rPr>
                <w:lang w:eastAsia="en-US"/>
              </w:rPr>
              <w:t xml:space="preserve">the proposed structure for </w:t>
            </w:r>
            <w:r w:rsidR="00852EF2">
              <w:rPr>
                <w:lang w:eastAsia="en-US"/>
              </w:rPr>
              <w:t>the new body</w:t>
            </w:r>
            <w:r w:rsidR="00BC1A82">
              <w:rPr>
                <w:lang w:eastAsia="en-US"/>
              </w:rPr>
              <w:t xml:space="preserve">? Are there any changes to </w:t>
            </w:r>
            <w:r w:rsidR="00852EF2">
              <w:rPr>
                <w:lang w:eastAsia="en-US"/>
              </w:rPr>
              <w:t xml:space="preserve">the </w:t>
            </w:r>
            <w:r w:rsidR="00806AD6">
              <w:rPr>
                <w:lang w:eastAsia="en-US"/>
              </w:rPr>
              <w:t>proposed</w:t>
            </w:r>
            <w:r w:rsidR="00852EF2">
              <w:rPr>
                <w:lang w:eastAsia="en-US"/>
              </w:rPr>
              <w:t xml:space="preserve"> </w:t>
            </w:r>
            <w:r w:rsidR="00BC1A82">
              <w:rPr>
                <w:lang w:eastAsia="en-US"/>
              </w:rPr>
              <w:t>structure that will better meet the design principles?</w:t>
            </w:r>
          </w:p>
          <w:p w14:paraId="0AEC205C" w14:textId="42535BD7" w:rsidR="00BC1A82" w:rsidRDefault="000D1D7B" w:rsidP="00BC1A82">
            <w:pPr>
              <w:pStyle w:val="BoxText"/>
              <w:rPr>
                <w:lang w:eastAsia="en-US"/>
              </w:rPr>
            </w:pPr>
            <w:r w:rsidDel="00F9437E">
              <w:rPr>
                <w:lang w:eastAsia="en-US"/>
              </w:rPr>
              <w:t>2</w:t>
            </w:r>
            <w:r>
              <w:rPr>
                <w:lang w:eastAsia="en-US"/>
              </w:rPr>
              <w:t xml:space="preserve">. </w:t>
            </w:r>
            <w:r w:rsidR="00BC1A82">
              <w:rPr>
                <w:lang w:eastAsia="en-US"/>
              </w:rPr>
              <w:t xml:space="preserve">Issuing standards – </w:t>
            </w:r>
            <w:r>
              <w:rPr>
                <w:lang w:eastAsia="en-US"/>
              </w:rPr>
              <w:t xml:space="preserve">Do you agree with </w:t>
            </w:r>
            <w:r w:rsidR="00BC1A82">
              <w:rPr>
                <w:lang w:eastAsia="en-US"/>
              </w:rPr>
              <w:t>the proposed model for issuing standards? Are there any alternative mechanisms that could be adopted that better meet the design principles?</w:t>
            </w:r>
          </w:p>
          <w:p w14:paraId="08BDB70F" w14:textId="12F710EA" w:rsidR="00BC1A82" w:rsidRDefault="000D1D7B" w:rsidP="00BC1A82">
            <w:pPr>
              <w:pStyle w:val="BoxText"/>
              <w:rPr>
                <w:lang w:eastAsia="en-US"/>
              </w:rPr>
            </w:pPr>
            <w:r w:rsidDel="00F9437E">
              <w:rPr>
                <w:lang w:eastAsia="en-US"/>
              </w:rPr>
              <w:t>3</w:t>
            </w:r>
            <w:r>
              <w:rPr>
                <w:lang w:eastAsia="en-US"/>
              </w:rPr>
              <w:t xml:space="preserve">. </w:t>
            </w:r>
            <w:r w:rsidR="00BC1A82">
              <w:rPr>
                <w:lang w:eastAsia="en-US"/>
              </w:rPr>
              <w:t>Transparency measures – Are the proposed transparency measures relating to the respective roles of the Board and committees adequate? If not, what additional measure would you suggest?</w:t>
            </w:r>
          </w:p>
          <w:p w14:paraId="6A869DEE" w14:textId="45589AC5" w:rsidR="00DC7830" w:rsidRDefault="00DC7830" w:rsidP="00BC1A82">
            <w:pPr>
              <w:pStyle w:val="BoxText"/>
              <w:rPr>
                <w:lang w:eastAsia="en-US"/>
              </w:rPr>
            </w:pPr>
            <w:r w:rsidRPr="00DC7830" w:rsidDel="00F9437E">
              <w:rPr>
                <w:lang w:eastAsia="en-US"/>
              </w:rPr>
              <w:t>4</w:t>
            </w:r>
            <w:r w:rsidRPr="00DC7830">
              <w:rPr>
                <w:lang w:eastAsia="en-US"/>
              </w:rPr>
              <w:t xml:space="preserve">.  </w:t>
            </w:r>
            <w:r w:rsidR="004B2503" w:rsidRPr="004B2503">
              <w:rPr>
                <w:lang w:eastAsia="en-US"/>
              </w:rPr>
              <w:t xml:space="preserve">Board and committee appointment eligibility – Should requirements be imposed that candidates for membership of the </w:t>
            </w:r>
            <w:r w:rsidR="000E1EDB">
              <w:rPr>
                <w:lang w:eastAsia="en-US"/>
              </w:rPr>
              <w:t>new</w:t>
            </w:r>
            <w:r w:rsidR="000E1EDB" w:rsidRPr="004B2503">
              <w:rPr>
                <w:lang w:eastAsia="en-US"/>
              </w:rPr>
              <w:t xml:space="preserve"> </w:t>
            </w:r>
            <w:r w:rsidR="004B2503" w:rsidRPr="004B2503">
              <w:rPr>
                <w:lang w:eastAsia="en-US"/>
              </w:rPr>
              <w:t xml:space="preserve">Board and/or its technical standard setting committees </w:t>
            </w:r>
            <w:r w:rsidR="004B2503" w:rsidRPr="3EABCE23">
              <w:rPr>
                <w:lang w:eastAsia="en-US"/>
              </w:rPr>
              <w:t>must</w:t>
            </w:r>
            <w:r w:rsidR="2328FBAD" w:rsidRPr="3EABCE23">
              <w:rPr>
                <w:lang w:eastAsia="en-US"/>
              </w:rPr>
              <w:t xml:space="preserve"> </w:t>
            </w:r>
            <w:r w:rsidR="004B2503" w:rsidRPr="3EABCE23">
              <w:rPr>
                <w:lang w:eastAsia="en-US"/>
              </w:rPr>
              <w:t>demonstrate</w:t>
            </w:r>
            <w:r w:rsidR="004B2503" w:rsidRPr="004B2503">
              <w:rPr>
                <w:lang w:eastAsia="en-US"/>
              </w:rPr>
              <w:t xml:space="preserve"> appropriate independence from industry (for example, not having worked in an accounting or auditing firm for a specified period or not having financial ties to a firm)? What should those particular requirements entail and how can those be balanced against the need for specialist expertise?</w:t>
            </w:r>
          </w:p>
          <w:p w14:paraId="4AF8C9F9" w14:textId="726788E9" w:rsidR="00152192" w:rsidRDefault="00DC7830" w:rsidP="00BC1A82">
            <w:pPr>
              <w:pStyle w:val="BoxText"/>
              <w:rPr>
                <w:lang w:eastAsia="en-US"/>
              </w:rPr>
            </w:pPr>
            <w:r w:rsidDel="00F9437E">
              <w:rPr>
                <w:lang w:eastAsia="en-US"/>
              </w:rPr>
              <w:t>5</w:t>
            </w:r>
            <w:r w:rsidR="00255D85">
              <w:rPr>
                <w:lang w:eastAsia="en-US"/>
              </w:rPr>
              <w:t xml:space="preserve">. </w:t>
            </w:r>
            <w:r w:rsidR="00BC1A82">
              <w:rPr>
                <w:lang w:eastAsia="en-US"/>
              </w:rPr>
              <w:t xml:space="preserve">Strengthening institutional governance – </w:t>
            </w:r>
            <w:r w:rsidR="00BC1A82" w:rsidRPr="00341001">
              <w:rPr>
                <w:lang w:eastAsia="en-US"/>
              </w:rPr>
              <w:t xml:space="preserve">Do you agree with the proposed changes to strengthen the governance and oversight? Are there any other gaps or opportunities to strengthen the governance arrangements of </w:t>
            </w:r>
            <w:r w:rsidR="000E1EDB">
              <w:rPr>
                <w:lang w:eastAsia="en-US"/>
              </w:rPr>
              <w:t>the new body</w:t>
            </w:r>
            <w:r w:rsidR="00BC1A82" w:rsidRPr="00341001">
              <w:rPr>
                <w:lang w:eastAsia="en-US"/>
              </w:rPr>
              <w:t>?</w:t>
            </w:r>
          </w:p>
        </w:tc>
      </w:tr>
    </w:tbl>
    <w:p w14:paraId="253CB920" w14:textId="77777777" w:rsidR="00082FC2" w:rsidRDefault="00082FC2" w:rsidP="00CA1ADA"/>
    <w:sectPr w:rsidR="00082FC2" w:rsidSect="002C2082">
      <w:headerReference w:type="even" r:id="rId21"/>
      <w:headerReference w:type="default" r:id="rId22"/>
      <w:footerReference w:type="even" r:id="rId23"/>
      <w:footerReference w:type="default" r:id="rId24"/>
      <w:headerReference w:type="first" r:id="rId25"/>
      <w:footerReference w:type="first" r:id="rId26"/>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E7AD1" w14:textId="77777777" w:rsidR="00C03837" w:rsidRDefault="00C03837">
      <w:pPr>
        <w:spacing w:before="0" w:after="0"/>
      </w:pPr>
      <w:r>
        <w:separator/>
      </w:r>
    </w:p>
  </w:endnote>
  <w:endnote w:type="continuationSeparator" w:id="0">
    <w:p w14:paraId="0495B704" w14:textId="77777777" w:rsidR="00C03837" w:rsidRDefault="00C03837">
      <w:pPr>
        <w:spacing w:before="0" w:after="0"/>
      </w:pPr>
      <w:r>
        <w:continuationSeparator/>
      </w:r>
    </w:p>
  </w:endnote>
  <w:endnote w:type="continuationNotice" w:id="1">
    <w:p w14:paraId="158CE041" w14:textId="77777777" w:rsidR="00C03837" w:rsidRDefault="00C0383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0DA7C"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3EBC" w14:textId="51643BB8" w:rsidR="009927E5" w:rsidRPr="008043EA" w:rsidRDefault="009927E5" w:rsidP="0009151A">
    <w:r w:rsidRPr="00742366">
      <w:rPr>
        <w:noProof/>
      </w:rPr>
      <w:drawing>
        <wp:anchor distT="0" distB="0" distL="114300" distR="114300" simplePos="0" relativeHeight="251658241" behindDoc="1" locked="1" layoutInCell="1" allowOverlap="1" wp14:anchorId="39255E36" wp14:editId="699BFD14">
          <wp:simplePos x="0" y="0"/>
          <wp:positionH relativeFrom="margin">
            <wp:posOffset>5459095</wp:posOffset>
          </wp:positionH>
          <wp:positionV relativeFrom="page">
            <wp:posOffset>3280410</wp:posOffset>
          </wp:positionV>
          <wp:extent cx="7574280" cy="1043940"/>
          <wp:effectExtent l="7620" t="0" r="0" b="0"/>
          <wp:wrapNone/>
          <wp:docPr id="612821862" name="Picture 612821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2048E2B3" wp14:editId="272DBF3A">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097014064" name="Picture 209701406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001B1014">
      <w:fldChar w:fldCharType="begin"/>
    </w:r>
    <w:r w:rsidR="001B1014">
      <w:instrText>STYLEREF  "Heading 1"  \* MERGEFORMAT</w:instrText>
    </w:r>
    <w:r w:rsidR="001B1014">
      <w:fldChar w:fldCharType="separate"/>
    </w:r>
    <w:r w:rsidR="000E1B11">
      <w:rPr>
        <w:noProof/>
      </w:rPr>
      <w:t>Contents</w:t>
    </w:r>
    <w:r w:rsidR="001B1014">
      <w:rPr>
        <w:noProof/>
      </w:rPr>
      <w:fldChar w:fldCharType="end"/>
    </w:r>
    <w:r>
      <w:t xml:space="preserve"> | </w:t>
    </w:r>
    <w:r>
      <w:fldChar w:fldCharType="begin"/>
    </w:r>
    <w:r>
      <w:instrText xml:space="preserve"> PAGE   \* MERGEFORMAT </w:instrText>
    </w:r>
    <w:r>
      <w:fldChar w:fldCharType="separate"/>
    </w:r>
    <w:r>
      <w:t>1</w:t>
    </w:r>
    <w:r>
      <w:fldChar w:fldCharType="end"/>
    </w:r>
  </w:p>
  <w:p w14:paraId="6417A0E4" w14:textId="77777777" w:rsidR="009927E5" w:rsidRPr="008043EA" w:rsidRDefault="009927E5" w:rsidP="009927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7B2DA"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39A53" w14:textId="6947E685" w:rsidR="00E81A40" w:rsidRPr="00E13E90" w:rsidRDefault="00E81A40" w:rsidP="00E13E90">
    <w:pPr>
      <w:pStyle w:val="Footer"/>
    </w:pPr>
    <w:r w:rsidRPr="00742366">
      <w:drawing>
        <wp:anchor distT="0" distB="0" distL="114300" distR="114300" simplePos="0" relativeHeight="251658243" behindDoc="1" locked="1" layoutInCell="1" allowOverlap="1" wp14:anchorId="5E019941" wp14:editId="7E612C4D">
          <wp:simplePos x="0" y="0"/>
          <wp:positionH relativeFrom="margin">
            <wp:posOffset>5459095</wp:posOffset>
          </wp:positionH>
          <wp:positionV relativeFrom="page">
            <wp:posOffset>3280410</wp:posOffset>
          </wp:positionV>
          <wp:extent cx="7574280" cy="1043940"/>
          <wp:effectExtent l="762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70ED7012" wp14:editId="5FF1442B">
          <wp:extent cx="1324800" cy="201600"/>
          <wp:effectExtent l="0" t="0" r="0" b="8255"/>
          <wp:docPr id="20" name="Picture 20"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black and grey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1B1014">
      <w:fldChar w:fldCharType="begin"/>
    </w:r>
    <w:r w:rsidR="001B1014">
      <w:instrText>STYLEREF  "Heading 1"  \* MERGEFORMAT</w:instrText>
    </w:r>
    <w:r w:rsidR="001B1014">
      <w:fldChar w:fldCharType="separate"/>
    </w:r>
    <w:r w:rsidR="001B1014">
      <w:t>Attachment B: Comparison of key features</w:t>
    </w:r>
    <w:r w:rsidR="001B1014">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15E2"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AA58" w14:textId="77777777" w:rsidR="00C03837" w:rsidRDefault="00C03837">
      <w:pPr>
        <w:spacing w:before="0" w:after="0"/>
      </w:pPr>
      <w:r>
        <w:separator/>
      </w:r>
    </w:p>
  </w:footnote>
  <w:footnote w:type="continuationSeparator" w:id="0">
    <w:p w14:paraId="58157C10" w14:textId="77777777" w:rsidR="00C03837" w:rsidRDefault="00C03837">
      <w:pPr>
        <w:spacing w:before="0" w:after="0"/>
      </w:pPr>
      <w:r>
        <w:continuationSeparator/>
      </w:r>
    </w:p>
  </w:footnote>
  <w:footnote w:type="continuationNotice" w:id="1">
    <w:p w14:paraId="3C48F948" w14:textId="77777777" w:rsidR="00C03837" w:rsidRDefault="00C03837">
      <w:pPr>
        <w:spacing w:before="0" w:after="0"/>
      </w:pPr>
    </w:p>
  </w:footnote>
  <w:footnote w:id="2">
    <w:p w14:paraId="511DF0C2" w14:textId="0A50191C" w:rsidR="001040EF" w:rsidRDefault="001040EF">
      <w:pPr>
        <w:pStyle w:val="FootnoteText"/>
      </w:pPr>
      <w:r w:rsidRPr="00736F92">
        <w:rPr>
          <w:rStyle w:val="FootnoteReference"/>
          <w:vertAlign w:val="baseline"/>
        </w:rPr>
        <w:footnoteRef/>
      </w:r>
      <w:r w:rsidRPr="00736F92">
        <w:t xml:space="preserve"> </w:t>
      </w:r>
      <w:r>
        <w:tab/>
      </w:r>
      <w:r w:rsidR="0064192D">
        <w:t xml:space="preserve">J Chalmers and </w:t>
      </w:r>
      <w:r w:rsidR="005A3F4D">
        <w:t xml:space="preserve">S Jones, </w:t>
      </w:r>
      <w:hyperlink r:id="rId1" w:history="1">
        <w:r w:rsidR="005A3F4D" w:rsidRPr="004B7C5B">
          <w:rPr>
            <w:rStyle w:val="Hyperlink"/>
            <w:i/>
            <w:iCs/>
          </w:rPr>
          <w:t>Streamlining financial reporting architecture</w:t>
        </w:r>
      </w:hyperlink>
      <w:r w:rsidR="005A3F4D" w:rsidRPr="005A3F4D">
        <w:t xml:space="preserve"> </w:t>
      </w:r>
      <w:r w:rsidR="00E40B77">
        <w:t>[Media release], Australian Government, 21 November 2023</w:t>
      </w:r>
      <w:r w:rsidR="00760E8D">
        <w:t>.</w:t>
      </w:r>
    </w:p>
  </w:footnote>
  <w:footnote w:id="3">
    <w:p w14:paraId="43336BAD" w14:textId="44FB7F8E" w:rsidR="00736F92" w:rsidRPr="00736F92" w:rsidRDefault="00736F92">
      <w:pPr>
        <w:pStyle w:val="FootnoteText"/>
      </w:pPr>
      <w:r w:rsidRPr="00736F92">
        <w:rPr>
          <w:rStyle w:val="FootnoteReference"/>
          <w:vertAlign w:val="baseline"/>
        </w:rPr>
        <w:footnoteRef/>
      </w:r>
      <w:r w:rsidRPr="00736F92">
        <w:t xml:space="preserve"> </w:t>
      </w:r>
      <w:r w:rsidRPr="00736F92">
        <w:tab/>
      </w:r>
      <w:r w:rsidR="00D37D2A">
        <w:t xml:space="preserve">Department of the Treasury, </w:t>
      </w:r>
      <w:hyperlink r:id="rId2" w:history="1">
        <w:r w:rsidR="008C7E34" w:rsidRPr="004B7C5B">
          <w:rPr>
            <w:rStyle w:val="Hyperlink"/>
            <w:i/>
            <w:iCs/>
          </w:rPr>
          <w:t>Climate-related financial disclosure</w:t>
        </w:r>
      </w:hyperlink>
      <w:r w:rsidR="008C7E34">
        <w:t xml:space="preserve"> [Public consultation paper], </w:t>
      </w:r>
      <w:r w:rsidR="001120F5">
        <w:t xml:space="preserve">Department of the Treasury, </w:t>
      </w:r>
      <w:r w:rsidR="008C7E34">
        <w:t>Australian Government, 202</w:t>
      </w:r>
      <w:r w:rsidR="00111159">
        <w:t>2</w:t>
      </w:r>
      <w:r w:rsidR="004F259C">
        <w:t xml:space="preserve">. </w:t>
      </w:r>
    </w:p>
  </w:footnote>
  <w:footnote w:id="4">
    <w:p w14:paraId="77605909" w14:textId="09C1A654" w:rsidR="00BE031E" w:rsidRDefault="00BE031E" w:rsidP="00BE031E">
      <w:pPr>
        <w:pStyle w:val="FootnoteText"/>
      </w:pPr>
      <w:r w:rsidRPr="004B7C5B">
        <w:rPr>
          <w:rStyle w:val="FootnoteReference"/>
          <w:vertAlign w:val="baseline"/>
        </w:rPr>
        <w:footnoteRef/>
      </w:r>
      <w:r w:rsidRPr="001E2D20">
        <w:t xml:space="preserve"> </w:t>
      </w:r>
      <w:r>
        <w:tab/>
        <w:t xml:space="preserve">Department of the Treasury, </w:t>
      </w:r>
      <w:hyperlink r:id="rId3" w:history="1">
        <w:r w:rsidRPr="001221A9">
          <w:rPr>
            <w:rStyle w:val="Hyperlink"/>
            <w:i/>
            <w:iCs/>
          </w:rPr>
          <w:t>Response to PwC – Regulation of accounting, auditing and consulting firms in Australia</w:t>
        </w:r>
      </w:hyperlink>
      <w:r>
        <w:t xml:space="preserve"> [Public consultation paper], Department of the Treasury, Australian Government, 2024</w:t>
      </w:r>
      <w:r w:rsidRPr="00960FB5">
        <w:t>.</w:t>
      </w:r>
    </w:p>
  </w:footnote>
  <w:footnote w:id="5">
    <w:p w14:paraId="4644A0E9" w14:textId="77777777" w:rsidR="00E45F07" w:rsidRPr="00736F92" w:rsidRDefault="00E45F07" w:rsidP="00E45F07">
      <w:pPr>
        <w:pStyle w:val="FootnoteText"/>
      </w:pPr>
      <w:r w:rsidRPr="00736F92">
        <w:rPr>
          <w:rStyle w:val="FootnoteReference"/>
          <w:vertAlign w:val="baseline"/>
        </w:rPr>
        <w:footnoteRef/>
      </w:r>
      <w:r w:rsidRPr="00736F92">
        <w:t xml:space="preserve"> </w:t>
      </w:r>
      <w:r>
        <w:tab/>
      </w:r>
      <w:r w:rsidRPr="00736F92">
        <w:t>Reflecting the broad range of services provided by accounting, auditing and consulting firms, these firms have many stakeholders, including clients, employees, suppliers/creditors, regulators and industry bodies.</w:t>
      </w:r>
    </w:p>
  </w:footnote>
  <w:footnote w:id="6">
    <w:p w14:paraId="221FF813" w14:textId="0B292396" w:rsidR="005018C6" w:rsidRDefault="005018C6">
      <w:pPr>
        <w:pStyle w:val="FootnoteText"/>
      </w:pPr>
      <w:r w:rsidRPr="005018C6">
        <w:rPr>
          <w:rStyle w:val="FootnoteReference"/>
          <w:vertAlign w:val="baseline"/>
        </w:rPr>
        <w:footnoteRef/>
      </w:r>
      <w:r>
        <w:t xml:space="preserve"> </w:t>
      </w:r>
      <w:r>
        <w:tab/>
      </w:r>
      <w:r w:rsidR="00331FD1">
        <w:t>The bodies’ f</w:t>
      </w:r>
      <w:r w:rsidRPr="005018C6">
        <w:t>unctions are set out in subsections 227(1) (in respect of the AASB) and 227B(1) (in respect of the AUASB) of the ASIC Act.</w:t>
      </w:r>
    </w:p>
  </w:footnote>
  <w:footnote w:id="7">
    <w:p w14:paraId="227BDD93" w14:textId="018E6F4B" w:rsidR="00700EC5" w:rsidRDefault="00700EC5" w:rsidP="00700EC5">
      <w:pPr>
        <w:pStyle w:val="FootnoteText"/>
      </w:pPr>
      <w:r w:rsidRPr="005018C6">
        <w:rPr>
          <w:rStyle w:val="FootnoteReference"/>
          <w:vertAlign w:val="baseline"/>
        </w:rPr>
        <w:footnoteRef/>
      </w:r>
      <w:r>
        <w:t xml:space="preserve"> </w:t>
      </w:r>
      <w:r>
        <w:tab/>
      </w:r>
      <w:r w:rsidRPr="00913308">
        <w:t>The</w:t>
      </w:r>
      <w:r w:rsidRPr="00913308" w:rsidDel="00287B89">
        <w:t xml:space="preserve"> </w:t>
      </w:r>
      <w:r w:rsidR="00287B89" w:rsidRPr="00913308">
        <w:t xml:space="preserve">Act </w:t>
      </w:r>
      <w:r w:rsidRPr="00913308">
        <w:t>also enables the Minister to make a legislative instrument requiring additional statements relating to financial matters concerning environmental sustainability to be included as part of the annual sustainability report.</w:t>
      </w:r>
    </w:p>
  </w:footnote>
  <w:footnote w:id="8">
    <w:p w14:paraId="15EDA232" w14:textId="1C80CA0E" w:rsidR="00F042C6" w:rsidRPr="00A62EB5" w:rsidRDefault="00F042C6" w:rsidP="00F042C6">
      <w:pPr>
        <w:pStyle w:val="FootnoteText"/>
      </w:pPr>
      <w:r w:rsidRPr="00A62EB5">
        <w:rPr>
          <w:rStyle w:val="FootnoteReference"/>
          <w:vertAlign w:val="baseline"/>
        </w:rPr>
        <w:footnoteRef/>
      </w:r>
      <w:r w:rsidRPr="00A62EB5">
        <w:t xml:space="preserve"> </w:t>
      </w:r>
      <w:r>
        <w:tab/>
      </w:r>
      <w:r w:rsidR="00C54AFA">
        <w:t>‘</w:t>
      </w:r>
      <w:r w:rsidRPr="00A62EB5">
        <w:t xml:space="preserve">External reporting’ </w:t>
      </w:r>
      <w:r w:rsidR="00AE4312">
        <w:t xml:space="preserve">in this context </w:t>
      </w:r>
      <w:r w:rsidRPr="00A62EB5">
        <w:t xml:space="preserve">refers to the periodic communication of financial and other information concerning an entity </w:t>
      </w:r>
      <w:r w:rsidR="00AE4312">
        <w:t xml:space="preserve">for the purposes of informing </w:t>
      </w:r>
      <w:r w:rsidRPr="00A62EB5">
        <w:t>stakeholders external to the entity (</w:t>
      </w:r>
      <w:r>
        <w:t>for example,</w:t>
      </w:r>
      <w:r w:rsidRPr="00A62EB5">
        <w:t xml:space="preserve"> </w:t>
      </w:r>
      <w:r w:rsidR="00AE4312">
        <w:t xml:space="preserve">the preparation of </w:t>
      </w:r>
      <w:r w:rsidRPr="00A62EB5">
        <w:t>annual reports). The term contrasts with reporting prepared for internal business purposes (such as management accounts).</w:t>
      </w:r>
    </w:p>
  </w:footnote>
  <w:footnote w:id="9">
    <w:p w14:paraId="288BB089" w14:textId="1D9701BB" w:rsidR="00DA5C95" w:rsidRPr="00DA5C95" w:rsidRDefault="00DA5C95">
      <w:pPr>
        <w:pStyle w:val="FootnoteText"/>
      </w:pPr>
      <w:r w:rsidRPr="00DA5C95">
        <w:rPr>
          <w:rStyle w:val="FootnoteReference"/>
          <w:vertAlign w:val="baseline"/>
        </w:rPr>
        <w:footnoteRef/>
      </w:r>
      <w:r w:rsidRPr="00DA5C95">
        <w:t xml:space="preserve"> </w:t>
      </w:r>
      <w:r>
        <w:tab/>
      </w:r>
      <w:r w:rsidRPr="00DA5C95">
        <w:t xml:space="preserve">The title ‘Chief Executive Officer’ is used as an indication of the </w:t>
      </w:r>
      <w:r w:rsidR="0054001E">
        <w:t xml:space="preserve">type of </w:t>
      </w:r>
      <w:r w:rsidRPr="00DA5C95">
        <w:t xml:space="preserve">role but the title </w:t>
      </w:r>
      <w:r w:rsidR="004B4A20">
        <w:t xml:space="preserve">and scope </w:t>
      </w:r>
      <w:r w:rsidRPr="00DA5C95">
        <w:t xml:space="preserve">of the position </w:t>
      </w:r>
      <w:r w:rsidR="004B0E58">
        <w:t>would</w:t>
      </w:r>
      <w:r w:rsidRPr="00DA5C95">
        <w:t xml:space="preserve"> be determined by the </w:t>
      </w:r>
      <w:r w:rsidR="005B2C80">
        <w:t xml:space="preserve">new body’s </w:t>
      </w:r>
      <w:r w:rsidRPr="00DA5C95">
        <w:t>Board.</w:t>
      </w:r>
    </w:p>
  </w:footnote>
  <w:footnote w:id="10">
    <w:p w14:paraId="1D4BFDD8" w14:textId="6E4C07E2" w:rsidR="00BC446D" w:rsidRDefault="00BC446D">
      <w:pPr>
        <w:pStyle w:val="FootnoteText"/>
      </w:pPr>
      <w:r w:rsidRPr="007D2655">
        <w:rPr>
          <w:rStyle w:val="FootnoteReference"/>
          <w:vertAlign w:val="baseline"/>
        </w:rPr>
        <w:footnoteRef/>
      </w:r>
      <w:r w:rsidRPr="007D2655">
        <w:t xml:space="preserve"> </w:t>
      </w:r>
      <w:r w:rsidR="00C0282C">
        <w:tab/>
      </w:r>
      <w:r w:rsidR="003B41F7" w:rsidRPr="003B41F7">
        <w:t xml:space="preserve">The </w:t>
      </w:r>
      <w:r w:rsidR="003B41F7" w:rsidRPr="003B41F7">
        <w:rPr>
          <w:i/>
          <w:iCs/>
        </w:rPr>
        <w:t>Corporations Legislation Amendment (Audit Enhancement) Act 2012</w:t>
      </w:r>
      <w:r w:rsidR="003B41F7" w:rsidRPr="003B41F7">
        <w:t xml:space="preserve"> repealed a requirement for the FRC to monitor auditor independence, and replaced it with the responsibility to give strategic policy advice and </w:t>
      </w:r>
      <w:r w:rsidR="003B41F7" w:rsidRPr="00F52F6A">
        <w:t xml:space="preserve">reports, </w:t>
      </w:r>
      <w:r w:rsidR="003B41F7" w:rsidRPr="00992BF0">
        <w:t>to the Minister and professional accounting bodies</w:t>
      </w:r>
      <w:r w:rsidR="003B41F7" w:rsidRPr="00F52F6A">
        <w:t>, i</w:t>
      </w:r>
      <w:r w:rsidR="003B41F7" w:rsidRPr="003B41F7">
        <w:t>n relation to the quality of audits conducted by Australian auditors (see s</w:t>
      </w:r>
      <w:r w:rsidR="00FA56F4">
        <w:t>ubs</w:t>
      </w:r>
      <w:r w:rsidR="00DA591C">
        <w:t xml:space="preserve">ections </w:t>
      </w:r>
      <w:r w:rsidR="003B41F7" w:rsidRPr="003B41F7">
        <w:t>225(2B)</w:t>
      </w:r>
      <w:r w:rsidR="007B5858">
        <w:t xml:space="preserve"> and </w:t>
      </w:r>
      <w:r w:rsidR="003B41F7" w:rsidRPr="003B41F7">
        <w:t>(2</w:t>
      </w:r>
      <w:r w:rsidR="007B5858">
        <w:t>C</w:t>
      </w:r>
      <w:r w:rsidR="003B41F7" w:rsidRPr="003B41F7">
        <w:t>) of the ASIC Act).</w:t>
      </w:r>
    </w:p>
  </w:footnote>
  <w:footnote w:id="11">
    <w:p w14:paraId="64E1C75A" w14:textId="0C38B0D2" w:rsidR="00BB27AB" w:rsidRDefault="00BB27AB">
      <w:pPr>
        <w:pStyle w:val="FootnoteText"/>
      </w:pPr>
      <w:r w:rsidRPr="00946A4C">
        <w:rPr>
          <w:rStyle w:val="FootnoteReference"/>
          <w:vertAlign w:val="baseline"/>
        </w:rPr>
        <w:footnoteRef/>
      </w:r>
      <w:r>
        <w:t xml:space="preserve"> </w:t>
      </w:r>
      <w:r>
        <w:tab/>
      </w:r>
      <w:r w:rsidR="009D22C6">
        <w:t xml:space="preserve">Department of the Treasury, </w:t>
      </w:r>
      <w:hyperlink r:id="rId4" w:history="1">
        <w:r w:rsidR="009D22C6" w:rsidRPr="001221A9">
          <w:rPr>
            <w:rStyle w:val="Hyperlink"/>
            <w:i/>
            <w:iCs/>
          </w:rPr>
          <w:t>Response to PwC – Regulation of accounting, auditing and consulting firms in Australia</w:t>
        </w:r>
      </w:hyperlink>
      <w:r w:rsidR="009D22C6">
        <w:t xml:space="preserve"> [Public consultation paper], Department of the Treasury, Australian Government, 2024</w:t>
      </w:r>
      <w:r w:rsidR="009D22C6" w:rsidRPr="00946A4C">
        <w:t>.</w:t>
      </w:r>
    </w:p>
  </w:footnote>
  <w:footnote w:id="12">
    <w:p w14:paraId="4A1A1465" w14:textId="06A0B632" w:rsidR="00B231A8" w:rsidRPr="00271C0E" w:rsidRDefault="00B231A8">
      <w:pPr>
        <w:pStyle w:val="FootnoteText"/>
      </w:pPr>
      <w:r w:rsidRPr="00271C0E">
        <w:rPr>
          <w:rStyle w:val="FootnoteReference"/>
          <w:vertAlign w:val="baseline"/>
        </w:rPr>
        <w:footnoteRef/>
      </w:r>
      <w:r w:rsidRPr="00271C0E">
        <w:t xml:space="preserve"> </w:t>
      </w:r>
      <w:r w:rsidR="00271C0E" w:rsidRPr="00271C0E">
        <w:tab/>
      </w:r>
      <w:r w:rsidR="00114285" w:rsidRPr="00114285">
        <w:t xml:space="preserve">The CLERP 1 reforms were enacted by the </w:t>
      </w:r>
      <w:r w:rsidR="00114285" w:rsidRPr="00114285">
        <w:rPr>
          <w:i/>
          <w:iCs/>
        </w:rPr>
        <w:t>Corporate Law Economic Reform Program Act 1999</w:t>
      </w:r>
      <w:r w:rsidR="00114285" w:rsidRPr="00114285">
        <w:t xml:space="preserve"> and were informed by consultation undertaken </w:t>
      </w:r>
      <w:r w:rsidR="00CF49F6">
        <w:t xml:space="preserve">by Treasury </w:t>
      </w:r>
      <w:r w:rsidR="00114285" w:rsidRPr="00114285">
        <w:t xml:space="preserve">in 1997: see </w:t>
      </w:r>
      <w:hyperlink r:id="rId5" w:history="1">
        <w:r w:rsidR="00114285" w:rsidRPr="00CF49F6">
          <w:rPr>
            <w:rStyle w:val="Hyperlink"/>
          </w:rPr>
          <w:t>https://treasury.gov.au/publication/clerp-paper-no-1-proposals-for-reform-accounting-standards</w:t>
        </w:r>
      </w:hyperlink>
      <w:r w:rsidR="00114285" w:rsidRPr="00114285">
        <w:t>.</w:t>
      </w:r>
    </w:p>
  </w:footnote>
  <w:footnote w:id="13">
    <w:p w14:paraId="5985A8E5" w14:textId="2F475D79" w:rsidR="00271C0E" w:rsidRPr="00271C0E" w:rsidRDefault="00271C0E">
      <w:pPr>
        <w:pStyle w:val="FootnoteText"/>
      </w:pPr>
      <w:r w:rsidRPr="00271C0E">
        <w:rPr>
          <w:rStyle w:val="FootnoteReference"/>
          <w:vertAlign w:val="baseline"/>
        </w:rPr>
        <w:footnoteRef/>
      </w:r>
      <w:r w:rsidRPr="00271C0E">
        <w:t xml:space="preserve"> </w:t>
      </w:r>
      <w:r>
        <w:tab/>
      </w:r>
      <w:r w:rsidR="00B05D38" w:rsidRPr="00B05D38">
        <w:t xml:space="preserve">The CLERP 9 reforms were enacted by the </w:t>
      </w:r>
      <w:r w:rsidR="00B05D38" w:rsidRPr="00B1021F">
        <w:rPr>
          <w:i/>
          <w:iCs/>
        </w:rPr>
        <w:t>Corporate Law Economic Reform Program (Audit Reform and Corporate Disclosure) Act 2004</w:t>
      </w:r>
      <w:r w:rsidR="00B05D38" w:rsidRPr="00B05D38">
        <w:t xml:space="preserve"> and were informed by consultation undertaken </w:t>
      </w:r>
      <w:r w:rsidR="004428C9">
        <w:t xml:space="preserve">by Treasury </w:t>
      </w:r>
      <w:r w:rsidR="00B05D38" w:rsidRPr="00B05D38">
        <w:t xml:space="preserve">in 2002: see </w:t>
      </w:r>
      <w:hyperlink r:id="rId6" w:history="1">
        <w:r w:rsidR="00B05D38" w:rsidRPr="004428C9">
          <w:rPr>
            <w:rStyle w:val="Hyperlink"/>
          </w:rPr>
          <w:t>https://treasury.gov.au/publication/clerp-paper-no-9-proposals-for-reform-corporate-disclosure</w:t>
        </w:r>
      </w:hyperlink>
      <w:r w:rsidR="00B05D38" w:rsidRPr="00B05D38">
        <w:t>.</w:t>
      </w:r>
    </w:p>
  </w:footnote>
  <w:footnote w:id="14">
    <w:p w14:paraId="4D6836AF" w14:textId="03F0480B" w:rsidR="000746DE" w:rsidRPr="00B05D38" w:rsidRDefault="000746DE">
      <w:pPr>
        <w:pStyle w:val="FootnoteText"/>
      </w:pPr>
      <w:r w:rsidRPr="00B05D38">
        <w:rPr>
          <w:rStyle w:val="FootnoteReference"/>
          <w:vertAlign w:val="baseline"/>
        </w:rPr>
        <w:footnoteRef/>
      </w:r>
      <w:r w:rsidRPr="00B05D38">
        <w:t xml:space="preserve"> </w:t>
      </w:r>
      <w:r w:rsidR="00B05D38">
        <w:tab/>
      </w:r>
      <w:r w:rsidR="00D108B3">
        <w:t>S</w:t>
      </w:r>
      <w:r w:rsidR="00617E55">
        <w:t>ubsection</w:t>
      </w:r>
      <w:r w:rsidR="00C10E44">
        <w:t>s</w:t>
      </w:r>
      <w:r w:rsidR="00004AB5">
        <w:t xml:space="preserve"> </w:t>
      </w:r>
      <w:r w:rsidR="00D108B3">
        <w:t>225(5)</w:t>
      </w:r>
      <w:r w:rsidR="00C10E44">
        <w:t xml:space="preserve"> to</w:t>
      </w:r>
      <w:r w:rsidR="00D108B3">
        <w:t xml:space="preserve"> (8) of the ASIC Act</w:t>
      </w:r>
      <w:r w:rsidR="00D108B3">
        <w:rPr>
          <w:rStyle w:val="ui-provider"/>
        </w:rPr>
        <w:t>.</w:t>
      </w:r>
    </w:p>
  </w:footnote>
  <w:footnote w:id="15">
    <w:p w14:paraId="62375E30" w14:textId="53D8DB6A" w:rsidR="00856DB4" w:rsidRPr="00856DB4" w:rsidRDefault="00856DB4">
      <w:pPr>
        <w:pStyle w:val="FootnoteText"/>
      </w:pPr>
      <w:r w:rsidRPr="00323617">
        <w:rPr>
          <w:rStyle w:val="FootnoteReference"/>
          <w:vertAlign w:val="baseline"/>
        </w:rPr>
        <w:footnoteRef/>
      </w:r>
      <w:r w:rsidRPr="00856DB4">
        <w:t xml:space="preserve"> </w:t>
      </w:r>
      <w:r>
        <w:tab/>
      </w:r>
      <w:r w:rsidR="00993A27">
        <w:t xml:space="preserve">For example, as the PJC </w:t>
      </w:r>
      <w:r w:rsidR="00DA6E86">
        <w:t>R</w:t>
      </w:r>
      <w:r w:rsidR="00993A27">
        <w:t>eport noted,</w:t>
      </w:r>
      <w:r w:rsidR="00993A27" w:rsidRPr="00C25743">
        <w:t xml:space="preserve"> </w:t>
      </w:r>
      <w:r w:rsidR="00993A27">
        <w:t>t</w:t>
      </w:r>
      <w:r w:rsidR="00993A27" w:rsidRPr="00B12BCB">
        <w:t xml:space="preserve">here are </w:t>
      </w:r>
      <w:r w:rsidR="00993A27" w:rsidRPr="00246FDF">
        <w:t>inconsistencies and gaps in the disclosure of interests requirements for the FRC, AASB and AUASB</w:t>
      </w:r>
      <w:r w:rsidR="00993A27" w:rsidRPr="00951F9D">
        <w:t>.</w:t>
      </w:r>
    </w:p>
  </w:footnote>
  <w:footnote w:id="16">
    <w:p w14:paraId="384F943E" w14:textId="1C14A3E6" w:rsidR="00863CD1" w:rsidRPr="00863CD1" w:rsidRDefault="00863CD1">
      <w:pPr>
        <w:pStyle w:val="FootnoteText"/>
      </w:pPr>
      <w:r w:rsidRPr="00863CD1">
        <w:rPr>
          <w:rStyle w:val="FootnoteReference"/>
          <w:vertAlign w:val="baseline"/>
        </w:rPr>
        <w:footnoteRef/>
      </w:r>
      <w:r w:rsidRPr="00863CD1">
        <w:t xml:space="preserve"> </w:t>
      </w:r>
      <w:r>
        <w:tab/>
      </w:r>
      <w:r w:rsidR="00D909DB">
        <w:t>Note that c</w:t>
      </w:r>
      <w:r w:rsidR="00EB77D2" w:rsidRPr="00EB77D2">
        <w:t>onsideration is</w:t>
      </w:r>
      <w:r w:rsidR="00D909DB">
        <w:t xml:space="preserve"> separately </w:t>
      </w:r>
      <w:r w:rsidR="00EB77D2" w:rsidRPr="00EB77D2">
        <w:t xml:space="preserve">being given to whether a new entity should be established </w:t>
      </w:r>
      <w:r w:rsidR="0024645D">
        <w:t xml:space="preserve">in legislation </w:t>
      </w:r>
      <w:r w:rsidR="00EB77D2" w:rsidRPr="00EB77D2">
        <w:t xml:space="preserve">to replace the existing bodies or whether two of the existing bodies should be rolled into the </w:t>
      </w:r>
      <w:r w:rsidR="006E2C89">
        <w:t xml:space="preserve">legislative framework of the </w:t>
      </w:r>
      <w:r w:rsidR="00EB77D2" w:rsidRPr="00EB77D2">
        <w:t>third. This question is largely mechanical in nature and will not impact the</w:t>
      </w:r>
      <w:r w:rsidR="001D5496">
        <w:t xml:space="preserve"> ongoing</w:t>
      </w:r>
      <w:r w:rsidR="00EB77D2" w:rsidRPr="00EB77D2">
        <w:t xml:space="preserve"> operations or functions of </w:t>
      </w:r>
      <w:r w:rsidR="00867B9D">
        <w:t>the new body</w:t>
      </w:r>
      <w:r w:rsidR="00EB77D2" w:rsidRPr="00EB77D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08A9"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1DF78" w14:textId="77777777" w:rsidR="002314D2" w:rsidRPr="001F3912" w:rsidRDefault="002314D2" w:rsidP="001708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FF11"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9539" w14:textId="75D419A5" w:rsidR="00E81A40" w:rsidRPr="00963E8D" w:rsidRDefault="00E81A40" w:rsidP="00963E8D">
    <w:pPr>
      <w:pStyle w:val="Header"/>
    </w:pPr>
    <w:r>
      <w:rPr>
        <w:noProof/>
      </w:rPr>
      <w:drawing>
        <wp:anchor distT="0" distB="0" distL="114300" distR="114300" simplePos="0" relativeHeight="251658242" behindDoc="1" locked="1" layoutInCell="1" allowOverlap="1" wp14:anchorId="210DD184" wp14:editId="2A2B6655">
          <wp:simplePos x="0" y="0"/>
          <wp:positionH relativeFrom="page">
            <wp:align>center</wp:align>
          </wp:positionH>
          <wp:positionV relativeFrom="page">
            <wp:align>top</wp:align>
          </wp:positionV>
          <wp:extent cx="7570800" cy="104400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10A1" w14:textId="77777777" w:rsidR="00E81A40" w:rsidRDefault="00E81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4C6"/>
    <w:multiLevelType w:val="hybridMultilevel"/>
    <w:tmpl w:val="ED149BC6"/>
    <w:lvl w:ilvl="0" w:tplc="77D2181E">
      <w:start w:val="1"/>
      <w:numFmt w:val="bullet"/>
      <w:lvlText w:val="•"/>
      <w:lvlJc w:val="left"/>
      <w:pPr>
        <w:tabs>
          <w:tab w:val="num" w:pos="720"/>
        </w:tabs>
        <w:ind w:left="720" w:hanging="360"/>
      </w:pPr>
      <w:rPr>
        <w:rFonts w:ascii="Arial" w:hAnsi="Arial" w:hint="default"/>
      </w:rPr>
    </w:lvl>
    <w:lvl w:ilvl="1" w:tplc="989401DC" w:tentative="1">
      <w:start w:val="1"/>
      <w:numFmt w:val="bullet"/>
      <w:lvlText w:val="•"/>
      <w:lvlJc w:val="left"/>
      <w:pPr>
        <w:tabs>
          <w:tab w:val="num" w:pos="1440"/>
        </w:tabs>
        <w:ind w:left="1440" w:hanging="360"/>
      </w:pPr>
      <w:rPr>
        <w:rFonts w:ascii="Arial" w:hAnsi="Arial" w:hint="default"/>
      </w:rPr>
    </w:lvl>
    <w:lvl w:ilvl="2" w:tplc="C1FEBA3E" w:tentative="1">
      <w:start w:val="1"/>
      <w:numFmt w:val="bullet"/>
      <w:lvlText w:val="•"/>
      <w:lvlJc w:val="left"/>
      <w:pPr>
        <w:tabs>
          <w:tab w:val="num" w:pos="2160"/>
        </w:tabs>
        <w:ind w:left="2160" w:hanging="360"/>
      </w:pPr>
      <w:rPr>
        <w:rFonts w:ascii="Arial" w:hAnsi="Arial" w:hint="default"/>
      </w:rPr>
    </w:lvl>
    <w:lvl w:ilvl="3" w:tplc="76C87B0A" w:tentative="1">
      <w:start w:val="1"/>
      <w:numFmt w:val="bullet"/>
      <w:lvlText w:val="•"/>
      <w:lvlJc w:val="left"/>
      <w:pPr>
        <w:tabs>
          <w:tab w:val="num" w:pos="2880"/>
        </w:tabs>
        <w:ind w:left="2880" w:hanging="360"/>
      </w:pPr>
      <w:rPr>
        <w:rFonts w:ascii="Arial" w:hAnsi="Arial" w:hint="default"/>
      </w:rPr>
    </w:lvl>
    <w:lvl w:ilvl="4" w:tplc="C466F15C" w:tentative="1">
      <w:start w:val="1"/>
      <w:numFmt w:val="bullet"/>
      <w:lvlText w:val="•"/>
      <w:lvlJc w:val="left"/>
      <w:pPr>
        <w:tabs>
          <w:tab w:val="num" w:pos="3600"/>
        </w:tabs>
        <w:ind w:left="3600" w:hanging="360"/>
      </w:pPr>
      <w:rPr>
        <w:rFonts w:ascii="Arial" w:hAnsi="Arial" w:hint="default"/>
      </w:rPr>
    </w:lvl>
    <w:lvl w:ilvl="5" w:tplc="01940274" w:tentative="1">
      <w:start w:val="1"/>
      <w:numFmt w:val="bullet"/>
      <w:lvlText w:val="•"/>
      <w:lvlJc w:val="left"/>
      <w:pPr>
        <w:tabs>
          <w:tab w:val="num" w:pos="4320"/>
        </w:tabs>
        <w:ind w:left="4320" w:hanging="360"/>
      </w:pPr>
      <w:rPr>
        <w:rFonts w:ascii="Arial" w:hAnsi="Arial" w:hint="default"/>
      </w:rPr>
    </w:lvl>
    <w:lvl w:ilvl="6" w:tplc="72D023D8" w:tentative="1">
      <w:start w:val="1"/>
      <w:numFmt w:val="bullet"/>
      <w:lvlText w:val="•"/>
      <w:lvlJc w:val="left"/>
      <w:pPr>
        <w:tabs>
          <w:tab w:val="num" w:pos="5040"/>
        </w:tabs>
        <w:ind w:left="5040" w:hanging="360"/>
      </w:pPr>
      <w:rPr>
        <w:rFonts w:ascii="Arial" w:hAnsi="Arial" w:hint="default"/>
      </w:rPr>
    </w:lvl>
    <w:lvl w:ilvl="7" w:tplc="7B7CD618" w:tentative="1">
      <w:start w:val="1"/>
      <w:numFmt w:val="bullet"/>
      <w:lvlText w:val="•"/>
      <w:lvlJc w:val="left"/>
      <w:pPr>
        <w:tabs>
          <w:tab w:val="num" w:pos="5760"/>
        </w:tabs>
        <w:ind w:left="5760" w:hanging="360"/>
      </w:pPr>
      <w:rPr>
        <w:rFonts w:ascii="Arial" w:hAnsi="Arial" w:hint="default"/>
      </w:rPr>
    </w:lvl>
    <w:lvl w:ilvl="8" w:tplc="EDE0323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9F8203A"/>
    <w:multiLevelType w:val="hybridMultilevel"/>
    <w:tmpl w:val="30327754"/>
    <w:lvl w:ilvl="0" w:tplc="36B8B544">
      <w:start w:val="1"/>
      <w:numFmt w:val="bullet"/>
      <w:lvlText w:val=""/>
      <w:lvlJc w:val="left"/>
      <w:pPr>
        <w:ind w:left="720" w:hanging="360"/>
      </w:pPr>
      <w:rPr>
        <w:rFonts w:ascii="Symbol" w:hAnsi="Symbol"/>
      </w:rPr>
    </w:lvl>
    <w:lvl w:ilvl="1" w:tplc="AA3A2210">
      <w:start w:val="1"/>
      <w:numFmt w:val="bullet"/>
      <w:lvlText w:val=""/>
      <w:lvlJc w:val="left"/>
      <w:pPr>
        <w:ind w:left="720" w:hanging="360"/>
      </w:pPr>
      <w:rPr>
        <w:rFonts w:ascii="Symbol" w:hAnsi="Symbol"/>
      </w:rPr>
    </w:lvl>
    <w:lvl w:ilvl="2" w:tplc="2FA42A5E">
      <w:start w:val="1"/>
      <w:numFmt w:val="bullet"/>
      <w:lvlText w:val=""/>
      <w:lvlJc w:val="left"/>
      <w:pPr>
        <w:ind w:left="720" w:hanging="360"/>
      </w:pPr>
      <w:rPr>
        <w:rFonts w:ascii="Symbol" w:hAnsi="Symbol"/>
      </w:rPr>
    </w:lvl>
    <w:lvl w:ilvl="3" w:tplc="D048F648">
      <w:start w:val="1"/>
      <w:numFmt w:val="bullet"/>
      <w:lvlText w:val=""/>
      <w:lvlJc w:val="left"/>
      <w:pPr>
        <w:ind w:left="720" w:hanging="360"/>
      </w:pPr>
      <w:rPr>
        <w:rFonts w:ascii="Symbol" w:hAnsi="Symbol"/>
      </w:rPr>
    </w:lvl>
    <w:lvl w:ilvl="4" w:tplc="C450A416">
      <w:start w:val="1"/>
      <w:numFmt w:val="bullet"/>
      <w:lvlText w:val=""/>
      <w:lvlJc w:val="left"/>
      <w:pPr>
        <w:ind w:left="720" w:hanging="360"/>
      </w:pPr>
      <w:rPr>
        <w:rFonts w:ascii="Symbol" w:hAnsi="Symbol"/>
      </w:rPr>
    </w:lvl>
    <w:lvl w:ilvl="5" w:tplc="849A7C9A">
      <w:start w:val="1"/>
      <w:numFmt w:val="bullet"/>
      <w:lvlText w:val=""/>
      <w:lvlJc w:val="left"/>
      <w:pPr>
        <w:ind w:left="720" w:hanging="360"/>
      </w:pPr>
      <w:rPr>
        <w:rFonts w:ascii="Symbol" w:hAnsi="Symbol"/>
      </w:rPr>
    </w:lvl>
    <w:lvl w:ilvl="6" w:tplc="86225B50">
      <w:start w:val="1"/>
      <w:numFmt w:val="bullet"/>
      <w:lvlText w:val=""/>
      <w:lvlJc w:val="left"/>
      <w:pPr>
        <w:ind w:left="720" w:hanging="360"/>
      </w:pPr>
      <w:rPr>
        <w:rFonts w:ascii="Symbol" w:hAnsi="Symbol"/>
      </w:rPr>
    </w:lvl>
    <w:lvl w:ilvl="7" w:tplc="A9F0CB4E">
      <w:start w:val="1"/>
      <w:numFmt w:val="bullet"/>
      <w:lvlText w:val=""/>
      <w:lvlJc w:val="left"/>
      <w:pPr>
        <w:ind w:left="720" w:hanging="360"/>
      </w:pPr>
      <w:rPr>
        <w:rFonts w:ascii="Symbol" w:hAnsi="Symbol"/>
      </w:rPr>
    </w:lvl>
    <w:lvl w:ilvl="8" w:tplc="F6B41182">
      <w:start w:val="1"/>
      <w:numFmt w:val="bullet"/>
      <w:lvlText w:val=""/>
      <w:lvlJc w:val="left"/>
      <w:pPr>
        <w:ind w:left="720" w:hanging="360"/>
      </w:pPr>
      <w:rPr>
        <w:rFonts w:ascii="Symbol" w:hAnsi="Symbol"/>
      </w:rPr>
    </w:lvl>
  </w:abstractNum>
  <w:abstractNum w:abstractNumId="3" w15:restartNumberingAfterBreak="0">
    <w:nsid w:val="0A1B6B39"/>
    <w:multiLevelType w:val="hybridMultilevel"/>
    <w:tmpl w:val="6D2E0D30"/>
    <w:lvl w:ilvl="0" w:tplc="4D0EA628">
      <w:start w:val="1"/>
      <w:numFmt w:val="bullet"/>
      <w:lvlText w:val="•"/>
      <w:lvlJc w:val="left"/>
      <w:pPr>
        <w:tabs>
          <w:tab w:val="num" w:pos="720"/>
        </w:tabs>
        <w:ind w:left="720" w:hanging="360"/>
      </w:pPr>
      <w:rPr>
        <w:rFonts w:ascii="Arial" w:hAnsi="Arial" w:hint="default"/>
      </w:rPr>
    </w:lvl>
    <w:lvl w:ilvl="1" w:tplc="EE3ADD56" w:tentative="1">
      <w:start w:val="1"/>
      <w:numFmt w:val="bullet"/>
      <w:lvlText w:val="•"/>
      <w:lvlJc w:val="left"/>
      <w:pPr>
        <w:tabs>
          <w:tab w:val="num" w:pos="1440"/>
        </w:tabs>
        <w:ind w:left="1440" w:hanging="360"/>
      </w:pPr>
      <w:rPr>
        <w:rFonts w:ascii="Arial" w:hAnsi="Arial" w:hint="default"/>
      </w:rPr>
    </w:lvl>
    <w:lvl w:ilvl="2" w:tplc="E48A16AE" w:tentative="1">
      <w:start w:val="1"/>
      <w:numFmt w:val="bullet"/>
      <w:lvlText w:val="•"/>
      <w:lvlJc w:val="left"/>
      <w:pPr>
        <w:tabs>
          <w:tab w:val="num" w:pos="2160"/>
        </w:tabs>
        <w:ind w:left="2160" w:hanging="360"/>
      </w:pPr>
      <w:rPr>
        <w:rFonts w:ascii="Arial" w:hAnsi="Arial" w:hint="default"/>
      </w:rPr>
    </w:lvl>
    <w:lvl w:ilvl="3" w:tplc="82E2AB76" w:tentative="1">
      <w:start w:val="1"/>
      <w:numFmt w:val="bullet"/>
      <w:lvlText w:val="•"/>
      <w:lvlJc w:val="left"/>
      <w:pPr>
        <w:tabs>
          <w:tab w:val="num" w:pos="2880"/>
        </w:tabs>
        <w:ind w:left="2880" w:hanging="360"/>
      </w:pPr>
      <w:rPr>
        <w:rFonts w:ascii="Arial" w:hAnsi="Arial" w:hint="default"/>
      </w:rPr>
    </w:lvl>
    <w:lvl w:ilvl="4" w:tplc="4164014C" w:tentative="1">
      <w:start w:val="1"/>
      <w:numFmt w:val="bullet"/>
      <w:lvlText w:val="•"/>
      <w:lvlJc w:val="left"/>
      <w:pPr>
        <w:tabs>
          <w:tab w:val="num" w:pos="3600"/>
        </w:tabs>
        <w:ind w:left="3600" w:hanging="360"/>
      </w:pPr>
      <w:rPr>
        <w:rFonts w:ascii="Arial" w:hAnsi="Arial" w:hint="default"/>
      </w:rPr>
    </w:lvl>
    <w:lvl w:ilvl="5" w:tplc="1A741630" w:tentative="1">
      <w:start w:val="1"/>
      <w:numFmt w:val="bullet"/>
      <w:lvlText w:val="•"/>
      <w:lvlJc w:val="left"/>
      <w:pPr>
        <w:tabs>
          <w:tab w:val="num" w:pos="4320"/>
        </w:tabs>
        <w:ind w:left="4320" w:hanging="360"/>
      </w:pPr>
      <w:rPr>
        <w:rFonts w:ascii="Arial" w:hAnsi="Arial" w:hint="default"/>
      </w:rPr>
    </w:lvl>
    <w:lvl w:ilvl="6" w:tplc="856AB7C4" w:tentative="1">
      <w:start w:val="1"/>
      <w:numFmt w:val="bullet"/>
      <w:lvlText w:val="•"/>
      <w:lvlJc w:val="left"/>
      <w:pPr>
        <w:tabs>
          <w:tab w:val="num" w:pos="5040"/>
        </w:tabs>
        <w:ind w:left="5040" w:hanging="360"/>
      </w:pPr>
      <w:rPr>
        <w:rFonts w:ascii="Arial" w:hAnsi="Arial" w:hint="default"/>
      </w:rPr>
    </w:lvl>
    <w:lvl w:ilvl="7" w:tplc="785865D6" w:tentative="1">
      <w:start w:val="1"/>
      <w:numFmt w:val="bullet"/>
      <w:lvlText w:val="•"/>
      <w:lvlJc w:val="left"/>
      <w:pPr>
        <w:tabs>
          <w:tab w:val="num" w:pos="5760"/>
        </w:tabs>
        <w:ind w:left="5760" w:hanging="360"/>
      </w:pPr>
      <w:rPr>
        <w:rFonts w:ascii="Arial" w:hAnsi="Arial" w:hint="default"/>
      </w:rPr>
    </w:lvl>
    <w:lvl w:ilvl="8" w:tplc="24E0FE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8" w15:restartNumberingAfterBreak="0">
    <w:nsid w:val="1F05294C"/>
    <w:multiLevelType w:val="hybridMultilevel"/>
    <w:tmpl w:val="0090D8D2"/>
    <w:lvl w:ilvl="0" w:tplc="803A9F4A">
      <w:start w:val="1"/>
      <w:numFmt w:val="bullet"/>
      <w:lvlText w:val=""/>
      <w:lvlJc w:val="left"/>
      <w:pPr>
        <w:ind w:left="720" w:hanging="360"/>
      </w:pPr>
      <w:rPr>
        <w:rFonts w:ascii="Symbol" w:hAnsi="Symbol"/>
      </w:rPr>
    </w:lvl>
    <w:lvl w:ilvl="1" w:tplc="6B065A72">
      <w:start w:val="1"/>
      <w:numFmt w:val="bullet"/>
      <w:lvlText w:val=""/>
      <w:lvlJc w:val="left"/>
      <w:pPr>
        <w:ind w:left="720" w:hanging="360"/>
      </w:pPr>
      <w:rPr>
        <w:rFonts w:ascii="Symbol" w:hAnsi="Symbol"/>
      </w:rPr>
    </w:lvl>
    <w:lvl w:ilvl="2" w:tplc="298657F8">
      <w:start w:val="1"/>
      <w:numFmt w:val="bullet"/>
      <w:lvlText w:val=""/>
      <w:lvlJc w:val="left"/>
      <w:pPr>
        <w:ind w:left="720" w:hanging="360"/>
      </w:pPr>
      <w:rPr>
        <w:rFonts w:ascii="Symbol" w:hAnsi="Symbol"/>
      </w:rPr>
    </w:lvl>
    <w:lvl w:ilvl="3" w:tplc="4BE89B5E">
      <w:start w:val="1"/>
      <w:numFmt w:val="bullet"/>
      <w:lvlText w:val=""/>
      <w:lvlJc w:val="left"/>
      <w:pPr>
        <w:ind w:left="720" w:hanging="360"/>
      </w:pPr>
      <w:rPr>
        <w:rFonts w:ascii="Symbol" w:hAnsi="Symbol"/>
      </w:rPr>
    </w:lvl>
    <w:lvl w:ilvl="4" w:tplc="D6C61A0C">
      <w:start w:val="1"/>
      <w:numFmt w:val="bullet"/>
      <w:lvlText w:val=""/>
      <w:lvlJc w:val="left"/>
      <w:pPr>
        <w:ind w:left="720" w:hanging="360"/>
      </w:pPr>
      <w:rPr>
        <w:rFonts w:ascii="Symbol" w:hAnsi="Symbol"/>
      </w:rPr>
    </w:lvl>
    <w:lvl w:ilvl="5" w:tplc="B854F0AE">
      <w:start w:val="1"/>
      <w:numFmt w:val="bullet"/>
      <w:lvlText w:val=""/>
      <w:lvlJc w:val="left"/>
      <w:pPr>
        <w:ind w:left="720" w:hanging="360"/>
      </w:pPr>
      <w:rPr>
        <w:rFonts w:ascii="Symbol" w:hAnsi="Symbol"/>
      </w:rPr>
    </w:lvl>
    <w:lvl w:ilvl="6" w:tplc="D3DE6796">
      <w:start w:val="1"/>
      <w:numFmt w:val="bullet"/>
      <w:lvlText w:val=""/>
      <w:lvlJc w:val="left"/>
      <w:pPr>
        <w:ind w:left="720" w:hanging="360"/>
      </w:pPr>
      <w:rPr>
        <w:rFonts w:ascii="Symbol" w:hAnsi="Symbol"/>
      </w:rPr>
    </w:lvl>
    <w:lvl w:ilvl="7" w:tplc="5776C0B4">
      <w:start w:val="1"/>
      <w:numFmt w:val="bullet"/>
      <w:lvlText w:val=""/>
      <w:lvlJc w:val="left"/>
      <w:pPr>
        <w:ind w:left="720" w:hanging="360"/>
      </w:pPr>
      <w:rPr>
        <w:rFonts w:ascii="Symbol" w:hAnsi="Symbol"/>
      </w:rPr>
    </w:lvl>
    <w:lvl w:ilvl="8" w:tplc="742AF474">
      <w:start w:val="1"/>
      <w:numFmt w:val="bullet"/>
      <w:lvlText w:val=""/>
      <w:lvlJc w:val="left"/>
      <w:pPr>
        <w:ind w:left="720" w:hanging="360"/>
      </w:pPr>
      <w:rPr>
        <w:rFonts w:ascii="Symbol" w:hAnsi="Symbol"/>
      </w:rPr>
    </w:lvl>
  </w:abstractNum>
  <w:abstractNum w:abstractNumId="9"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7A14DC"/>
    <w:multiLevelType w:val="hybridMultilevel"/>
    <w:tmpl w:val="CD84CEA4"/>
    <w:lvl w:ilvl="0" w:tplc="0ABC1372">
      <w:start w:val="1"/>
      <w:numFmt w:val="bullet"/>
      <w:lvlText w:val=""/>
      <w:lvlJc w:val="left"/>
      <w:pPr>
        <w:ind w:left="1020" w:hanging="360"/>
      </w:pPr>
      <w:rPr>
        <w:rFonts w:ascii="Symbol" w:hAnsi="Symbol"/>
      </w:rPr>
    </w:lvl>
    <w:lvl w:ilvl="1" w:tplc="42AAEBA4">
      <w:start w:val="1"/>
      <w:numFmt w:val="bullet"/>
      <w:lvlText w:val=""/>
      <w:lvlJc w:val="left"/>
      <w:pPr>
        <w:ind w:left="1020" w:hanging="360"/>
      </w:pPr>
      <w:rPr>
        <w:rFonts w:ascii="Symbol" w:hAnsi="Symbol"/>
      </w:rPr>
    </w:lvl>
    <w:lvl w:ilvl="2" w:tplc="9BCE9ED0">
      <w:start w:val="1"/>
      <w:numFmt w:val="bullet"/>
      <w:lvlText w:val=""/>
      <w:lvlJc w:val="left"/>
      <w:pPr>
        <w:ind w:left="1020" w:hanging="360"/>
      </w:pPr>
      <w:rPr>
        <w:rFonts w:ascii="Symbol" w:hAnsi="Symbol"/>
      </w:rPr>
    </w:lvl>
    <w:lvl w:ilvl="3" w:tplc="02DE55C2">
      <w:start w:val="1"/>
      <w:numFmt w:val="bullet"/>
      <w:lvlText w:val=""/>
      <w:lvlJc w:val="left"/>
      <w:pPr>
        <w:ind w:left="1020" w:hanging="360"/>
      </w:pPr>
      <w:rPr>
        <w:rFonts w:ascii="Symbol" w:hAnsi="Symbol"/>
      </w:rPr>
    </w:lvl>
    <w:lvl w:ilvl="4" w:tplc="8202200C">
      <w:start w:val="1"/>
      <w:numFmt w:val="bullet"/>
      <w:lvlText w:val=""/>
      <w:lvlJc w:val="left"/>
      <w:pPr>
        <w:ind w:left="1020" w:hanging="360"/>
      </w:pPr>
      <w:rPr>
        <w:rFonts w:ascii="Symbol" w:hAnsi="Symbol"/>
      </w:rPr>
    </w:lvl>
    <w:lvl w:ilvl="5" w:tplc="C9904E66">
      <w:start w:val="1"/>
      <w:numFmt w:val="bullet"/>
      <w:lvlText w:val=""/>
      <w:lvlJc w:val="left"/>
      <w:pPr>
        <w:ind w:left="1020" w:hanging="360"/>
      </w:pPr>
      <w:rPr>
        <w:rFonts w:ascii="Symbol" w:hAnsi="Symbol"/>
      </w:rPr>
    </w:lvl>
    <w:lvl w:ilvl="6" w:tplc="23C473EE">
      <w:start w:val="1"/>
      <w:numFmt w:val="bullet"/>
      <w:lvlText w:val=""/>
      <w:lvlJc w:val="left"/>
      <w:pPr>
        <w:ind w:left="1020" w:hanging="360"/>
      </w:pPr>
      <w:rPr>
        <w:rFonts w:ascii="Symbol" w:hAnsi="Symbol"/>
      </w:rPr>
    </w:lvl>
    <w:lvl w:ilvl="7" w:tplc="118C95FE">
      <w:start w:val="1"/>
      <w:numFmt w:val="bullet"/>
      <w:lvlText w:val=""/>
      <w:lvlJc w:val="left"/>
      <w:pPr>
        <w:ind w:left="1020" w:hanging="360"/>
      </w:pPr>
      <w:rPr>
        <w:rFonts w:ascii="Symbol" w:hAnsi="Symbol"/>
      </w:rPr>
    </w:lvl>
    <w:lvl w:ilvl="8" w:tplc="AA7E1488">
      <w:start w:val="1"/>
      <w:numFmt w:val="bullet"/>
      <w:lvlText w:val=""/>
      <w:lvlJc w:val="left"/>
      <w:pPr>
        <w:ind w:left="1020" w:hanging="360"/>
      </w:pPr>
      <w:rPr>
        <w:rFonts w:ascii="Symbol" w:hAnsi="Symbol"/>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584228"/>
    <w:multiLevelType w:val="hybridMultilevel"/>
    <w:tmpl w:val="5AF03AC2"/>
    <w:lvl w:ilvl="0" w:tplc="6E7637FA">
      <w:start w:val="1"/>
      <w:numFmt w:val="bullet"/>
      <w:lvlText w:val=""/>
      <w:lvlJc w:val="left"/>
      <w:pPr>
        <w:ind w:left="720" w:hanging="360"/>
      </w:pPr>
      <w:rPr>
        <w:rFonts w:ascii="Symbol" w:hAnsi="Symbol"/>
      </w:rPr>
    </w:lvl>
    <w:lvl w:ilvl="1" w:tplc="CD5022E0">
      <w:start w:val="1"/>
      <w:numFmt w:val="bullet"/>
      <w:lvlText w:val=""/>
      <w:lvlJc w:val="left"/>
      <w:pPr>
        <w:ind w:left="720" w:hanging="360"/>
      </w:pPr>
      <w:rPr>
        <w:rFonts w:ascii="Symbol" w:hAnsi="Symbol"/>
      </w:rPr>
    </w:lvl>
    <w:lvl w:ilvl="2" w:tplc="5778EB54">
      <w:start w:val="1"/>
      <w:numFmt w:val="bullet"/>
      <w:lvlText w:val=""/>
      <w:lvlJc w:val="left"/>
      <w:pPr>
        <w:ind w:left="720" w:hanging="360"/>
      </w:pPr>
      <w:rPr>
        <w:rFonts w:ascii="Symbol" w:hAnsi="Symbol"/>
      </w:rPr>
    </w:lvl>
    <w:lvl w:ilvl="3" w:tplc="ADA653E8">
      <w:start w:val="1"/>
      <w:numFmt w:val="bullet"/>
      <w:lvlText w:val=""/>
      <w:lvlJc w:val="left"/>
      <w:pPr>
        <w:ind w:left="720" w:hanging="360"/>
      </w:pPr>
      <w:rPr>
        <w:rFonts w:ascii="Symbol" w:hAnsi="Symbol"/>
      </w:rPr>
    </w:lvl>
    <w:lvl w:ilvl="4" w:tplc="5BC2ABA6">
      <w:start w:val="1"/>
      <w:numFmt w:val="bullet"/>
      <w:lvlText w:val=""/>
      <w:lvlJc w:val="left"/>
      <w:pPr>
        <w:ind w:left="720" w:hanging="360"/>
      </w:pPr>
      <w:rPr>
        <w:rFonts w:ascii="Symbol" w:hAnsi="Symbol"/>
      </w:rPr>
    </w:lvl>
    <w:lvl w:ilvl="5" w:tplc="6BD8A978">
      <w:start w:val="1"/>
      <w:numFmt w:val="bullet"/>
      <w:lvlText w:val=""/>
      <w:lvlJc w:val="left"/>
      <w:pPr>
        <w:ind w:left="720" w:hanging="360"/>
      </w:pPr>
      <w:rPr>
        <w:rFonts w:ascii="Symbol" w:hAnsi="Symbol"/>
      </w:rPr>
    </w:lvl>
    <w:lvl w:ilvl="6" w:tplc="E6784050">
      <w:start w:val="1"/>
      <w:numFmt w:val="bullet"/>
      <w:lvlText w:val=""/>
      <w:lvlJc w:val="left"/>
      <w:pPr>
        <w:ind w:left="720" w:hanging="360"/>
      </w:pPr>
      <w:rPr>
        <w:rFonts w:ascii="Symbol" w:hAnsi="Symbol"/>
      </w:rPr>
    </w:lvl>
    <w:lvl w:ilvl="7" w:tplc="A958448A">
      <w:start w:val="1"/>
      <w:numFmt w:val="bullet"/>
      <w:lvlText w:val=""/>
      <w:lvlJc w:val="left"/>
      <w:pPr>
        <w:ind w:left="720" w:hanging="360"/>
      </w:pPr>
      <w:rPr>
        <w:rFonts w:ascii="Symbol" w:hAnsi="Symbol"/>
      </w:rPr>
    </w:lvl>
    <w:lvl w:ilvl="8" w:tplc="D9A670F8">
      <w:start w:val="1"/>
      <w:numFmt w:val="bullet"/>
      <w:lvlText w:val=""/>
      <w:lvlJc w:val="left"/>
      <w:pPr>
        <w:ind w:left="720" w:hanging="360"/>
      </w:pPr>
      <w:rPr>
        <w:rFonts w:ascii="Symbol" w:hAnsi="Symbol"/>
      </w:rPr>
    </w:lvl>
  </w:abstractNum>
  <w:abstractNum w:abstractNumId="15" w15:restartNumberingAfterBreak="0">
    <w:nsid w:val="3F920B71"/>
    <w:multiLevelType w:val="hybridMultilevel"/>
    <w:tmpl w:val="4F9EDE5C"/>
    <w:lvl w:ilvl="0" w:tplc="0AF4726C">
      <w:start w:val="1"/>
      <w:numFmt w:val="bullet"/>
      <w:lvlText w:val="•"/>
      <w:lvlJc w:val="left"/>
      <w:pPr>
        <w:tabs>
          <w:tab w:val="num" w:pos="720"/>
        </w:tabs>
        <w:ind w:left="720" w:hanging="360"/>
      </w:pPr>
      <w:rPr>
        <w:rFonts w:ascii="Arial" w:hAnsi="Arial" w:hint="default"/>
      </w:rPr>
    </w:lvl>
    <w:lvl w:ilvl="1" w:tplc="162E4002" w:tentative="1">
      <w:start w:val="1"/>
      <w:numFmt w:val="bullet"/>
      <w:lvlText w:val="•"/>
      <w:lvlJc w:val="left"/>
      <w:pPr>
        <w:tabs>
          <w:tab w:val="num" w:pos="1440"/>
        </w:tabs>
        <w:ind w:left="1440" w:hanging="360"/>
      </w:pPr>
      <w:rPr>
        <w:rFonts w:ascii="Arial" w:hAnsi="Arial" w:hint="default"/>
      </w:rPr>
    </w:lvl>
    <w:lvl w:ilvl="2" w:tplc="11E4A250" w:tentative="1">
      <w:start w:val="1"/>
      <w:numFmt w:val="bullet"/>
      <w:lvlText w:val="•"/>
      <w:lvlJc w:val="left"/>
      <w:pPr>
        <w:tabs>
          <w:tab w:val="num" w:pos="2160"/>
        </w:tabs>
        <w:ind w:left="2160" w:hanging="360"/>
      </w:pPr>
      <w:rPr>
        <w:rFonts w:ascii="Arial" w:hAnsi="Arial" w:hint="default"/>
      </w:rPr>
    </w:lvl>
    <w:lvl w:ilvl="3" w:tplc="7CE877B6" w:tentative="1">
      <w:start w:val="1"/>
      <w:numFmt w:val="bullet"/>
      <w:lvlText w:val="•"/>
      <w:lvlJc w:val="left"/>
      <w:pPr>
        <w:tabs>
          <w:tab w:val="num" w:pos="2880"/>
        </w:tabs>
        <w:ind w:left="2880" w:hanging="360"/>
      </w:pPr>
      <w:rPr>
        <w:rFonts w:ascii="Arial" w:hAnsi="Arial" w:hint="default"/>
      </w:rPr>
    </w:lvl>
    <w:lvl w:ilvl="4" w:tplc="1938CBD8" w:tentative="1">
      <w:start w:val="1"/>
      <w:numFmt w:val="bullet"/>
      <w:lvlText w:val="•"/>
      <w:lvlJc w:val="left"/>
      <w:pPr>
        <w:tabs>
          <w:tab w:val="num" w:pos="3600"/>
        </w:tabs>
        <w:ind w:left="3600" w:hanging="360"/>
      </w:pPr>
      <w:rPr>
        <w:rFonts w:ascii="Arial" w:hAnsi="Arial" w:hint="default"/>
      </w:rPr>
    </w:lvl>
    <w:lvl w:ilvl="5" w:tplc="9D80B6FE" w:tentative="1">
      <w:start w:val="1"/>
      <w:numFmt w:val="bullet"/>
      <w:lvlText w:val="•"/>
      <w:lvlJc w:val="left"/>
      <w:pPr>
        <w:tabs>
          <w:tab w:val="num" w:pos="4320"/>
        </w:tabs>
        <w:ind w:left="4320" w:hanging="360"/>
      </w:pPr>
      <w:rPr>
        <w:rFonts w:ascii="Arial" w:hAnsi="Arial" w:hint="default"/>
      </w:rPr>
    </w:lvl>
    <w:lvl w:ilvl="6" w:tplc="D6EA8E22" w:tentative="1">
      <w:start w:val="1"/>
      <w:numFmt w:val="bullet"/>
      <w:lvlText w:val="•"/>
      <w:lvlJc w:val="left"/>
      <w:pPr>
        <w:tabs>
          <w:tab w:val="num" w:pos="5040"/>
        </w:tabs>
        <w:ind w:left="5040" w:hanging="360"/>
      </w:pPr>
      <w:rPr>
        <w:rFonts w:ascii="Arial" w:hAnsi="Arial" w:hint="default"/>
      </w:rPr>
    </w:lvl>
    <w:lvl w:ilvl="7" w:tplc="37ECDBD2" w:tentative="1">
      <w:start w:val="1"/>
      <w:numFmt w:val="bullet"/>
      <w:lvlText w:val="•"/>
      <w:lvlJc w:val="left"/>
      <w:pPr>
        <w:tabs>
          <w:tab w:val="num" w:pos="5760"/>
        </w:tabs>
        <w:ind w:left="5760" w:hanging="360"/>
      </w:pPr>
      <w:rPr>
        <w:rFonts w:ascii="Arial" w:hAnsi="Arial" w:hint="default"/>
      </w:rPr>
    </w:lvl>
    <w:lvl w:ilvl="8" w:tplc="A4BAF2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C0E6D0F"/>
    <w:multiLevelType w:val="hybridMultilevel"/>
    <w:tmpl w:val="68BEBE12"/>
    <w:lvl w:ilvl="0" w:tplc="64A47958">
      <w:start w:val="1"/>
      <w:numFmt w:val="decimal"/>
      <w:lvlText w:val="%1)"/>
      <w:lvlJc w:val="left"/>
      <w:pPr>
        <w:ind w:left="1020" w:hanging="360"/>
      </w:pPr>
    </w:lvl>
    <w:lvl w:ilvl="1" w:tplc="94087810">
      <w:start w:val="1"/>
      <w:numFmt w:val="decimal"/>
      <w:lvlText w:val="%2)"/>
      <w:lvlJc w:val="left"/>
      <w:pPr>
        <w:ind w:left="1020" w:hanging="360"/>
      </w:pPr>
    </w:lvl>
    <w:lvl w:ilvl="2" w:tplc="85D0E342">
      <w:start w:val="1"/>
      <w:numFmt w:val="decimal"/>
      <w:lvlText w:val="%3)"/>
      <w:lvlJc w:val="left"/>
      <w:pPr>
        <w:ind w:left="1020" w:hanging="360"/>
      </w:pPr>
    </w:lvl>
    <w:lvl w:ilvl="3" w:tplc="E08861BA">
      <w:start w:val="1"/>
      <w:numFmt w:val="decimal"/>
      <w:lvlText w:val="%4)"/>
      <w:lvlJc w:val="left"/>
      <w:pPr>
        <w:ind w:left="1020" w:hanging="360"/>
      </w:pPr>
    </w:lvl>
    <w:lvl w:ilvl="4" w:tplc="8A5EA616">
      <w:start w:val="1"/>
      <w:numFmt w:val="decimal"/>
      <w:lvlText w:val="%5)"/>
      <w:lvlJc w:val="left"/>
      <w:pPr>
        <w:ind w:left="1020" w:hanging="360"/>
      </w:pPr>
    </w:lvl>
    <w:lvl w:ilvl="5" w:tplc="2EEC901C">
      <w:start w:val="1"/>
      <w:numFmt w:val="decimal"/>
      <w:lvlText w:val="%6)"/>
      <w:lvlJc w:val="left"/>
      <w:pPr>
        <w:ind w:left="1020" w:hanging="360"/>
      </w:pPr>
    </w:lvl>
    <w:lvl w:ilvl="6" w:tplc="1090A7C0">
      <w:start w:val="1"/>
      <w:numFmt w:val="decimal"/>
      <w:lvlText w:val="%7)"/>
      <w:lvlJc w:val="left"/>
      <w:pPr>
        <w:ind w:left="1020" w:hanging="360"/>
      </w:pPr>
    </w:lvl>
    <w:lvl w:ilvl="7" w:tplc="E744C602">
      <w:start w:val="1"/>
      <w:numFmt w:val="decimal"/>
      <w:lvlText w:val="%8)"/>
      <w:lvlJc w:val="left"/>
      <w:pPr>
        <w:ind w:left="1020" w:hanging="360"/>
      </w:pPr>
    </w:lvl>
    <w:lvl w:ilvl="8" w:tplc="B734C4E4">
      <w:start w:val="1"/>
      <w:numFmt w:val="decimal"/>
      <w:lvlText w:val="%9)"/>
      <w:lvlJc w:val="left"/>
      <w:pPr>
        <w:ind w:left="1020" w:hanging="360"/>
      </w:pPr>
    </w:lvl>
  </w:abstractNum>
  <w:abstractNum w:abstractNumId="17" w15:restartNumberingAfterBreak="0">
    <w:nsid w:val="510D2021"/>
    <w:multiLevelType w:val="multilevel"/>
    <w:tmpl w:val="72F8140E"/>
    <w:numStyleLink w:val="OutlineList"/>
  </w:abstractNum>
  <w:abstractNum w:abstractNumId="18" w15:restartNumberingAfterBreak="0">
    <w:nsid w:val="563D30DC"/>
    <w:multiLevelType w:val="hybridMultilevel"/>
    <w:tmpl w:val="2C46CD7C"/>
    <w:lvl w:ilvl="0" w:tplc="BD6EA186">
      <w:start w:val="1"/>
      <w:numFmt w:val="bullet"/>
      <w:lvlText w:val=""/>
      <w:lvlJc w:val="left"/>
      <w:pPr>
        <w:ind w:left="1020" w:hanging="360"/>
      </w:pPr>
      <w:rPr>
        <w:rFonts w:ascii="Symbol" w:hAnsi="Symbol"/>
      </w:rPr>
    </w:lvl>
    <w:lvl w:ilvl="1" w:tplc="05446FA6">
      <w:start w:val="1"/>
      <w:numFmt w:val="bullet"/>
      <w:lvlText w:val=""/>
      <w:lvlJc w:val="left"/>
      <w:pPr>
        <w:ind w:left="1020" w:hanging="360"/>
      </w:pPr>
      <w:rPr>
        <w:rFonts w:ascii="Symbol" w:hAnsi="Symbol"/>
      </w:rPr>
    </w:lvl>
    <w:lvl w:ilvl="2" w:tplc="9B2689B4">
      <w:start w:val="1"/>
      <w:numFmt w:val="bullet"/>
      <w:lvlText w:val=""/>
      <w:lvlJc w:val="left"/>
      <w:pPr>
        <w:ind w:left="1020" w:hanging="360"/>
      </w:pPr>
      <w:rPr>
        <w:rFonts w:ascii="Symbol" w:hAnsi="Symbol"/>
      </w:rPr>
    </w:lvl>
    <w:lvl w:ilvl="3" w:tplc="4544CA12">
      <w:start w:val="1"/>
      <w:numFmt w:val="bullet"/>
      <w:lvlText w:val=""/>
      <w:lvlJc w:val="left"/>
      <w:pPr>
        <w:ind w:left="1020" w:hanging="360"/>
      </w:pPr>
      <w:rPr>
        <w:rFonts w:ascii="Symbol" w:hAnsi="Symbol"/>
      </w:rPr>
    </w:lvl>
    <w:lvl w:ilvl="4" w:tplc="A6709510">
      <w:start w:val="1"/>
      <w:numFmt w:val="bullet"/>
      <w:lvlText w:val=""/>
      <w:lvlJc w:val="left"/>
      <w:pPr>
        <w:ind w:left="1020" w:hanging="360"/>
      </w:pPr>
      <w:rPr>
        <w:rFonts w:ascii="Symbol" w:hAnsi="Symbol"/>
      </w:rPr>
    </w:lvl>
    <w:lvl w:ilvl="5" w:tplc="F9AAB992">
      <w:start w:val="1"/>
      <w:numFmt w:val="bullet"/>
      <w:lvlText w:val=""/>
      <w:lvlJc w:val="left"/>
      <w:pPr>
        <w:ind w:left="1020" w:hanging="360"/>
      </w:pPr>
      <w:rPr>
        <w:rFonts w:ascii="Symbol" w:hAnsi="Symbol"/>
      </w:rPr>
    </w:lvl>
    <w:lvl w:ilvl="6" w:tplc="93524BE0">
      <w:start w:val="1"/>
      <w:numFmt w:val="bullet"/>
      <w:lvlText w:val=""/>
      <w:lvlJc w:val="left"/>
      <w:pPr>
        <w:ind w:left="1020" w:hanging="360"/>
      </w:pPr>
      <w:rPr>
        <w:rFonts w:ascii="Symbol" w:hAnsi="Symbol"/>
      </w:rPr>
    </w:lvl>
    <w:lvl w:ilvl="7" w:tplc="1D525640">
      <w:start w:val="1"/>
      <w:numFmt w:val="bullet"/>
      <w:lvlText w:val=""/>
      <w:lvlJc w:val="left"/>
      <w:pPr>
        <w:ind w:left="1020" w:hanging="360"/>
      </w:pPr>
      <w:rPr>
        <w:rFonts w:ascii="Symbol" w:hAnsi="Symbol"/>
      </w:rPr>
    </w:lvl>
    <w:lvl w:ilvl="8" w:tplc="7004EC4E">
      <w:start w:val="1"/>
      <w:numFmt w:val="bullet"/>
      <w:lvlText w:val=""/>
      <w:lvlJc w:val="left"/>
      <w:pPr>
        <w:ind w:left="1020" w:hanging="360"/>
      </w:pPr>
      <w:rPr>
        <w:rFonts w:ascii="Symbol" w:hAnsi="Symbol"/>
      </w:rPr>
    </w:lvl>
  </w:abstractNum>
  <w:abstractNum w:abstractNumId="19" w15:restartNumberingAfterBreak="0">
    <w:nsid w:val="59F60627"/>
    <w:multiLevelType w:val="hybridMultilevel"/>
    <w:tmpl w:val="4710A294"/>
    <w:lvl w:ilvl="0" w:tplc="9C54E6D2">
      <w:start w:val="1"/>
      <w:numFmt w:val="bullet"/>
      <w:lvlText w:val=""/>
      <w:lvlJc w:val="left"/>
      <w:pPr>
        <w:ind w:left="720" w:hanging="360"/>
      </w:pPr>
      <w:rPr>
        <w:rFonts w:ascii="Symbol" w:hAnsi="Symbol"/>
      </w:rPr>
    </w:lvl>
    <w:lvl w:ilvl="1" w:tplc="B900BB3E">
      <w:start w:val="1"/>
      <w:numFmt w:val="bullet"/>
      <w:lvlText w:val=""/>
      <w:lvlJc w:val="left"/>
      <w:pPr>
        <w:ind w:left="720" w:hanging="360"/>
      </w:pPr>
      <w:rPr>
        <w:rFonts w:ascii="Symbol" w:hAnsi="Symbol"/>
      </w:rPr>
    </w:lvl>
    <w:lvl w:ilvl="2" w:tplc="DDB4F544">
      <w:start w:val="1"/>
      <w:numFmt w:val="bullet"/>
      <w:lvlText w:val=""/>
      <w:lvlJc w:val="left"/>
      <w:pPr>
        <w:ind w:left="720" w:hanging="360"/>
      </w:pPr>
      <w:rPr>
        <w:rFonts w:ascii="Symbol" w:hAnsi="Symbol"/>
      </w:rPr>
    </w:lvl>
    <w:lvl w:ilvl="3" w:tplc="FA16E9C6">
      <w:start w:val="1"/>
      <w:numFmt w:val="bullet"/>
      <w:lvlText w:val=""/>
      <w:lvlJc w:val="left"/>
      <w:pPr>
        <w:ind w:left="720" w:hanging="360"/>
      </w:pPr>
      <w:rPr>
        <w:rFonts w:ascii="Symbol" w:hAnsi="Symbol"/>
      </w:rPr>
    </w:lvl>
    <w:lvl w:ilvl="4" w:tplc="0A304852">
      <w:start w:val="1"/>
      <w:numFmt w:val="bullet"/>
      <w:lvlText w:val=""/>
      <w:lvlJc w:val="left"/>
      <w:pPr>
        <w:ind w:left="720" w:hanging="360"/>
      </w:pPr>
      <w:rPr>
        <w:rFonts w:ascii="Symbol" w:hAnsi="Symbol"/>
      </w:rPr>
    </w:lvl>
    <w:lvl w:ilvl="5" w:tplc="034AAD80">
      <w:start w:val="1"/>
      <w:numFmt w:val="bullet"/>
      <w:lvlText w:val=""/>
      <w:lvlJc w:val="left"/>
      <w:pPr>
        <w:ind w:left="720" w:hanging="360"/>
      </w:pPr>
      <w:rPr>
        <w:rFonts w:ascii="Symbol" w:hAnsi="Symbol"/>
      </w:rPr>
    </w:lvl>
    <w:lvl w:ilvl="6" w:tplc="BD504592">
      <w:start w:val="1"/>
      <w:numFmt w:val="bullet"/>
      <w:lvlText w:val=""/>
      <w:lvlJc w:val="left"/>
      <w:pPr>
        <w:ind w:left="720" w:hanging="360"/>
      </w:pPr>
      <w:rPr>
        <w:rFonts w:ascii="Symbol" w:hAnsi="Symbol"/>
      </w:rPr>
    </w:lvl>
    <w:lvl w:ilvl="7" w:tplc="40626420">
      <w:start w:val="1"/>
      <w:numFmt w:val="bullet"/>
      <w:lvlText w:val=""/>
      <w:lvlJc w:val="left"/>
      <w:pPr>
        <w:ind w:left="720" w:hanging="360"/>
      </w:pPr>
      <w:rPr>
        <w:rFonts w:ascii="Symbol" w:hAnsi="Symbol"/>
      </w:rPr>
    </w:lvl>
    <w:lvl w:ilvl="8" w:tplc="77E03D52">
      <w:start w:val="1"/>
      <w:numFmt w:val="bullet"/>
      <w:lvlText w:val=""/>
      <w:lvlJc w:val="left"/>
      <w:pPr>
        <w:ind w:left="720" w:hanging="360"/>
      </w:pPr>
      <w:rPr>
        <w:rFonts w:ascii="Symbol" w:hAnsi="Symbol"/>
      </w:rPr>
    </w:lvl>
  </w:abstractNum>
  <w:abstractNum w:abstractNumId="20" w15:restartNumberingAfterBreak="0">
    <w:nsid w:val="6B992787"/>
    <w:multiLevelType w:val="hybridMultilevel"/>
    <w:tmpl w:val="2DE078B6"/>
    <w:lvl w:ilvl="0" w:tplc="7CB6D4A2">
      <w:start w:val="1"/>
      <w:numFmt w:val="bullet"/>
      <w:lvlText w:val=""/>
      <w:lvlJc w:val="left"/>
      <w:pPr>
        <w:ind w:left="1240" w:hanging="360"/>
      </w:pPr>
      <w:rPr>
        <w:rFonts w:ascii="Symbol" w:hAnsi="Symbol"/>
      </w:rPr>
    </w:lvl>
    <w:lvl w:ilvl="1" w:tplc="CA5471E6">
      <w:start w:val="1"/>
      <w:numFmt w:val="bullet"/>
      <w:lvlText w:val=""/>
      <w:lvlJc w:val="left"/>
      <w:pPr>
        <w:ind w:left="1240" w:hanging="360"/>
      </w:pPr>
      <w:rPr>
        <w:rFonts w:ascii="Symbol" w:hAnsi="Symbol"/>
      </w:rPr>
    </w:lvl>
    <w:lvl w:ilvl="2" w:tplc="E4F29BDE">
      <w:start w:val="1"/>
      <w:numFmt w:val="bullet"/>
      <w:lvlText w:val=""/>
      <w:lvlJc w:val="left"/>
      <w:pPr>
        <w:ind w:left="1240" w:hanging="360"/>
      </w:pPr>
      <w:rPr>
        <w:rFonts w:ascii="Symbol" w:hAnsi="Symbol"/>
      </w:rPr>
    </w:lvl>
    <w:lvl w:ilvl="3" w:tplc="070A45C8">
      <w:start w:val="1"/>
      <w:numFmt w:val="bullet"/>
      <w:lvlText w:val=""/>
      <w:lvlJc w:val="left"/>
      <w:pPr>
        <w:ind w:left="1240" w:hanging="360"/>
      </w:pPr>
      <w:rPr>
        <w:rFonts w:ascii="Symbol" w:hAnsi="Symbol"/>
      </w:rPr>
    </w:lvl>
    <w:lvl w:ilvl="4" w:tplc="6B2E34BC">
      <w:start w:val="1"/>
      <w:numFmt w:val="bullet"/>
      <w:lvlText w:val=""/>
      <w:lvlJc w:val="left"/>
      <w:pPr>
        <w:ind w:left="1240" w:hanging="360"/>
      </w:pPr>
      <w:rPr>
        <w:rFonts w:ascii="Symbol" w:hAnsi="Symbol"/>
      </w:rPr>
    </w:lvl>
    <w:lvl w:ilvl="5" w:tplc="69545128">
      <w:start w:val="1"/>
      <w:numFmt w:val="bullet"/>
      <w:lvlText w:val=""/>
      <w:lvlJc w:val="left"/>
      <w:pPr>
        <w:ind w:left="1240" w:hanging="360"/>
      </w:pPr>
      <w:rPr>
        <w:rFonts w:ascii="Symbol" w:hAnsi="Symbol"/>
      </w:rPr>
    </w:lvl>
    <w:lvl w:ilvl="6" w:tplc="CAF2314E">
      <w:start w:val="1"/>
      <w:numFmt w:val="bullet"/>
      <w:lvlText w:val=""/>
      <w:lvlJc w:val="left"/>
      <w:pPr>
        <w:ind w:left="1240" w:hanging="360"/>
      </w:pPr>
      <w:rPr>
        <w:rFonts w:ascii="Symbol" w:hAnsi="Symbol"/>
      </w:rPr>
    </w:lvl>
    <w:lvl w:ilvl="7" w:tplc="D0A870EA">
      <w:start w:val="1"/>
      <w:numFmt w:val="bullet"/>
      <w:lvlText w:val=""/>
      <w:lvlJc w:val="left"/>
      <w:pPr>
        <w:ind w:left="1240" w:hanging="360"/>
      </w:pPr>
      <w:rPr>
        <w:rFonts w:ascii="Symbol" w:hAnsi="Symbol"/>
      </w:rPr>
    </w:lvl>
    <w:lvl w:ilvl="8" w:tplc="487E5D38">
      <w:start w:val="1"/>
      <w:numFmt w:val="bullet"/>
      <w:lvlText w:val=""/>
      <w:lvlJc w:val="left"/>
      <w:pPr>
        <w:ind w:left="1240" w:hanging="360"/>
      </w:pPr>
      <w:rPr>
        <w:rFonts w:ascii="Symbol" w:hAnsi="Symbol"/>
      </w:rPr>
    </w:lvl>
  </w:abstractNum>
  <w:abstractNum w:abstractNumId="21" w15:restartNumberingAfterBreak="0">
    <w:nsid w:val="767C5504"/>
    <w:multiLevelType w:val="hybridMultilevel"/>
    <w:tmpl w:val="97529304"/>
    <w:lvl w:ilvl="0" w:tplc="6882CAEE">
      <w:start w:val="1"/>
      <w:numFmt w:val="bullet"/>
      <w:lvlText w:val=""/>
      <w:lvlJc w:val="left"/>
      <w:pPr>
        <w:ind w:left="720" w:hanging="360"/>
      </w:pPr>
      <w:rPr>
        <w:rFonts w:ascii="Symbol" w:hAnsi="Symbol"/>
      </w:rPr>
    </w:lvl>
    <w:lvl w:ilvl="1" w:tplc="9048875E">
      <w:start w:val="1"/>
      <w:numFmt w:val="bullet"/>
      <w:lvlText w:val=""/>
      <w:lvlJc w:val="left"/>
      <w:pPr>
        <w:ind w:left="720" w:hanging="360"/>
      </w:pPr>
      <w:rPr>
        <w:rFonts w:ascii="Symbol" w:hAnsi="Symbol"/>
      </w:rPr>
    </w:lvl>
    <w:lvl w:ilvl="2" w:tplc="B122EB9C">
      <w:start w:val="1"/>
      <w:numFmt w:val="bullet"/>
      <w:lvlText w:val=""/>
      <w:lvlJc w:val="left"/>
      <w:pPr>
        <w:ind w:left="720" w:hanging="360"/>
      </w:pPr>
      <w:rPr>
        <w:rFonts w:ascii="Symbol" w:hAnsi="Symbol"/>
      </w:rPr>
    </w:lvl>
    <w:lvl w:ilvl="3" w:tplc="413AB08C">
      <w:start w:val="1"/>
      <w:numFmt w:val="bullet"/>
      <w:lvlText w:val=""/>
      <w:lvlJc w:val="left"/>
      <w:pPr>
        <w:ind w:left="720" w:hanging="360"/>
      </w:pPr>
      <w:rPr>
        <w:rFonts w:ascii="Symbol" w:hAnsi="Symbol"/>
      </w:rPr>
    </w:lvl>
    <w:lvl w:ilvl="4" w:tplc="905A7250">
      <w:start w:val="1"/>
      <w:numFmt w:val="bullet"/>
      <w:lvlText w:val=""/>
      <w:lvlJc w:val="left"/>
      <w:pPr>
        <w:ind w:left="720" w:hanging="360"/>
      </w:pPr>
      <w:rPr>
        <w:rFonts w:ascii="Symbol" w:hAnsi="Symbol"/>
      </w:rPr>
    </w:lvl>
    <w:lvl w:ilvl="5" w:tplc="C298F6F0">
      <w:start w:val="1"/>
      <w:numFmt w:val="bullet"/>
      <w:lvlText w:val=""/>
      <w:lvlJc w:val="left"/>
      <w:pPr>
        <w:ind w:left="720" w:hanging="360"/>
      </w:pPr>
      <w:rPr>
        <w:rFonts w:ascii="Symbol" w:hAnsi="Symbol"/>
      </w:rPr>
    </w:lvl>
    <w:lvl w:ilvl="6" w:tplc="1B028B14">
      <w:start w:val="1"/>
      <w:numFmt w:val="bullet"/>
      <w:lvlText w:val=""/>
      <w:lvlJc w:val="left"/>
      <w:pPr>
        <w:ind w:left="720" w:hanging="360"/>
      </w:pPr>
      <w:rPr>
        <w:rFonts w:ascii="Symbol" w:hAnsi="Symbol"/>
      </w:rPr>
    </w:lvl>
    <w:lvl w:ilvl="7" w:tplc="0434AC78">
      <w:start w:val="1"/>
      <w:numFmt w:val="bullet"/>
      <w:lvlText w:val=""/>
      <w:lvlJc w:val="left"/>
      <w:pPr>
        <w:ind w:left="720" w:hanging="360"/>
      </w:pPr>
      <w:rPr>
        <w:rFonts w:ascii="Symbol" w:hAnsi="Symbol"/>
      </w:rPr>
    </w:lvl>
    <w:lvl w:ilvl="8" w:tplc="FDC292EE">
      <w:start w:val="1"/>
      <w:numFmt w:val="bullet"/>
      <w:lvlText w:val=""/>
      <w:lvlJc w:val="left"/>
      <w:pPr>
        <w:ind w:left="720" w:hanging="360"/>
      </w:pPr>
      <w:rPr>
        <w:rFonts w:ascii="Symbol" w:hAnsi="Symbol"/>
      </w:rPr>
    </w:lvl>
  </w:abstractNum>
  <w:abstractNum w:abstractNumId="22" w15:restartNumberingAfterBreak="0">
    <w:nsid w:val="79A0408C"/>
    <w:multiLevelType w:val="hybridMultilevel"/>
    <w:tmpl w:val="075CBE4E"/>
    <w:lvl w:ilvl="0" w:tplc="6FAEF3A6">
      <w:start w:val="1"/>
      <w:numFmt w:val="bullet"/>
      <w:lvlText w:val=""/>
      <w:lvlJc w:val="left"/>
      <w:pPr>
        <w:ind w:left="720" w:hanging="360"/>
      </w:pPr>
      <w:rPr>
        <w:rFonts w:ascii="Symbol" w:hAnsi="Symbol"/>
      </w:rPr>
    </w:lvl>
    <w:lvl w:ilvl="1" w:tplc="B5D89686">
      <w:start w:val="1"/>
      <w:numFmt w:val="bullet"/>
      <w:lvlText w:val=""/>
      <w:lvlJc w:val="left"/>
      <w:pPr>
        <w:ind w:left="720" w:hanging="360"/>
      </w:pPr>
      <w:rPr>
        <w:rFonts w:ascii="Symbol" w:hAnsi="Symbol"/>
      </w:rPr>
    </w:lvl>
    <w:lvl w:ilvl="2" w:tplc="1FDA490C">
      <w:start w:val="1"/>
      <w:numFmt w:val="bullet"/>
      <w:lvlText w:val=""/>
      <w:lvlJc w:val="left"/>
      <w:pPr>
        <w:ind w:left="720" w:hanging="360"/>
      </w:pPr>
      <w:rPr>
        <w:rFonts w:ascii="Symbol" w:hAnsi="Symbol"/>
      </w:rPr>
    </w:lvl>
    <w:lvl w:ilvl="3" w:tplc="CFD24D06">
      <w:start w:val="1"/>
      <w:numFmt w:val="bullet"/>
      <w:lvlText w:val=""/>
      <w:lvlJc w:val="left"/>
      <w:pPr>
        <w:ind w:left="720" w:hanging="360"/>
      </w:pPr>
      <w:rPr>
        <w:rFonts w:ascii="Symbol" w:hAnsi="Symbol"/>
      </w:rPr>
    </w:lvl>
    <w:lvl w:ilvl="4" w:tplc="6D583FD8">
      <w:start w:val="1"/>
      <w:numFmt w:val="bullet"/>
      <w:lvlText w:val=""/>
      <w:lvlJc w:val="left"/>
      <w:pPr>
        <w:ind w:left="720" w:hanging="360"/>
      </w:pPr>
      <w:rPr>
        <w:rFonts w:ascii="Symbol" w:hAnsi="Symbol"/>
      </w:rPr>
    </w:lvl>
    <w:lvl w:ilvl="5" w:tplc="A67A327C">
      <w:start w:val="1"/>
      <w:numFmt w:val="bullet"/>
      <w:lvlText w:val=""/>
      <w:lvlJc w:val="left"/>
      <w:pPr>
        <w:ind w:left="720" w:hanging="360"/>
      </w:pPr>
      <w:rPr>
        <w:rFonts w:ascii="Symbol" w:hAnsi="Symbol"/>
      </w:rPr>
    </w:lvl>
    <w:lvl w:ilvl="6" w:tplc="46EC57CA">
      <w:start w:val="1"/>
      <w:numFmt w:val="bullet"/>
      <w:lvlText w:val=""/>
      <w:lvlJc w:val="left"/>
      <w:pPr>
        <w:ind w:left="720" w:hanging="360"/>
      </w:pPr>
      <w:rPr>
        <w:rFonts w:ascii="Symbol" w:hAnsi="Symbol"/>
      </w:rPr>
    </w:lvl>
    <w:lvl w:ilvl="7" w:tplc="67E65C3C">
      <w:start w:val="1"/>
      <w:numFmt w:val="bullet"/>
      <w:lvlText w:val=""/>
      <w:lvlJc w:val="left"/>
      <w:pPr>
        <w:ind w:left="720" w:hanging="360"/>
      </w:pPr>
      <w:rPr>
        <w:rFonts w:ascii="Symbol" w:hAnsi="Symbol"/>
      </w:rPr>
    </w:lvl>
    <w:lvl w:ilvl="8" w:tplc="CF7E926C">
      <w:start w:val="1"/>
      <w:numFmt w:val="bullet"/>
      <w:lvlText w:val=""/>
      <w:lvlJc w:val="left"/>
      <w:pPr>
        <w:ind w:left="720" w:hanging="360"/>
      </w:pPr>
      <w:rPr>
        <w:rFonts w:ascii="Symbol" w:hAnsi="Symbol"/>
      </w:rPr>
    </w:lvl>
  </w:abstractNum>
  <w:abstractNum w:abstractNumId="23"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220290535">
    <w:abstractNumId w:val="11"/>
  </w:num>
  <w:num w:numId="2" w16cid:durableId="1706755449">
    <w:abstractNumId w:val="1"/>
  </w:num>
  <w:num w:numId="3" w16cid:durableId="1834367553">
    <w:abstractNumId w:val="13"/>
  </w:num>
  <w:num w:numId="4" w16cid:durableId="223613474">
    <w:abstractNumId w:val="5"/>
  </w:num>
  <w:num w:numId="5" w16cid:durableId="1304890948">
    <w:abstractNumId w:val="6"/>
  </w:num>
  <w:num w:numId="6" w16cid:durableId="1304693621">
    <w:abstractNumId w:val="17"/>
  </w:num>
  <w:num w:numId="7" w16cid:durableId="729502405">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454401156">
    <w:abstractNumId w:val="7"/>
  </w:num>
  <w:num w:numId="9" w16cid:durableId="285694570">
    <w:abstractNumId w:val="4"/>
  </w:num>
  <w:num w:numId="10" w16cid:durableId="1054505672">
    <w:abstractNumId w:val="9"/>
  </w:num>
  <w:num w:numId="11" w16cid:durableId="77561056">
    <w:abstractNumId w:val="24"/>
  </w:num>
  <w:num w:numId="12" w16cid:durableId="137580172">
    <w:abstractNumId w:val="17"/>
  </w:num>
  <w:num w:numId="13" w16cid:durableId="563218727">
    <w:abstractNumId w:val="9"/>
  </w:num>
  <w:num w:numId="14" w16cid:durableId="1777865357">
    <w:abstractNumId w:val="12"/>
  </w:num>
  <w:num w:numId="15" w16cid:durableId="2092387614">
    <w:abstractNumId w:val="9"/>
  </w:num>
  <w:num w:numId="16" w16cid:durableId="916288654">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02802">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2433121">
    <w:abstractNumId w:val="1"/>
  </w:num>
  <w:num w:numId="19" w16cid:durableId="1000036491">
    <w:abstractNumId w:val="11"/>
  </w:num>
  <w:num w:numId="20" w16cid:durableId="1614626827">
    <w:abstractNumId w:val="11"/>
  </w:num>
  <w:num w:numId="21" w16cid:durableId="1256090870">
    <w:abstractNumId w:val="11"/>
  </w:num>
  <w:num w:numId="22" w16cid:durableId="1351105441">
    <w:abstractNumId w:val="11"/>
  </w:num>
  <w:num w:numId="23" w16cid:durableId="512577066">
    <w:abstractNumId w:val="11"/>
  </w:num>
  <w:num w:numId="24" w16cid:durableId="1491097783">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1133983262">
    <w:abstractNumId w:val="12"/>
  </w:num>
  <w:num w:numId="26" w16cid:durableId="423962289">
    <w:abstractNumId w:val="7"/>
  </w:num>
  <w:num w:numId="27" w16cid:durableId="124931374">
    <w:abstractNumId w:val="7"/>
  </w:num>
  <w:num w:numId="28" w16cid:durableId="1558320821">
    <w:abstractNumId w:val="7"/>
  </w:num>
  <w:num w:numId="29" w16cid:durableId="818570052">
    <w:abstractNumId w:val="6"/>
  </w:num>
  <w:num w:numId="30" w16cid:durableId="1594774963">
    <w:abstractNumId w:val="13"/>
  </w:num>
  <w:num w:numId="31" w16cid:durableId="860164240">
    <w:abstractNumId w:val="17"/>
  </w:num>
  <w:num w:numId="32" w16cid:durableId="1146824810">
    <w:abstractNumId w:val="17"/>
  </w:num>
  <w:num w:numId="33" w16cid:durableId="144929880">
    <w:abstractNumId w:val="17"/>
  </w:num>
  <w:num w:numId="34" w16cid:durableId="114908659">
    <w:abstractNumId w:val="5"/>
  </w:num>
  <w:num w:numId="35" w16cid:durableId="536553998">
    <w:abstractNumId w:val="9"/>
  </w:num>
  <w:num w:numId="36" w16cid:durableId="218588852">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096043">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6640820">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7432035">
    <w:abstractNumId w:val="0"/>
  </w:num>
  <w:num w:numId="40" w16cid:durableId="809135121">
    <w:abstractNumId w:val="15"/>
  </w:num>
  <w:num w:numId="41" w16cid:durableId="676731375">
    <w:abstractNumId w:val="3"/>
  </w:num>
  <w:num w:numId="42" w16cid:durableId="319964342">
    <w:abstractNumId w:val="18"/>
  </w:num>
  <w:num w:numId="43" w16cid:durableId="200438342">
    <w:abstractNumId w:val="16"/>
  </w:num>
  <w:num w:numId="44" w16cid:durableId="1651398728">
    <w:abstractNumId w:val="22"/>
  </w:num>
  <w:num w:numId="45" w16cid:durableId="1538859313">
    <w:abstractNumId w:val="8"/>
  </w:num>
  <w:num w:numId="46" w16cid:durableId="391465249">
    <w:abstractNumId w:val="21"/>
  </w:num>
  <w:num w:numId="47" w16cid:durableId="177546437">
    <w:abstractNumId w:val="2"/>
  </w:num>
  <w:num w:numId="48" w16cid:durableId="1004281962">
    <w:abstractNumId w:val="14"/>
  </w:num>
  <w:num w:numId="49" w16cid:durableId="1875924337">
    <w:abstractNumId w:val="19"/>
  </w:num>
  <w:num w:numId="50" w16cid:durableId="2093965935">
    <w:abstractNumId w:val="10"/>
  </w:num>
  <w:num w:numId="51" w16cid:durableId="1162115659">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7F"/>
    <w:rsid w:val="000000A5"/>
    <w:rsid w:val="000004DE"/>
    <w:rsid w:val="00000612"/>
    <w:rsid w:val="000008F4"/>
    <w:rsid w:val="00000B96"/>
    <w:rsid w:val="00000E4C"/>
    <w:rsid w:val="0000166D"/>
    <w:rsid w:val="0000167C"/>
    <w:rsid w:val="00002010"/>
    <w:rsid w:val="00002385"/>
    <w:rsid w:val="0000262B"/>
    <w:rsid w:val="00002AE4"/>
    <w:rsid w:val="00003112"/>
    <w:rsid w:val="000031DA"/>
    <w:rsid w:val="00003A9D"/>
    <w:rsid w:val="00003B9C"/>
    <w:rsid w:val="00003BC3"/>
    <w:rsid w:val="00004067"/>
    <w:rsid w:val="00004525"/>
    <w:rsid w:val="00004AB5"/>
    <w:rsid w:val="00004AD6"/>
    <w:rsid w:val="00004B01"/>
    <w:rsid w:val="00004E7F"/>
    <w:rsid w:val="00004F49"/>
    <w:rsid w:val="000053E1"/>
    <w:rsid w:val="000053F0"/>
    <w:rsid w:val="000056FD"/>
    <w:rsid w:val="00005729"/>
    <w:rsid w:val="00005798"/>
    <w:rsid w:val="00005841"/>
    <w:rsid w:val="00005A34"/>
    <w:rsid w:val="00005BE7"/>
    <w:rsid w:val="00005ED8"/>
    <w:rsid w:val="00006961"/>
    <w:rsid w:val="00007008"/>
    <w:rsid w:val="00007508"/>
    <w:rsid w:val="00007787"/>
    <w:rsid w:val="00007A2A"/>
    <w:rsid w:val="00007BEA"/>
    <w:rsid w:val="00007D1C"/>
    <w:rsid w:val="00007DB9"/>
    <w:rsid w:val="00007E2C"/>
    <w:rsid w:val="0001010F"/>
    <w:rsid w:val="000102FC"/>
    <w:rsid w:val="00010606"/>
    <w:rsid w:val="000108C6"/>
    <w:rsid w:val="00010B20"/>
    <w:rsid w:val="00010CEC"/>
    <w:rsid w:val="00010DBC"/>
    <w:rsid w:val="00011111"/>
    <w:rsid w:val="000111BC"/>
    <w:rsid w:val="00011340"/>
    <w:rsid w:val="0001149C"/>
    <w:rsid w:val="0001150A"/>
    <w:rsid w:val="00011553"/>
    <w:rsid w:val="0001163B"/>
    <w:rsid w:val="00011725"/>
    <w:rsid w:val="00011B16"/>
    <w:rsid w:val="00011CF8"/>
    <w:rsid w:val="00011D31"/>
    <w:rsid w:val="00011EA6"/>
    <w:rsid w:val="000123B3"/>
    <w:rsid w:val="00012925"/>
    <w:rsid w:val="00012C62"/>
    <w:rsid w:val="00012C99"/>
    <w:rsid w:val="00012F5C"/>
    <w:rsid w:val="00013110"/>
    <w:rsid w:val="000134C2"/>
    <w:rsid w:val="000135B6"/>
    <w:rsid w:val="00013727"/>
    <w:rsid w:val="00013B97"/>
    <w:rsid w:val="00013BD9"/>
    <w:rsid w:val="00013DFF"/>
    <w:rsid w:val="00013E75"/>
    <w:rsid w:val="00013F5C"/>
    <w:rsid w:val="00013FE2"/>
    <w:rsid w:val="00014136"/>
    <w:rsid w:val="00014376"/>
    <w:rsid w:val="00014565"/>
    <w:rsid w:val="000147F8"/>
    <w:rsid w:val="00014E3A"/>
    <w:rsid w:val="0001508D"/>
    <w:rsid w:val="00015284"/>
    <w:rsid w:val="00015722"/>
    <w:rsid w:val="0001603C"/>
    <w:rsid w:val="0001620F"/>
    <w:rsid w:val="00016884"/>
    <w:rsid w:val="00017458"/>
    <w:rsid w:val="00017CFD"/>
    <w:rsid w:val="00017E52"/>
    <w:rsid w:val="00020027"/>
    <w:rsid w:val="000202B8"/>
    <w:rsid w:val="000204AE"/>
    <w:rsid w:val="000205C8"/>
    <w:rsid w:val="00020640"/>
    <w:rsid w:val="00020893"/>
    <w:rsid w:val="00020F55"/>
    <w:rsid w:val="00020FEB"/>
    <w:rsid w:val="0002127A"/>
    <w:rsid w:val="000212F5"/>
    <w:rsid w:val="00021760"/>
    <w:rsid w:val="00021804"/>
    <w:rsid w:val="00021864"/>
    <w:rsid w:val="000225C4"/>
    <w:rsid w:val="00022637"/>
    <w:rsid w:val="000227AD"/>
    <w:rsid w:val="00022AB8"/>
    <w:rsid w:val="00022D13"/>
    <w:rsid w:val="00022E52"/>
    <w:rsid w:val="00022F02"/>
    <w:rsid w:val="000235CF"/>
    <w:rsid w:val="0002371E"/>
    <w:rsid w:val="00023BC1"/>
    <w:rsid w:val="00023D74"/>
    <w:rsid w:val="000241B7"/>
    <w:rsid w:val="00024281"/>
    <w:rsid w:val="00024D3B"/>
    <w:rsid w:val="0002501C"/>
    <w:rsid w:val="0002544D"/>
    <w:rsid w:val="000255E5"/>
    <w:rsid w:val="00025A5D"/>
    <w:rsid w:val="00025A98"/>
    <w:rsid w:val="00025B92"/>
    <w:rsid w:val="00025BE2"/>
    <w:rsid w:val="00026154"/>
    <w:rsid w:val="000261B9"/>
    <w:rsid w:val="00026AE0"/>
    <w:rsid w:val="00026BEB"/>
    <w:rsid w:val="00026D84"/>
    <w:rsid w:val="00026FCF"/>
    <w:rsid w:val="000276DA"/>
    <w:rsid w:val="0002788D"/>
    <w:rsid w:val="00027A0A"/>
    <w:rsid w:val="00027B37"/>
    <w:rsid w:val="00027D05"/>
    <w:rsid w:val="00027F7A"/>
    <w:rsid w:val="000300F8"/>
    <w:rsid w:val="000301C4"/>
    <w:rsid w:val="000302C8"/>
    <w:rsid w:val="0003072B"/>
    <w:rsid w:val="00031079"/>
    <w:rsid w:val="00031253"/>
    <w:rsid w:val="00031BC3"/>
    <w:rsid w:val="00031EC1"/>
    <w:rsid w:val="00031FFF"/>
    <w:rsid w:val="000324FA"/>
    <w:rsid w:val="00032A6E"/>
    <w:rsid w:val="00032DF7"/>
    <w:rsid w:val="00032EE6"/>
    <w:rsid w:val="00032FC6"/>
    <w:rsid w:val="00033117"/>
    <w:rsid w:val="0003320F"/>
    <w:rsid w:val="000334EC"/>
    <w:rsid w:val="00033542"/>
    <w:rsid w:val="00033BC0"/>
    <w:rsid w:val="000345EE"/>
    <w:rsid w:val="00034BFB"/>
    <w:rsid w:val="00034CA6"/>
    <w:rsid w:val="0003514E"/>
    <w:rsid w:val="000357CF"/>
    <w:rsid w:val="00035846"/>
    <w:rsid w:val="00035B64"/>
    <w:rsid w:val="00035C01"/>
    <w:rsid w:val="00035D1A"/>
    <w:rsid w:val="00035E07"/>
    <w:rsid w:val="00036207"/>
    <w:rsid w:val="00036414"/>
    <w:rsid w:val="00036542"/>
    <w:rsid w:val="00036A77"/>
    <w:rsid w:val="00036B06"/>
    <w:rsid w:val="00036B80"/>
    <w:rsid w:val="00037407"/>
    <w:rsid w:val="000375BD"/>
    <w:rsid w:val="00037822"/>
    <w:rsid w:val="00037919"/>
    <w:rsid w:val="00037A75"/>
    <w:rsid w:val="00037A81"/>
    <w:rsid w:val="00037B38"/>
    <w:rsid w:val="00037C1E"/>
    <w:rsid w:val="00037F23"/>
    <w:rsid w:val="00040174"/>
    <w:rsid w:val="000401FE"/>
    <w:rsid w:val="00040785"/>
    <w:rsid w:val="000407BF"/>
    <w:rsid w:val="00040B25"/>
    <w:rsid w:val="00040CF6"/>
    <w:rsid w:val="00040E4D"/>
    <w:rsid w:val="00041012"/>
    <w:rsid w:val="0004114E"/>
    <w:rsid w:val="000418A9"/>
    <w:rsid w:val="00041A8B"/>
    <w:rsid w:val="000426FD"/>
    <w:rsid w:val="0004274D"/>
    <w:rsid w:val="000427DE"/>
    <w:rsid w:val="00042845"/>
    <w:rsid w:val="00042D3B"/>
    <w:rsid w:val="00042DE4"/>
    <w:rsid w:val="00043A9B"/>
    <w:rsid w:val="00043F89"/>
    <w:rsid w:val="00044279"/>
    <w:rsid w:val="00044B77"/>
    <w:rsid w:val="00044BF6"/>
    <w:rsid w:val="00044C08"/>
    <w:rsid w:val="00044C0A"/>
    <w:rsid w:val="00045099"/>
    <w:rsid w:val="000450D0"/>
    <w:rsid w:val="00045481"/>
    <w:rsid w:val="00045573"/>
    <w:rsid w:val="00045721"/>
    <w:rsid w:val="000458E9"/>
    <w:rsid w:val="000462EB"/>
    <w:rsid w:val="00046500"/>
    <w:rsid w:val="00046C2F"/>
    <w:rsid w:val="00046F97"/>
    <w:rsid w:val="000479D5"/>
    <w:rsid w:val="00047F3E"/>
    <w:rsid w:val="00047FEE"/>
    <w:rsid w:val="0005028A"/>
    <w:rsid w:val="000503D7"/>
    <w:rsid w:val="000507C9"/>
    <w:rsid w:val="00050906"/>
    <w:rsid w:val="00050DCE"/>
    <w:rsid w:val="00050E52"/>
    <w:rsid w:val="00050F8E"/>
    <w:rsid w:val="00050F90"/>
    <w:rsid w:val="00051363"/>
    <w:rsid w:val="00051515"/>
    <w:rsid w:val="0005157D"/>
    <w:rsid w:val="0005177C"/>
    <w:rsid w:val="00051B82"/>
    <w:rsid w:val="00051D60"/>
    <w:rsid w:val="00051D85"/>
    <w:rsid w:val="00051E53"/>
    <w:rsid w:val="00052351"/>
    <w:rsid w:val="0005249F"/>
    <w:rsid w:val="000528DF"/>
    <w:rsid w:val="0005290B"/>
    <w:rsid w:val="000531AE"/>
    <w:rsid w:val="00053A3C"/>
    <w:rsid w:val="00053DA6"/>
    <w:rsid w:val="00053F69"/>
    <w:rsid w:val="00054097"/>
    <w:rsid w:val="000544CA"/>
    <w:rsid w:val="0005469D"/>
    <w:rsid w:val="00054C71"/>
    <w:rsid w:val="00054D34"/>
    <w:rsid w:val="000552DF"/>
    <w:rsid w:val="00055300"/>
    <w:rsid w:val="000554DC"/>
    <w:rsid w:val="00055630"/>
    <w:rsid w:val="0005599C"/>
    <w:rsid w:val="00055C94"/>
    <w:rsid w:val="00055D6E"/>
    <w:rsid w:val="00055D6F"/>
    <w:rsid w:val="000561D2"/>
    <w:rsid w:val="00056568"/>
    <w:rsid w:val="00056880"/>
    <w:rsid w:val="00056961"/>
    <w:rsid w:val="00056969"/>
    <w:rsid w:val="00056FA2"/>
    <w:rsid w:val="00057448"/>
    <w:rsid w:val="000574A7"/>
    <w:rsid w:val="00057AB5"/>
    <w:rsid w:val="00057CBB"/>
    <w:rsid w:val="000601F8"/>
    <w:rsid w:val="000606D3"/>
    <w:rsid w:val="00060704"/>
    <w:rsid w:val="000611E3"/>
    <w:rsid w:val="000613BF"/>
    <w:rsid w:val="0006144D"/>
    <w:rsid w:val="00061643"/>
    <w:rsid w:val="00061C0B"/>
    <w:rsid w:val="00061E49"/>
    <w:rsid w:val="000621C5"/>
    <w:rsid w:val="00062248"/>
    <w:rsid w:val="00062C73"/>
    <w:rsid w:val="00062D7F"/>
    <w:rsid w:val="00062EC6"/>
    <w:rsid w:val="000632B0"/>
    <w:rsid w:val="00063472"/>
    <w:rsid w:val="00063A0A"/>
    <w:rsid w:val="00063DEB"/>
    <w:rsid w:val="0006448E"/>
    <w:rsid w:val="00064583"/>
    <w:rsid w:val="0006462E"/>
    <w:rsid w:val="00064D05"/>
    <w:rsid w:val="00064E3D"/>
    <w:rsid w:val="00064E6A"/>
    <w:rsid w:val="00065051"/>
    <w:rsid w:val="00065351"/>
    <w:rsid w:val="00065367"/>
    <w:rsid w:val="0006547A"/>
    <w:rsid w:val="00065998"/>
    <w:rsid w:val="00065CC4"/>
    <w:rsid w:val="00065DDE"/>
    <w:rsid w:val="00066143"/>
    <w:rsid w:val="000665B8"/>
    <w:rsid w:val="00066719"/>
    <w:rsid w:val="00066BC6"/>
    <w:rsid w:val="00066D7A"/>
    <w:rsid w:val="00066E64"/>
    <w:rsid w:val="00066F2A"/>
    <w:rsid w:val="0006740A"/>
    <w:rsid w:val="000675D1"/>
    <w:rsid w:val="000676AF"/>
    <w:rsid w:val="000676FE"/>
    <w:rsid w:val="000677EA"/>
    <w:rsid w:val="00067CCA"/>
    <w:rsid w:val="00067E8E"/>
    <w:rsid w:val="00067EA2"/>
    <w:rsid w:val="00067EB6"/>
    <w:rsid w:val="00067EC4"/>
    <w:rsid w:val="00067F7C"/>
    <w:rsid w:val="00067F9D"/>
    <w:rsid w:val="000700B3"/>
    <w:rsid w:val="0007089D"/>
    <w:rsid w:val="0007102C"/>
    <w:rsid w:val="00071297"/>
    <w:rsid w:val="0007184B"/>
    <w:rsid w:val="00071942"/>
    <w:rsid w:val="00071A13"/>
    <w:rsid w:val="00071C6D"/>
    <w:rsid w:val="00072352"/>
    <w:rsid w:val="000725EE"/>
    <w:rsid w:val="000729B8"/>
    <w:rsid w:val="00072A55"/>
    <w:rsid w:val="0007305A"/>
    <w:rsid w:val="00073070"/>
    <w:rsid w:val="000733F8"/>
    <w:rsid w:val="00073521"/>
    <w:rsid w:val="00073888"/>
    <w:rsid w:val="00073C22"/>
    <w:rsid w:val="00073E9C"/>
    <w:rsid w:val="000744F1"/>
    <w:rsid w:val="00074590"/>
    <w:rsid w:val="00074631"/>
    <w:rsid w:val="000746C5"/>
    <w:rsid w:val="000746DE"/>
    <w:rsid w:val="00074725"/>
    <w:rsid w:val="00074761"/>
    <w:rsid w:val="00074B5A"/>
    <w:rsid w:val="00074BE2"/>
    <w:rsid w:val="00074FFB"/>
    <w:rsid w:val="000756A2"/>
    <w:rsid w:val="00075D8F"/>
    <w:rsid w:val="00076B5D"/>
    <w:rsid w:val="000775DE"/>
    <w:rsid w:val="00077A01"/>
    <w:rsid w:val="00077ABC"/>
    <w:rsid w:val="00077C85"/>
    <w:rsid w:val="00077C90"/>
    <w:rsid w:val="00077CB7"/>
    <w:rsid w:val="00077D18"/>
    <w:rsid w:val="000804F5"/>
    <w:rsid w:val="00080573"/>
    <w:rsid w:val="00081E14"/>
    <w:rsid w:val="00081F4C"/>
    <w:rsid w:val="000820CF"/>
    <w:rsid w:val="0008228A"/>
    <w:rsid w:val="000823A6"/>
    <w:rsid w:val="0008256F"/>
    <w:rsid w:val="000827B1"/>
    <w:rsid w:val="00082FC2"/>
    <w:rsid w:val="00083118"/>
    <w:rsid w:val="000831BD"/>
    <w:rsid w:val="000832AF"/>
    <w:rsid w:val="000833FF"/>
    <w:rsid w:val="000836D4"/>
    <w:rsid w:val="00083831"/>
    <w:rsid w:val="00084030"/>
    <w:rsid w:val="000841C5"/>
    <w:rsid w:val="0008456D"/>
    <w:rsid w:val="00084609"/>
    <w:rsid w:val="00084AEB"/>
    <w:rsid w:val="00084D96"/>
    <w:rsid w:val="00084E68"/>
    <w:rsid w:val="00085461"/>
    <w:rsid w:val="0008571E"/>
    <w:rsid w:val="000858F2"/>
    <w:rsid w:val="00085913"/>
    <w:rsid w:val="00085948"/>
    <w:rsid w:val="00085BFC"/>
    <w:rsid w:val="00086165"/>
    <w:rsid w:val="000862C8"/>
    <w:rsid w:val="0008651E"/>
    <w:rsid w:val="000867C8"/>
    <w:rsid w:val="00086A9F"/>
    <w:rsid w:val="00087012"/>
    <w:rsid w:val="000870C7"/>
    <w:rsid w:val="000871DB"/>
    <w:rsid w:val="00087548"/>
    <w:rsid w:val="0008758B"/>
    <w:rsid w:val="000876C5"/>
    <w:rsid w:val="0008772E"/>
    <w:rsid w:val="00087BC2"/>
    <w:rsid w:val="00087FAF"/>
    <w:rsid w:val="000902F5"/>
    <w:rsid w:val="00090373"/>
    <w:rsid w:val="00090385"/>
    <w:rsid w:val="0009044E"/>
    <w:rsid w:val="00090DAC"/>
    <w:rsid w:val="00090EE6"/>
    <w:rsid w:val="00090FF5"/>
    <w:rsid w:val="000911D7"/>
    <w:rsid w:val="0009130B"/>
    <w:rsid w:val="00091509"/>
    <w:rsid w:val="0009151A"/>
    <w:rsid w:val="0009157F"/>
    <w:rsid w:val="00091710"/>
    <w:rsid w:val="00091FE6"/>
    <w:rsid w:val="000922F3"/>
    <w:rsid w:val="0009277A"/>
    <w:rsid w:val="00092862"/>
    <w:rsid w:val="00092D21"/>
    <w:rsid w:val="00092FE4"/>
    <w:rsid w:val="000930EB"/>
    <w:rsid w:val="0009316D"/>
    <w:rsid w:val="00093881"/>
    <w:rsid w:val="00093A67"/>
    <w:rsid w:val="00093C37"/>
    <w:rsid w:val="00093E1B"/>
    <w:rsid w:val="00093E8A"/>
    <w:rsid w:val="000944C8"/>
    <w:rsid w:val="0009483F"/>
    <w:rsid w:val="00094CA8"/>
    <w:rsid w:val="00094D69"/>
    <w:rsid w:val="00094E4E"/>
    <w:rsid w:val="00094E71"/>
    <w:rsid w:val="000951DF"/>
    <w:rsid w:val="00095427"/>
    <w:rsid w:val="00095883"/>
    <w:rsid w:val="00095DB4"/>
    <w:rsid w:val="00095DEE"/>
    <w:rsid w:val="00096182"/>
    <w:rsid w:val="00096553"/>
    <w:rsid w:val="000968C3"/>
    <w:rsid w:val="00096982"/>
    <w:rsid w:val="00096DF3"/>
    <w:rsid w:val="0009749A"/>
    <w:rsid w:val="00097507"/>
    <w:rsid w:val="000978BA"/>
    <w:rsid w:val="00097E58"/>
    <w:rsid w:val="00097FF1"/>
    <w:rsid w:val="000A040C"/>
    <w:rsid w:val="000A04E1"/>
    <w:rsid w:val="000A0529"/>
    <w:rsid w:val="000A0690"/>
    <w:rsid w:val="000A0866"/>
    <w:rsid w:val="000A087B"/>
    <w:rsid w:val="000A08AB"/>
    <w:rsid w:val="000A0BAC"/>
    <w:rsid w:val="000A15EF"/>
    <w:rsid w:val="000A1FD8"/>
    <w:rsid w:val="000A2474"/>
    <w:rsid w:val="000A274F"/>
    <w:rsid w:val="000A27B1"/>
    <w:rsid w:val="000A28B7"/>
    <w:rsid w:val="000A2B95"/>
    <w:rsid w:val="000A2FCE"/>
    <w:rsid w:val="000A329F"/>
    <w:rsid w:val="000A3389"/>
    <w:rsid w:val="000A35F1"/>
    <w:rsid w:val="000A3D19"/>
    <w:rsid w:val="000A3D6E"/>
    <w:rsid w:val="000A3FA5"/>
    <w:rsid w:val="000A4029"/>
    <w:rsid w:val="000A4132"/>
    <w:rsid w:val="000A414B"/>
    <w:rsid w:val="000A4190"/>
    <w:rsid w:val="000A435C"/>
    <w:rsid w:val="000A47D4"/>
    <w:rsid w:val="000A4A33"/>
    <w:rsid w:val="000A550E"/>
    <w:rsid w:val="000A5522"/>
    <w:rsid w:val="000A5B16"/>
    <w:rsid w:val="000A5C10"/>
    <w:rsid w:val="000A5DDF"/>
    <w:rsid w:val="000A5E92"/>
    <w:rsid w:val="000A62A1"/>
    <w:rsid w:val="000A64A2"/>
    <w:rsid w:val="000A658D"/>
    <w:rsid w:val="000A67B0"/>
    <w:rsid w:val="000A6C4C"/>
    <w:rsid w:val="000A7027"/>
    <w:rsid w:val="000A708E"/>
    <w:rsid w:val="000A70DC"/>
    <w:rsid w:val="000A70F8"/>
    <w:rsid w:val="000A7455"/>
    <w:rsid w:val="000A7DE8"/>
    <w:rsid w:val="000A7EDC"/>
    <w:rsid w:val="000A7F2A"/>
    <w:rsid w:val="000B0302"/>
    <w:rsid w:val="000B0704"/>
    <w:rsid w:val="000B118A"/>
    <w:rsid w:val="000B11F9"/>
    <w:rsid w:val="000B1396"/>
    <w:rsid w:val="000B15F2"/>
    <w:rsid w:val="000B1A24"/>
    <w:rsid w:val="000B1A60"/>
    <w:rsid w:val="000B1A65"/>
    <w:rsid w:val="000B1C43"/>
    <w:rsid w:val="000B1F87"/>
    <w:rsid w:val="000B22E7"/>
    <w:rsid w:val="000B251A"/>
    <w:rsid w:val="000B252D"/>
    <w:rsid w:val="000B2562"/>
    <w:rsid w:val="000B288A"/>
    <w:rsid w:val="000B2A36"/>
    <w:rsid w:val="000B2AA5"/>
    <w:rsid w:val="000B2C37"/>
    <w:rsid w:val="000B2D8E"/>
    <w:rsid w:val="000B3094"/>
    <w:rsid w:val="000B32B8"/>
    <w:rsid w:val="000B34E4"/>
    <w:rsid w:val="000B358D"/>
    <w:rsid w:val="000B378D"/>
    <w:rsid w:val="000B37C6"/>
    <w:rsid w:val="000B3CBE"/>
    <w:rsid w:val="000B3CD3"/>
    <w:rsid w:val="000B406C"/>
    <w:rsid w:val="000B43C9"/>
    <w:rsid w:val="000B4607"/>
    <w:rsid w:val="000B4752"/>
    <w:rsid w:val="000B4FB1"/>
    <w:rsid w:val="000B5265"/>
    <w:rsid w:val="000B54BF"/>
    <w:rsid w:val="000B56EA"/>
    <w:rsid w:val="000B5FAC"/>
    <w:rsid w:val="000B66A7"/>
    <w:rsid w:val="000B674A"/>
    <w:rsid w:val="000B6B56"/>
    <w:rsid w:val="000B6C15"/>
    <w:rsid w:val="000B6D2C"/>
    <w:rsid w:val="000B715A"/>
    <w:rsid w:val="000B715D"/>
    <w:rsid w:val="000B73C9"/>
    <w:rsid w:val="000B75AA"/>
    <w:rsid w:val="000B7663"/>
    <w:rsid w:val="000B781E"/>
    <w:rsid w:val="000B7823"/>
    <w:rsid w:val="000B7F4D"/>
    <w:rsid w:val="000C029C"/>
    <w:rsid w:val="000C03B4"/>
    <w:rsid w:val="000C046B"/>
    <w:rsid w:val="000C0A29"/>
    <w:rsid w:val="000C0AF0"/>
    <w:rsid w:val="000C0F66"/>
    <w:rsid w:val="000C116E"/>
    <w:rsid w:val="000C17FC"/>
    <w:rsid w:val="000C1A1E"/>
    <w:rsid w:val="000C1B86"/>
    <w:rsid w:val="000C1D48"/>
    <w:rsid w:val="000C2B9C"/>
    <w:rsid w:val="000C344F"/>
    <w:rsid w:val="000C34EE"/>
    <w:rsid w:val="000C35FE"/>
    <w:rsid w:val="000C4427"/>
    <w:rsid w:val="000C45E8"/>
    <w:rsid w:val="000C4949"/>
    <w:rsid w:val="000C4FFF"/>
    <w:rsid w:val="000C53B5"/>
    <w:rsid w:val="000C53CE"/>
    <w:rsid w:val="000C55A3"/>
    <w:rsid w:val="000C5754"/>
    <w:rsid w:val="000C578E"/>
    <w:rsid w:val="000C596E"/>
    <w:rsid w:val="000C59E8"/>
    <w:rsid w:val="000C5B30"/>
    <w:rsid w:val="000C5DA4"/>
    <w:rsid w:val="000C5F40"/>
    <w:rsid w:val="000C620B"/>
    <w:rsid w:val="000C6629"/>
    <w:rsid w:val="000C6E76"/>
    <w:rsid w:val="000C6F56"/>
    <w:rsid w:val="000C7499"/>
    <w:rsid w:val="000C75BD"/>
    <w:rsid w:val="000C7660"/>
    <w:rsid w:val="000C7786"/>
    <w:rsid w:val="000C7A67"/>
    <w:rsid w:val="000C7B76"/>
    <w:rsid w:val="000C7BFA"/>
    <w:rsid w:val="000C7D76"/>
    <w:rsid w:val="000C7E04"/>
    <w:rsid w:val="000D045A"/>
    <w:rsid w:val="000D0601"/>
    <w:rsid w:val="000D0715"/>
    <w:rsid w:val="000D0A06"/>
    <w:rsid w:val="000D0AFC"/>
    <w:rsid w:val="000D0EDD"/>
    <w:rsid w:val="000D1232"/>
    <w:rsid w:val="000D1284"/>
    <w:rsid w:val="000D1732"/>
    <w:rsid w:val="000D187F"/>
    <w:rsid w:val="000D195B"/>
    <w:rsid w:val="000D1D7B"/>
    <w:rsid w:val="000D2758"/>
    <w:rsid w:val="000D2812"/>
    <w:rsid w:val="000D286C"/>
    <w:rsid w:val="000D2AC7"/>
    <w:rsid w:val="000D2EA1"/>
    <w:rsid w:val="000D2F68"/>
    <w:rsid w:val="000D3247"/>
    <w:rsid w:val="000D34AF"/>
    <w:rsid w:val="000D3640"/>
    <w:rsid w:val="000D3AD6"/>
    <w:rsid w:val="000D3D45"/>
    <w:rsid w:val="000D3DA9"/>
    <w:rsid w:val="000D3F48"/>
    <w:rsid w:val="000D41A2"/>
    <w:rsid w:val="000D423A"/>
    <w:rsid w:val="000D4811"/>
    <w:rsid w:val="000D4BB4"/>
    <w:rsid w:val="000D4D32"/>
    <w:rsid w:val="000D540D"/>
    <w:rsid w:val="000D540F"/>
    <w:rsid w:val="000D5459"/>
    <w:rsid w:val="000D5538"/>
    <w:rsid w:val="000D6148"/>
    <w:rsid w:val="000D62DA"/>
    <w:rsid w:val="000D6406"/>
    <w:rsid w:val="000D6859"/>
    <w:rsid w:val="000D686E"/>
    <w:rsid w:val="000D6D92"/>
    <w:rsid w:val="000D6EF1"/>
    <w:rsid w:val="000D7664"/>
    <w:rsid w:val="000D784E"/>
    <w:rsid w:val="000D7D01"/>
    <w:rsid w:val="000D7D93"/>
    <w:rsid w:val="000D7E26"/>
    <w:rsid w:val="000D7EAB"/>
    <w:rsid w:val="000E00A4"/>
    <w:rsid w:val="000E0710"/>
    <w:rsid w:val="000E08F4"/>
    <w:rsid w:val="000E0B74"/>
    <w:rsid w:val="000E14E7"/>
    <w:rsid w:val="000E1534"/>
    <w:rsid w:val="000E155C"/>
    <w:rsid w:val="000E1603"/>
    <w:rsid w:val="000E1B11"/>
    <w:rsid w:val="000E1EDB"/>
    <w:rsid w:val="000E1EDE"/>
    <w:rsid w:val="000E201E"/>
    <w:rsid w:val="000E216C"/>
    <w:rsid w:val="000E2237"/>
    <w:rsid w:val="000E2C7D"/>
    <w:rsid w:val="000E2E3E"/>
    <w:rsid w:val="000E31E1"/>
    <w:rsid w:val="000E34AA"/>
    <w:rsid w:val="000E34F4"/>
    <w:rsid w:val="000E3531"/>
    <w:rsid w:val="000E3938"/>
    <w:rsid w:val="000E3A57"/>
    <w:rsid w:val="000E4327"/>
    <w:rsid w:val="000E44E6"/>
    <w:rsid w:val="000E45C0"/>
    <w:rsid w:val="000E4DAB"/>
    <w:rsid w:val="000E4F2F"/>
    <w:rsid w:val="000E4F75"/>
    <w:rsid w:val="000E5339"/>
    <w:rsid w:val="000E575D"/>
    <w:rsid w:val="000E5948"/>
    <w:rsid w:val="000E5C86"/>
    <w:rsid w:val="000E62C9"/>
    <w:rsid w:val="000E6656"/>
    <w:rsid w:val="000E6C93"/>
    <w:rsid w:val="000E6D33"/>
    <w:rsid w:val="000E6D3C"/>
    <w:rsid w:val="000E7501"/>
    <w:rsid w:val="000E76EA"/>
    <w:rsid w:val="000E78D1"/>
    <w:rsid w:val="000E7AF9"/>
    <w:rsid w:val="000E7BDE"/>
    <w:rsid w:val="000F038D"/>
    <w:rsid w:val="000F067E"/>
    <w:rsid w:val="000F06DC"/>
    <w:rsid w:val="000F0B70"/>
    <w:rsid w:val="000F0BF8"/>
    <w:rsid w:val="000F1751"/>
    <w:rsid w:val="000F18CE"/>
    <w:rsid w:val="000F1C82"/>
    <w:rsid w:val="000F1E8A"/>
    <w:rsid w:val="000F2048"/>
    <w:rsid w:val="000F224D"/>
    <w:rsid w:val="000F237F"/>
    <w:rsid w:val="000F24E4"/>
    <w:rsid w:val="000F2797"/>
    <w:rsid w:val="000F2D8B"/>
    <w:rsid w:val="000F3476"/>
    <w:rsid w:val="000F3ABB"/>
    <w:rsid w:val="000F3AC2"/>
    <w:rsid w:val="000F3C86"/>
    <w:rsid w:val="000F455B"/>
    <w:rsid w:val="000F49FD"/>
    <w:rsid w:val="000F4BCE"/>
    <w:rsid w:val="000F4CFA"/>
    <w:rsid w:val="000F4F45"/>
    <w:rsid w:val="000F5245"/>
    <w:rsid w:val="000F6241"/>
    <w:rsid w:val="000F64E7"/>
    <w:rsid w:val="000F669E"/>
    <w:rsid w:val="000F6B34"/>
    <w:rsid w:val="000F7517"/>
    <w:rsid w:val="000F758D"/>
    <w:rsid w:val="000F772F"/>
    <w:rsid w:val="00100367"/>
    <w:rsid w:val="00100553"/>
    <w:rsid w:val="001005CC"/>
    <w:rsid w:val="001008B1"/>
    <w:rsid w:val="00101613"/>
    <w:rsid w:val="0010199F"/>
    <w:rsid w:val="00101BFE"/>
    <w:rsid w:val="00101C32"/>
    <w:rsid w:val="001022A9"/>
    <w:rsid w:val="0010252A"/>
    <w:rsid w:val="0010270A"/>
    <w:rsid w:val="0010277B"/>
    <w:rsid w:val="00102ACE"/>
    <w:rsid w:val="001031B4"/>
    <w:rsid w:val="0010325C"/>
    <w:rsid w:val="00103391"/>
    <w:rsid w:val="00103443"/>
    <w:rsid w:val="00103445"/>
    <w:rsid w:val="001037BE"/>
    <w:rsid w:val="00103CD4"/>
    <w:rsid w:val="00103DB4"/>
    <w:rsid w:val="00103E61"/>
    <w:rsid w:val="00103E85"/>
    <w:rsid w:val="001040EF"/>
    <w:rsid w:val="001046F5"/>
    <w:rsid w:val="0010473F"/>
    <w:rsid w:val="001048C8"/>
    <w:rsid w:val="001048E3"/>
    <w:rsid w:val="00104C0C"/>
    <w:rsid w:val="00104C17"/>
    <w:rsid w:val="00104C8F"/>
    <w:rsid w:val="001053EC"/>
    <w:rsid w:val="00105621"/>
    <w:rsid w:val="00105AD7"/>
    <w:rsid w:val="00105C0A"/>
    <w:rsid w:val="0010601F"/>
    <w:rsid w:val="00106090"/>
    <w:rsid w:val="001068C3"/>
    <w:rsid w:val="0010695C"/>
    <w:rsid w:val="00107568"/>
    <w:rsid w:val="001075CF"/>
    <w:rsid w:val="00107A79"/>
    <w:rsid w:val="00107C87"/>
    <w:rsid w:val="001107EB"/>
    <w:rsid w:val="00110A27"/>
    <w:rsid w:val="0011102C"/>
    <w:rsid w:val="00111159"/>
    <w:rsid w:val="001112C8"/>
    <w:rsid w:val="00111329"/>
    <w:rsid w:val="00111403"/>
    <w:rsid w:val="001114DD"/>
    <w:rsid w:val="0011168E"/>
    <w:rsid w:val="001117DB"/>
    <w:rsid w:val="001118DC"/>
    <w:rsid w:val="00111E8A"/>
    <w:rsid w:val="00111F2C"/>
    <w:rsid w:val="00111FB3"/>
    <w:rsid w:val="00112033"/>
    <w:rsid w:val="001120F5"/>
    <w:rsid w:val="00112B3B"/>
    <w:rsid w:val="001131DC"/>
    <w:rsid w:val="00113346"/>
    <w:rsid w:val="00113500"/>
    <w:rsid w:val="001139A8"/>
    <w:rsid w:val="00113AE9"/>
    <w:rsid w:val="00113FC6"/>
    <w:rsid w:val="00114160"/>
    <w:rsid w:val="001141B5"/>
    <w:rsid w:val="001141C4"/>
    <w:rsid w:val="00114285"/>
    <w:rsid w:val="00114904"/>
    <w:rsid w:val="00114BFC"/>
    <w:rsid w:val="00114FBC"/>
    <w:rsid w:val="00115017"/>
    <w:rsid w:val="0011505D"/>
    <w:rsid w:val="0011539B"/>
    <w:rsid w:val="00115653"/>
    <w:rsid w:val="00115CF4"/>
    <w:rsid w:val="001161FF"/>
    <w:rsid w:val="001166E0"/>
    <w:rsid w:val="00116773"/>
    <w:rsid w:val="00116B4E"/>
    <w:rsid w:val="00117005"/>
    <w:rsid w:val="00117722"/>
    <w:rsid w:val="00117B41"/>
    <w:rsid w:val="00117C34"/>
    <w:rsid w:val="00117CA9"/>
    <w:rsid w:val="00117CDF"/>
    <w:rsid w:val="00117CE2"/>
    <w:rsid w:val="00120AA8"/>
    <w:rsid w:val="00120F0A"/>
    <w:rsid w:val="0012116B"/>
    <w:rsid w:val="0012138F"/>
    <w:rsid w:val="001214C9"/>
    <w:rsid w:val="0012150D"/>
    <w:rsid w:val="00121581"/>
    <w:rsid w:val="001219A0"/>
    <w:rsid w:val="00121BB6"/>
    <w:rsid w:val="001221A9"/>
    <w:rsid w:val="001222CD"/>
    <w:rsid w:val="00122325"/>
    <w:rsid w:val="001227C7"/>
    <w:rsid w:val="0012298A"/>
    <w:rsid w:val="00123080"/>
    <w:rsid w:val="0012321F"/>
    <w:rsid w:val="0012341C"/>
    <w:rsid w:val="001236B3"/>
    <w:rsid w:val="00123E7F"/>
    <w:rsid w:val="0012402A"/>
    <w:rsid w:val="0012432D"/>
    <w:rsid w:val="00124735"/>
    <w:rsid w:val="00124B8E"/>
    <w:rsid w:val="00124C53"/>
    <w:rsid w:val="001259A9"/>
    <w:rsid w:val="00125C3E"/>
    <w:rsid w:val="00125C75"/>
    <w:rsid w:val="00125CF5"/>
    <w:rsid w:val="001261C6"/>
    <w:rsid w:val="00126277"/>
    <w:rsid w:val="001262A5"/>
    <w:rsid w:val="00126409"/>
    <w:rsid w:val="0012681B"/>
    <w:rsid w:val="00126A17"/>
    <w:rsid w:val="00126E5A"/>
    <w:rsid w:val="00126ED8"/>
    <w:rsid w:val="001272D4"/>
    <w:rsid w:val="0012752F"/>
    <w:rsid w:val="0013015B"/>
    <w:rsid w:val="0013028E"/>
    <w:rsid w:val="00130419"/>
    <w:rsid w:val="00130552"/>
    <w:rsid w:val="0013066B"/>
    <w:rsid w:val="0013090B"/>
    <w:rsid w:val="00130BB4"/>
    <w:rsid w:val="00130CDE"/>
    <w:rsid w:val="00130F0F"/>
    <w:rsid w:val="00131251"/>
    <w:rsid w:val="0013131F"/>
    <w:rsid w:val="0013133F"/>
    <w:rsid w:val="00131783"/>
    <w:rsid w:val="0013183A"/>
    <w:rsid w:val="00131A99"/>
    <w:rsid w:val="00131AC8"/>
    <w:rsid w:val="00131BAD"/>
    <w:rsid w:val="00131DBD"/>
    <w:rsid w:val="00132B30"/>
    <w:rsid w:val="00132BAE"/>
    <w:rsid w:val="00132FEE"/>
    <w:rsid w:val="001332CA"/>
    <w:rsid w:val="00133303"/>
    <w:rsid w:val="00133704"/>
    <w:rsid w:val="00133768"/>
    <w:rsid w:val="00133EF3"/>
    <w:rsid w:val="00134265"/>
    <w:rsid w:val="00134881"/>
    <w:rsid w:val="00134928"/>
    <w:rsid w:val="00134940"/>
    <w:rsid w:val="00134965"/>
    <w:rsid w:val="001349A5"/>
    <w:rsid w:val="00134A05"/>
    <w:rsid w:val="00134F6B"/>
    <w:rsid w:val="0013509B"/>
    <w:rsid w:val="00135189"/>
    <w:rsid w:val="00135207"/>
    <w:rsid w:val="00135219"/>
    <w:rsid w:val="00135911"/>
    <w:rsid w:val="00135CD4"/>
    <w:rsid w:val="00136E47"/>
    <w:rsid w:val="0013703E"/>
    <w:rsid w:val="00137104"/>
    <w:rsid w:val="00137192"/>
    <w:rsid w:val="001371F9"/>
    <w:rsid w:val="00137206"/>
    <w:rsid w:val="0013722E"/>
    <w:rsid w:val="00137246"/>
    <w:rsid w:val="0013736A"/>
    <w:rsid w:val="001377FB"/>
    <w:rsid w:val="00137850"/>
    <w:rsid w:val="00137AC8"/>
    <w:rsid w:val="00137B71"/>
    <w:rsid w:val="0014026C"/>
    <w:rsid w:val="0014091C"/>
    <w:rsid w:val="00140B00"/>
    <w:rsid w:val="00140B70"/>
    <w:rsid w:val="00140BC0"/>
    <w:rsid w:val="00140D67"/>
    <w:rsid w:val="00140EB7"/>
    <w:rsid w:val="00140F1F"/>
    <w:rsid w:val="00140FD9"/>
    <w:rsid w:val="00141106"/>
    <w:rsid w:val="00141279"/>
    <w:rsid w:val="00141298"/>
    <w:rsid w:val="0014136D"/>
    <w:rsid w:val="00141862"/>
    <w:rsid w:val="00141CCE"/>
    <w:rsid w:val="00141FB7"/>
    <w:rsid w:val="0014280A"/>
    <w:rsid w:val="00142B4A"/>
    <w:rsid w:val="001431A8"/>
    <w:rsid w:val="00143622"/>
    <w:rsid w:val="00143739"/>
    <w:rsid w:val="00143BBA"/>
    <w:rsid w:val="00144692"/>
    <w:rsid w:val="0014474F"/>
    <w:rsid w:val="00144C28"/>
    <w:rsid w:val="001452F0"/>
    <w:rsid w:val="0014533E"/>
    <w:rsid w:val="00145531"/>
    <w:rsid w:val="0014564A"/>
    <w:rsid w:val="00145B54"/>
    <w:rsid w:val="001460CA"/>
    <w:rsid w:val="001462C8"/>
    <w:rsid w:val="001463D9"/>
    <w:rsid w:val="00147142"/>
    <w:rsid w:val="0014771D"/>
    <w:rsid w:val="001477F3"/>
    <w:rsid w:val="00147C9A"/>
    <w:rsid w:val="00147E01"/>
    <w:rsid w:val="001503EB"/>
    <w:rsid w:val="00150630"/>
    <w:rsid w:val="00150857"/>
    <w:rsid w:val="00150921"/>
    <w:rsid w:val="00150BCA"/>
    <w:rsid w:val="00150F77"/>
    <w:rsid w:val="0015104D"/>
    <w:rsid w:val="00151259"/>
    <w:rsid w:val="0015151D"/>
    <w:rsid w:val="001516CE"/>
    <w:rsid w:val="0015181D"/>
    <w:rsid w:val="001518D9"/>
    <w:rsid w:val="001519FD"/>
    <w:rsid w:val="00151A21"/>
    <w:rsid w:val="00151B76"/>
    <w:rsid w:val="00151DE7"/>
    <w:rsid w:val="0015213F"/>
    <w:rsid w:val="00152192"/>
    <w:rsid w:val="001521A6"/>
    <w:rsid w:val="0015233C"/>
    <w:rsid w:val="00152572"/>
    <w:rsid w:val="00152703"/>
    <w:rsid w:val="001530C1"/>
    <w:rsid w:val="001532A6"/>
    <w:rsid w:val="001532AA"/>
    <w:rsid w:val="0015371D"/>
    <w:rsid w:val="00153966"/>
    <w:rsid w:val="00153CEA"/>
    <w:rsid w:val="00154091"/>
    <w:rsid w:val="0015423C"/>
    <w:rsid w:val="001546A3"/>
    <w:rsid w:val="001546C8"/>
    <w:rsid w:val="00154872"/>
    <w:rsid w:val="001548EA"/>
    <w:rsid w:val="00154E04"/>
    <w:rsid w:val="00155269"/>
    <w:rsid w:val="001552CE"/>
    <w:rsid w:val="00155344"/>
    <w:rsid w:val="0015543C"/>
    <w:rsid w:val="001554C1"/>
    <w:rsid w:val="00155582"/>
    <w:rsid w:val="00155E07"/>
    <w:rsid w:val="00156332"/>
    <w:rsid w:val="00156683"/>
    <w:rsid w:val="00156751"/>
    <w:rsid w:val="0015685A"/>
    <w:rsid w:val="0015697A"/>
    <w:rsid w:val="001569F0"/>
    <w:rsid w:val="00156AAE"/>
    <w:rsid w:val="00156C14"/>
    <w:rsid w:val="00156D46"/>
    <w:rsid w:val="00156E73"/>
    <w:rsid w:val="001571F9"/>
    <w:rsid w:val="0015741A"/>
    <w:rsid w:val="001575BE"/>
    <w:rsid w:val="001577AA"/>
    <w:rsid w:val="00157A21"/>
    <w:rsid w:val="00157A49"/>
    <w:rsid w:val="00157B0F"/>
    <w:rsid w:val="00157CAD"/>
    <w:rsid w:val="00157E8D"/>
    <w:rsid w:val="00157EA4"/>
    <w:rsid w:val="00157FA1"/>
    <w:rsid w:val="00160211"/>
    <w:rsid w:val="00160236"/>
    <w:rsid w:val="001604C5"/>
    <w:rsid w:val="001606CF"/>
    <w:rsid w:val="0016090C"/>
    <w:rsid w:val="0016100C"/>
    <w:rsid w:val="0016128D"/>
    <w:rsid w:val="00161454"/>
    <w:rsid w:val="00161637"/>
    <w:rsid w:val="0016164D"/>
    <w:rsid w:val="001617AA"/>
    <w:rsid w:val="0016190C"/>
    <w:rsid w:val="00161960"/>
    <w:rsid w:val="00161ACE"/>
    <w:rsid w:val="00161F80"/>
    <w:rsid w:val="001625BD"/>
    <w:rsid w:val="0016262E"/>
    <w:rsid w:val="00162B3E"/>
    <w:rsid w:val="001630A2"/>
    <w:rsid w:val="00163721"/>
    <w:rsid w:val="00163848"/>
    <w:rsid w:val="0016435D"/>
    <w:rsid w:val="00164509"/>
    <w:rsid w:val="00164BA2"/>
    <w:rsid w:val="00164C2A"/>
    <w:rsid w:val="00164CC7"/>
    <w:rsid w:val="00164D3F"/>
    <w:rsid w:val="00164E44"/>
    <w:rsid w:val="00164F67"/>
    <w:rsid w:val="00165D5E"/>
    <w:rsid w:val="0016655C"/>
    <w:rsid w:val="00166660"/>
    <w:rsid w:val="001666B4"/>
    <w:rsid w:val="00166895"/>
    <w:rsid w:val="00166E42"/>
    <w:rsid w:val="001670DF"/>
    <w:rsid w:val="0016751F"/>
    <w:rsid w:val="001678EC"/>
    <w:rsid w:val="00167961"/>
    <w:rsid w:val="001701AD"/>
    <w:rsid w:val="0017089D"/>
    <w:rsid w:val="00170C9F"/>
    <w:rsid w:val="00170CD1"/>
    <w:rsid w:val="00170E22"/>
    <w:rsid w:val="00170F0C"/>
    <w:rsid w:val="001710F0"/>
    <w:rsid w:val="00171364"/>
    <w:rsid w:val="0017149F"/>
    <w:rsid w:val="00171653"/>
    <w:rsid w:val="00171D82"/>
    <w:rsid w:val="00171F22"/>
    <w:rsid w:val="00172037"/>
    <w:rsid w:val="00172234"/>
    <w:rsid w:val="0017244F"/>
    <w:rsid w:val="00172781"/>
    <w:rsid w:val="00172C75"/>
    <w:rsid w:val="0017302A"/>
    <w:rsid w:val="001730EA"/>
    <w:rsid w:val="0017367F"/>
    <w:rsid w:val="00174179"/>
    <w:rsid w:val="00174206"/>
    <w:rsid w:val="00174287"/>
    <w:rsid w:val="0017436B"/>
    <w:rsid w:val="001746EC"/>
    <w:rsid w:val="001749A7"/>
    <w:rsid w:val="001749E8"/>
    <w:rsid w:val="00174ACD"/>
    <w:rsid w:val="00174BC3"/>
    <w:rsid w:val="00174D29"/>
    <w:rsid w:val="00174FBF"/>
    <w:rsid w:val="0017515E"/>
    <w:rsid w:val="00175A22"/>
    <w:rsid w:val="00175EE2"/>
    <w:rsid w:val="00175FAC"/>
    <w:rsid w:val="00176191"/>
    <w:rsid w:val="00176351"/>
    <w:rsid w:val="00176488"/>
    <w:rsid w:val="001766D7"/>
    <w:rsid w:val="001767DD"/>
    <w:rsid w:val="00176A8F"/>
    <w:rsid w:val="00176CF5"/>
    <w:rsid w:val="001770AF"/>
    <w:rsid w:val="001772B8"/>
    <w:rsid w:val="001774D4"/>
    <w:rsid w:val="001776EE"/>
    <w:rsid w:val="00177797"/>
    <w:rsid w:val="001779CA"/>
    <w:rsid w:val="001779DE"/>
    <w:rsid w:val="00177A6E"/>
    <w:rsid w:val="00177CD0"/>
    <w:rsid w:val="00177FBF"/>
    <w:rsid w:val="00180260"/>
    <w:rsid w:val="0018035C"/>
    <w:rsid w:val="001803AE"/>
    <w:rsid w:val="0018045A"/>
    <w:rsid w:val="00180A14"/>
    <w:rsid w:val="0018114F"/>
    <w:rsid w:val="001817E5"/>
    <w:rsid w:val="00181F54"/>
    <w:rsid w:val="001820E0"/>
    <w:rsid w:val="001823B5"/>
    <w:rsid w:val="00182569"/>
    <w:rsid w:val="001826B6"/>
    <w:rsid w:val="00182751"/>
    <w:rsid w:val="001827C0"/>
    <w:rsid w:val="0018343D"/>
    <w:rsid w:val="00183513"/>
    <w:rsid w:val="00183799"/>
    <w:rsid w:val="00183835"/>
    <w:rsid w:val="001839B9"/>
    <w:rsid w:val="00183C1D"/>
    <w:rsid w:val="00183C27"/>
    <w:rsid w:val="00183CAB"/>
    <w:rsid w:val="00183CB7"/>
    <w:rsid w:val="001848D1"/>
    <w:rsid w:val="00184BC5"/>
    <w:rsid w:val="00184C5D"/>
    <w:rsid w:val="00184CD0"/>
    <w:rsid w:val="0018572F"/>
    <w:rsid w:val="001857EB"/>
    <w:rsid w:val="00185D43"/>
    <w:rsid w:val="0018603D"/>
    <w:rsid w:val="001861D2"/>
    <w:rsid w:val="00186394"/>
    <w:rsid w:val="00186454"/>
    <w:rsid w:val="00186822"/>
    <w:rsid w:val="00186C8E"/>
    <w:rsid w:val="00186E65"/>
    <w:rsid w:val="00186FF4"/>
    <w:rsid w:val="001872B9"/>
    <w:rsid w:val="0018750D"/>
    <w:rsid w:val="0019017D"/>
    <w:rsid w:val="001901E6"/>
    <w:rsid w:val="0019026D"/>
    <w:rsid w:val="001904F1"/>
    <w:rsid w:val="001907F0"/>
    <w:rsid w:val="00190917"/>
    <w:rsid w:val="001909E9"/>
    <w:rsid w:val="00190D1A"/>
    <w:rsid w:val="00190EB5"/>
    <w:rsid w:val="00190FF8"/>
    <w:rsid w:val="0019101A"/>
    <w:rsid w:val="0019107D"/>
    <w:rsid w:val="001912CF"/>
    <w:rsid w:val="00191584"/>
    <w:rsid w:val="00191BCC"/>
    <w:rsid w:val="00191C7B"/>
    <w:rsid w:val="00191CE0"/>
    <w:rsid w:val="00191CEC"/>
    <w:rsid w:val="00191E71"/>
    <w:rsid w:val="00191F16"/>
    <w:rsid w:val="00192E4B"/>
    <w:rsid w:val="00193026"/>
    <w:rsid w:val="00193128"/>
    <w:rsid w:val="001935FC"/>
    <w:rsid w:val="00193696"/>
    <w:rsid w:val="00193C21"/>
    <w:rsid w:val="00193E4A"/>
    <w:rsid w:val="00194141"/>
    <w:rsid w:val="00194149"/>
    <w:rsid w:val="001942E5"/>
    <w:rsid w:val="00194340"/>
    <w:rsid w:val="0019439E"/>
    <w:rsid w:val="0019466C"/>
    <w:rsid w:val="00194A57"/>
    <w:rsid w:val="00194C83"/>
    <w:rsid w:val="00194EB4"/>
    <w:rsid w:val="001952B2"/>
    <w:rsid w:val="0019598D"/>
    <w:rsid w:val="00195E50"/>
    <w:rsid w:val="00195FC2"/>
    <w:rsid w:val="00196377"/>
    <w:rsid w:val="00196663"/>
    <w:rsid w:val="001968A7"/>
    <w:rsid w:val="00196C69"/>
    <w:rsid w:val="00196DEB"/>
    <w:rsid w:val="001977B0"/>
    <w:rsid w:val="001A009A"/>
    <w:rsid w:val="001A0174"/>
    <w:rsid w:val="001A03A9"/>
    <w:rsid w:val="001A05B6"/>
    <w:rsid w:val="001A0855"/>
    <w:rsid w:val="001A10EA"/>
    <w:rsid w:val="001A1259"/>
    <w:rsid w:val="001A1457"/>
    <w:rsid w:val="001A14E5"/>
    <w:rsid w:val="001A180E"/>
    <w:rsid w:val="001A1928"/>
    <w:rsid w:val="001A1D25"/>
    <w:rsid w:val="001A1E87"/>
    <w:rsid w:val="001A2232"/>
    <w:rsid w:val="001A23DA"/>
    <w:rsid w:val="001A2769"/>
    <w:rsid w:val="001A27FD"/>
    <w:rsid w:val="001A293A"/>
    <w:rsid w:val="001A301F"/>
    <w:rsid w:val="001A3038"/>
    <w:rsid w:val="001A3302"/>
    <w:rsid w:val="001A331B"/>
    <w:rsid w:val="001A341B"/>
    <w:rsid w:val="001A377E"/>
    <w:rsid w:val="001A3943"/>
    <w:rsid w:val="001A395E"/>
    <w:rsid w:val="001A396F"/>
    <w:rsid w:val="001A39A3"/>
    <w:rsid w:val="001A3ABB"/>
    <w:rsid w:val="001A3C11"/>
    <w:rsid w:val="001A3CFA"/>
    <w:rsid w:val="001A3E12"/>
    <w:rsid w:val="001A3F2C"/>
    <w:rsid w:val="001A4215"/>
    <w:rsid w:val="001A4639"/>
    <w:rsid w:val="001A46A5"/>
    <w:rsid w:val="001A4D2A"/>
    <w:rsid w:val="001A511B"/>
    <w:rsid w:val="001A5281"/>
    <w:rsid w:val="001A566E"/>
    <w:rsid w:val="001A5D37"/>
    <w:rsid w:val="001A5F65"/>
    <w:rsid w:val="001A6270"/>
    <w:rsid w:val="001A6541"/>
    <w:rsid w:val="001A67D4"/>
    <w:rsid w:val="001A6DF4"/>
    <w:rsid w:val="001A6F2C"/>
    <w:rsid w:val="001A6FE2"/>
    <w:rsid w:val="001A7235"/>
    <w:rsid w:val="001A73B1"/>
    <w:rsid w:val="001A741E"/>
    <w:rsid w:val="001A7420"/>
    <w:rsid w:val="001A77D9"/>
    <w:rsid w:val="001A7AAD"/>
    <w:rsid w:val="001A7B46"/>
    <w:rsid w:val="001A7BAF"/>
    <w:rsid w:val="001A7E75"/>
    <w:rsid w:val="001B0019"/>
    <w:rsid w:val="001B00A3"/>
    <w:rsid w:val="001B0145"/>
    <w:rsid w:val="001B0555"/>
    <w:rsid w:val="001B09E7"/>
    <w:rsid w:val="001B0B93"/>
    <w:rsid w:val="001B0E71"/>
    <w:rsid w:val="001B1014"/>
    <w:rsid w:val="001B1527"/>
    <w:rsid w:val="001B1722"/>
    <w:rsid w:val="001B1E7C"/>
    <w:rsid w:val="001B1E92"/>
    <w:rsid w:val="001B2638"/>
    <w:rsid w:val="001B2969"/>
    <w:rsid w:val="001B2BED"/>
    <w:rsid w:val="001B2C32"/>
    <w:rsid w:val="001B3182"/>
    <w:rsid w:val="001B3188"/>
    <w:rsid w:val="001B3290"/>
    <w:rsid w:val="001B32D0"/>
    <w:rsid w:val="001B3A6D"/>
    <w:rsid w:val="001B43B5"/>
    <w:rsid w:val="001B446F"/>
    <w:rsid w:val="001B4685"/>
    <w:rsid w:val="001B4691"/>
    <w:rsid w:val="001B4BCF"/>
    <w:rsid w:val="001B4DF7"/>
    <w:rsid w:val="001B4E50"/>
    <w:rsid w:val="001B526E"/>
    <w:rsid w:val="001B5527"/>
    <w:rsid w:val="001B55FD"/>
    <w:rsid w:val="001B5AEA"/>
    <w:rsid w:val="001B5D10"/>
    <w:rsid w:val="001B5F79"/>
    <w:rsid w:val="001B612D"/>
    <w:rsid w:val="001B6173"/>
    <w:rsid w:val="001B64CA"/>
    <w:rsid w:val="001B6517"/>
    <w:rsid w:val="001B6665"/>
    <w:rsid w:val="001B67C9"/>
    <w:rsid w:val="001B6AD8"/>
    <w:rsid w:val="001B6D60"/>
    <w:rsid w:val="001B6E56"/>
    <w:rsid w:val="001B7866"/>
    <w:rsid w:val="001B7881"/>
    <w:rsid w:val="001B7C72"/>
    <w:rsid w:val="001B7E53"/>
    <w:rsid w:val="001C0138"/>
    <w:rsid w:val="001C01B0"/>
    <w:rsid w:val="001C0A43"/>
    <w:rsid w:val="001C0D1C"/>
    <w:rsid w:val="001C0F32"/>
    <w:rsid w:val="001C13FD"/>
    <w:rsid w:val="001C17D6"/>
    <w:rsid w:val="001C1F70"/>
    <w:rsid w:val="001C1FDC"/>
    <w:rsid w:val="001C2066"/>
    <w:rsid w:val="001C22AB"/>
    <w:rsid w:val="001C23D9"/>
    <w:rsid w:val="001C24A4"/>
    <w:rsid w:val="001C25FE"/>
    <w:rsid w:val="001C27FB"/>
    <w:rsid w:val="001C29C4"/>
    <w:rsid w:val="001C29C6"/>
    <w:rsid w:val="001C2ABE"/>
    <w:rsid w:val="001C2BE9"/>
    <w:rsid w:val="001C3074"/>
    <w:rsid w:val="001C314F"/>
    <w:rsid w:val="001C31BD"/>
    <w:rsid w:val="001C31D7"/>
    <w:rsid w:val="001C33B5"/>
    <w:rsid w:val="001C34BD"/>
    <w:rsid w:val="001C358D"/>
    <w:rsid w:val="001C3626"/>
    <w:rsid w:val="001C365B"/>
    <w:rsid w:val="001C3713"/>
    <w:rsid w:val="001C3DBA"/>
    <w:rsid w:val="001C3F1C"/>
    <w:rsid w:val="001C4024"/>
    <w:rsid w:val="001C4946"/>
    <w:rsid w:val="001C49A4"/>
    <w:rsid w:val="001C4A4A"/>
    <w:rsid w:val="001C4F3A"/>
    <w:rsid w:val="001C503B"/>
    <w:rsid w:val="001C58FA"/>
    <w:rsid w:val="001C5CFD"/>
    <w:rsid w:val="001C5F77"/>
    <w:rsid w:val="001C6026"/>
    <w:rsid w:val="001C61FE"/>
    <w:rsid w:val="001C6265"/>
    <w:rsid w:val="001C67EE"/>
    <w:rsid w:val="001C6ACD"/>
    <w:rsid w:val="001C71ED"/>
    <w:rsid w:val="001C726C"/>
    <w:rsid w:val="001C753A"/>
    <w:rsid w:val="001C75DE"/>
    <w:rsid w:val="001C7810"/>
    <w:rsid w:val="001D000D"/>
    <w:rsid w:val="001D040C"/>
    <w:rsid w:val="001D05F4"/>
    <w:rsid w:val="001D0829"/>
    <w:rsid w:val="001D0918"/>
    <w:rsid w:val="001D0AA6"/>
    <w:rsid w:val="001D0EBA"/>
    <w:rsid w:val="001D10E3"/>
    <w:rsid w:val="001D1587"/>
    <w:rsid w:val="001D168E"/>
    <w:rsid w:val="001D17BC"/>
    <w:rsid w:val="001D1C84"/>
    <w:rsid w:val="001D1D64"/>
    <w:rsid w:val="001D2146"/>
    <w:rsid w:val="001D2411"/>
    <w:rsid w:val="001D25A5"/>
    <w:rsid w:val="001D265D"/>
    <w:rsid w:val="001D2AA9"/>
    <w:rsid w:val="001D2D82"/>
    <w:rsid w:val="001D2D85"/>
    <w:rsid w:val="001D2DB9"/>
    <w:rsid w:val="001D316A"/>
    <w:rsid w:val="001D31F7"/>
    <w:rsid w:val="001D3255"/>
    <w:rsid w:val="001D3483"/>
    <w:rsid w:val="001D34D9"/>
    <w:rsid w:val="001D38BB"/>
    <w:rsid w:val="001D3EA7"/>
    <w:rsid w:val="001D41DB"/>
    <w:rsid w:val="001D44E7"/>
    <w:rsid w:val="001D4AD3"/>
    <w:rsid w:val="001D4BCC"/>
    <w:rsid w:val="001D4DB3"/>
    <w:rsid w:val="001D4EAA"/>
    <w:rsid w:val="001D5058"/>
    <w:rsid w:val="001D50A0"/>
    <w:rsid w:val="001D5496"/>
    <w:rsid w:val="001D58BC"/>
    <w:rsid w:val="001D5EE6"/>
    <w:rsid w:val="001D69D1"/>
    <w:rsid w:val="001D6A57"/>
    <w:rsid w:val="001D6C0B"/>
    <w:rsid w:val="001D6E80"/>
    <w:rsid w:val="001D6ECC"/>
    <w:rsid w:val="001D75C8"/>
    <w:rsid w:val="001D764F"/>
    <w:rsid w:val="001D76C3"/>
    <w:rsid w:val="001D799C"/>
    <w:rsid w:val="001D7FC0"/>
    <w:rsid w:val="001E0388"/>
    <w:rsid w:val="001E0C14"/>
    <w:rsid w:val="001E0EAB"/>
    <w:rsid w:val="001E1208"/>
    <w:rsid w:val="001E136F"/>
    <w:rsid w:val="001E13D1"/>
    <w:rsid w:val="001E181C"/>
    <w:rsid w:val="001E1E2B"/>
    <w:rsid w:val="001E2048"/>
    <w:rsid w:val="001E237C"/>
    <w:rsid w:val="001E27AE"/>
    <w:rsid w:val="001E2D1F"/>
    <w:rsid w:val="001E2D20"/>
    <w:rsid w:val="001E2F3E"/>
    <w:rsid w:val="001E3225"/>
    <w:rsid w:val="001E3375"/>
    <w:rsid w:val="001E3399"/>
    <w:rsid w:val="001E3B63"/>
    <w:rsid w:val="001E45F5"/>
    <w:rsid w:val="001E463C"/>
    <w:rsid w:val="001E48AA"/>
    <w:rsid w:val="001E53BD"/>
    <w:rsid w:val="001E53DD"/>
    <w:rsid w:val="001E54A1"/>
    <w:rsid w:val="001E561F"/>
    <w:rsid w:val="001E568C"/>
    <w:rsid w:val="001E58A0"/>
    <w:rsid w:val="001E5C16"/>
    <w:rsid w:val="001E5D07"/>
    <w:rsid w:val="001E6693"/>
    <w:rsid w:val="001E6C47"/>
    <w:rsid w:val="001E71B0"/>
    <w:rsid w:val="001E7702"/>
    <w:rsid w:val="001E779E"/>
    <w:rsid w:val="001E7DAD"/>
    <w:rsid w:val="001E7DD1"/>
    <w:rsid w:val="001E7FD0"/>
    <w:rsid w:val="001F0054"/>
    <w:rsid w:val="001F0900"/>
    <w:rsid w:val="001F09D8"/>
    <w:rsid w:val="001F177F"/>
    <w:rsid w:val="001F1868"/>
    <w:rsid w:val="001F18FE"/>
    <w:rsid w:val="001F1929"/>
    <w:rsid w:val="001F1A2C"/>
    <w:rsid w:val="001F2480"/>
    <w:rsid w:val="001F24C8"/>
    <w:rsid w:val="001F27F1"/>
    <w:rsid w:val="001F286F"/>
    <w:rsid w:val="001F297D"/>
    <w:rsid w:val="001F2A14"/>
    <w:rsid w:val="001F2A1D"/>
    <w:rsid w:val="001F2C23"/>
    <w:rsid w:val="001F2D99"/>
    <w:rsid w:val="001F320D"/>
    <w:rsid w:val="001F37EA"/>
    <w:rsid w:val="001F3AD1"/>
    <w:rsid w:val="001F3C30"/>
    <w:rsid w:val="001F450E"/>
    <w:rsid w:val="001F4923"/>
    <w:rsid w:val="001F494D"/>
    <w:rsid w:val="001F49BD"/>
    <w:rsid w:val="001F4D3E"/>
    <w:rsid w:val="001F540E"/>
    <w:rsid w:val="001F6970"/>
    <w:rsid w:val="001F6B3E"/>
    <w:rsid w:val="001F6B86"/>
    <w:rsid w:val="001F7046"/>
    <w:rsid w:val="001F735D"/>
    <w:rsid w:val="001F73AD"/>
    <w:rsid w:val="00200193"/>
    <w:rsid w:val="00200703"/>
    <w:rsid w:val="00200968"/>
    <w:rsid w:val="00200AEF"/>
    <w:rsid w:val="00200E2D"/>
    <w:rsid w:val="00200EC3"/>
    <w:rsid w:val="00201651"/>
    <w:rsid w:val="00201C3A"/>
    <w:rsid w:val="00201CD3"/>
    <w:rsid w:val="0020272F"/>
    <w:rsid w:val="00202A88"/>
    <w:rsid w:val="00202B59"/>
    <w:rsid w:val="00202CDF"/>
    <w:rsid w:val="00202D67"/>
    <w:rsid w:val="00202D9A"/>
    <w:rsid w:val="00203052"/>
    <w:rsid w:val="002032E5"/>
    <w:rsid w:val="002033E4"/>
    <w:rsid w:val="00203C77"/>
    <w:rsid w:val="00203CE8"/>
    <w:rsid w:val="00203EB8"/>
    <w:rsid w:val="002042EE"/>
    <w:rsid w:val="00204544"/>
    <w:rsid w:val="0020462A"/>
    <w:rsid w:val="002046C6"/>
    <w:rsid w:val="0020474F"/>
    <w:rsid w:val="00204790"/>
    <w:rsid w:val="00204B12"/>
    <w:rsid w:val="00204DB4"/>
    <w:rsid w:val="00205031"/>
    <w:rsid w:val="002054CC"/>
    <w:rsid w:val="002054D0"/>
    <w:rsid w:val="002054D6"/>
    <w:rsid w:val="00205773"/>
    <w:rsid w:val="0020578C"/>
    <w:rsid w:val="002057CC"/>
    <w:rsid w:val="002058A8"/>
    <w:rsid w:val="002059F2"/>
    <w:rsid w:val="00205A4F"/>
    <w:rsid w:val="00205C26"/>
    <w:rsid w:val="00205C34"/>
    <w:rsid w:val="00205CB2"/>
    <w:rsid w:val="00205FDE"/>
    <w:rsid w:val="002060BE"/>
    <w:rsid w:val="00206103"/>
    <w:rsid w:val="00206110"/>
    <w:rsid w:val="0020616F"/>
    <w:rsid w:val="00206266"/>
    <w:rsid w:val="002068FB"/>
    <w:rsid w:val="00206922"/>
    <w:rsid w:val="00206AAE"/>
    <w:rsid w:val="00206B1B"/>
    <w:rsid w:val="00206B30"/>
    <w:rsid w:val="00206BEF"/>
    <w:rsid w:val="00206C8A"/>
    <w:rsid w:val="00206D53"/>
    <w:rsid w:val="00207339"/>
    <w:rsid w:val="002077C5"/>
    <w:rsid w:val="00207C48"/>
    <w:rsid w:val="00207F2D"/>
    <w:rsid w:val="00210021"/>
    <w:rsid w:val="0021008F"/>
    <w:rsid w:val="002107BC"/>
    <w:rsid w:val="00210841"/>
    <w:rsid w:val="0021087F"/>
    <w:rsid w:val="002108E2"/>
    <w:rsid w:val="00210C74"/>
    <w:rsid w:val="0021228F"/>
    <w:rsid w:val="00212352"/>
    <w:rsid w:val="002129F9"/>
    <w:rsid w:val="00212AEA"/>
    <w:rsid w:val="00212CA6"/>
    <w:rsid w:val="00212D1D"/>
    <w:rsid w:val="00212D22"/>
    <w:rsid w:val="002134BD"/>
    <w:rsid w:val="00213594"/>
    <w:rsid w:val="0021395A"/>
    <w:rsid w:val="00213E56"/>
    <w:rsid w:val="00214781"/>
    <w:rsid w:val="002147B2"/>
    <w:rsid w:val="0021488E"/>
    <w:rsid w:val="00215DF2"/>
    <w:rsid w:val="00216257"/>
    <w:rsid w:val="0021634C"/>
    <w:rsid w:val="0021645B"/>
    <w:rsid w:val="00216525"/>
    <w:rsid w:val="00216899"/>
    <w:rsid w:val="00216A07"/>
    <w:rsid w:val="00216D9B"/>
    <w:rsid w:val="0021700B"/>
    <w:rsid w:val="00217370"/>
    <w:rsid w:val="00217A1F"/>
    <w:rsid w:val="00217BE5"/>
    <w:rsid w:val="002207C3"/>
    <w:rsid w:val="0022109C"/>
    <w:rsid w:val="002210FD"/>
    <w:rsid w:val="0022116C"/>
    <w:rsid w:val="002214C3"/>
    <w:rsid w:val="00221746"/>
    <w:rsid w:val="0022190E"/>
    <w:rsid w:val="00221EAF"/>
    <w:rsid w:val="00221FA6"/>
    <w:rsid w:val="00221FD5"/>
    <w:rsid w:val="00222168"/>
    <w:rsid w:val="00222413"/>
    <w:rsid w:val="00222581"/>
    <w:rsid w:val="002227F2"/>
    <w:rsid w:val="002227F3"/>
    <w:rsid w:val="0022314C"/>
    <w:rsid w:val="002232BF"/>
    <w:rsid w:val="0022350D"/>
    <w:rsid w:val="00223745"/>
    <w:rsid w:val="002239C6"/>
    <w:rsid w:val="002244BB"/>
    <w:rsid w:val="00224C18"/>
    <w:rsid w:val="0022546F"/>
    <w:rsid w:val="002256E2"/>
    <w:rsid w:val="00225721"/>
    <w:rsid w:val="002259FB"/>
    <w:rsid w:val="00226090"/>
    <w:rsid w:val="0022613F"/>
    <w:rsid w:val="00226392"/>
    <w:rsid w:val="002264B5"/>
    <w:rsid w:val="002272FE"/>
    <w:rsid w:val="00227353"/>
    <w:rsid w:val="00227567"/>
    <w:rsid w:val="002275C7"/>
    <w:rsid w:val="00227687"/>
    <w:rsid w:val="002277FB"/>
    <w:rsid w:val="00227879"/>
    <w:rsid w:val="00227C3A"/>
    <w:rsid w:val="00227CD7"/>
    <w:rsid w:val="00230080"/>
    <w:rsid w:val="00230200"/>
    <w:rsid w:val="00230512"/>
    <w:rsid w:val="002306F3"/>
    <w:rsid w:val="00230823"/>
    <w:rsid w:val="00230C71"/>
    <w:rsid w:val="00230CB7"/>
    <w:rsid w:val="00230DEC"/>
    <w:rsid w:val="00230F21"/>
    <w:rsid w:val="00230F97"/>
    <w:rsid w:val="00231049"/>
    <w:rsid w:val="0023121D"/>
    <w:rsid w:val="002314D2"/>
    <w:rsid w:val="0023154F"/>
    <w:rsid w:val="002319F0"/>
    <w:rsid w:val="00231AEB"/>
    <w:rsid w:val="00231DB3"/>
    <w:rsid w:val="00231E1A"/>
    <w:rsid w:val="00231FB3"/>
    <w:rsid w:val="00232325"/>
    <w:rsid w:val="00232C13"/>
    <w:rsid w:val="00232ECC"/>
    <w:rsid w:val="0023327B"/>
    <w:rsid w:val="00233AAF"/>
    <w:rsid w:val="00233DC4"/>
    <w:rsid w:val="00233DE5"/>
    <w:rsid w:val="00233E9C"/>
    <w:rsid w:val="0023424E"/>
    <w:rsid w:val="0023443A"/>
    <w:rsid w:val="0023464E"/>
    <w:rsid w:val="002346B8"/>
    <w:rsid w:val="00234CBE"/>
    <w:rsid w:val="00234E50"/>
    <w:rsid w:val="00235132"/>
    <w:rsid w:val="0023530B"/>
    <w:rsid w:val="002358C4"/>
    <w:rsid w:val="00235F94"/>
    <w:rsid w:val="00236626"/>
    <w:rsid w:val="0023673B"/>
    <w:rsid w:val="00236973"/>
    <w:rsid w:val="002370C6"/>
    <w:rsid w:val="002371A6"/>
    <w:rsid w:val="002372A6"/>
    <w:rsid w:val="0023742B"/>
    <w:rsid w:val="00237703"/>
    <w:rsid w:val="002377A5"/>
    <w:rsid w:val="0023786F"/>
    <w:rsid w:val="00237AF0"/>
    <w:rsid w:val="00237D7E"/>
    <w:rsid w:val="00240072"/>
    <w:rsid w:val="002405C0"/>
    <w:rsid w:val="00240831"/>
    <w:rsid w:val="00240992"/>
    <w:rsid w:val="00240A63"/>
    <w:rsid w:val="00240BE0"/>
    <w:rsid w:val="00240F62"/>
    <w:rsid w:val="00241265"/>
    <w:rsid w:val="00241811"/>
    <w:rsid w:val="00241960"/>
    <w:rsid w:val="00241BB9"/>
    <w:rsid w:val="00241DF5"/>
    <w:rsid w:val="00241F8E"/>
    <w:rsid w:val="00242C1F"/>
    <w:rsid w:val="00242C42"/>
    <w:rsid w:val="00242DA0"/>
    <w:rsid w:val="00242DBA"/>
    <w:rsid w:val="0024343C"/>
    <w:rsid w:val="0024346F"/>
    <w:rsid w:val="00243670"/>
    <w:rsid w:val="00243784"/>
    <w:rsid w:val="002439E5"/>
    <w:rsid w:val="00243BE9"/>
    <w:rsid w:val="00244132"/>
    <w:rsid w:val="002454D8"/>
    <w:rsid w:val="00245868"/>
    <w:rsid w:val="00245A4B"/>
    <w:rsid w:val="00245AD6"/>
    <w:rsid w:val="00245DD5"/>
    <w:rsid w:val="002461AE"/>
    <w:rsid w:val="0024645D"/>
    <w:rsid w:val="00246469"/>
    <w:rsid w:val="00246651"/>
    <w:rsid w:val="00246691"/>
    <w:rsid w:val="00246C14"/>
    <w:rsid w:val="00246EA5"/>
    <w:rsid w:val="00246FDF"/>
    <w:rsid w:val="0024753B"/>
    <w:rsid w:val="0024766B"/>
    <w:rsid w:val="00247839"/>
    <w:rsid w:val="00247939"/>
    <w:rsid w:val="00247A3E"/>
    <w:rsid w:val="002500F5"/>
    <w:rsid w:val="0025046E"/>
    <w:rsid w:val="00250982"/>
    <w:rsid w:val="002509FB"/>
    <w:rsid w:val="00250DC3"/>
    <w:rsid w:val="00250E11"/>
    <w:rsid w:val="00250ED4"/>
    <w:rsid w:val="0025112B"/>
    <w:rsid w:val="00251856"/>
    <w:rsid w:val="00251886"/>
    <w:rsid w:val="00251D5D"/>
    <w:rsid w:val="0025257D"/>
    <w:rsid w:val="00252E5B"/>
    <w:rsid w:val="00252E96"/>
    <w:rsid w:val="00253134"/>
    <w:rsid w:val="00253183"/>
    <w:rsid w:val="0025321F"/>
    <w:rsid w:val="002535A1"/>
    <w:rsid w:val="002535DB"/>
    <w:rsid w:val="002536DD"/>
    <w:rsid w:val="0025388F"/>
    <w:rsid w:val="00253A7E"/>
    <w:rsid w:val="00253C74"/>
    <w:rsid w:val="00253CE2"/>
    <w:rsid w:val="0025428D"/>
    <w:rsid w:val="00254614"/>
    <w:rsid w:val="00254723"/>
    <w:rsid w:val="00254BD1"/>
    <w:rsid w:val="00254C55"/>
    <w:rsid w:val="00254FFD"/>
    <w:rsid w:val="00255500"/>
    <w:rsid w:val="0025584C"/>
    <w:rsid w:val="00255D85"/>
    <w:rsid w:val="00255EDC"/>
    <w:rsid w:val="00256041"/>
    <w:rsid w:val="00256065"/>
    <w:rsid w:val="0025627E"/>
    <w:rsid w:val="002572F9"/>
    <w:rsid w:val="00257520"/>
    <w:rsid w:val="0025757E"/>
    <w:rsid w:val="00257811"/>
    <w:rsid w:val="00257AEE"/>
    <w:rsid w:val="00260063"/>
    <w:rsid w:val="002604BE"/>
    <w:rsid w:val="002604C3"/>
    <w:rsid w:val="0026075F"/>
    <w:rsid w:val="002608B8"/>
    <w:rsid w:val="00260920"/>
    <w:rsid w:val="002609F1"/>
    <w:rsid w:val="00260A71"/>
    <w:rsid w:val="00260B0E"/>
    <w:rsid w:val="00260B5F"/>
    <w:rsid w:val="0026101B"/>
    <w:rsid w:val="002615C5"/>
    <w:rsid w:val="002616BD"/>
    <w:rsid w:val="00261F16"/>
    <w:rsid w:val="00262083"/>
    <w:rsid w:val="0026222F"/>
    <w:rsid w:val="0026246E"/>
    <w:rsid w:val="00262577"/>
    <w:rsid w:val="002625B9"/>
    <w:rsid w:val="00262A54"/>
    <w:rsid w:val="00263298"/>
    <w:rsid w:val="00263B6C"/>
    <w:rsid w:val="00263BF9"/>
    <w:rsid w:val="00263CAD"/>
    <w:rsid w:val="00264071"/>
    <w:rsid w:val="002642B5"/>
    <w:rsid w:val="002646E9"/>
    <w:rsid w:val="00264AF7"/>
    <w:rsid w:val="00264F1C"/>
    <w:rsid w:val="002650FB"/>
    <w:rsid w:val="00265A27"/>
    <w:rsid w:val="00265BAA"/>
    <w:rsid w:val="00265C67"/>
    <w:rsid w:val="00265CFD"/>
    <w:rsid w:val="00265CFE"/>
    <w:rsid w:val="00266273"/>
    <w:rsid w:val="0026651B"/>
    <w:rsid w:val="002668E9"/>
    <w:rsid w:val="00266B34"/>
    <w:rsid w:val="00266E45"/>
    <w:rsid w:val="0026714E"/>
    <w:rsid w:val="00270292"/>
    <w:rsid w:val="002702EB"/>
    <w:rsid w:val="00270302"/>
    <w:rsid w:val="002703E8"/>
    <w:rsid w:val="00270693"/>
    <w:rsid w:val="00270AFC"/>
    <w:rsid w:val="00270B39"/>
    <w:rsid w:val="00270B85"/>
    <w:rsid w:val="00270C9D"/>
    <w:rsid w:val="00270DE3"/>
    <w:rsid w:val="0027104D"/>
    <w:rsid w:val="00271300"/>
    <w:rsid w:val="00271304"/>
    <w:rsid w:val="002718D2"/>
    <w:rsid w:val="00271C0E"/>
    <w:rsid w:val="00271CF3"/>
    <w:rsid w:val="00271D3E"/>
    <w:rsid w:val="0027213E"/>
    <w:rsid w:val="00272533"/>
    <w:rsid w:val="0027259D"/>
    <w:rsid w:val="0027263D"/>
    <w:rsid w:val="002727C5"/>
    <w:rsid w:val="00272986"/>
    <w:rsid w:val="00272A1E"/>
    <w:rsid w:val="00272C2F"/>
    <w:rsid w:val="002730D8"/>
    <w:rsid w:val="002733E4"/>
    <w:rsid w:val="0027369A"/>
    <w:rsid w:val="0027377F"/>
    <w:rsid w:val="00273CAE"/>
    <w:rsid w:val="00273D08"/>
    <w:rsid w:val="00273D7C"/>
    <w:rsid w:val="00273D95"/>
    <w:rsid w:val="0027421F"/>
    <w:rsid w:val="002742E7"/>
    <w:rsid w:val="00274314"/>
    <w:rsid w:val="00274650"/>
    <w:rsid w:val="0027486C"/>
    <w:rsid w:val="0027486D"/>
    <w:rsid w:val="00274A0A"/>
    <w:rsid w:val="00274F4E"/>
    <w:rsid w:val="0027511F"/>
    <w:rsid w:val="002752F6"/>
    <w:rsid w:val="00275485"/>
    <w:rsid w:val="00275553"/>
    <w:rsid w:val="0027590B"/>
    <w:rsid w:val="0027591C"/>
    <w:rsid w:val="00275A02"/>
    <w:rsid w:val="00275EEA"/>
    <w:rsid w:val="00275F31"/>
    <w:rsid w:val="00275F55"/>
    <w:rsid w:val="0027603D"/>
    <w:rsid w:val="0027648B"/>
    <w:rsid w:val="00276720"/>
    <w:rsid w:val="002769B1"/>
    <w:rsid w:val="00276D4B"/>
    <w:rsid w:val="002770D5"/>
    <w:rsid w:val="002771D7"/>
    <w:rsid w:val="00277533"/>
    <w:rsid w:val="00277B02"/>
    <w:rsid w:val="00277ECE"/>
    <w:rsid w:val="002800EE"/>
    <w:rsid w:val="0028031A"/>
    <w:rsid w:val="0028060A"/>
    <w:rsid w:val="002807E2"/>
    <w:rsid w:val="002808BA"/>
    <w:rsid w:val="00280941"/>
    <w:rsid w:val="0028115B"/>
    <w:rsid w:val="002811CB"/>
    <w:rsid w:val="00281759"/>
    <w:rsid w:val="00282144"/>
    <w:rsid w:val="00282326"/>
    <w:rsid w:val="0028239A"/>
    <w:rsid w:val="00282A7F"/>
    <w:rsid w:val="00282AD2"/>
    <w:rsid w:val="00282AD7"/>
    <w:rsid w:val="00282BE7"/>
    <w:rsid w:val="002831C8"/>
    <w:rsid w:val="00283312"/>
    <w:rsid w:val="002835DB"/>
    <w:rsid w:val="002837ED"/>
    <w:rsid w:val="00283A45"/>
    <w:rsid w:val="00283B4F"/>
    <w:rsid w:val="00283CC2"/>
    <w:rsid w:val="00283DCE"/>
    <w:rsid w:val="00284074"/>
    <w:rsid w:val="00284530"/>
    <w:rsid w:val="002845E3"/>
    <w:rsid w:val="0028467F"/>
    <w:rsid w:val="002847DB"/>
    <w:rsid w:val="00284DAE"/>
    <w:rsid w:val="00284E30"/>
    <w:rsid w:val="0028509E"/>
    <w:rsid w:val="002850CE"/>
    <w:rsid w:val="00285969"/>
    <w:rsid w:val="002859A2"/>
    <w:rsid w:val="00285F78"/>
    <w:rsid w:val="00286684"/>
    <w:rsid w:val="002866F9"/>
    <w:rsid w:val="00286D83"/>
    <w:rsid w:val="0028718F"/>
    <w:rsid w:val="002876C1"/>
    <w:rsid w:val="00287707"/>
    <w:rsid w:val="00287B89"/>
    <w:rsid w:val="00287DF8"/>
    <w:rsid w:val="00290078"/>
    <w:rsid w:val="00290122"/>
    <w:rsid w:val="00290282"/>
    <w:rsid w:val="00290535"/>
    <w:rsid w:val="002908EE"/>
    <w:rsid w:val="00290A20"/>
    <w:rsid w:val="00290BEA"/>
    <w:rsid w:val="002910EF"/>
    <w:rsid w:val="00291118"/>
    <w:rsid w:val="002912C0"/>
    <w:rsid w:val="0029160C"/>
    <w:rsid w:val="002916B5"/>
    <w:rsid w:val="002917AD"/>
    <w:rsid w:val="0029187E"/>
    <w:rsid w:val="00291884"/>
    <w:rsid w:val="002918CE"/>
    <w:rsid w:val="002919F1"/>
    <w:rsid w:val="00292428"/>
    <w:rsid w:val="0029251E"/>
    <w:rsid w:val="002925D6"/>
    <w:rsid w:val="00292686"/>
    <w:rsid w:val="002928F3"/>
    <w:rsid w:val="0029298F"/>
    <w:rsid w:val="00292C4A"/>
    <w:rsid w:val="00292E0B"/>
    <w:rsid w:val="00292E94"/>
    <w:rsid w:val="00292FE0"/>
    <w:rsid w:val="002932B1"/>
    <w:rsid w:val="002932FF"/>
    <w:rsid w:val="00293509"/>
    <w:rsid w:val="00293708"/>
    <w:rsid w:val="002938E6"/>
    <w:rsid w:val="00293B5A"/>
    <w:rsid w:val="00293F55"/>
    <w:rsid w:val="002940EC"/>
    <w:rsid w:val="00294469"/>
    <w:rsid w:val="002944D4"/>
    <w:rsid w:val="0029461B"/>
    <w:rsid w:val="0029464D"/>
    <w:rsid w:val="00294AD3"/>
    <w:rsid w:val="00294D1C"/>
    <w:rsid w:val="00294D2E"/>
    <w:rsid w:val="0029513E"/>
    <w:rsid w:val="00295146"/>
    <w:rsid w:val="002953B4"/>
    <w:rsid w:val="00295581"/>
    <w:rsid w:val="002957F0"/>
    <w:rsid w:val="002958D2"/>
    <w:rsid w:val="00295955"/>
    <w:rsid w:val="00295B5D"/>
    <w:rsid w:val="00295C64"/>
    <w:rsid w:val="002964FE"/>
    <w:rsid w:val="0029687E"/>
    <w:rsid w:val="0029696E"/>
    <w:rsid w:val="00296CED"/>
    <w:rsid w:val="00296DBE"/>
    <w:rsid w:val="002972E1"/>
    <w:rsid w:val="0029735C"/>
    <w:rsid w:val="00297745"/>
    <w:rsid w:val="002978C9"/>
    <w:rsid w:val="00297998"/>
    <w:rsid w:val="002979CC"/>
    <w:rsid w:val="002979D7"/>
    <w:rsid w:val="00297D6F"/>
    <w:rsid w:val="00297DBB"/>
    <w:rsid w:val="00297ED6"/>
    <w:rsid w:val="00297EF9"/>
    <w:rsid w:val="002A0016"/>
    <w:rsid w:val="002A01F2"/>
    <w:rsid w:val="002A05E9"/>
    <w:rsid w:val="002A1187"/>
    <w:rsid w:val="002A11E6"/>
    <w:rsid w:val="002A130C"/>
    <w:rsid w:val="002A19E2"/>
    <w:rsid w:val="002A256F"/>
    <w:rsid w:val="002A263E"/>
    <w:rsid w:val="002A2D82"/>
    <w:rsid w:val="002A2EA0"/>
    <w:rsid w:val="002A2F83"/>
    <w:rsid w:val="002A35ED"/>
    <w:rsid w:val="002A35F7"/>
    <w:rsid w:val="002A3AB7"/>
    <w:rsid w:val="002A3C95"/>
    <w:rsid w:val="002A3DAC"/>
    <w:rsid w:val="002A43EE"/>
    <w:rsid w:val="002A4472"/>
    <w:rsid w:val="002A4621"/>
    <w:rsid w:val="002A47EA"/>
    <w:rsid w:val="002A4D29"/>
    <w:rsid w:val="002A4DE9"/>
    <w:rsid w:val="002A5863"/>
    <w:rsid w:val="002A58A0"/>
    <w:rsid w:val="002A59D6"/>
    <w:rsid w:val="002A63EE"/>
    <w:rsid w:val="002A6939"/>
    <w:rsid w:val="002A6C49"/>
    <w:rsid w:val="002A7038"/>
    <w:rsid w:val="002A7553"/>
    <w:rsid w:val="002A756F"/>
    <w:rsid w:val="002A77C8"/>
    <w:rsid w:val="002A78CE"/>
    <w:rsid w:val="002A79A6"/>
    <w:rsid w:val="002B025A"/>
    <w:rsid w:val="002B03A7"/>
    <w:rsid w:val="002B05D0"/>
    <w:rsid w:val="002B07CC"/>
    <w:rsid w:val="002B0D30"/>
    <w:rsid w:val="002B0EEE"/>
    <w:rsid w:val="002B0F62"/>
    <w:rsid w:val="002B1050"/>
    <w:rsid w:val="002B119D"/>
    <w:rsid w:val="002B145F"/>
    <w:rsid w:val="002B160C"/>
    <w:rsid w:val="002B1D42"/>
    <w:rsid w:val="002B1E77"/>
    <w:rsid w:val="002B1FDE"/>
    <w:rsid w:val="002B21E9"/>
    <w:rsid w:val="002B2B44"/>
    <w:rsid w:val="002B2E58"/>
    <w:rsid w:val="002B306B"/>
    <w:rsid w:val="002B311D"/>
    <w:rsid w:val="002B3357"/>
    <w:rsid w:val="002B3829"/>
    <w:rsid w:val="002B38DB"/>
    <w:rsid w:val="002B3ECE"/>
    <w:rsid w:val="002B485B"/>
    <w:rsid w:val="002B4B42"/>
    <w:rsid w:val="002B4D4D"/>
    <w:rsid w:val="002B4E02"/>
    <w:rsid w:val="002B5352"/>
    <w:rsid w:val="002B56F8"/>
    <w:rsid w:val="002B58B7"/>
    <w:rsid w:val="002B5C39"/>
    <w:rsid w:val="002B651A"/>
    <w:rsid w:val="002B657B"/>
    <w:rsid w:val="002B6E49"/>
    <w:rsid w:val="002B6E80"/>
    <w:rsid w:val="002B7268"/>
    <w:rsid w:val="002B73CA"/>
    <w:rsid w:val="002B76B9"/>
    <w:rsid w:val="002B774A"/>
    <w:rsid w:val="002B7833"/>
    <w:rsid w:val="002B7A4C"/>
    <w:rsid w:val="002B7D2A"/>
    <w:rsid w:val="002B7F2C"/>
    <w:rsid w:val="002C00D1"/>
    <w:rsid w:val="002C02E3"/>
    <w:rsid w:val="002C0470"/>
    <w:rsid w:val="002C0EB5"/>
    <w:rsid w:val="002C10CB"/>
    <w:rsid w:val="002C110C"/>
    <w:rsid w:val="002C1854"/>
    <w:rsid w:val="002C1D23"/>
    <w:rsid w:val="002C2082"/>
    <w:rsid w:val="002C230B"/>
    <w:rsid w:val="002C2414"/>
    <w:rsid w:val="002C2465"/>
    <w:rsid w:val="002C27F1"/>
    <w:rsid w:val="002C28D7"/>
    <w:rsid w:val="002C2974"/>
    <w:rsid w:val="002C2A83"/>
    <w:rsid w:val="002C2AB8"/>
    <w:rsid w:val="002C2BE8"/>
    <w:rsid w:val="002C2C29"/>
    <w:rsid w:val="002C2FBF"/>
    <w:rsid w:val="002C2FD0"/>
    <w:rsid w:val="002C3005"/>
    <w:rsid w:val="002C32B0"/>
    <w:rsid w:val="002C340F"/>
    <w:rsid w:val="002C36C1"/>
    <w:rsid w:val="002C37E1"/>
    <w:rsid w:val="002C382C"/>
    <w:rsid w:val="002C3945"/>
    <w:rsid w:val="002C3961"/>
    <w:rsid w:val="002C3A8E"/>
    <w:rsid w:val="002C48DF"/>
    <w:rsid w:val="002C4B10"/>
    <w:rsid w:val="002C51D6"/>
    <w:rsid w:val="002C54D6"/>
    <w:rsid w:val="002C5875"/>
    <w:rsid w:val="002C5AB2"/>
    <w:rsid w:val="002C5AC6"/>
    <w:rsid w:val="002C5BDA"/>
    <w:rsid w:val="002C6687"/>
    <w:rsid w:val="002C669B"/>
    <w:rsid w:val="002C66D1"/>
    <w:rsid w:val="002C6DD1"/>
    <w:rsid w:val="002C78DC"/>
    <w:rsid w:val="002D012A"/>
    <w:rsid w:val="002D02EC"/>
    <w:rsid w:val="002D0356"/>
    <w:rsid w:val="002D0411"/>
    <w:rsid w:val="002D0818"/>
    <w:rsid w:val="002D0C5D"/>
    <w:rsid w:val="002D1142"/>
    <w:rsid w:val="002D1235"/>
    <w:rsid w:val="002D12F3"/>
    <w:rsid w:val="002D16E7"/>
    <w:rsid w:val="002D17EE"/>
    <w:rsid w:val="002D1A12"/>
    <w:rsid w:val="002D1B75"/>
    <w:rsid w:val="002D1C45"/>
    <w:rsid w:val="002D1F90"/>
    <w:rsid w:val="002D2379"/>
    <w:rsid w:val="002D2BAD"/>
    <w:rsid w:val="002D34CB"/>
    <w:rsid w:val="002D363F"/>
    <w:rsid w:val="002D3F7F"/>
    <w:rsid w:val="002D3F80"/>
    <w:rsid w:val="002D3FB3"/>
    <w:rsid w:val="002D4218"/>
    <w:rsid w:val="002D42A3"/>
    <w:rsid w:val="002D45AC"/>
    <w:rsid w:val="002D4878"/>
    <w:rsid w:val="002D488F"/>
    <w:rsid w:val="002D4A0A"/>
    <w:rsid w:val="002D4B29"/>
    <w:rsid w:val="002D4C3F"/>
    <w:rsid w:val="002D55A4"/>
    <w:rsid w:val="002D58F5"/>
    <w:rsid w:val="002D5B61"/>
    <w:rsid w:val="002D5C33"/>
    <w:rsid w:val="002D5CE4"/>
    <w:rsid w:val="002D5D3B"/>
    <w:rsid w:val="002D6921"/>
    <w:rsid w:val="002D6966"/>
    <w:rsid w:val="002D6FB2"/>
    <w:rsid w:val="002D78EC"/>
    <w:rsid w:val="002D7B6A"/>
    <w:rsid w:val="002D7ECC"/>
    <w:rsid w:val="002E0391"/>
    <w:rsid w:val="002E0E1E"/>
    <w:rsid w:val="002E104E"/>
    <w:rsid w:val="002E124C"/>
    <w:rsid w:val="002E1731"/>
    <w:rsid w:val="002E1984"/>
    <w:rsid w:val="002E1AA6"/>
    <w:rsid w:val="002E20D3"/>
    <w:rsid w:val="002E225E"/>
    <w:rsid w:val="002E29B5"/>
    <w:rsid w:val="002E2A49"/>
    <w:rsid w:val="002E2BBD"/>
    <w:rsid w:val="002E2EB6"/>
    <w:rsid w:val="002E2F46"/>
    <w:rsid w:val="002E3554"/>
    <w:rsid w:val="002E3753"/>
    <w:rsid w:val="002E381D"/>
    <w:rsid w:val="002E3873"/>
    <w:rsid w:val="002E39B9"/>
    <w:rsid w:val="002E4893"/>
    <w:rsid w:val="002E49FD"/>
    <w:rsid w:val="002E4AD7"/>
    <w:rsid w:val="002E4B33"/>
    <w:rsid w:val="002E4C5E"/>
    <w:rsid w:val="002E52A3"/>
    <w:rsid w:val="002E545F"/>
    <w:rsid w:val="002E56F5"/>
    <w:rsid w:val="002E59D5"/>
    <w:rsid w:val="002E61E9"/>
    <w:rsid w:val="002E653D"/>
    <w:rsid w:val="002E6E8C"/>
    <w:rsid w:val="002E6FF1"/>
    <w:rsid w:val="002E76FE"/>
    <w:rsid w:val="002E7A39"/>
    <w:rsid w:val="002E7CDF"/>
    <w:rsid w:val="002F04B5"/>
    <w:rsid w:val="002F04C7"/>
    <w:rsid w:val="002F05DA"/>
    <w:rsid w:val="002F0EC6"/>
    <w:rsid w:val="002F162B"/>
    <w:rsid w:val="002F1684"/>
    <w:rsid w:val="002F189A"/>
    <w:rsid w:val="002F1AA9"/>
    <w:rsid w:val="002F1C59"/>
    <w:rsid w:val="002F2221"/>
    <w:rsid w:val="002F246A"/>
    <w:rsid w:val="002F24C5"/>
    <w:rsid w:val="002F2832"/>
    <w:rsid w:val="002F2CA2"/>
    <w:rsid w:val="002F35BB"/>
    <w:rsid w:val="002F41E0"/>
    <w:rsid w:val="002F4411"/>
    <w:rsid w:val="002F4425"/>
    <w:rsid w:val="002F448D"/>
    <w:rsid w:val="002F4587"/>
    <w:rsid w:val="002F486E"/>
    <w:rsid w:val="002F4B3F"/>
    <w:rsid w:val="002F4C96"/>
    <w:rsid w:val="002F5258"/>
    <w:rsid w:val="002F5408"/>
    <w:rsid w:val="002F5556"/>
    <w:rsid w:val="002F58CA"/>
    <w:rsid w:val="002F5990"/>
    <w:rsid w:val="002F5A33"/>
    <w:rsid w:val="002F5B34"/>
    <w:rsid w:val="002F5ED1"/>
    <w:rsid w:val="002F5F19"/>
    <w:rsid w:val="002F617F"/>
    <w:rsid w:val="002F64DE"/>
    <w:rsid w:val="002F6A36"/>
    <w:rsid w:val="002F6D3A"/>
    <w:rsid w:val="002F7035"/>
    <w:rsid w:val="002F7239"/>
    <w:rsid w:val="002F7A94"/>
    <w:rsid w:val="002F7C47"/>
    <w:rsid w:val="002F7CAA"/>
    <w:rsid w:val="002F7D4C"/>
    <w:rsid w:val="00300002"/>
    <w:rsid w:val="00300110"/>
    <w:rsid w:val="003005FB"/>
    <w:rsid w:val="003009B9"/>
    <w:rsid w:val="003009E4"/>
    <w:rsid w:val="00300E5B"/>
    <w:rsid w:val="00300EC6"/>
    <w:rsid w:val="003011E1"/>
    <w:rsid w:val="0030125B"/>
    <w:rsid w:val="003012AE"/>
    <w:rsid w:val="003012C2"/>
    <w:rsid w:val="00301407"/>
    <w:rsid w:val="0030152A"/>
    <w:rsid w:val="0030166C"/>
    <w:rsid w:val="00301F07"/>
    <w:rsid w:val="00302182"/>
    <w:rsid w:val="00302195"/>
    <w:rsid w:val="003021C5"/>
    <w:rsid w:val="003023D9"/>
    <w:rsid w:val="003035B2"/>
    <w:rsid w:val="00303CD9"/>
    <w:rsid w:val="00303D38"/>
    <w:rsid w:val="00303F86"/>
    <w:rsid w:val="00304143"/>
    <w:rsid w:val="003042B7"/>
    <w:rsid w:val="003042F1"/>
    <w:rsid w:val="00304935"/>
    <w:rsid w:val="00304983"/>
    <w:rsid w:val="00304A8E"/>
    <w:rsid w:val="00304C83"/>
    <w:rsid w:val="00304E15"/>
    <w:rsid w:val="0030528B"/>
    <w:rsid w:val="003057D0"/>
    <w:rsid w:val="00305AD0"/>
    <w:rsid w:val="00305B30"/>
    <w:rsid w:val="00305FB6"/>
    <w:rsid w:val="00306BF0"/>
    <w:rsid w:val="003073D3"/>
    <w:rsid w:val="0030758F"/>
    <w:rsid w:val="003078B9"/>
    <w:rsid w:val="00307B9D"/>
    <w:rsid w:val="00310201"/>
    <w:rsid w:val="00310270"/>
    <w:rsid w:val="003109D8"/>
    <w:rsid w:val="00310A54"/>
    <w:rsid w:val="00310DEC"/>
    <w:rsid w:val="00310F44"/>
    <w:rsid w:val="00311466"/>
    <w:rsid w:val="00311558"/>
    <w:rsid w:val="003118B6"/>
    <w:rsid w:val="00311F7F"/>
    <w:rsid w:val="003121C9"/>
    <w:rsid w:val="00312206"/>
    <w:rsid w:val="003122F4"/>
    <w:rsid w:val="0031276E"/>
    <w:rsid w:val="00312AB3"/>
    <w:rsid w:val="00312B06"/>
    <w:rsid w:val="00312CF5"/>
    <w:rsid w:val="00312D57"/>
    <w:rsid w:val="00312FFA"/>
    <w:rsid w:val="0031313F"/>
    <w:rsid w:val="003136C7"/>
    <w:rsid w:val="003137B1"/>
    <w:rsid w:val="00313D74"/>
    <w:rsid w:val="00314373"/>
    <w:rsid w:val="003144CD"/>
    <w:rsid w:val="003145FD"/>
    <w:rsid w:val="003147F2"/>
    <w:rsid w:val="003147F6"/>
    <w:rsid w:val="00314FD2"/>
    <w:rsid w:val="003151DE"/>
    <w:rsid w:val="00315231"/>
    <w:rsid w:val="0031562C"/>
    <w:rsid w:val="00315811"/>
    <w:rsid w:val="00315879"/>
    <w:rsid w:val="00315DBE"/>
    <w:rsid w:val="003161A1"/>
    <w:rsid w:val="00316494"/>
    <w:rsid w:val="003167E6"/>
    <w:rsid w:val="00317254"/>
    <w:rsid w:val="003173BB"/>
    <w:rsid w:val="00317673"/>
    <w:rsid w:val="00317AFC"/>
    <w:rsid w:val="00317B38"/>
    <w:rsid w:val="00317BF7"/>
    <w:rsid w:val="00317C43"/>
    <w:rsid w:val="00317E5D"/>
    <w:rsid w:val="00320158"/>
    <w:rsid w:val="003208BB"/>
    <w:rsid w:val="00321AC5"/>
    <w:rsid w:val="00322095"/>
    <w:rsid w:val="003223A5"/>
    <w:rsid w:val="00322404"/>
    <w:rsid w:val="00322638"/>
    <w:rsid w:val="003228F0"/>
    <w:rsid w:val="00322A9B"/>
    <w:rsid w:val="00322BD8"/>
    <w:rsid w:val="00322DD2"/>
    <w:rsid w:val="00322DD3"/>
    <w:rsid w:val="00322DFA"/>
    <w:rsid w:val="00322F18"/>
    <w:rsid w:val="00322FB4"/>
    <w:rsid w:val="0032327F"/>
    <w:rsid w:val="003232FF"/>
    <w:rsid w:val="003233A2"/>
    <w:rsid w:val="00323413"/>
    <w:rsid w:val="003234F6"/>
    <w:rsid w:val="00323617"/>
    <w:rsid w:val="00323EFC"/>
    <w:rsid w:val="003240E4"/>
    <w:rsid w:val="00324295"/>
    <w:rsid w:val="003242B5"/>
    <w:rsid w:val="003245BE"/>
    <w:rsid w:val="003249EB"/>
    <w:rsid w:val="00324DF5"/>
    <w:rsid w:val="0032521E"/>
    <w:rsid w:val="0032542D"/>
    <w:rsid w:val="0032546E"/>
    <w:rsid w:val="003255EB"/>
    <w:rsid w:val="003256A4"/>
    <w:rsid w:val="003257AC"/>
    <w:rsid w:val="00325C30"/>
    <w:rsid w:val="003260F0"/>
    <w:rsid w:val="003261CF"/>
    <w:rsid w:val="003268D5"/>
    <w:rsid w:val="003268E2"/>
    <w:rsid w:val="003269C4"/>
    <w:rsid w:val="00326EE0"/>
    <w:rsid w:val="00326EFF"/>
    <w:rsid w:val="00326F49"/>
    <w:rsid w:val="003277E8"/>
    <w:rsid w:val="00327D49"/>
    <w:rsid w:val="00327E00"/>
    <w:rsid w:val="00330187"/>
    <w:rsid w:val="003302FD"/>
    <w:rsid w:val="00330789"/>
    <w:rsid w:val="00330F36"/>
    <w:rsid w:val="00331505"/>
    <w:rsid w:val="00331630"/>
    <w:rsid w:val="00331B3B"/>
    <w:rsid w:val="00331CC0"/>
    <w:rsid w:val="00331FD1"/>
    <w:rsid w:val="0033248C"/>
    <w:rsid w:val="00332758"/>
    <w:rsid w:val="00332A5E"/>
    <w:rsid w:val="00332B34"/>
    <w:rsid w:val="00332D65"/>
    <w:rsid w:val="00332DE8"/>
    <w:rsid w:val="00332FD4"/>
    <w:rsid w:val="003339E3"/>
    <w:rsid w:val="00333B3F"/>
    <w:rsid w:val="00333B83"/>
    <w:rsid w:val="00333DDF"/>
    <w:rsid w:val="00333E95"/>
    <w:rsid w:val="00333FF8"/>
    <w:rsid w:val="0033411A"/>
    <w:rsid w:val="00334323"/>
    <w:rsid w:val="00334839"/>
    <w:rsid w:val="00334860"/>
    <w:rsid w:val="003348B2"/>
    <w:rsid w:val="00334DDC"/>
    <w:rsid w:val="0033501A"/>
    <w:rsid w:val="00335274"/>
    <w:rsid w:val="003352E0"/>
    <w:rsid w:val="0033561B"/>
    <w:rsid w:val="00335977"/>
    <w:rsid w:val="00335A50"/>
    <w:rsid w:val="00335AB2"/>
    <w:rsid w:val="00335BFA"/>
    <w:rsid w:val="003361DF"/>
    <w:rsid w:val="00336286"/>
    <w:rsid w:val="00336395"/>
    <w:rsid w:val="00336571"/>
    <w:rsid w:val="00336781"/>
    <w:rsid w:val="003368C9"/>
    <w:rsid w:val="00336920"/>
    <w:rsid w:val="00336C7E"/>
    <w:rsid w:val="003375E2"/>
    <w:rsid w:val="0033783F"/>
    <w:rsid w:val="00337BF7"/>
    <w:rsid w:val="00337C8B"/>
    <w:rsid w:val="00337EA3"/>
    <w:rsid w:val="003400BE"/>
    <w:rsid w:val="003404FF"/>
    <w:rsid w:val="00340779"/>
    <w:rsid w:val="0034085E"/>
    <w:rsid w:val="00340B08"/>
    <w:rsid w:val="00340F50"/>
    <w:rsid w:val="00341001"/>
    <w:rsid w:val="00341133"/>
    <w:rsid w:val="0034127E"/>
    <w:rsid w:val="0034149E"/>
    <w:rsid w:val="00341520"/>
    <w:rsid w:val="0034166C"/>
    <w:rsid w:val="003417E9"/>
    <w:rsid w:val="003418A9"/>
    <w:rsid w:val="00341B7A"/>
    <w:rsid w:val="00341FBD"/>
    <w:rsid w:val="00342221"/>
    <w:rsid w:val="0034268C"/>
    <w:rsid w:val="003427DA"/>
    <w:rsid w:val="00342E0F"/>
    <w:rsid w:val="00342F48"/>
    <w:rsid w:val="00342F8D"/>
    <w:rsid w:val="0034318D"/>
    <w:rsid w:val="00343359"/>
    <w:rsid w:val="003435A9"/>
    <w:rsid w:val="003437D5"/>
    <w:rsid w:val="00343AB0"/>
    <w:rsid w:val="00343D57"/>
    <w:rsid w:val="00343ED3"/>
    <w:rsid w:val="00344226"/>
    <w:rsid w:val="00344779"/>
    <w:rsid w:val="00344988"/>
    <w:rsid w:val="003449C3"/>
    <w:rsid w:val="003449D9"/>
    <w:rsid w:val="00344D05"/>
    <w:rsid w:val="00345159"/>
    <w:rsid w:val="003452FE"/>
    <w:rsid w:val="00345317"/>
    <w:rsid w:val="003455AA"/>
    <w:rsid w:val="003455F6"/>
    <w:rsid w:val="00345704"/>
    <w:rsid w:val="003457B1"/>
    <w:rsid w:val="00345A05"/>
    <w:rsid w:val="00345BAB"/>
    <w:rsid w:val="00346004"/>
    <w:rsid w:val="00346171"/>
    <w:rsid w:val="003461A9"/>
    <w:rsid w:val="00346292"/>
    <w:rsid w:val="00346719"/>
    <w:rsid w:val="00346936"/>
    <w:rsid w:val="00346AE2"/>
    <w:rsid w:val="00346C6E"/>
    <w:rsid w:val="00347447"/>
    <w:rsid w:val="003475A0"/>
    <w:rsid w:val="003476A2"/>
    <w:rsid w:val="003477E0"/>
    <w:rsid w:val="00347833"/>
    <w:rsid w:val="00347860"/>
    <w:rsid w:val="00347D72"/>
    <w:rsid w:val="003504B9"/>
    <w:rsid w:val="003505C4"/>
    <w:rsid w:val="00350967"/>
    <w:rsid w:val="00350E71"/>
    <w:rsid w:val="00351289"/>
    <w:rsid w:val="0035158B"/>
    <w:rsid w:val="003517BE"/>
    <w:rsid w:val="00351981"/>
    <w:rsid w:val="00351C31"/>
    <w:rsid w:val="00351FD7"/>
    <w:rsid w:val="00352004"/>
    <w:rsid w:val="00352018"/>
    <w:rsid w:val="003522E3"/>
    <w:rsid w:val="00352509"/>
    <w:rsid w:val="003525EB"/>
    <w:rsid w:val="00352707"/>
    <w:rsid w:val="00352A0C"/>
    <w:rsid w:val="00352DB2"/>
    <w:rsid w:val="00353260"/>
    <w:rsid w:val="00353372"/>
    <w:rsid w:val="00353D82"/>
    <w:rsid w:val="00353DF6"/>
    <w:rsid w:val="00354213"/>
    <w:rsid w:val="0035480E"/>
    <w:rsid w:val="00354973"/>
    <w:rsid w:val="00354987"/>
    <w:rsid w:val="00354B8A"/>
    <w:rsid w:val="00354C6A"/>
    <w:rsid w:val="00354D27"/>
    <w:rsid w:val="00354DB5"/>
    <w:rsid w:val="00354E67"/>
    <w:rsid w:val="00354FBB"/>
    <w:rsid w:val="003550B9"/>
    <w:rsid w:val="003553C5"/>
    <w:rsid w:val="00355475"/>
    <w:rsid w:val="00355629"/>
    <w:rsid w:val="0035586E"/>
    <w:rsid w:val="003559BB"/>
    <w:rsid w:val="00355B22"/>
    <w:rsid w:val="003566B4"/>
    <w:rsid w:val="00356C48"/>
    <w:rsid w:val="00356C9D"/>
    <w:rsid w:val="00356E9D"/>
    <w:rsid w:val="0035744C"/>
    <w:rsid w:val="0035751E"/>
    <w:rsid w:val="003577EF"/>
    <w:rsid w:val="003578F5"/>
    <w:rsid w:val="00357ED0"/>
    <w:rsid w:val="00357F74"/>
    <w:rsid w:val="0036026D"/>
    <w:rsid w:val="00360793"/>
    <w:rsid w:val="003607AA"/>
    <w:rsid w:val="003607E6"/>
    <w:rsid w:val="00360D13"/>
    <w:rsid w:val="0036109D"/>
    <w:rsid w:val="00361239"/>
    <w:rsid w:val="003613EC"/>
    <w:rsid w:val="003617C3"/>
    <w:rsid w:val="003619C2"/>
    <w:rsid w:val="00361B98"/>
    <w:rsid w:val="00361E07"/>
    <w:rsid w:val="00361FB3"/>
    <w:rsid w:val="00362057"/>
    <w:rsid w:val="00362246"/>
    <w:rsid w:val="003625E0"/>
    <w:rsid w:val="003626EF"/>
    <w:rsid w:val="00363711"/>
    <w:rsid w:val="003637F9"/>
    <w:rsid w:val="0036380F"/>
    <w:rsid w:val="00363B9B"/>
    <w:rsid w:val="00364ACD"/>
    <w:rsid w:val="00364AFD"/>
    <w:rsid w:val="00365274"/>
    <w:rsid w:val="003652DB"/>
    <w:rsid w:val="0036572A"/>
    <w:rsid w:val="003658E0"/>
    <w:rsid w:val="00365952"/>
    <w:rsid w:val="00365CDF"/>
    <w:rsid w:val="00365EAA"/>
    <w:rsid w:val="00365EDD"/>
    <w:rsid w:val="00366298"/>
    <w:rsid w:val="00366646"/>
    <w:rsid w:val="003666A8"/>
    <w:rsid w:val="00366B67"/>
    <w:rsid w:val="00366E0F"/>
    <w:rsid w:val="0036795A"/>
    <w:rsid w:val="00367A05"/>
    <w:rsid w:val="00367B75"/>
    <w:rsid w:val="00367BE1"/>
    <w:rsid w:val="00370232"/>
    <w:rsid w:val="0037025B"/>
    <w:rsid w:val="003707B1"/>
    <w:rsid w:val="00370B7C"/>
    <w:rsid w:val="00370ED6"/>
    <w:rsid w:val="00370F7E"/>
    <w:rsid w:val="003714B7"/>
    <w:rsid w:val="00371648"/>
    <w:rsid w:val="0037168C"/>
    <w:rsid w:val="00371F16"/>
    <w:rsid w:val="0037226D"/>
    <w:rsid w:val="00372676"/>
    <w:rsid w:val="003728FF"/>
    <w:rsid w:val="00372CAE"/>
    <w:rsid w:val="00373300"/>
    <w:rsid w:val="00373614"/>
    <w:rsid w:val="00373A0E"/>
    <w:rsid w:val="00373C54"/>
    <w:rsid w:val="00373D2C"/>
    <w:rsid w:val="00373DCB"/>
    <w:rsid w:val="00373DE0"/>
    <w:rsid w:val="00373F12"/>
    <w:rsid w:val="00374275"/>
    <w:rsid w:val="0037432B"/>
    <w:rsid w:val="00374483"/>
    <w:rsid w:val="003744BB"/>
    <w:rsid w:val="0037477E"/>
    <w:rsid w:val="00374828"/>
    <w:rsid w:val="003755ED"/>
    <w:rsid w:val="00375A7B"/>
    <w:rsid w:val="00376025"/>
    <w:rsid w:val="00376046"/>
    <w:rsid w:val="00376647"/>
    <w:rsid w:val="00376715"/>
    <w:rsid w:val="00376AE3"/>
    <w:rsid w:val="00376DE0"/>
    <w:rsid w:val="00377020"/>
    <w:rsid w:val="00377127"/>
    <w:rsid w:val="003775FB"/>
    <w:rsid w:val="00377C52"/>
    <w:rsid w:val="00377E9D"/>
    <w:rsid w:val="003801E3"/>
    <w:rsid w:val="003805EE"/>
    <w:rsid w:val="003807BA"/>
    <w:rsid w:val="00380900"/>
    <w:rsid w:val="003809EC"/>
    <w:rsid w:val="00380A99"/>
    <w:rsid w:val="00380BF2"/>
    <w:rsid w:val="00380C1F"/>
    <w:rsid w:val="00380E27"/>
    <w:rsid w:val="00380E7B"/>
    <w:rsid w:val="00380EAF"/>
    <w:rsid w:val="00380F3B"/>
    <w:rsid w:val="00381218"/>
    <w:rsid w:val="003812EE"/>
    <w:rsid w:val="0038163B"/>
    <w:rsid w:val="003819D0"/>
    <w:rsid w:val="00381B72"/>
    <w:rsid w:val="00381BDF"/>
    <w:rsid w:val="00381DEC"/>
    <w:rsid w:val="00381F56"/>
    <w:rsid w:val="00381F86"/>
    <w:rsid w:val="003824F4"/>
    <w:rsid w:val="00382595"/>
    <w:rsid w:val="00382C34"/>
    <w:rsid w:val="00382CC0"/>
    <w:rsid w:val="00382E0C"/>
    <w:rsid w:val="00383239"/>
    <w:rsid w:val="003832CB"/>
    <w:rsid w:val="003839F0"/>
    <w:rsid w:val="003839FD"/>
    <w:rsid w:val="00384462"/>
    <w:rsid w:val="003847D4"/>
    <w:rsid w:val="003849DB"/>
    <w:rsid w:val="00384AA6"/>
    <w:rsid w:val="00384B24"/>
    <w:rsid w:val="00384B93"/>
    <w:rsid w:val="00384BA4"/>
    <w:rsid w:val="00384E6D"/>
    <w:rsid w:val="00384EB6"/>
    <w:rsid w:val="00385147"/>
    <w:rsid w:val="003855A6"/>
    <w:rsid w:val="003856E9"/>
    <w:rsid w:val="003858A6"/>
    <w:rsid w:val="00385F8C"/>
    <w:rsid w:val="00385FF4"/>
    <w:rsid w:val="00386108"/>
    <w:rsid w:val="0038614B"/>
    <w:rsid w:val="0038619F"/>
    <w:rsid w:val="00386423"/>
    <w:rsid w:val="003865F2"/>
    <w:rsid w:val="00386876"/>
    <w:rsid w:val="00386F24"/>
    <w:rsid w:val="00387096"/>
    <w:rsid w:val="00387103"/>
    <w:rsid w:val="00387123"/>
    <w:rsid w:val="00387274"/>
    <w:rsid w:val="00387359"/>
    <w:rsid w:val="00387BB5"/>
    <w:rsid w:val="00387CE4"/>
    <w:rsid w:val="0039021D"/>
    <w:rsid w:val="00390CAF"/>
    <w:rsid w:val="00390CBE"/>
    <w:rsid w:val="00390D21"/>
    <w:rsid w:val="00390D2A"/>
    <w:rsid w:val="00391430"/>
    <w:rsid w:val="00391843"/>
    <w:rsid w:val="00392C82"/>
    <w:rsid w:val="00392DCC"/>
    <w:rsid w:val="00392FA4"/>
    <w:rsid w:val="00392FD2"/>
    <w:rsid w:val="003932AD"/>
    <w:rsid w:val="00393502"/>
    <w:rsid w:val="00393A71"/>
    <w:rsid w:val="00393AC1"/>
    <w:rsid w:val="00393B4E"/>
    <w:rsid w:val="00393D7A"/>
    <w:rsid w:val="00393DDB"/>
    <w:rsid w:val="00393F98"/>
    <w:rsid w:val="00394145"/>
    <w:rsid w:val="003942A4"/>
    <w:rsid w:val="003944F2"/>
    <w:rsid w:val="0039451C"/>
    <w:rsid w:val="0039483B"/>
    <w:rsid w:val="00394B8C"/>
    <w:rsid w:val="00394E9F"/>
    <w:rsid w:val="003954C8"/>
    <w:rsid w:val="00395A66"/>
    <w:rsid w:val="00395E6C"/>
    <w:rsid w:val="0039637D"/>
    <w:rsid w:val="0039696A"/>
    <w:rsid w:val="00396DC8"/>
    <w:rsid w:val="00396DF9"/>
    <w:rsid w:val="00396F2A"/>
    <w:rsid w:val="00396F6F"/>
    <w:rsid w:val="00396F94"/>
    <w:rsid w:val="00397691"/>
    <w:rsid w:val="00397800"/>
    <w:rsid w:val="00397A41"/>
    <w:rsid w:val="00397E46"/>
    <w:rsid w:val="003A0119"/>
    <w:rsid w:val="003A0227"/>
    <w:rsid w:val="003A0A4B"/>
    <w:rsid w:val="003A0BE4"/>
    <w:rsid w:val="003A0D4B"/>
    <w:rsid w:val="003A112F"/>
    <w:rsid w:val="003A1321"/>
    <w:rsid w:val="003A18E2"/>
    <w:rsid w:val="003A199F"/>
    <w:rsid w:val="003A1AAB"/>
    <w:rsid w:val="003A1C9C"/>
    <w:rsid w:val="003A1F4A"/>
    <w:rsid w:val="003A20E3"/>
    <w:rsid w:val="003A2ADB"/>
    <w:rsid w:val="003A2CBB"/>
    <w:rsid w:val="003A2FC3"/>
    <w:rsid w:val="003A3050"/>
    <w:rsid w:val="003A3300"/>
    <w:rsid w:val="003A3C80"/>
    <w:rsid w:val="003A4214"/>
    <w:rsid w:val="003A44CE"/>
    <w:rsid w:val="003A44F8"/>
    <w:rsid w:val="003A47EF"/>
    <w:rsid w:val="003A4A37"/>
    <w:rsid w:val="003A544D"/>
    <w:rsid w:val="003A594B"/>
    <w:rsid w:val="003A59C0"/>
    <w:rsid w:val="003A59C4"/>
    <w:rsid w:val="003A5AAE"/>
    <w:rsid w:val="003A5BB3"/>
    <w:rsid w:val="003A5C31"/>
    <w:rsid w:val="003A60E6"/>
    <w:rsid w:val="003A64F4"/>
    <w:rsid w:val="003A696A"/>
    <w:rsid w:val="003A6E18"/>
    <w:rsid w:val="003A7026"/>
    <w:rsid w:val="003A7312"/>
    <w:rsid w:val="003A78FE"/>
    <w:rsid w:val="003A7A5E"/>
    <w:rsid w:val="003A7BB1"/>
    <w:rsid w:val="003B036A"/>
    <w:rsid w:val="003B05F4"/>
    <w:rsid w:val="003B07DB"/>
    <w:rsid w:val="003B122C"/>
    <w:rsid w:val="003B18CC"/>
    <w:rsid w:val="003B1C79"/>
    <w:rsid w:val="003B21E5"/>
    <w:rsid w:val="003B262C"/>
    <w:rsid w:val="003B2892"/>
    <w:rsid w:val="003B2CB8"/>
    <w:rsid w:val="003B3633"/>
    <w:rsid w:val="003B3871"/>
    <w:rsid w:val="003B3D90"/>
    <w:rsid w:val="003B41F7"/>
    <w:rsid w:val="003B43C8"/>
    <w:rsid w:val="003B4568"/>
    <w:rsid w:val="003B4D06"/>
    <w:rsid w:val="003B5072"/>
    <w:rsid w:val="003B50DA"/>
    <w:rsid w:val="003B5130"/>
    <w:rsid w:val="003B5222"/>
    <w:rsid w:val="003B528E"/>
    <w:rsid w:val="003B558D"/>
    <w:rsid w:val="003B5F96"/>
    <w:rsid w:val="003B6157"/>
    <w:rsid w:val="003B69BD"/>
    <w:rsid w:val="003B6AD3"/>
    <w:rsid w:val="003B6C5A"/>
    <w:rsid w:val="003B726E"/>
    <w:rsid w:val="003B73AB"/>
    <w:rsid w:val="003B7A9C"/>
    <w:rsid w:val="003B7AC8"/>
    <w:rsid w:val="003B7F64"/>
    <w:rsid w:val="003B7FDB"/>
    <w:rsid w:val="003C04A7"/>
    <w:rsid w:val="003C0635"/>
    <w:rsid w:val="003C07D6"/>
    <w:rsid w:val="003C0B17"/>
    <w:rsid w:val="003C0DE4"/>
    <w:rsid w:val="003C0E24"/>
    <w:rsid w:val="003C1611"/>
    <w:rsid w:val="003C1AE7"/>
    <w:rsid w:val="003C1CBD"/>
    <w:rsid w:val="003C2E9E"/>
    <w:rsid w:val="003C310B"/>
    <w:rsid w:val="003C3114"/>
    <w:rsid w:val="003C3157"/>
    <w:rsid w:val="003C3467"/>
    <w:rsid w:val="003C3A29"/>
    <w:rsid w:val="003C3B40"/>
    <w:rsid w:val="003C3BDE"/>
    <w:rsid w:val="003C3D88"/>
    <w:rsid w:val="003C3D9D"/>
    <w:rsid w:val="003C3E48"/>
    <w:rsid w:val="003C3FE6"/>
    <w:rsid w:val="003C4069"/>
    <w:rsid w:val="003C435F"/>
    <w:rsid w:val="003C4582"/>
    <w:rsid w:val="003C4672"/>
    <w:rsid w:val="003C46D9"/>
    <w:rsid w:val="003C48CB"/>
    <w:rsid w:val="003C4BE5"/>
    <w:rsid w:val="003C4F23"/>
    <w:rsid w:val="003C5695"/>
    <w:rsid w:val="003C5722"/>
    <w:rsid w:val="003C58E2"/>
    <w:rsid w:val="003C5DA0"/>
    <w:rsid w:val="003C5EFD"/>
    <w:rsid w:val="003C62CC"/>
    <w:rsid w:val="003C6386"/>
    <w:rsid w:val="003C68AC"/>
    <w:rsid w:val="003C6A42"/>
    <w:rsid w:val="003C6B10"/>
    <w:rsid w:val="003C6F28"/>
    <w:rsid w:val="003C71BD"/>
    <w:rsid w:val="003C7431"/>
    <w:rsid w:val="003C7BF1"/>
    <w:rsid w:val="003C7C64"/>
    <w:rsid w:val="003D0342"/>
    <w:rsid w:val="003D03A9"/>
    <w:rsid w:val="003D0475"/>
    <w:rsid w:val="003D0BA5"/>
    <w:rsid w:val="003D0D95"/>
    <w:rsid w:val="003D12B6"/>
    <w:rsid w:val="003D141B"/>
    <w:rsid w:val="003D14AD"/>
    <w:rsid w:val="003D19E9"/>
    <w:rsid w:val="003D1F9C"/>
    <w:rsid w:val="003D202C"/>
    <w:rsid w:val="003D3173"/>
    <w:rsid w:val="003D33E3"/>
    <w:rsid w:val="003D35ED"/>
    <w:rsid w:val="003D375C"/>
    <w:rsid w:val="003D394E"/>
    <w:rsid w:val="003D3C96"/>
    <w:rsid w:val="003D3F71"/>
    <w:rsid w:val="003D420E"/>
    <w:rsid w:val="003D4251"/>
    <w:rsid w:val="003D45CB"/>
    <w:rsid w:val="003D48D8"/>
    <w:rsid w:val="003D4AC3"/>
    <w:rsid w:val="003D4ED5"/>
    <w:rsid w:val="003D5330"/>
    <w:rsid w:val="003D5613"/>
    <w:rsid w:val="003D591A"/>
    <w:rsid w:val="003D5960"/>
    <w:rsid w:val="003D5C2E"/>
    <w:rsid w:val="003D5C42"/>
    <w:rsid w:val="003D5E39"/>
    <w:rsid w:val="003D5EAB"/>
    <w:rsid w:val="003D5F5D"/>
    <w:rsid w:val="003D6405"/>
    <w:rsid w:val="003D647C"/>
    <w:rsid w:val="003D6489"/>
    <w:rsid w:val="003D6560"/>
    <w:rsid w:val="003D65C6"/>
    <w:rsid w:val="003D6733"/>
    <w:rsid w:val="003D69EA"/>
    <w:rsid w:val="003D6C8D"/>
    <w:rsid w:val="003D6DFA"/>
    <w:rsid w:val="003D72AA"/>
    <w:rsid w:val="003D72EB"/>
    <w:rsid w:val="003D73DC"/>
    <w:rsid w:val="003D74D2"/>
    <w:rsid w:val="003D75CF"/>
    <w:rsid w:val="003D7AFC"/>
    <w:rsid w:val="003D7DE1"/>
    <w:rsid w:val="003E00F7"/>
    <w:rsid w:val="003E0121"/>
    <w:rsid w:val="003E07CB"/>
    <w:rsid w:val="003E09F7"/>
    <w:rsid w:val="003E0A8B"/>
    <w:rsid w:val="003E0EC5"/>
    <w:rsid w:val="003E11EF"/>
    <w:rsid w:val="003E13CB"/>
    <w:rsid w:val="003E1604"/>
    <w:rsid w:val="003E190D"/>
    <w:rsid w:val="003E1A40"/>
    <w:rsid w:val="003E1D95"/>
    <w:rsid w:val="003E2078"/>
    <w:rsid w:val="003E21D3"/>
    <w:rsid w:val="003E2261"/>
    <w:rsid w:val="003E239E"/>
    <w:rsid w:val="003E23F5"/>
    <w:rsid w:val="003E25BF"/>
    <w:rsid w:val="003E2D9C"/>
    <w:rsid w:val="003E3241"/>
    <w:rsid w:val="003E32BD"/>
    <w:rsid w:val="003E38B0"/>
    <w:rsid w:val="003E3C1B"/>
    <w:rsid w:val="003E3DAD"/>
    <w:rsid w:val="003E3F5D"/>
    <w:rsid w:val="003E413F"/>
    <w:rsid w:val="003E4B56"/>
    <w:rsid w:val="003E4C47"/>
    <w:rsid w:val="003E4D87"/>
    <w:rsid w:val="003E4FAF"/>
    <w:rsid w:val="003E5627"/>
    <w:rsid w:val="003E5DF1"/>
    <w:rsid w:val="003E5E5D"/>
    <w:rsid w:val="003E5F3A"/>
    <w:rsid w:val="003E6010"/>
    <w:rsid w:val="003E659D"/>
    <w:rsid w:val="003E6644"/>
    <w:rsid w:val="003E6788"/>
    <w:rsid w:val="003E6940"/>
    <w:rsid w:val="003E6B0A"/>
    <w:rsid w:val="003E6BFD"/>
    <w:rsid w:val="003E6F13"/>
    <w:rsid w:val="003E7215"/>
    <w:rsid w:val="003E730B"/>
    <w:rsid w:val="003E7544"/>
    <w:rsid w:val="003E769A"/>
    <w:rsid w:val="003E7825"/>
    <w:rsid w:val="003F0074"/>
    <w:rsid w:val="003F036F"/>
    <w:rsid w:val="003F03ED"/>
    <w:rsid w:val="003F072C"/>
    <w:rsid w:val="003F094A"/>
    <w:rsid w:val="003F0C52"/>
    <w:rsid w:val="003F0E83"/>
    <w:rsid w:val="003F121A"/>
    <w:rsid w:val="003F1450"/>
    <w:rsid w:val="003F17C4"/>
    <w:rsid w:val="003F1DAB"/>
    <w:rsid w:val="003F20D3"/>
    <w:rsid w:val="003F26D4"/>
    <w:rsid w:val="003F28FB"/>
    <w:rsid w:val="003F346F"/>
    <w:rsid w:val="003F349E"/>
    <w:rsid w:val="003F3562"/>
    <w:rsid w:val="003F3689"/>
    <w:rsid w:val="003F3AAE"/>
    <w:rsid w:val="003F3B1B"/>
    <w:rsid w:val="003F3CF9"/>
    <w:rsid w:val="003F4373"/>
    <w:rsid w:val="003F44E5"/>
    <w:rsid w:val="003F5074"/>
    <w:rsid w:val="003F50F2"/>
    <w:rsid w:val="003F525D"/>
    <w:rsid w:val="003F539D"/>
    <w:rsid w:val="003F5660"/>
    <w:rsid w:val="003F5909"/>
    <w:rsid w:val="003F5AD0"/>
    <w:rsid w:val="003F5BA5"/>
    <w:rsid w:val="003F6208"/>
    <w:rsid w:val="003F638D"/>
    <w:rsid w:val="003F639D"/>
    <w:rsid w:val="003F6945"/>
    <w:rsid w:val="003F71F2"/>
    <w:rsid w:val="003F7688"/>
    <w:rsid w:val="003F7949"/>
    <w:rsid w:val="004003D0"/>
    <w:rsid w:val="004005D6"/>
    <w:rsid w:val="00400ABA"/>
    <w:rsid w:val="00400BF2"/>
    <w:rsid w:val="004017C7"/>
    <w:rsid w:val="00401927"/>
    <w:rsid w:val="00401A99"/>
    <w:rsid w:val="00401AB6"/>
    <w:rsid w:val="00401CD7"/>
    <w:rsid w:val="004026E5"/>
    <w:rsid w:val="00402B7E"/>
    <w:rsid w:val="00402EF7"/>
    <w:rsid w:val="00403513"/>
    <w:rsid w:val="004038DD"/>
    <w:rsid w:val="00403D7F"/>
    <w:rsid w:val="004043F2"/>
    <w:rsid w:val="0040498A"/>
    <w:rsid w:val="004049D0"/>
    <w:rsid w:val="004055D4"/>
    <w:rsid w:val="004058A3"/>
    <w:rsid w:val="004058BF"/>
    <w:rsid w:val="004059B0"/>
    <w:rsid w:val="00405D95"/>
    <w:rsid w:val="00405DBC"/>
    <w:rsid w:val="00406189"/>
    <w:rsid w:val="00406350"/>
    <w:rsid w:val="004063CE"/>
    <w:rsid w:val="0040660E"/>
    <w:rsid w:val="00406B52"/>
    <w:rsid w:val="00406B6D"/>
    <w:rsid w:val="00406CDC"/>
    <w:rsid w:val="00406F50"/>
    <w:rsid w:val="00407160"/>
    <w:rsid w:val="004073F0"/>
    <w:rsid w:val="00407669"/>
    <w:rsid w:val="00407E75"/>
    <w:rsid w:val="0041052D"/>
    <w:rsid w:val="004106AD"/>
    <w:rsid w:val="00410A17"/>
    <w:rsid w:val="00410C5B"/>
    <w:rsid w:val="00410E19"/>
    <w:rsid w:val="00410E46"/>
    <w:rsid w:val="00410F4C"/>
    <w:rsid w:val="00411790"/>
    <w:rsid w:val="004117F0"/>
    <w:rsid w:val="00411C1B"/>
    <w:rsid w:val="00411E56"/>
    <w:rsid w:val="00412062"/>
    <w:rsid w:val="00412598"/>
    <w:rsid w:val="00412729"/>
    <w:rsid w:val="00412850"/>
    <w:rsid w:val="00412AD1"/>
    <w:rsid w:val="00412B72"/>
    <w:rsid w:val="00412C24"/>
    <w:rsid w:val="00412E9E"/>
    <w:rsid w:val="00413100"/>
    <w:rsid w:val="004132E4"/>
    <w:rsid w:val="004136DA"/>
    <w:rsid w:val="004139C5"/>
    <w:rsid w:val="00413AD1"/>
    <w:rsid w:val="00413C09"/>
    <w:rsid w:val="00413C8F"/>
    <w:rsid w:val="00413DE3"/>
    <w:rsid w:val="004144CC"/>
    <w:rsid w:val="004144E8"/>
    <w:rsid w:val="00414500"/>
    <w:rsid w:val="004147F4"/>
    <w:rsid w:val="00414965"/>
    <w:rsid w:val="00414C21"/>
    <w:rsid w:val="00414D68"/>
    <w:rsid w:val="00414E58"/>
    <w:rsid w:val="00414FE1"/>
    <w:rsid w:val="00415641"/>
    <w:rsid w:val="0041574E"/>
    <w:rsid w:val="0041576C"/>
    <w:rsid w:val="004157A8"/>
    <w:rsid w:val="004158C6"/>
    <w:rsid w:val="00415A50"/>
    <w:rsid w:val="00415C3A"/>
    <w:rsid w:val="00415E24"/>
    <w:rsid w:val="00415E31"/>
    <w:rsid w:val="0041645C"/>
    <w:rsid w:val="00416607"/>
    <w:rsid w:val="004166D6"/>
    <w:rsid w:val="00416762"/>
    <w:rsid w:val="0041688A"/>
    <w:rsid w:val="0041758C"/>
    <w:rsid w:val="00417BDA"/>
    <w:rsid w:val="00417E48"/>
    <w:rsid w:val="00417F1F"/>
    <w:rsid w:val="00420081"/>
    <w:rsid w:val="004206E4"/>
    <w:rsid w:val="004210AF"/>
    <w:rsid w:val="00421351"/>
    <w:rsid w:val="00421A6D"/>
    <w:rsid w:val="0042201A"/>
    <w:rsid w:val="00422584"/>
    <w:rsid w:val="00422597"/>
    <w:rsid w:val="00422611"/>
    <w:rsid w:val="0042276C"/>
    <w:rsid w:val="00422876"/>
    <w:rsid w:val="00422AB5"/>
    <w:rsid w:val="00422C99"/>
    <w:rsid w:val="00422F7B"/>
    <w:rsid w:val="004230AA"/>
    <w:rsid w:val="0042352A"/>
    <w:rsid w:val="004236D7"/>
    <w:rsid w:val="00423942"/>
    <w:rsid w:val="00423BE6"/>
    <w:rsid w:val="00423CBC"/>
    <w:rsid w:val="00424351"/>
    <w:rsid w:val="0042442E"/>
    <w:rsid w:val="00424584"/>
    <w:rsid w:val="00424B71"/>
    <w:rsid w:val="00424FCB"/>
    <w:rsid w:val="00424FF7"/>
    <w:rsid w:val="00424FFF"/>
    <w:rsid w:val="00425584"/>
    <w:rsid w:val="004256CE"/>
    <w:rsid w:val="00425726"/>
    <w:rsid w:val="004257D3"/>
    <w:rsid w:val="004259C7"/>
    <w:rsid w:val="004259F5"/>
    <w:rsid w:val="00425C86"/>
    <w:rsid w:val="00425D3F"/>
    <w:rsid w:val="0042603F"/>
    <w:rsid w:val="00426109"/>
    <w:rsid w:val="00426183"/>
    <w:rsid w:val="0042654D"/>
    <w:rsid w:val="00426796"/>
    <w:rsid w:val="0042682B"/>
    <w:rsid w:val="00426AA8"/>
    <w:rsid w:val="004272BB"/>
    <w:rsid w:val="0042760C"/>
    <w:rsid w:val="00427612"/>
    <w:rsid w:val="00427701"/>
    <w:rsid w:val="00427738"/>
    <w:rsid w:val="00427A77"/>
    <w:rsid w:val="00427C1F"/>
    <w:rsid w:val="00427E4D"/>
    <w:rsid w:val="004306F9"/>
    <w:rsid w:val="00430C3A"/>
    <w:rsid w:val="00430C6D"/>
    <w:rsid w:val="004311BD"/>
    <w:rsid w:val="004313CD"/>
    <w:rsid w:val="004314BA"/>
    <w:rsid w:val="00431596"/>
    <w:rsid w:val="00431C27"/>
    <w:rsid w:val="00431DF2"/>
    <w:rsid w:val="00431E72"/>
    <w:rsid w:val="0043204E"/>
    <w:rsid w:val="0043208A"/>
    <w:rsid w:val="00432605"/>
    <w:rsid w:val="0043265D"/>
    <w:rsid w:val="004329C5"/>
    <w:rsid w:val="00432DDE"/>
    <w:rsid w:val="00432F11"/>
    <w:rsid w:val="00433303"/>
    <w:rsid w:val="0043332D"/>
    <w:rsid w:val="004333DD"/>
    <w:rsid w:val="00433D5E"/>
    <w:rsid w:val="00433DEA"/>
    <w:rsid w:val="00433DF2"/>
    <w:rsid w:val="00433FF6"/>
    <w:rsid w:val="00434049"/>
    <w:rsid w:val="00434241"/>
    <w:rsid w:val="00434B57"/>
    <w:rsid w:val="00434FF9"/>
    <w:rsid w:val="004350EF"/>
    <w:rsid w:val="00435240"/>
    <w:rsid w:val="004352E4"/>
    <w:rsid w:val="00435892"/>
    <w:rsid w:val="00435C87"/>
    <w:rsid w:val="00435CD8"/>
    <w:rsid w:val="00436034"/>
    <w:rsid w:val="00436266"/>
    <w:rsid w:val="004367C9"/>
    <w:rsid w:val="004371EA"/>
    <w:rsid w:val="00437442"/>
    <w:rsid w:val="0043744C"/>
    <w:rsid w:val="00437CB3"/>
    <w:rsid w:val="00437E90"/>
    <w:rsid w:val="004400DD"/>
    <w:rsid w:val="0044012E"/>
    <w:rsid w:val="0044069E"/>
    <w:rsid w:val="00440FF5"/>
    <w:rsid w:val="004411C3"/>
    <w:rsid w:val="0044122D"/>
    <w:rsid w:val="00441513"/>
    <w:rsid w:val="00441563"/>
    <w:rsid w:val="00441689"/>
    <w:rsid w:val="00441C28"/>
    <w:rsid w:val="00442093"/>
    <w:rsid w:val="00442547"/>
    <w:rsid w:val="00442725"/>
    <w:rsid w:val="004428C9"/>
    <w:rsid w:val="00442C0E"/>
    <w:rsid w:val="00442E30"/>
    <w:rsid w:val="00442F2A"/>
    <w:rsid w:val="00442F80"/>
    <w:rsid w:val="00443136"/>
    <w:rsid w:val="00443D02"/>
    <w:rsid w:val="00444056"/>
    <w:rsid w:val="00444320"/>
    <w:rsid w:val="00444E45"/>
    <w:rsid w:val="0044523C"/>
    <w:rsid w:val="00445265"/>
    <w:rsid w:val="004457F3"/>
    <w:rsid w:val="00445AE4"/>
    <w:rsid w:val="00445BEC"/>
    <w:rsid w:val="00445E2F"/>
    <w:rsid w:val="00445E4D"/>
    <w:rsid w:val="004464F9"/>
    <w:rsid w:val="0044657A"/>
    <w:rsid w:val="004469BB"/>
    <w:rsid w:val="00446B45"/>
    <w:rsid w:val="00446CED"/>
    <w:rsid w:val="004472D4"/>
    <w:rsid w:val="0044741A"/>
    <w:rsid w:val="00447591"/>
    <w:rsid w:val="004476AF"/>
    <w:rsid w:val="004502B7"/>
    <w:rsid w:val="0045038A"/>
    <w:rsid w:val="00450A9F"/>
    <w:rsid w:val="00450AD7"/>
    <w:rsid w:val="004512CB"/>
    <w:rsid w:val="00451FC1"/>
    <w:rsid w:val="00452282"/>
    <w:rsid w:val="004522EA"/>
    <w:rsid w:val="00452759"/>
    <w:rsid w:val="00452EBE"/>
    <w:rsid w:val="00453066"/>
    <w:rsid w:val="004536C5"/>
    <w:rsid w:val="0045375F"/>
    <w:rsid w:val="00453789"/>
    <w:rsid w:val="00453A35"/>
    <w:rsid w:val="004545A0"/>
    <w:rsid w:val="004546B6"/>
    <w:rsid w:val="00454758"/>
    <w:rsid w:val="0045489B"/>
    <w:rsid w:val="0045511B"/>
    <w:rsid w:val="00455498"/>
    <w:rsid w:val="004557DE"/>
    <w:rsid w:val="004559CE"/>
    <w:rsid w:val="00455AFC"/>
    <w:rsid w:val="00455BC4"/>
    <w:rsid w:val="00455FDB"/>
    <w:rsid w:val="00456259"/>
    <w:rsid w:val="004563F0"/>
    <w:rsid w:val="00456667"/>
    <w:rsid w:val="0045675C"/>
    <w:rsid w:val="0045699E"/>
    <w:rsid w:val="004573AD"/>
    <w:rsid w:val="00457469"/>
    <w:rsid w:val="0045771C"/>
    <w:rsid w:val="00457824"/>
    <w:rsid w:val="004579CC"/>
    <w:rsid w:val="00457A97"/>
    <w:rsid w:val="00457DA3"/>
    <w:rsid w:val="004600CE"/>
    <w:rsid w:val="0046021F"/>
    <w:rsid w:val="004603ED"/>
    <w:rsid w:val="00460407"/>
    <w:rsid w:val="004604AA"/>
    <w:rsid w:val="004604B9"/>
    <w:rsid w:val="004606C6"/>
    <w:rsid w:val="0046076A"/>
    <w:rsid w:val="00460FD4"/>
    <w:rsid w:val="00461373"/>
    <w:rsid w:val="004616C9"/>
    <w:rsid w:val="004616DE"/>
    <w:rsid w:val="00461AC4"/>
    <w:rsid w:val="00462106"/>
    <w:rsid w:val="004621A0"/>
    <w:rsid w:val="004629EF"/>
    <w:rsid w:val="00463576"/>
    <w:rsid w:val="00463A2B"/>
    <w:rsid w:val="00463E23"/>
    <w:rsid w:val="00463EA5"/>
    <w:rsid w:val="0046418B"/>
    <w:rsid w:val="0046450B"/>
    <w:rsid w:val="0046526F"/>
    <w:rsid w:val="00465389"/>
    <w:rsid w:val="00465436"/>
    <w:rsid w:val="00465437"/>
    <w:rsid w:val="0046554B"/>
    <w:rsid w:val="00465B80"/>
    <w:rsid w:val="00465BC4"/>
    <w:rsid w:val="00465F0E"/>
    <w:rsid w:val="00466184"/>
    <w:rsid w:val="0046659A"/>
    <w:rsid w:val="0046694B"/>
    <w:rsid w:val="00466A39"/>
    <w:rsid w:val="00466C4D"/>
    <w:rsid w:val="004670FE"/>
    <w:rsid w:val="00467140"/>
    <w:rsid w:val="00467143"/>
    <w:rsid w:val="00467DFB"/>
    <w:rsid w:val="00467E38"/>
    <w:rsid w:val="004700AC"/>
    <w:rsid w:val="00470131"/>
    <w:rsid w:val="00470183"/>
    <w:rsid w:val="004703D9"/>
    <w:rsid w:val="0047049E"/>
    <w:rsid w:val="0047055D"/>
    <w:rsid w:val="0047062D"/>
    <w:rsid w:val="004707BC"/>
    <w:rsid w:val="00471386"/>
    <w:rsid w:val="00471752"/>
    <w:rsid w:val="00471B51"/>
    <w:rsid w:val="00471F7A"/>
    <w:rsid w:val="00471F82"/>
    <w:rsid w:val="004720BA"/>
    <w:rsid w:val="0047234E"/>
    <w:rsid w:val="00472735"/>
    <w:rsid w:val="00472EA3"/>
    <w:rsid w:val="00472F87"/>
    <w:rsid w:val="004730B3"/>
    <w:rsid w:val="00473837"/>
    <w:rsid w:val="00473DA5"/>
    <w:rsid w:val="00473F0C"/>
    <w:rsid w:val="004743B1"/>
    <w:rsid w:val="004743D4"/>
    <w:rsid w:val="004744C6"/>
    <w:rsid w:val="0047458D"/>
    <w:rsid w:val="004747FE"/>
    <w:rsid w:val="004749B5"/>
    <w:rsid w:val="00474F89"/>
    <w:rsid w:val="0047521D"/>
    <w:rsid w:val="004754A7"/>
    <w:rsid w:val="00475928"/>
    <w:rsid w:val="0047599B"/>
    <w:rsid w:val="00475B04"/>
    <w:rsid w:val="00475B45"/>
    <w:rsid w:val="00475B7B"/>
    <w:rsid w:val="00475E5A"/>
    <w:rsid w:val="00475F43"/>
    <w:rsid w:val="00475F4D"/>
    <w:rsid w:val="00476149"/>
    <w:rsid w:val="00476AC5"/>
    <w:rsid w:val="00476B76"/>
    <w:rsid w:val="00476BAF"/>
    <w:rsid w:val="00476DAC"/>
    <w:rsid w:val="00476E8B"/>
    <w:rsid w:val="00477342"/>
    <w:rsid w:val="00477677"/>
    <w:rsid w:val="004778DE"/>
    <w:rsid w:val="00477930"/>
    <w:rsid w:val="00477E13"/>
    <w:rsid w:val="00477FDF"/>
    <w:rsid w:val="00480191"/>
    <w:rsid w:val="00480476"/>
    <w:rsid w:val="00480745"/>
    <w:rsid w:val="00480781"/>
    <w:rsid w:val="00480A95"/>
    <w:rsid w:val="00480BD3"/>
    <w:rsid w:val="0048121B"/>
    <w:rsid w:val="004815CA"/>
    <w:rsid w:val="004816D4"/>
    <w:rsid w:val="004817E9"/>
    <w:rsid w:val="004818CA"/>
    <w:rsid w:val="004819ED"/>
    <w:rsid w:val="00481C45"/>
    <w:rsid w:val="00481F01"/>
    <w:rsid w:val="004829CA"/>
    <w:rsid w:val="00482AD1"/>
    <w:rsid w:val="00482D55"/>
    <w:rsid w:val="00482D8E"/>
    <w:rsid w:val="00482EA5"/>
    <w:rsid w:val="00482F68"/>
    <w:rsid w:val="00483049"/>
    <w:rsid w:val="004830AD"/>
    <w:rsid w:val="004832CE"/>
    <w:rsid w:val="004835FB"/>
    <w:rsid w:val="00483852"/>
    <w:rsid w:val="00483B56"/>
    <w:rsid w:val="00483D8D"/>
    <w:rsid w:val="00483EF7"/>
    <w:rsid w:val="0048400C"/>
    <w:rsid w:val="0048412D"/>
    <w:rsid w:val="00484B03"/>
    <w:rsid w:val="00484CEC"/>
    <w:rsid w:val="00484D43"/>
    <w:rsid w:val="00484FFC"/>
    <w:rsid w:val="00485249"/>
    <w:rsid w:val="00485922"/>
    <w:rsid w:val="004861B7"/>
    <w:rsid w:val="0048630A"/>
    <w:rsid w:val="004865D8"/>
    <w:rsid w:val="0048669E"/>
    <w:rsid w:val="00486AE2"/>
    <w:rsid w:val="00486EA1"/>
    <w:rsid w:val="00486EA2"/>
    <w:rsid w:val="00486EF6"/>
    <w:rsid w:val="0048711E"/>
    <w:rsid w:val="004871E5"/>
    <w:rsid w:val="00487257"/>
    <w:rsid w:val="00487BBF"/>
    <w:rsid w:val="00487F4F"/>
    <w:rsid w:val="00490035"/>
    <w:rsid w:val="004902EA"/>
    <w:rsid w:val="00490332"/>
    <w:rsid w:val="004903D8"/>
    <w:rsid w:val="00490411"/>
    <w:rsid w:val="0049052F"/>
    <w:rsid w:val="00490566"/>
    <w:rsid w:val="0049066E"/>
    <w:rsid w:val="00490A6D"/>
    <w:rsid w:val="00490B09"/>
    <w:rsid w:val="00490E76"/>
    <w:rsid w:val="00491219"/>
    <w:rsid w:val="00491373"/>
    <w:rsid w:val="004914B1"/>
    <w:rsid w:val="004914F4"/>
    <w:rsid w:val="0049183E"/>
    <w:rsid w:val="00491AA1"/>
    <w:rsid w:val="00491E1E"/>
    <w:rsid w:val="00491E53"/>
    <w:rsid w:val="00491E6D"/>
    <w:rsid w:val="00491EA1"/>
    <w:rsid w:val="00492233"/>
    <w:rsid w:val="0049233E"/>
    <w:rsid w:val="0049239E"/>
    <w:rsid w:val="0049273F"/>
    <w:rsid w:val="00492FCB"/>
    <w:rsid w:val="0049373B"/>
    <w:rsid w:val="004938D1"/>
    <w:rsid w:val="00493B81"/>
    <w:rsid w:val="00493BFD"/>
    <w:rsid w:val="00493C57"/>
    <w:rsid w:val="00494080"/>
    <w:rsid w:val="0049418B"/>
    <w:rsid w:val="00494565"/>
    <w:rsid w:val="00494592"/>
    <w:rsid w:val="0049489B"/>
    <w:rsid w:val="00494F97"/>
    <w:rsid w:val="004951A8"/>
    <w:rsid w:val="004952F3"/>
    <w:rsid w:val="00495525"/>
    <w:rsid w:val="004955D8"/>
    <w:rsid w:val="00495754"/>
    <w:rsid w:val="00495832"/>
    <w:rsid w:val="00495F19"/>
    <w:rsid w:val="0049618E"/>
    <w:rsid w:val="0049626B"/>
    <w:rsid w:val="00496458"/>
    <w:rsid w:val="00496566"/>
    <w:rsid w:val="004965A7"/>
    <w:rsid w:val="00496994"/>
    <w:rsid w:val="00496BBE"/>
    <w:rsid w:val="0049730A"/>
    <w:rsid w:val="004978AD"/>
    <w:rsid w:val="00497ACA"/>
    <w:rsid w:val="00497BFB"/>
    <w:rsid w:val="00497EA2"/>
    <w:rsid w:val="00497FA4"/>
    <w:rsid w:val="004A004B"/>
    <w:rsid w:val="004A00B5"/>
    <w:rsid w:val="004A020D"/>
    <w:rsid w:val="004A0342"/>
    <w:rsid w:val="004A0675"/>
    <w:rsid w:val="004A077D"/>
    <w:rsid w:val="004A0A5E"/>
    <w:rsid w:val="004A0BCA"/>
    <w:rsid w:val="004A0BF1"/>
    <w:rsid w:val="004A0E78"/>
    <w:rsid w:val="004A1264"/>
    <w:rsid w:val="004A1421"/>
    <w:rsid w:val="004A1838"/>
    <w:rsid w:val="004A196F"/>
    <w:rsid w:val="004A21FB"/>
    <w:rsid w:val="004A2452"/>
    <w:rsid w:val="004A2BA4"/>
    <w:rsid w:val="004A2BA7"/>
    <w:rsid w:val="004A2BE8"/>
    <w:rsid w:val="004A2E51"/>
    <w:rsid w:val="004A2FAF"/>
    <w:rsid w:val="004A3491"/>
    <w:rsid w:val="004A35AA"/>
    <w:rsid w:val="004A3E0C"/>
    <w:rsid w:val="004A4576"/>
    <w:rsid w:val="004A475A"/>
    <w:rsid w:val="004A4B2A"/>
    <w:rsid w:val="004A4D61"/>
    <w:rsid w:val="004A537F"/>
    <w:rsid w:val="004A5429"/>
    <w:rsid w:val="004A5661"/>
    <w:rsid w:val="004A591E"/>
    <w:rsid w:val="004A5D68"/>
    <w:rsid w:val="004A5FA3"/>
    <w:rsid w:val="004A61B2"/>
    <w:rsid w:val="004A656A"/>
    <w:rsid w:val="004A6FD4"/>
    <w:rsid w:val="004A745F"/>
    <w:rsid w:val="004A7505"/>
    <w:rsid w:val="004A7589"/>
    <w:rsid w:val="004A75F6"/>
    <w:rsid w:val="004A7805"/>
    <w:rsid w:val="004A7845"/>
    <w:rsid w:val="004A79B0"/>
    <w:rsid w:val="004A7AD6"/>
    <w:rsid w:val="004A7BB5"/>
    <w:rsid w:val="004A7BC2"/>
    <w:rsid w:val="004A7D58"/>
    <w:rsid w:val="004A7D6B"/>
    <w:rsid w:val="004A7E86"/>
    <w:rsid w:val="004B04B6"/>
    <w:rsid w:val="004B05E6"/>
    <w:rsid w:val="004B07CD"/>
    <w:rsid w:val="004B09FA"/>
    <w:rsid w:val="004B0B1A"/>
    <w:rsid w:val="004B0E58"/>
    <w:rsid w:val="004B0E8A"/>
    <w:rsid w:val="004B14F2"/>
    <w:rsid w:val="004B1996"/>
    <w:rsid w:val="004B1B5F"/>
    <w:rsid w:val="004B20CB"/>
    <w:rsid w:val="004B2253"/>
    <w:rsid w:val="004B2259"/>
    <w:rsid w:val="004B2322"/>
    <w:rsid w:val="004B2503"/>
    <w:rsid w:val="004B251F"/>
    <w:rsid w:val="004B2689"/>
    <w:rsid w:val="004B26CB"/>
    <w:rsid w:val="004B2A26"/>
    <w:rsid w:val="004B2C32"/>
    <w:rsid w:val="004B2E36"/>
    <w:rsid w:val="004B2ED2"/>
    <w:rsid w:val="004B30D9"/>
    <w:rsid w:val="004B347C"/>
    <w:rsid w:val="004B348F"/>
    <w:rsid w:val="004B3801"/>
    <w:rsid w:val="004B3CA3"/>
    <w:rsid w:val="004B3D23"/>
    <w:rsid w:val="004B3DE7"/>
    <w:rsid w:val="004B3E11"/>
    <w:rsid w:val="004B4335"/>
    <w:rsid w:val="004B435A"/>
    <w:rsid w:val="004B4687"/>
    <w:rsid w:val="004B468B"/>
    <w:rsid w:val="004B4A20"/>
    <w:rsid w:val="004B4BC6"/>
    <w:rsid w:val="004B4D9F"/>
    <w:rsid w:val="004B5633"/>
    <w:rsid w:val="004B5933"/>
    <w:rsid w:val="004B5D3D"/>
    <w:rsid w:val="004B5EA0"/>
    <w:rsid w:val="004B5EAC"/>
    <w:rsid w:val="004B61D5"/>
    <w:rsid w:val="004B64DF"/>
    <w:rsid w:val="004B65F5"/>
    <w:rsid w:val="004B6779"/>
    <w:rsid w:val="004B6984"/>
    <w:rsid w:val="004B6CF2"/>
    <w:rsid w:val="004B6FA1"/>
    <w:rsid w:val="004B701E"/>
    <w:rsid w:val="004B70A0"/>
    <w:rsid w:val="004B758C"/>
    <w:rsid w:val="004B78D7"/>
    <w:rsid w:val="004B7AB2"/>
    <w:rsid w:val="004B7B97"/>
    <w:rsid w:val="004B7C59"/>
    <w:rsid w:val="004B7C5B"/>
    <w:rsid w:val="004B7D3F"/>
    <w:rsid w:val="004B7EF9"/>
    <w:rsid w:val="004C0284"/>
    <w:rsid w:val="004C0391"/>
    <w:rsid w:val="004C0395"/>
    <w:rsid w:val="004C0B0B"/>
    <w:rsid w:val="004C0CAB"/>
    <w:rsid w:val="004C1111"/>
    <w:rsid w:val="004C1266"/>
    <w:rsid w:val="004C1408"/>
    <w:rsid w:val="004C1756"/>
    <w:rsid w:val="004C207B"/>
    <w:rsid w:val="004C20D6"/>
    <w:rsid w:val="004C283C"/>
    <w:rsid w:val="004C29FA"/>
    <w:rsid w:val="004C2A78"/>
    <w:rsid w:val="004C336A"/>
    <w:rsid w:val="004C3B77"/>
    <w:rsid w:val="004C3B83"/>
    <w:rsid w:val="004C3F10"/>
    <w:rsid w:val="004C46D6"/>
    <w:rsid w:val="004C48C4"/>
    <w:rsid w:val="004C4D4C"/>
    <w:rsid w:val="004C5414"/>
    <w:rsid w:val="004C599F"/>
    <w:rsid w:val="004C5D55"/>
    <w:rsid w:val="004C5FEB"/>
    <w:rsid w:val="004C6505"/>
    <w:rsid w:val="004C652F"/>
    <w:rsid w:val="004C66B8"/>
    <w:rsid w:val="004C6F5D"/>
    <w:rsid w:val="004C746D"/>
    <w:rsid w:val="004C76AF"/>
    <w:rsid w:val="004C7703"/>
    <w:rsid w:val="004C776C"/>
    <w:rsid w:val="004C77BD"/>
    <w:rsid w:val="004C7934"/>
    <w:rsid w:val="004C79D4"/>
    <w:rsid w:val="004C7C71"/>
    <w:rsid w:val="004C7E9C"/>
    <w:rsid w:val="004D0670"/>
    <w:rsid w:val="004D0822"/>
    <w:rsid w:val="004D0C99"/>
    <w:rsid w:val="004D118B"/>
    <w:rsid w:val="004D12F0"/>
    <w:rsid w:val="004D143E"/>
    <w:rsid w:val="004D1D50"/>
    <w:rsid w:val="004D2A67"/>
    <w:rsid w:val="004D2C64"/>
    <w:rsid w:val="004D2E15"/>
    <w:rsid w:val="004D3051"/>
    <w:rsid w:val="004D30BB"/>
    <w:rsid w:val="004D3233"/>
    <w:rsid w:val="004D3381"/>
    <w:rsid w:val="004D33BE"/>
    <w:rsid w:val="004D3D2A"/>
    <w:rsid w:val="004D3E2E"/>
    <w:rsid w:val="004D3F6A"/>
    <w:rsid w:val="004D41C8"/>
    <w:rsid w:val="004D43FD"/>
    <w:rsid w:val="004D449B"/>
    <w:rsid w:val="004D4DBF"/>
    <w:rsid w:val="004D4E4B"/>
    <w:rsid w:val="004D500C"/>
    <w:rsid w:val="004D58C0"/>
    <w:rsid w:val="004D5A83"/>
    <w:rsid w:val="004D5C30"/>
    <w:rsid w:val="004D5EDC"/>
    <w:rsid w:val="004D6119"/>
    <w:rsid w:val="004D68E1"/>
    <w:rsid w:val="004D695E"/>
    <w:rsid w:val="004D6C89"/>
    <w:rsid w:val="004D6D4F"/>
    <w:rsid w:val="004D6DB6"/>
    <w:rsid w:val="004D6E72"/>
    <w:rsid w:val="004D748D"/>
    <w:rsid w:val="004D7CEF"/>
    <w:rsid w:val="004D7DE8"/>
    <w:rsid w:val="004D7F48"/>
    <w:rsid w:val="004E0466"/>
    <w:rsid w:val="004E05BF"/>
    <w:rsid w:val="004E05E5"/>
    <w:rsid w:val="004E06C0"/>
    <w:rsid w:val="004E08D2"/>
    <w:rsid w:val="004E09D7"/>
    <w:rsid w:val="004E0D6C"/>
    <w:rsid w:val="004E0DB6"/>
    <w:rsid w:val="004E137E"/>
    <w:rsid w:val="004E13BB"/>
    <w:rsid w:val="004E1621"/>
    <w:rsid w:val="004E1AB6"/>
    <w:rsid w:val="004E1D30"/>
    <w:rsid w:val="004E2241"/>
    <w:rsid w:val="004E2913"/>
    <w:rsid w:val="004E296E"/>
    <w:rsid w:val="004E2F66"/>
    <w:rsid w:val="004E3B98"/>
    <w:rsid w:val="004E3E40"/>
    <w:rsid w:val="004E404D"/>
    <w:rsid w:val="004E44A7"/>
    <w:rsid w:val="004E4583"/>
    <w:rsid w:val="004E4A0E"/>
    <w:rsid w:val="004E4B65"/>
    <w:rsid w:val="004E4C94"/>
    <w:rsid w:val="004E4CB4"/>
    <w:rsid w:val="004E4CE6"/>
    <w:rsid w:val="004E51E5"/>
    <w:rsid w:val="004E53E6"/>
    <w:rsid w:val="004E578D"/>
    <w:rsid w:val="004E57AB"/>
    <w:rsid w:val="004E64F1"/>
    <w:rsid w:val="004E657D"/>
    <w:rsid w:val="004E6640"/>
    <w:rsid w:val="004E6718"/>
    <w:rsid w:val="004E6990"/>
    <w:rsid w:val="004E6BCF"/>
    <w:rsid w:val="004E6C14"/>
    <w:rsid w:val="004E6F9D"/>
    <w:rsid w:val="004E741B"/>
    <w:rsid w:val="004F009F"/>
    <w:rsid w:val="004F00D5"/>
    <w:rsid w:val="004F025B"/>
    <w:rsid w:val="004F0548"/>
    <w:rsid w:val="004F0B87"/>
    <w:rsid w:val="004F0D49"/>
    <w:rsid w:val="004F0DFC"/>
    <w:rsid w:val="004F1100"/>
    <w:rsid w:val="004F1164"/>
    <w:rsid w:val="004F1798"/>
    <w:rsid w:val="004F1E1F"/>
    <w:rsid w:val="004F22BA"/>
    <w:rsid w:val="004F2374"/>
    <w:rsid w:val="004F259C"/>
    <w:rsid w:val="004F277D"/>
    <w:rsid w:val="004F281A"/>
    <w:rsid w:val="004F2C2E"/>
    <w:rsid w:val="004F3234"/>
    <w:rsid w:val="004F337F"/>
    <w:rsid w:val="004F33E3"/>
    <w:rsid w:val="004F34F5"/>
    <w:rsid w:val="004F3574"/>
    <w:rsid w:val="004F39D6"/>
    <w:rsid w:val="004F3D8C"/>
    <w:rsid w:val="004F3FC6"/>
    <w:rsid w:val="004F4138"/>
    <w:rsid w:val="004F414B"/>
    <w:rsid w:val="004F424F"/>
    <w:rsid w:val="004F4255"/>
    <w:rsid w:val="004F43C7"/>
    <w:rsid w:val="004F4BC5"/>
    <w:rsid w:val="004F574B"/>
    <w:rsid w:val="004F57DF"/>
    <w:rsid w:val="004F5D6F"/>
    <w:rsid w:val="004F5E45"/>
    <w:rsid w:val="004F6133"/>
    <w:rsid w:val="004F6247"/>
    <w:rsid w:val="004F6AC9"/>
    <w:rsid w:val="004F6E6A"/>
    <w:rsid w:val="004F71F5"/>
    <w:rsid w:val="004F7219"/>
    <w:rsid w:val="004F753C"/>
    <w:rsid w:val="004F7576"/>
    <w:rsid w:val="004F795A"/>
    <w:rsid w:val="004F79A1"/>
    <w:rsid w:val="004F7EB4"/>
    <w:rsid w:val="00500130"/>
    <w:rsid w:val="00500634"/>
    <w:rsid w:val="00501123"/>
    <w:rsid w:val="00501287"/>
    <w:rsid w:val="005014FC"/>
    <w:rsid w:val="005018C6"/>
    <w:rsid w:val="00501EED"/>
    <w:rsid w:val="005029CC"/>
    <w:rsid w:val="00503161"/>
    <w:rsid w:val="00503327"/>
    <w:rsid w:val="005034FB"/>
    <w:rsid w:val="00503897"/>
    <w:rsid w:val="0050398C"/>
    <w:rsid w:val="00503AA8"/>
    <w:rsid w:val="00503C48"/>
    <w:rsid w:val="00503DAA"/>
    <w:rsid w:val="00503F9D"/>
    <w:rsid w:val="0050404C"/>
    <w:rsid w:val="0050414C"/>
    <w:rsid w:val="005047B3"/>
    <w:rsid w:val="005047BE"/>
    <w:rsid w:val="0050493F"/>
    <w:rsid w:val="005049A5"/>
    <w:rsid w:val="00504B0C"/>
    <w:rsid w:val="00504C72"/>
    <w:rsid w:val="00504CDD"/>
    <w:rsid w:val="00505A82"/>
    <w:rsid w:val="00505B05"/>
    <w:rsid w:val="00505B24"/>
    <w:rsid w:val="00505F9A"/>
    <w:rsid w:val="0050610A"/>
    <w:rsid w:val="00506130"/>
    <w:rsid w:val="00506779"/>
    <w:rsid w:val="00506CD1"/>
    <w:rsid w:val="00506CE9"/>
    <w:rsid w:val="00506F0D"/>
    <w:rsid w:val="005072DF"/>
    <w:rsid w:val="005072FA"/>
    <w:rsid w:val="00507398"/>
    <w:rsid w:val="00507565"/>
    <w:rsid w:val="0050786D"/>
    <w:rsid w:val="00507993"/>
    <w:rsid w:val="00507E04"/>
    <w:rsid w:val="005100C9"/>
    <w:rsid w:val="0051038D"/>
    <w:rsid w:val="0051075F"/>
    <w:rsid w:val="00510C86"/>
    <w:rsid w:val="00511044"/>
    <w:rsid w:val="00511514"/>
    <w:rsid w:val="0051171B"/>
    <w:rsid w:val="00511A19"/>
    <w:rsid w:val="00511B55"/>
    <w:rsid w:val="00511C51"/>
    <w:rsid w:val="00511D0A"/>
    <w:rsid w:val="00511D65"/>
    <w:rsid w:val="00511F47"/>
    <w:rsid w:val="005122B5"/>
    <w:rsid w:val="005123EE"/>
    <w:rsid w:val="0051343C"/>
    <w:rsid w:val="0051380F"/>
    <w:rsid w:val="00513AE8"/>
    <w:rsid w:val="00513C3F"/>
    <w:rsid w:val="00513DCD"/>
    <w:rsid w:val="00513EBE"/>
    <w:rsid w:val="0051469D"/>
    <w:rsid w:val="00514739"/>
    <w:rsid w:val="00514823"/>
    <w:rsid w:val="00514AB3"/>
    <w:rsid w:val="00514BDF"/>
    <w:rsid w:val="00514BE8"/>
    <w:rsid w:val="00514E5D"/>
    <w:rsid w:val="00514FE0"/>
    <w:rsid w:val="005153E2"/>
    <w:rsid w:val="005155B5"/>
    <w:rsid w:val="00515650"/>
    <w:rsid w:val="00515886"/>
    <w:rsid w:val="00515A87"/>
    <w:rsid w:val="00515BD7"/>
    <w:rsid w:val="005162D9"/>
    <w:rsid w:val="00516785"/>
    <w:rsid w:val="00516AFE"/>
    <w:rsid w:val="00516BAF"/>
    <w:rsid w:val="00516BEE"/>
    <w:rsid w:val="00516E6A"/>
    <w:rsid w:val="00516E95"/>
    <w:rsid w:val="005170A6"/>
    <w:rsid w:val="005176DC"/>
    <w:rsid w:val="005177A2"/>
    <w:rsid w:val="0051793E"/>
    <w:rsid w:val="00517D01"/>
    <w:rsid w:val="00517D45"/>
    <w:rsid w:val="00517FF3"/>
    <w:rsid w:val="005201F6"/>
    <w:rsid w:val="0052057F"/>
    <w:rsid w:val="005207EF"/>
    <w:rsid w:val="00520CB2"/>
    <w:rsid w:val="00520D82"/>
    <w:rsid w:val="00520DAC"/>
    <w:rsid w:val="005210ED"/>
    <w:rsid w:val="0052113D"/>
    <w:rsid w:val="0052187E"/>
    <w:rsid w:val="00521F6A"/>
    <w:rsid w:val="0052200E"/>
    <w:rsid w:val="00522619"/>
    <w:rsid w:val="00522F23"/>
    <w:rsid w:val="00522FC2"/>
    <w:rsid w:val="00523380"/>
    <w:rsid w:val="0052350F"/>
    <w:rsid w:val="005235DD"/>
    <w:rsid w:val="00523675"/>
    <w:rsid w:val="005236BD"/>
    <w:rsid w:val="0052380E"/>
    <w:rsid w:val="005238AF"/>
    <w:rsid w:val="005239DD"/>
    <w:rsid w:val="00523B2F"/>
    <w:rsid w:val="00523D8A"/>
    <w:rsid w:val="00523ED4"/>
    <w:rsid w:val="0052409B"/>
    <w:rsid w:val="0052419D"/>
    <w:rsid w:val="005242A5"/>
    <w:rsid w:val="005242F3"/>
    <w:rsid w:val="00524817"/>
    <w:rsid w:val="0052530B"/>
    <w:rsid w:val="0052558C"/>
    <w:rsid w:val="005256B3"/>
    <w:rsid w:val="00526382"/>
    <w:rsid w:val="0052648E"/>
    <w:rsid w:val="00526518"/>
    <w:rsid w:val="005269AD"/>
    <w:rsid w:val="00526D10"/>
    <w:rsid w:val="00527354"/>
    <w:rsid w:val="00527523"/>
    <w:rsid w:val="005275F2"/>
    <w:rsid w:val="00527D5B"/>
    <w:rsid w:val="00527EA4"/>
    <w:rsid w:val="005301F8"/>
    <w:rsid w:val="00530372"/>
    <w:rsid w:val="0053048D"/>
    <w:rsid w:val="005305AE"/>
    <w:rsid w:val="005308C2"/>
    <w:rsid w:val="00530CF8"/>
    <w:rsid w:val="00530D03"/>
    <w:rsid w:val="00530E7D"/>
    <w:rsid w:val="00530F33"/>
    <w:rsid w:val="00531004"/>
    <w:rsid w:val="005311E7"/>
    <w:rsid w:val="005312FC"/>
    <w:rsid w:val="005314BC"/>
    <w:rsid w:val="005317D4"/>
    <w:rsid w:val="005319EA"/>
    <w:rsid w:val="00531B33"/>
    <w:rsid w:val="00531CA4"/>
    <w:rsid w:val="00531F85"/>
    <w:rsid w:val="00532B31"/>
    <w:rsid w:val="00532D24"/>
    <w:rsid w:val="00532ED8"/>
    <w:rsid w:val="005332AE"/>
    <w:rsid w:val="00533CE9"/>
    <w:rsid w:val="005340B8"/>
    <w:rsid w:val="00534234"/>
    <w:rsid w:val="005345C9"/>
    <w:rsid w:val="00534867"/>
    <w:rsid w:val="00534E05"/>
    <w:rsid w:val="005353E7"/>
    <w:rsid w:val="00535497"/>
    <w:rsid w:val="00535800"/>
    <w:rsid w:val="0053583B"/>
    <w:rsid w:val="00535941"/>
    <w:rsid w:val="00535D4F"/>
    <w:rsid w:val="00535E38"/>
    <w:rsid w:val="0053603D"/>
    <w:rsid w:val="005365B1"/>
    <w:rsid w:val="0053674C"/>
    <w:rsid w:val="00536B59"/>
    <w:rsid w:val="00536DF6"/>
    <w:rsid w:val="00536E46"/>
    <w:rsid w:val="00536FBE"/>
    <w:rsid w:val="0053711B"/>
    <w:rsid w:val="0053738E"/>
    <w:rsid w:val="0053773C"/>
    <w:rsid w:val="00537768"/>
    <w:rsid w:val="00537CDA"/>
    <w:rsid w:val="0054001E"/>
    <w:rsid w:val="005400A3"/>
    <w:rsid w:val="005404F1"/>
    <w:rsid w:val="005405FC"/>
    <w:rsid w:val="0054071E"/>
    <w:rsid w:val="00540C75"/>
    <w:rsid w:val="00541163"/>
    <w:rsid w:val="00541382"/>
    <w:rsid w:val="00541A48"/>
    <w:rsid w:val="00541D10"/>
    <w:rsid w:val="00541F0B"/>
    <w:rsid w:val="00541F18"/>
    <w:rsid w:val="00542094"/>
    <w:rsid w:val="0054221B"/>
    <w:rsid w:val="00542297"/>
    <w:rsid w:val="005423E2"/>
    <w:rsid w:val="0054261D"/>
    <w:rsid w:val="00542C31"/>
    <w:rsid w:val="00542E55"/>
    <w:rsid w:val="00542FC0"/>
    <w:rsid w:val="00543115"/>
    <w:rsid w:val="0054341E"/>
    <w:rsid w:val="005434F1"/>
    <w:rsid w:val="00543948"/>
    <w:rsid w:val="00543A14"/>
    <w:rsid w:val="00543C8F"/>
    <w:rsid w:val="005443BF"/>
    <w:rsid w:val="00544682"/>
    <w:rsid w:val="0054470A"/>
    <w:rsid w:val="00544916"/>
    <w:rsid w:val="00544A55"/>
    <w:rsid w:val="00544B9E"/>
    <w:rsid w:val="00544C77"/>
    <w:rsid w:val="00544EDA"/>
    <w:rsid w:val="00544F29"/>
    <w:rsid w:val="0054506E"/>
    <w:rsid w:val="00545301"/>
    <w:rsid w:val="005457B5"/>
    <w:rsid w:val="005458A7"/>
    <w:rsid w:val="00545A65"/>
    <w:rsid w:val="00545B5A"/>
    <w:rsid w:val="00545BD6"/>
    <w:rsid w:val="00545E28"/>
    <w:rsid w:val="00545F27"/>
    <w:rsid w:val="00545FF9"/>
    <w:rsid w:val="00546260"/>
    <w:rsid w:val="00546B99"/>
    <w:rsid w:val="00546DEE"/>
    <w:rsid w:val="0054718C"/>
    <w:rsid w:val="005471BD"/>
    <w:rsid w:val="005472EB"/>
    <w:rsid w:val="00547342"/>
    <w:rsid w:val="00547363"/>
    <w:rsid w:val="00547540"/>
    <w:rsid w:val="005475EE"/>
    <w:rsid w:val="00547614"/>
    <w:rsid w:val="00547687"/>
    <w:rsid w:val="00547AB1"/>
    <w:rsid w:val="005503C0"/>
    <w:rsid w:val="005507ED"/>
    <w:rsid w:val="00550943"/>
    <w:rsid w:val="00550B2B"/>
    <w:rsid w:val="00550FC2"/>
    <w:rsid w:val="0055111B"/>
    <w:rsid w:val="0055115F"/>
    <w:rsid w:val="005513AF"/>
    <w:rsid w:val="00551444"/>
    <w:rsid w:val="00551639"/>
    <w:rsid w:val="00551CA9"/>
    <w:rsid w:val="00552515"/>
    <w:rsid w:val="005525BB"/>
    <w:rsid w:val="00552CB6"/>
    <w:rsid w:val="00552DB6"/>
    <w:rsid w:val="0055309C"/>
    <w:rsid w:val="0055353A"/>
    <w:rsid w:val="0055381D"/>
    <w:rsid w:val="00553C31"/>
    <w:rsid w:val="0055476E"/>
    <w:rsid w:val="00554BB5"/>
    <w:rsid w:val="00554CC2"/>
    <w:rsid w:val="00555039"/>
    <w:rsid w:val="00555311"/>
    <w:rsid w:val="00555553"/>
    <w:rsid w:val="00555701"/>
    <w:rsid w:val="00555762"/>
    <w:rsid w:val="00555D14"/>
    <w:rsid w:val="00555EB9"/>
    <w:rsid w:val="00555F12"/>
    <w:rsid w:val="00555F68"/>
    <w:rsid w:val="00556311"/>
    <w:rsid w:val="005565A9"/>
    <w:rsid w:val="005565E5"/>
    <w:rsid w:val="0055665F"/>
    <w:rsid w:val="0055676D"/>
    <w:rsid w:val="00556A7D"/>
    <w:rsid w:val="00556E84"/>
    <w:rsid w:val="0055709A"/>
    <w:rsid w:val="005570FD"/>
    <w:rsid w:val="005576D6"/>
    <w:rsid w:val="00557850"/>
    <w:rsid w:val="00557BE5"/>
    <w:rsid w:val="00557F8E"/>
    <w:rsid w:val="00560584"/>
    <w:rsid w:val="005611C4"/>
    <w:rsid w:val="005611E2"/>
    <w:rsid w:val="00561351"/>
    <w:rsid w:val="0056167B"/>
    <w:rsid w:val="005616BE"/>
    <w:rsid w:val="00561A84"/>
    <w:rsid w:val="00561DDB"/>
    <w:rsid w:val="00561E6C"/>
    <w:rsid w:val="005621AC"/>
    <w:rsid w:val="005622A6"/>
    <w:rsid w:val="0056237A"/>
    <w:rsid w:val="00562539"/>
    <w:rsid w:val="00562581"/>
    <w:rsid w:val="005627E7"/>
    <w:rsid w:val="0056281C"/>
    <w:rsid w:val="0056287B"/>
    <w:rsid w:val="00562940"/>
    <w:rsid w:val="00562A5B"/>
    <w:rsid w:val="00562A74"/>
    <w:rsid w:val="00562D20"/>
    <w:rsid w:val="00562DCA"/>
    <w:rsid w:val="00562F41"/>
    <w:rsid w:val="005635A9"/>
    <w:rsid w:val="00563677"/>
    <w:rsid w:val="00563752"/>
    <w:rsid w:val="005637C4"/>
    <w:rsid w:val="00563A16"/>
    <w:rsid w:val="00563B22"/>
    <w:rsid w:val="00563B49"/>
    <w:rsid w:val="00564808"/>
    <w:rsid w:val="00564A58"/>
    <w:rsid w:val="005651AA"/>
    <w:rsid w:val="005651F1"/>
    <w:rsid w:val="0056532B"/>
    <w:rsid w:val="00565402"/>
    <w:rsid w:val="00565451"/>
    <w:rsid w:val="005655D8"/>
    <w:rsid w:val="00565664"/>
    <w:rsid w:val="0056587E"/>
    <w:rsid w:val="00565929"/>
    <w:rsid w:val="00565F6B"/>
    <w:rsid w:val="00565FD6"/>
    <w:rsid w:val="0056613F"/>
    <w:rsid w:val="00566152"/>
    <w:rsid w:val="0056639F"/>
    <w:rsid w:val="00566EFF"/>
    <w:rsid w:val="00567195"/>
    <w:rsid w:val="00567273"/>
    <w:rsid w:val="00567351"/>
    <w:rsid w:val="00567472"/>
    <w:rsid w:val="005676CA"/>
    <w:rsid w:val="0056784F"/>
    <w:rsid w:val="00567971"/>
    <w:rsid w:val="00567BEE"/>
    <w:rsid w:val="00567D90"/>
    <w:rsid w:val="0057038E"/>
    <w:rsid w:val="00570414"/>
    <w:rsid w:val="00570732"/>
    <w:rsid w:val="005709A1"/>
    <w:rsid w:val="00570D2D"/>
    <w:rsid w:val="00570F1B"/>
    <w:rsid w:val="00571502"/>
    <w:rsid w:val="005718A1"/>
    <w:rsid w:val="00571A2E"/>
    <w:rsid w:val="00571B52"/>
    <w:rsid w:val="00572205"/>
    <w:rsid w:val="005722E5"/>
    <w:rsid w:val="00572495"/>
    <w:rsid w:val="00572A76"/>
    <w:rsid w:val="0057309D"/>
    <w:rsid w:val="00573397"/>
    <w:rsid w:val="00573AED"/>
    <w:rsid w:val="00573AF7"/>
    <w:rsid w:val="00573B18"/>
    <w:rsid w:val="00573EDF"/>
    <w:rsid w:val="005740F9"/>
    <w:rsid w:val="0057410C"/>
    <w:rsid w:val="0057418F"/>
    <w:rsid w:val="00574494"/>
    <w:rsid w:val="005747D7"/>
    <w:rsid w:val="0057495A"/>
    <w:rsid w:val="00574E3A"/>
    <w:rsid w:val="00575AF8"/>
    <w:rsid w:val="00575B9E"/>
    <w:rsid w:val="00576185"/>
    <w:rsid w:val="005761E7"/>
    <w:rsid w:val="005762BA"/>
    <w:rsid w:val="005762FC"/>
    <w:rsid w:val="005768BA"/>
    <w:rsid w:val="00576913"/>
    <w:rsid w:val="00576C91"/>
    <w:rsid w:val="00576D73"/>
    <w:rsid w:val="00576FFE"/>
    <w:rsid w:val="005770CA"/>
    <w:rsid w:val="00577105"/>
    <w:rsid w:val="00577141"/>
    <w:rsid w:val="00577272"/>
    <w:rsid w:val="0057739F"/>
    <w:rsid w:val="005774F7"/>
    <w:rsid w:val="00577990"/>
    <w:rsid w:val="00577AF0"/>
    <w:rsid w:val="00577E50"/>
    <w:rsid w:val="0058052B"/>
    <w:rsid w:val="005807D1"/>
    <w:rsid w:val="00580A79"/>
    <w:rsid w:val="00580B5E"/>
    <w:rsid w:val="00580CE0"/>
    <w:rsid w:val="00580EB8"/>
    <w:rsid w:val="00580F5A"/>
    <w:rsid w:val="005810E3"/>
    <w:rsid w:val="005816AD"/>
    <w:rsid w:val="00581BE4"/>
    <w:rsid w:val="005821F3"/>
    <w:rsid w:val="0058251E"/>
    <w:rsid w:val="005828CD"/>
    <w:rsid w:val="00582BC6"/>
    <w:rsid w:val="00582CBB"/>
    <w:rsid w:val="005830B9"/>
    <w:rsid w:val="00583427"/>
    <w:rsid w:val="00583979"/>
    <w:rsid w:val="00583CB7"/>
    <w:rsid w:val="00583CC2"/>
    <w:rsid w:val="00583D5C"/>
    <w:rsid w:val="00584142"/>
    <w:rsid w:val="005842B7"/>
    <w:rsid w:val="005843EF"/>
    <w:rsid w:val="005848B2"/>
    <w:rsid w:val="005848DB"/>
    <w:rsid w:val="005849FC"/>
    <w:rsid w:val="00584A60"/>
    <w:rsid w:val="00584DD3"/>
    <w:rsid w:val="00584E42"/>
    <w:rsid w:val="00585162"/>
    <w:rsid w:val="005851E1"/>
    <w:rsid w:val="005851EF"/>
    <w:rsid w:val="0058523B"/>
    <w:rsid w:val="00585490"/>
    <w:rsid w:val="00585951"/>
    <w:rsid w:val="00585A20"/>
    <w:rsid w:val="00585BF2"/>
    <w:rsid w:val="00586000"/>
    <w:rsid w:val="0058613B"/>
    <w:rsid w:val="0058649D"/>
    <w:rsid w:val="00586522"/>
    <w:rsid w:val="005867FC"/>
    <w:rsid w:val="005868DE"/>
    <w:rsid w:val="00586A8B"/>
    <w:rsid w:val="00587007"/>
    <w:rsid w:val="005874B6"/>
    <w:rsid w:val="0058794E"/>
    <w:rsid w:val="0059003F"/>
    <w:rsid w:val="005900C1"/>
    <w:rsid w:val="005901F6"/>
    <w:rsid w:val="00590448"/>
    <w:rsid w:val="005906E8"/>
    <w:rsid w:val="0059070D"/>
    <w:rsid w:val="0059091E"/>
    <w:rsid w:val="00590D50"/>
    <w:rsid w:val="00590EE0"/>
    <w:rsid w:val="00591208"/>
    <w:rsid w:val="00591A1B"/>
    <w:rsid w:val="00592030"/>
    <w:rsid w:val="00593023"/>
    <w:rsid w:val="00593304"/>
    <w:rsid w:val="005933BA"/>
    <w:rsid w:val="005937BA"/>
    <w:rsid w:val="00593D2D"/>
    <w:rsid w:val="00593FE6"/>
    <w:rsid w:val="00594CC8"/>
    <w:rsid w:val="00595210"/>
    <w:rsid w:val="005954F1"/>
    <w:rsid w:val="005957E1"/>
    <w:rsid w:val="00595F42"/>
    <w:rsid w:val="005961AD"/>
    <w:rsid w:val="00596495"/>
    <w:rsid w:val="00596D6C"/>
    <w:rsid w:val="00596E5C"/>
    <w:rsid w:val="0059719E"/>
    <w:rsid w:val="005973ED"/>
    <w:rsid w:val="00597C1F"/>
    <w:rsid w:val="00597C41"/>
    <w:rsid w:val="00597C9C"/>
    <w:rsid w:val="00597D5C"/>
    <w:rsid w:val="00597EA6"/>
    <w:rsid w:val="00597F47"/>
    <w:rsid w:val="005A0F1B"/>
    <w:rsid w:val="005A10C6"/>
    <w:rsid w:val="005A11E7"/>
    <w:rsid w:val="005A158B"/>
    <w:rsid w:val="005A189C"/>
    <w:rsid w:val="005A1B05"/>
    <w:rsid w:val="005A1D18"/>
    <w:rsid w:val="005A1D5E"/>
    <w:rsid w:val="005A1DE7"/>
    <w:rsid w:val="005A2587"/>
    <w:rsid w:val="005A27C8"/>
    <w:rsid w:val="005A2A91"/>
    <w:rsid w:val="005A2B22"/>
    <w:rsid w:val="005A2DCF"/>
    <w:rsid w:val="005A3249"/>
    <w:rsid w:val="005A35A7"/>
    <w:rsid w:val="005A3815"/>
    <w:rsid w:val="005A393A"/>
    <w:rsid w:val="005A3ED9"/>
    <w:rsid w:val="005A3F4D"/>
    <w:rsid w:val="005A42F2"/>
    <w:rsid w:val="005A4500"/>
    <w:rsid w:val="005A45BE"/>
    <w:rsid w:val="005A46F9"/>
    <w:rsid w:val="005A4795"/>
    <w:rsid w:val="005A5342"/>
    <w:rsid w:val="005A54CF"/>
    <w:rsid w:val="005A5500"/>
    <w:rsid w:val="005A5795"/>
    <w:rsid w:val="005A5B1E"/>
    <w:rsid w:val="005A6168"/>
    <w:rsid w:val="005A6B4C"/>
    <w:rsid w:val="005A6B85"/>
    <w:rsid w:val="005A71BA"/>
    <w:rsid w:val="005A75A0"/>
    <w:rsid w:val="005A7C34"/>
    <w:rsid w:val="005B02FF"/>
    <w:rsid w:val="005B064E"/>
    <w:rsid w:val="005B0A75"/>
    <w:rsid w:val="005B0B08"/>
    <w:rsid w:val="005B10D6"/>
    <w:rsid w:val="005B11AF"/>
    <w:rsid w:val="005B11E4"/>
    <w:rsid w:val="005B1D0A"/>
    <w:rsid w:val="005B212C"/>
    <w:rsid w:val="005B243A"/>
    <w:rsid w:val="005B252D"/>
    <w:rsid w:val="005B27ED"/>
    <w:rsid w:val="005B2C80"/>
    <w:rsid w:val="005B2FF8"/>
    <w:rsid w:val="005B3418"/>
    <w:rsid w:val="005B3714"/>
    <w:rsid w:val="005B3896"/>
    <w:rsid w:val="005B3A67"/>
    <w:rsid w:val="005B3B83"/>
    <w:rsid w:val="005B4357"/>
    <w:rsid w:val="005B43F7"/>
    <w:rsid w:val="005B47E8"/>
    <w:rsid w:val="005B494F"/>
    <w:rsid w:val="005B4E7C"/>
    <w:rsid w:val="005B5181"/>
    <w:rsid w:val="005B527B"/>
    <w:rsid w:val="005B5290"/>
    <w:rsid w:val="005B5486"/>
    <w:rsid w:val="005B5520"/>
    <w:rsid w:val="005B5771"/>
    <w:rsid w:val="005B587D"/>
    <w:rsid w:val="005B58FD"/>
    <w:rsid w:val="005B5AC9"/>
    <w:rsid w:val="005B6A69"/>
    <w:rsid w:val="005B6BE2"/>
    <w:rsid w:val="005B73E4"/>
    <w:rsid w:val="005B74F8"/>
    <w:rsid w:val="005B7537"/>
    <w:rsid w:val="005B7634"/>
    <w:rsid w:val="005B7904"/>
    <w:rsid w:val="005B7B52"/>
    <w:rsid w:val="005B7DEA"/>
    <w:rsid w:val="005B7FC7"/>
    <w:rsid w:val="005C0227"/>
    <w:rsid w:val="005C0364"/>
    <w:rsid w:val="005C0490"/>
    <w:rsid w:val="005C0761"/>
    <w:rsid w:val="005C0853"/>
    <w:rsid w:val="005C0C95"/>
    <w:rsid w:val="005C0DD8"/>
    <w:rsid w:val="005C1284"/>
    <w:rsid w:val="005C12EB"/>
    <w:rsid w:val="005C12F8"/>
    <w:rsid w:val="005C14D3"/>
    <w:rsid w:val="005C151C"/>
    <w:rsid w:val="005C1668"/>
    <w:rsid w:val="005C1A37"/>
    <w:rsid w:val="005C1ABD"/>
    <w:rsid w:val="005C233A"/>
    <w:rsid w:val="005C2350"/>
    <w:rsid w:val="005C276B"/>
    <w:rsid w:val="005C3427"/>
    <w:rsid w:val="005C35A3"/>
    <w:rsid w:val="005C382F"/>
    <w:rsid w:val="005C3C8F"/>
    <w:rsid w:val="005C3D60"/>
    <w:rsid w:val="005C4090"/>
    <w:rsid w:val="005C417C"/>
    <w:rsid w:val="005C4647"/>
    <w:rsid w:val="005C4648"/>
    <w:rsid w:val="005C4753"/>
    <w:rsid w:val="005C48C3"/>
    <w:rsid w:val="005C52C6"/>
    <w:rsid w:val="005C59D0"/>
    <w:rsid w:val="005C5AD7"/>
    <w:rsid w:val="005C6104"/>
    <w:rsid w:val="005C662E"/>
    <w:rsid w:val="005C66EB"/>
    <w:rsid w:val="005C6970"/>
    <w:rsid w:val="005C6CBB"/>
    <w:rsid w:val="005C6DA8"/>
    <w:rsid w:val="005C6E97"/>
    <w:rsid w:val="005C6EEB"/>
    <w:rsid w:val="005C74D0"/>
    <w:rsid w:val="005C7507"/>
    <w:rsid w:val="005C787C"/>
    <w:rsid w:val="005C7997"/>
    <w:rsid w:val="005C79C4"/>
    <w:rsid w:val="005C7ECC"/>
    <w:rsid w:val="005D0339"/>
    <w:rsid w:val="005D04C9"/>
    <w:rsid w:val="005D056C"/>
    <w:rsid w:val="005D05CF"/>
    <w:rsid w:val="005D0619"/>
    <w:rsid w:val="005D0C6F"/>
    <w:rsid w:val="005D0E1B"/>
    <w:rsid w:val="005D1000"/>
    <w:rsid w:val="005D1040"/>
    <w:rsid w:val="005D18BF"/>
    <w:rsid w:val="005D1CA7"/>
    <w:rsid w:val="005D22F3"/>
    <w:rsid w:val="005D26C2"/>
    <w:rsid w:val="005D2741"/>
    <w:rsid w:val="005D2A2D"/>
    <w:rsid w:val="005D2F10"/>
    <w:rsid w:val="005D30F2"/>
    <w:rsid w:val="005D3228"/>
    <w:rsid w:val="005D3945"/>
    <w:rsid w:val="005D3A9D"/>
    <w:rsid w:val="005D3C99"/>
    <w:rsid w:val="005D3D33"/>
    <w:rsid w:val="005D3EEF"/>
    <w:rsid w:val="005D42AA"/>
    <w:rsid w:val="005D468A"/>
    <w:rsid w:val="005D4826"/>
    <w:rsid w:val="005D4B1B"/>
    <w:rsid w:val="005D4B82"/>
    <w:rsid w:val="005D4C59"/>
    <w:rsid w:val="005D5073"/>
    <w:rsid w:val="005D50F1"/>
    <w:rsid w:val="005D5214"/>
    <w:rsid w:val="005D56A5"/>
    <w:rsid w:val="005D597A"/>
    <w:rsid w:val="005D59B1"/>
    <w:rsid w:val="005D5C2D"/>
    <w:rsid w:val="005D5D57"/>
    <w:rsid w:val="005D5DC6"/>
    <w:rsid w:val="005D661F"/>
    <w:rsid w:val="005D6D4F"/>
    <w:rsid w:val="005D6E94"/>
    <w:rsid w:val="005D7031"/>
    <w:rsid w:val="005D75D6"/>
    <w:rsid w:val="005D76E2"/>
    <w:rsid w:val="005D7811"/>
    <w:rsid w:val="005D7BE1"/>
    <w:rsid w:val="005D7D66"/>
    <w:rsid w:val="005D7D8A"/>
    <w:rsid w:val="005E06DE"/>
    <w:rsid w:val="005E080A"/>
    <w:rsid w:val="005E0B62"/>
    <w:rsid w:val="005E0BDA"/>
    <w:rsid w:val="005E0D11"/>
    <w:rsid w:val="005E0F7E"/>
    <w:rsid w:val="005E12B1"/>
    <w:rsid w:val="005E1512"/>
    <w:rsid w:val="005E1EFD"/>
    <w:rsid w:val="005E2439"/>
    <w:rsid w:val="005E24C6"/>
    <w:rsid w:val="005E24FB"/>
    <w:rsid w:val="005E2565"/>
    <w:rsid w:val="005E28FB"/>
    <w:rsid w:val="005E2996"/>
    <w:rsid w:val="005E2EB3"/>
    <w:rsid w:val="005E342B"/>
    <w:rsid w:val="005E351B"/>
    <w:rsid w:val="005E3586"/>
    <w:rsid w:val="005E366D"/>
    <w:rsid w:val="005E37E1"/>
    <w:rsid w:val="005E3D7F"/>
    <w:rsid w:val="005E40CA"/>
    <w:rsid w:val="005E43EA"/>
    <w:rsid w:val="005E4433"/>
    <w:rsid w:val="005E46C2"/>
    <w:rsid w:val="005E47B2"/>
    <w:rsid w:val="005E48EC"/>
    <w:rsid w:val="005E496E"/>
    <w:rsid w:val="005E4AA7"/>
    <w:rsid w:val="005E4DA6"/>
    <w:rsid w:val="005E4E1F"/>
    <w:rsid w:val="005E51FF"/>
    <w:rsid w:val="005E5523"/>
    <w:rsid w:val="005E57B7"/>
    <w:rsid w:val="005E5866"/>
    <w:rsid w:val="005E5EE4"/>
    <w:rsid w:val="005E60F0"/>
    <w:rsid w:val="005E615E"/>
    <w:rsid w:val="005E6803"/>
    <w:rsid w:val="005E6F95"/>
    <w:rsid w:val="005E6FFA"/>
    <w:rsid w:val="005E7039"/>
    <w:rsid w:val="005E7625"/>
    <w:rsid w:val="005E763A"/>
    <w:rsid w:val="005F09B7"/>
    <w:rsid w:val="005F0F47"/>
    <w:rsid w:val="005F1334"/>
    <w:rsid w:val="005F14F2"/>
    <w:rsid w:val="005F1554"/>
    <w:rsid w:val="005F16AF"/>
    <w:rsid w:val="005F1C7C"/>
    <w:rsid w:val="005F1EFA"/>
    <w:rsid w:val="005F20A9"/>
    <w:rsid w:val="005F21FB"/>
    <w:rsid w:val="005F2661"/>
    <w:rsid w:val="005F2973"/>
    <w:rsid w:val="005F2B12"/>
    <w:rsid w:val="005F2FFA"/>
    <w:rsid w:val="005F3034"/>
    <w:rsid w:val="005F3208"/>
    <w:rsid w:val="005F3514"/>
    <w:rsid w:val="005F38D8"/>
    <w:rsid w:val="005F3A5C"/>
    <w:rsid w:val="005F3D85"/>
    <w:rsid w:val="005F3DA0"/>
    <w:rsid w:val="005F3EE9"/>
    <w:rsid w:val="005F4544"/>
    <w:rsid w:val="005F51B2"/>
    <w:rsid w:val="005F52FF"/>
    <w:rsid w:val="005F5362"/>
    <w:rsid w:val="005F5370"/>
    <w:rsid w:val="005F54B3"/>
    <w:rsid w:val="005F5978"/>
    <w:rsid w:val="005F5F1E"/>
    <w:rsid w:val="005F6005"/>
    <w:rsid w:val="005F6042"/>
    <w:rsid w:val="005F60CE"/>
    <w:rsid w:val="005F61DC"/>
    <w:rsid w:val="005F6639"/>
    <w:rsid w:val="005F67DC"/>
    <w:rsid w:val="005F69D1"/>
    <w:rsid w:val="005F69F4"/>
    <w:rsid w:val="005F6A54"/>
    <w:rsid w:val="005F6BC0"/>
    <w:rsid w:val="005F709E"/>
    <w:rsid w:val="005F740C"/>
    <w:rsid w:val="005F7667"/>
    <w:rsid w:val="005F77A5"/>
    <w:rsid w:val="005F78FB"/>
    <w:rsid w:val="005F7E48"/>
    <w:rsid w:val="0060043A"/>
    <w:rsid w:val="0060054D"/>
    <w:rsid w:val="0060057A"/>
    <w:rsid w:val="00600B61"/>
    <w:rsid w:val="00600DDF"/>
    <w:rsid w:val="00600E76"/>
    <w:rsid w:val="00600ECC"/>
    <w:rsid w:val="006014C9"/>
    <w:rsid w:val="006016A6"/>
    <w:rsid w:val="006019EB"/>
    <w:rsid w:val="00601E54"/>
    <w:rsid w:val="00601EB1"/>
    <w:rsid w:val="00602A27"/>
    <w:rsid w:val="00602A8F"/>
    <w:rsid w:val="00602BA7"/>
    <w:rsid w:val="00602BD8"/>
    <w:rsid w:val="00602D42"/>
    <w:rsid w:val="00603149"/>
    <w:rsid w:val="00603270"/>
    <w:rsid w:val="006035F6"/>
    <w:rsid w:val="006037C1"/>
    <w:rsid w:val="00603B61"/>
    <w:rsid w:val="00603D00"/>
    <w:rsid w:val="00603E60"/>
    <w:rsid w:val="0060406E"/>
    <w:rsid w:val="00604781"/>
    <w:rsid w:val="00604930"/>
    <w:rsid w:val="006052EB"/>
    <w:rsid w:val="006052F6"/>
    <w:rsid w:val="00605539"/>
    <w:rsid w:val="0060595B"/>
    <w:rsid w:val="00605AD1"/>
    <w:rsid w:val="00605AD6"/>
    <w:rsid w:val="00605AFD"/>
    <w:rsid w:val="00606061"/>
    <w:rsid w:val="00606074"/>
    <w:rsid w:val="00606978"/>
    <w:rsid w:val="00606C8F"/>
    <w:rsid w:val="006070E5"/>
    <w:rsid w:val="00607738"/>
    <w:rsid w:val="00607A6E"/>
    <w:rsid w:val="00607C3F"/>
    <w:rsid w:val="00607C7C"/>
    <w:rsid w:val="00607CCD"/>
    <w:rsid w:val="00607DDF"/>
    <w:rsid w:val="00610685"/>
    <w:rsid w:val="0061074D"/>
    <w:rsid w:val="006107A5"/>
    <w:rsid w:val="00610D56"/>
    <w:rsid w:val="00611155"/>
    <w:rsid w:val="00611C02"/>
    <w:rsid w:val="0061234E"/>
    <w:rsid w:val="006123D4"/>
    <w:rsid w:val="006123FA"/>
    <w:rsid w:val="006127FB"/>
    <w:rsid w:val="00612C19"/>
    <w:rsid w:val="00612C77"/>
    <w:rsid w:val="00612CA0"/>
    <w:rsid w:val="00612E95"/>
    <w:rsid w:val="006131CD"/>
    <w:rsid w:val="00613663"/>
    <w:rsid w:val="0061380F"/>
    <w:rsid w:val="00613815"/>
    <w:rsid w:val="006140DA"/>
    <w:rsid w:val="006144AC"/>
    <w:rsid w:val="006144E1"/>
    <w:rsid w:val="00614747"/>
    <w:rsid w:val="006148D6"/>
    <w:rsid w:val="00614CB4"/>
    <w:rsid w:val="00614CEB"/>
    <w:rsid w:val="00614ECD"/>
    <w:rsid w:val="00614F39"/>
    <w:rsid w:val="00615142"/>
    <w:rsid w:val="00615156"/>
    <w:rsid w:val="006158A4"/>
    <w:rsid w:val="00615CE3"/>
    <w:rsid w:val="00615F19"/>
    <w:rsid w:val="0061609D"/>
    <w:rsid w:val="006163B3"/>
    <w:rsid w:val="00616A9F"/>
    <w:rsid w:val="00616D31"/>
    <w:rsid w:val="006172BA"/>
    <w:rsid w:val="00617552"/>
    <w:rsid w:val="006175B8"/>
    <w:rsid w:val="00617646"/>
    <w:rsid w:val="00617683"/>
    <w:rsid w:val="006177BA"/>
    <w:rsid w:val="00617E55"/>
    <w:rsid w:val="00620169"/>
    <w:rsid w:val="00620472"/>
    <w:rsid w:val="006207CD"/>
    <w:rsid w:val="00620D16"/>
    <w:rsid w:val="00620DFF"/>
    <w:rsid w:val="00620FB8"/>
    <w:rsid w:val="006214F0"/>
    <w:rsid w:val="00621649"/>
    <w:rsid w:val="006217CB"/>
    <w:rsid w:val="0062184C"/>
    <w:rsid w:val="00621A3B"/>
    <w:rsid w:val="00621E3C"/>
    <w:rsid w:val="00622243"/>
    <w:rsid w:val="006229DB"/>
    <w:rsid w:val="00622BD7"/>
    <w:rsid w:val="00622F11"/>
    <w:rsid w:val="00623848"/>
    <w:rsid w:val="006239D1"/>
    <w:rsid w:val="00623A86"/>
    <w:rsid w:val="0062423E"/>
    <w:rsid w:val="00624642"/>
    <w:rsid w:val="00624862"/>
    <w:rsid w:val="006249C0"/>
    <w:rsid w:val="00624CED"/>
    <w:rsid w:val="00624E64"/>
    <w:rsid w:val="006250E6"/>
    <w:rsid w:val="00625257"/>
    <w:rsid w:val="00625397"/>
    <w:rsid w:val="0062541E"/>
    <w:rsid w:val="00625465"/>
    <w:rsid w:val="006254DF"/>
    <w:rsid w:val="00625F83"/>
    <w:rsid w:val="00625FBB"/>
    <w:rsid w:val="0062639A"/>
    <w:rsid w:val="00626549"/>
    <w:rsid w:val="00626C57"/>
    <w:rsid w:val="00626EBE"/>
    <w:rsid w:val="006272EB"/>
    <w:rsid w:val="00627312"/>
    <w:rsid w:val="006274EB"/>
    <w:rsid w:val="006279DD"/>
    <w:rsid w:val="00627A7F"/>
    <w:rsid w:val="00627B54"/>
    <w:rsid w:val="00627F8E"/>
    <w:rsid w:val="006302B9"/>
    <w:rsid w:val="006304AF"/>
    <w:rsid w:val="006313FA"/>
    <w:rsid w:val="006315BB"/>
    <w:rsid w:val="006318C6"/>
    <w:rsid w:val="00631992"/>
    <w:rsid w:val="006319ED"/>
    <w:rsid w:val="00631EB7"/>
    <w:rsid w:val="006322E8"/>
    <w:rsid w:val="00632AB1"/>
    <w:rsid w:val="00632CC7"/>
    <w:rsid w:val="00632E18"/>
    <w:rsid w:val="00632ED6"/>
    <w:rsid w:val="00633159"/>
    <w:rsid w:val="006338AE"/>
    <w:rsid w:val="00633A90"/>
    <w:rsid w:val="00633ABF"/>
    <w:rsid w:val="00633D1D"/>
    <w:rsid w:val="0063486A"/>
    <w:rsid w:val="00634B3C"/>
    <w:rsid w:val="00634D71"/>
    <w:rsid w:val="00634FC1"/>
    <w:rsid w:val="00635191"/>
    <w:rsid w:val="006352FC"/>
    <w:rsid w:val="0063541E"/>
    <w:rsid w:val="00635B19"/>
    <w:rsid w:val="00635FD9"/>
    <w:rsid w:val="00636081"/>
    <w:rsid w:val="006362B2"/>
    <w:rsid w:val="00636318"/>
    <w:rsid w:val="00636737"/>
    <w:rsid w:val="006367D4"/>
    <w:rsid w:val="00636E06"/>
    <w:rsid w:val="00636E6A"/>
    <w:rsid w:val="00636F9E"/>
    <w:rsid w:val="0063708A"/>
    <w:rsid w:val="006371B6"/>
    <w:rsid w:val="006376F7"/>
    <w:rsid w:val="00637AF9"/>
    <w:rsid w:val="00637BAB"/>
    <w:rsid w:val="00637BF2"/>
    <w:rsid w:val="00637C14"/>
    <w:rsid w:val="00637D28"/>
    <w:rsid w:val="00637FDA"/>
    <w:rsid w:val="0064012C"/>
    <w:rsid w:val="006401BB"/>
    <w:rsid w:val="006404F1"/>
    <w:rsid w:val="006408FA"/>
    <w:rsid w:val="00640B03"/>
    <w:rsid w:val="00640C07"/>
    <w:rsid w:val="00640C4B"/>
    <w:rsid w:val="00640F95"/>
    <w:rsid w:val="00641249"/>
    <w:rsid w:val="0064125F"/>
    <w:rsid w:val="0064126E"/>
    <w:rsid w:val="006412F3"/>
    <w:rsid w:val="00641316"/>
    <w:rsid w:val="0064192D"/>
    <w:rsid w:val="00641BB3"/>
    <w:rsid w:val="00641FD5"/>
    <w:rsid w:val="006422C0"/>
    <w:rsid w:val="0064283C"/>
    <w:rsid w:val="00642CEA"/>
    <w:rsid w:val="00642E3B"/>
    <w:rsid w:val="006431D7"/>
    <w:rsid w:val="006434C3"/>
    <w:rsid w:val="00643A13"/>
    <w:rsid w:val="00643D8E"/>
    <w:rsid w:val="006442FE"/>
    <w:rsid w:val="0064485F"/>
    <w:rsid w:val="00644A96"/>
    <w:rsid w:val="00644DCB"/>
    <w:rsid w:val="00644EE7"/>
    <w:rsid w:val="00645042"/>
    <w:rsid w:val="00645103"/>
    <w:rsid w:val="0064537C"/>
    <w:rsid w:val="006454A6"/>
    <w:rsid w:val="00645D93"/>
    <w:rsid w:val="00645F11"/>
    <w:rsid w:val="00646250"/>
    <w:rsid w:val="00646379"/>
    <w:rsid w:val="006464A8"/>
    <w:rsid w:val="006464B6"/>
    <w:rsid w:val="00646524"/>
    <w:rsid w:val="0064654E"/>
    <w:rsid w:val="00646733"/>
    <w:rsid w:val="006467AD"/>
    <w:rsid w:val="00646A54"/>
    <w:rsid w:val="00646C29"/>
    <w:rsid w:val="00646DC1"/>
    <w:rsid w:val="006470D4"/>
    <w:rsid w:val="006471E5"/>
    <w:rsid w:val="00647429"/>
    <w:rsid w:val="006474D2"/>
    <w:rsid w:val="0064771A"/>
    <w:rsid w:val="00647781"/>
    <w:rsid w:val="0064788D"/>
    <w:rsid w:val="00647923"/>
    <w:rsid w:val="00647956"/>
    <w:rsid w:val="00647BE2"/>
    <w:rsid w:val="00647C68"/>
    <w:rsid w:val="00650128"/>
    <w:rsid w:val="00650191"/>
    <w:rsid w:val="006504FA"/>
    <w:rsid w:val="00650500"/>
    <w:rsid w:val="006508EE"/>
    <w:rsid w:val="00650D98"/>
    <w:rsid w:val="00650F5D"/>
    <w:rsid w:val="00651254"/>
    <w:rsid w:val="0065157F"/>
    <w:rsid w:val="006515A2"/>
    <w:rsid w:val="006515CA"/>
    <w:rsid w:val="00651DB1"/>
    <w:rsid w:val="00651E13"/>
    <w:rsid w:val="00652256"/>
    <w:rsid w:val="00652587"/>
    <w:rsid w:val="00652AF0"/>
    <w:rsid w:val="00652E68"/>
    <w:rsid w:val="00653090"/>
    <w:rsid w:val="00653777"/>
    <w:rsid w:val="00653844"/>
    <w:rsid w:val="00653AFB"/>
    <w:rsid w:val="006540CA"/>
    <w:rsid w:val="00654432"/>
    <w:rsid w:val="006547A0"/>
    <w:rsid w:val="00654B14"/>
    <w:rsid w:val="00654BCB"/>
    <w:rsid w:val="00654F2F"/>
    <w:rsid w:val="00654FA7"/>
    <w:rsid w:val="006550C4"/>
    <w:rsid w:val="00655153"/>
    <w:rsid w:val="006551E5"/>
    <w:rsid w:val="006553CF"/>
    <w:rsid w:val="006553F2"/>
    <w:rsid w:val="006554CE"/>
    <w:rsid w:val="0065558F"/>
    <w:rsid w:val="00656337"/>
    <w:rsid w:val="00656356"/>
    <w:rsid w:val="00656E57"/>
    <w:rsid w:val="00656E70"/>
    <w:rsid w:val="006570A2"/>
    <w:rsid w:val="00657340"/>
    <w:rsid w:val="006573A4"/>
    <w:rsid w:val="0065740D"/>
    <w:rsid w:val="00657424"/>
    <w:rsid w:val="006576B8"/>
    <w:rsid w:val="006579F8"/>
    <w:rsid w:val="00657D2C"/>
    <w:rsid w:val="00660ED6"/>
    <w:rsid w:val="006610FA"/>
    <w:rsid w:val="00661B61"/>
    <w:rsid w:val="00662491"/>
    <w:rsid w:val="006627AA"/>
    <w:rsid w:val="00662BDF"/>
    <w:rsid w:val="00662E51"/>
    <w:rsid w:val="00662FA7"/>
    <w:rsid w:val="00663509"/>
    <w:rsid w:val="0066361A"/>
    <w:rsid w:val="006636B0"/>
    <w:rsid w:val="00663A4B"/>
    <w:rsid w:val="00663D01"/>
    <w:rsid w:val="00664619"/>
    <w:rsid w:val="00664882"/>
    <w:rsid w:val="00664959"/>
    <w:rsid w:val="00664FC2"/>
    <w:rsid w:val="00665228"/>
    <w:rsid w:val="006654AF"/>
    <w:rsid w:val="006658D6"/>
    <w:rsid w:val="00665C26"/>
    <w:rsid w:val="00666466"/>
    <w:rsid w:val="00666731"/>
    <w:rsid w:val="00666A68"/>
    <w:rsid w:val="006672F4"/>
    <w:rsid w:val="00667741"/>
    <w:rsid w:val="006677D8"/>
    <w:rsid w:val="006679D4"/>
    <w:rsid w:val="00667A6D"/>
    <w:rsid w:val="00670CEB"/>
    <w:rsid w:val="006710BF"/>
    <w:rsid w:val="00671C48"/>
    <w:rsid w:val="00672173"/>
    <w:rsid w:val="006722A3"/>
    <w:rsid w:val="00672672"/>
    <w:rsid w:val="0067273F"/>
    <w:rsid w:val="00672830"/>
    <w:rsid w:val="00672CA0"/>
    <w:rsid w:val="00672E15"/>
    <w:rsid w:val="00673650"/>
    <w:rsid w:val="0067402B"/>
    <w:rsid w:val="00674B6D"/>
    <w:rsid w:val="00674C7D"/>
    <w:rsid w:val="00674D11"/>
    <w:rsid w:val="00674D7F"/>
    <w:rsid w:val="00674F10"/>
    <w:rsid w:val="00674FA4"/>
    <w:rsid w:val="006750AC"/>
    <w:rsid w:val="006750C8"/>
    <w:rsid w:val="0067523D"/>
    <w:rsid w:val="0067553A"/>
    <w:rsid w:val="006755BF"/>
    <w:rsid w:val="00675A60"/>
    <w:rsid w:val="00675D2E"/>
    <w:rsid w:val="00675E11"/>
    <w:rsid w:val="00675FC7"/>
    <w:rsid w:val="006767C6"/>
    <w:rsid w:val="0067686B"/>
    <w:rsid w:val="00676CB0"/>
    <w:rsid w:val="00676E0D"/>
    <w:rsid w:val="00676E65"/>
    <w:rsid w:val="00677557"/>
    <w:rsid w:val="006776A0"/>
    <w:rsid w:val="00677762"/>
    <w:rsid w:val="00677766"/>
    <w:rsid w:val="006777D5"/>
    <w:rsid w:val="006779ED"/>
    <w:rsid w:val="00680235"/>
    <w:rsid w:val="006803F9"/>
    <w:rsid w:val="006804E6"/>
    <w:rsid w:val="00680529"/>
    <w:rsid w:val="00680815"/>
    <w:rsid w:val="006809B9"/>
    <w:rsid w:val="00680C89"/>
    <w:rsid w:val="006810D3"/>
    <w:rsid w:val="0068119C"/>
    <w:rsid w:val="006816A9"/>
    <w:rsid w:val="00681DAD"/>
    <w:rsid w:val="006821E9"/>
    <w:rsid w:val="0068226E"/>
    <w:rsid w:val="006822FB"/>
    <w:rsid w:val="006823DC"/>
    <w:rsid w:val="006828A2"/>
    <w:rsid w:val="00682914"/>
    <w:rsid w:val="00682982"/>
    <w:rsid w:val="00682A08"/>
    <w:rsid w:val="00682A2D"/>
    <w:rsid w:val="00682D2E"/>
    <w:rsid w:val="006832D7"/>
    <w:rsid w:val="006834DE"/>
    <w:rsid w:val="006841EB"/>
    <w:rsid w:val="00684404"/>
    <w:rsid w:val="00684510"/>
    <w:rsid w:val="00684B85"/>
    <w:rsid w:val="00684C1E"/>
    <w:rsid w:val="00684E5E"/>
    <w:rsid w:val="00684F25"/>
    <w:rsid w:val="00685132"/>
    <w:rsid w:val="00685382"/>
    <w:rsid w:val="006853E6"/>
    <w:rsid w:val="00685612"/>
    <w:rsid w:val="00685884"/>
    <w:rsid w:val="00686165"/>
    <w:rsid w:val="0068627D"/>
    <w:rsid w:val="00686707"/>
    <w:rsid w:val="0068682E"/>
    <w:rsid w:val="0068697B"/>
    <w:rsid w:val="00686B22"/>
    <w:rsid w:val="00686DF2"/>
    <w:rsid w:val="00687200"/>
    <w:rsid w:val="0068733B"/>
    <w:rsid w:val="00687353"/>
    <w:rsid w:val="00687459"/>
    <w:rsid w:val="00687A81"/>
    <w:rsid w:val="00690002"/>
    <w:rsid w:val="006902DF"/>
    <w:rsid w:val="006902EC"/>
    <w:rsid w:val="0069056A"/>
    <w:rsid w:val="006909CA"/>
    <w:rsid w:val="00690B4A"/>
    <w:rsid w:val="00690C4D"/>
    <w:rsid w:val="00690EA3"/>
    <w:rsid w:val="00691152"/>
    <w:rsid w:val="006915C1"/>
    <w:rsid w:val="00691960"/>
    <w:rsid w:val="00691CB5"/>
    <w:rsid w:val="00691DC4"/>
    <w:rsid w:val="00692244"/>
    <w:rsid w:val="0069268C"/>
    <w:rsid w:val="00692ADA"/>
    <w:rsid w:val="00692B4E"/>
    <w:rsid w:val="00692D02"/>
    <w:rsid w:val="0069324D"/>
    <w:rsid w:val="0069348B"/>
    <w:rsid w:val="00693803"/>
    <w:rsid w:val="00693862"/>
    <w:rsid w:val="00693D1D"/>
    <w:rsid w:val="006943BF"/>
    <w:rsid w:val="00694604"/>
    <w:rsid w:val="00694B1B"/>
    <w:rsid w:val="00694FFD"/>
    <w:rsid w:val="006952A5"/>
    <w:rsid w:val="006954EC"/>
    <w:rsid w:val="006954FD"/>
    <w:rsid w:val="006957D9"/>
    <w:rsid w:val="00695870"/>
    <w:rsid w:val="006959A3"/>
    <w:rsid w:val="006959B1"/>
    <w:rsid w:val="00695AB3"/>
    <w:rsid w:val="0069609E"/>
    <w:rsid w:val="006961A3"/>
    <w:rsid w:val="006962F9"/>
    <w:rsid w:val="00696305"/>
    <w:rsid w:val="00696585"/>
    <w:rsid w:val="00696984"/>
    <w:rsid w:val="00696D38"/>
    <w:rsid w:val="00696ED7"/>
    <w:rsid w:val="00696F3D"/>
    <w:rsid w:val="00697693"/>
    <w:rsid w:val="0069782C"/>
    <w:rsid w:val="00697862"/>
    <w:rsid w:val="00697956"/>
    <w:rsid w:val="00697978"/>
    <w:rsid w:val="00697C76"/>
    <w:rsid w:val="00697CB6"/>
    <w:rsid w:val="00697DAC"/>
    <w:rsid w:val="00697E1A"/>
    <w:rsid w:val="006A07AE"/>
    <w:rsid w:val="006A0CA1"/>
    <w:rsid w:val="006A1183"/>
    <w:rsid w:val="006A119F"/>
    <w:rsid w:val="006A1DD3"/>
    <w:rsid w:val="006A20E8"/>
    <w:rsid w:val="006A21D2"/>
    <w:rsid w:val="006A243F"/>
    <w:rsid w:val="006A28FF"/>
    <w:rsid w:val="006A2D56"/>
    <w:rsid w:val="006A3961"/>
    <w:rsid w:val="006A39A9"/>
    <w:rsid w:val="006A3AE2"/>
    <w:rsid w:val="006A3B01"/>
    <w:rsid w:val="006A3CCA"/>
    <w:rsid w:val="006A3DA3"/>
    <w:rsid w:val="006A3E2D"/>
    <w:rsid w:val="006A4B20"/>
    <w:rsid w:val="006A4BF1"/>
    <w:rsid w:val="006A4CD0"/>
    <w:rsid w:val="006A4D80"/>
    <w:rsid w:val="006A4DEB"/>
    <w:rsid w:val="006A5600"/>
    <w:rsid w:val="006A5848"/>
    <w:rsid w:val="006A62B0"/>
    <w:rsid w:val="006A6566"/>
    <w:rsid w:val="006A6C2D"/>
    <w:rsid w:val="006A6EE1"/>
    <w:rsid w:val="006A6F6F"/>
    <w:rsid w:val="006A742E"/>
    <w:rsid w:val="006A7596"/>
    <w:rsid w:val="006A7A0E"/>
    <w:rsid w:val="006A7D95"/>
    <w:rsid w:val="006A7F19"/>
    <w:rsid w:val="006B01F1"/>
    <w:rsid w:val="006B0253"/>
    <w:rsid w:val="006B0397"/>
    <w:rsid w:val="006B03E9"/>
    <w:rsid w:val="006B0588"/>
    <w:rsid w:val="006B07CF"/>
    <w:rsid w:val="006B0C4E"/>
    <w:rsid w:val="006B0D45"/>
    <w:rsid w:val="006B1132"/>
    <w:rsid w:val="006B1223"/>
    <w:rsid w:val="006B1299"/>
    <w:rsid w:val="006B143A"/>
    <w:rsid w:val="006B153A"/>
    <w:rsid w:val="006B162B"/>
    <w:rsid w:val="006B1659"/>
    <w:rsid w:val="006B166A"/>
    <w:rsid w:val="006B1B54"/>
    <w:rsid w:val="006B1C0C"/>
    <w:rsid w:val="006B1F4B"/>
    <w:rsid w:val="006B26F1"/>
    <w:rsid w:val="006B27A7"/>
    <w:rsid w:val="006B298A"/>
    <w:rsid w:val="006B2A92"/>
    <w:rsid w:val="006B2B69"/>
    <w:rsid w:val="006B2BAB"/>
    <w:rsid w:val="006B3013"/>
    <w:rsid w:val="006B34C4"/>
    <w:rsid w:val="006B3515"/>
    <w:rsid w:val="006B3764"/>
    <w:rsid w:val="006B3922"/>
    <w:rsid w:val="006B3B94"/>
    <w:rsid w:val="006B4113"/>
    <w:rsid w:val="006B4234"/>
    <w:rsid w:val="006B4339"/>
    <w:rsid w:val="006B45E0"/>
    <w:rsid w:val="006B4A0D"/>
    <w:rsid w:val="006B537A"/>
    <w:rsid w:val="006B55E2"/>
    <w:rsid w:val="006B591A"/>
    <w:rsid w:val="006B5E7C"/>
    <w:rsid w:val="006B604D"/>
    <w:rsid w:val="006B669E"/>
    <w:rsid w:val="006B728C"/>
    <w:rsid w:val="006B753E"/>
    <w:rsid w:val="006B7733"/>
    <w:rsid w:val="006B78D4"/>
    <w:rsid w:val="006B7A22"/>
    <w:rsid w:val="006B7B3D"/>
    <w:rsid w:val="006B7D83"/>
    <w:rsid w:val="006B7E21"/>
    <w:rsid w:val="006C008D"/>
    <w:rsid w:val="006C0565"/>
    <w:rsid w:val="006C129F"/>
    <w:rsid w:val="006C19BD"/>
    <w:rsid w:val="006C1BC7"/>
    <w:rsid w:val="006C206E"/>
    <w:rsid w:val="006C2097"/>
    <w:rsid w:val="006C2730"/>
    <w:rsid w:val="006C2C31"/>
    <w:rsid w:val="006C35CF"/>
    <w:rsid w:val="006C3A14"/>
    <w:rsid w:val="006C3B29"/>
    <w:rsid w:val="006C3C57"/>
    <w:rsid w:val="006C3DC5"/>
    <w:rsid w:val="006C3E30"/>
    <w:rsid w:val="006C42CE"/>
    <w:rsid w:val="006C4554"/>
    <w:rsid w:val="006C5192"/>
    <w:rsid w:val="006C5193"/>
    <w:rsid w:val="006C5421"/>
    <w:rsid w:val="006C5936"/>
    <w:rsid w:val="006C5967"/>
    <w:rsid w:val="006C5A2C"/>
    <w:rsid w:val="006C5BB2"/>
    <w:rsid w:val="006C61B9"/>
    <w:rsid w:val="006C61CA"/>
    <w:rsid w:val="006C621F"/>
    <w:rsid w:val="006C62A1"/>
    <w:rsid w:val="006C645D"/>
    <w:rsid w:val="006C68D3"/>
    <w:rsid w:val="006C6D18"/>
    <w:rsid w:val="006C6F0B"/>
    <w:rsid w:val="006C6F47"/>
    <w:rsid w:val="006C74C5"/>
    <w:rsid w:val="006C7600"/>
    <w:rsid w:val="006C76CA"/>
    <w:rsid w:val="006C79D1"/>
    <w:rsid w:val="006C7D61"/>
    <w:rsid w:val="006D01B0"/>
    <w:rsid w:val="006D02C0"/>
    <w:rsid w:val="006D0489"/>
    <w:rsid w:val="006D0E2D"/>
    <w:rsid w:val="006D10D9"/>
    <w:rsid w:val="006D1B71"/>
    <w:rsid w:val="006D1E6F"/>
    <w:rsid w:val="006D23C0"/>
    <w:rsid w:val="006D24E1"/>
    <w:rsid w:val="006D24E2"/>
    <w:rsid w:val="006D2568"/>
    <w:rsid w:val="006D25CB"/>
    <w:rsid w:val="006D2809"/>
    <w:rsid w:val="006D2CCA"/>
    <w:rsid w:val="006D2F68"/>
    <w:rsid w:val="006D2F6C"/>
    <w:rsid w:val="006D3258"/>
    <w:rsid w:val="006D3A3C"/>
    <w:rsid w:val="006D3B79"/>
    <w:rsid w:val="006D42C7"/>
    <w:rsid w:val="006D459D"/>
    <w:rsid w:val="006D4847"/>
    <w:rsid w:val="006D49B8"/>
    <w:rsid w:val="006D50B8"/>
    <w:rsid w:val="006D51DC"/>
    <w:rsid w:val="006D532D"/>
    <w:rsid w:val="006D5423"/>
    <w:rsid w:val="006D562F"/>
    <w:rsid w:val="006D5723"/>
    <w:rsid w:val="006D5A4D"/>
    <w:rsid w:val="006D5A96"/>
    <w:rsid w:val="006D5BB1"/>
    <w:rsid w:val="006D5BC6"/>
    <w:rsid w:val="006D6280"/>
    <w:rsid w:val="006D657D"/>
    <w:rsid w:val="006D688A"/>
    <w:rsid w:val="006D697D"/>
    <w:rsid w:val="006D6BE9"/>
    <w:rsid w:val="006D70D2"/>
    <w:rsid w:val="006D722F"/>
    <w:rsid w:val="006D78B3"/>
    <w:rsid w:val="006D7CAE"/>
    <w:rsid w:val="006D7D12"/>
    <w:rsid w:val="006D7DF6"/>
    <w:rsid w:val="006E06EF"/>
    <w:rsid w:val="006E0772"/>
    <w:rsid w:val="006E0A5F"/>
    <w:rsid w:val="006E0C33"/>
    <w:rsid w:val="006E0C93"/>
    <w:rsid w:val="006E0E3C"/>
    <w:rsid w:val="006E0F7F"/>
    <w:rsid w:val="006E107A"/>
    <w:rsid w:val="006E143C"/>
    <w:rsid w:val="006E1744"/>
    <w:rsid w:val="006E17B5"/>
    <w:rsid w:val="006E1938"/>
    <w:rsid w:val="006E1B0F"/>
    <w:rsid w:val="006E1CDB"/>
    <w:rsid w:val="006E22C5"/>
    <w:rsid w:val="006E2736"/>
    <w:rsid w:val="006E28B3"/>
    <w:rsid w:val="006E2C89"/>
    <w:rsid w:val="006E3209"/>
    <w:rsid w:val="006E32F7"/>
    <w:rsid w:val="006E3397"/>
    <w:rsid w:val="006E35FE"/>
    <w:rsid w:val="006E36B1"/>
    <w:rsid w:val="006E3806"/>
    <w:rsid w:val="006E3BCB"/>
    <w:rsid w:val="006E3CC3"/>
    <w:rsid w:val="006E40DB"/>
    <w:rsid w:val="006E4323"/>
    <w:rsid w:val="006E4465"/>
    <w:rsid w:val="006E45AE"/>
    <w:rsid w:val="006E4A1F"/>
    <w:rsid w:val="006E4B5D"/>
    <w:rsid w:val="006E5301"/>
    <w:rsid w:val="006E5615"/>
    <w:rsid w:val="006E5F27"/>
    <w:rsid w:val="006E6071"/>
    <w:rsid w:val="006E6674"/>
    <w:rsid w:val="006E66C8"/>
    <w:rsid w:val="006E6777"/>
    <w:rsid w:val="006E6966"/>
    <w:rsid w:val="006E6C13"/>
    <w:rsid w:val="006E6D90"/>
    <w:rsid w:val="006E769C"/>
    <w:rsid w:val="006E7750"/>
    <w:rsid w:val="006E7925"/>
    <w:rsid w:val="006E7978"/>
    <w:rsid w:val="006E79FA"/>
    <w:rsid w:val="006E7C67"/>
    <w:rsid w:val="006F01EF"/>
    <w:rsid w:val="006F0626"/>
    <w:rsid w:val="006F0A74"/>
    <w:rsid w:val="006F114D"/>
    <w:rsid w:val="006F122D"/>
    <w:rsid w:val="006F173E"/>
    <w:rsid w:val="006F1BC1"/>
    <w:rsid w:val="006F1C16"/>
    <w:rsid w:val="006F1D40"/>
    <w:rsid w:val="006F1EE3"/>
    <w:rsid w:val="006F29CA"/>
    <w:rsid w:val="006F2AC5"/>
    <w:rsid w:val="006F2C41"/>
    <w:rsid w:val="006F2F7B"/>
    <w:rsid w:val="006F333B"/>
    <w:rsid w:val="006F348C"/>
    <w:rsid w:val="006F3E74"/>
    <w:rsid w:val="006F40FD"/>
    <w:rsid w:val="006F43E3"/>
    <w:rsid w:val="006F45BE"/>
    <w:rsid w:val="006F48A6"/>
    <w:rsid w:val="006F4942"/>
    <w:rsid w:val="006F4C1A"/>
    <w:rsid w:val="006F4D51"/>
    <w:rsid w:val="006F4E58"/>
    <w:rsid w:val="006F4ECB"/>
    <w:rsid w:val="006F59BA"/>
    <w:rsid w:val="006F5C13"/>
    <w:rsid w:val="006F6088"/>
    <w:rsid w:val="006F61BD"/>
    <w:rsid w:val="006F6203"/>
    <w:rsid w:val="006F656C"/>
    <w:rsid w:val="006F6738"/>
    <w:rsid w:val="006F6739"/>
    <w:rsid w:val="006F67EB"/>
    <w:rsid w:val="006F6CF2"/>
    <w:rsid w:val="006F7230"/>
    <w:rsid w:val="006F725E"/>
    <w:rsid w:val="006F7271"/>
    <w:rsid w:val="006F7F31"/>
    <w:rsid w:val="007004D6"/>
    <w:rsid w:val="00700ABB"/>
    <w:rsid w:val="00700EC5"/>
    <w:rsid w:val="007013A3"/>
    <w:rsid w:val="007017ED"/>
    <w:rsid w:val="00701964"/>
    <w:rsid w:val="00701D61"/>
    <w:rsid w:val="00701DA2"/>
    <w:rsid w:val="00701DFB"/>
    <w:rsid w:val="007021C6"/>
    <w:rsid w:val="007023A9"/>
    <w:rsid w:val="00702D17"/>
    <w:rsid w:val="00702D50"/>
    <w:rsid w:val="00702E76"/>
    <w:rsid w:val="007033C4"/>
    <w:rsid w:val="00703471"/>
    <w:rsid w:val="00703881"/>
    <w:rsid w:val="00703C40"/>
    <w:rsid w:val="00703E8A"/>
    <w:rsid w:val="00703FB3"/>
    <w:rsid w:val="007041C6"/>
    <w:rsid w:val="00704509"/>
    <w:rsid w:val="00704794"/>
    <w:rsid w:val="007047F7"/>
    <w:rsid w:val="00704961"/>
    <w:rsid w:val="0070507A"/>
    <w:rsid w:val="00705137"/>
    <w:rsid w:val="007055AE"/>
    <w:rsid w:val="00705695"/>
    <w:rsid w:val="0070570B"/>
    <w:rsid w:val="00705CAE"/>
    <w:rsid w:val="00705CD9"/>
    <w:rsid w:val="0070620E"/>
    <w:rsid w:val="0070631F"/>
    <w:rsid w:val="00706597"/>
    <w:rsid w:val="007068CC"/>
    <w:rsid w:val="007068EB"/>
    <w:rsid w:val="00706C69"/>
    <w:rsid w:val="00706D19"/>
    <w:rsid w:val="00706E62"/>
    <w:rsid w:val="00706F4F"/>
    <w:rsid w:val="00707014"/>
    <w:rsid w:val="00707157"/>
    <w:rsid w:val="00707257"/>
    <w:rsid w:val="0070726C"/>
    <w:rsid w:val="007079B5"/>
    <w:rsid w:val="00707BCF"/>
    <w:rsid w:val="00707BFD"/>
    <w:rsid w:val="00707D32"/>
    <w:rsid w:val="00707FEA"/>
    <w:rsid w:val="007104D9"/>
    <w:rsid w:val="00710947"/>
    <w:rsid w:val="00710D90"/>
    <w:rsid w:val="00710E13"/>
    <w:rsid w:val="00710F1B"/>
    <w:rsid w:val="00711667"/>
    <w:rsid w:val="007119DC"/>
    <w:rsid w:val="00711BEA"/>
    <w:rsid w:val="00711BEF"/>
    <w:rsid w:val="007121DD"/>
    <w:rsid w:val="00712AD8"/>
    <w:rsid w:val="0071305E"/>
    <w:rsid w:val="007131BE"/>
    <w:rsid w:val="00713346"/>
    <w:rsid w:val="00713792"/>
    <w:rsid w:val="007137D0"/>
    <w:rsid w:val="00713863"/>
    <w:rsid w:val="007139FC"/>
    <w:rsid w:val="00714205"/>
    <w:rsid w:val="007142F9"/>
    <w:rsid w:val="00714388"/>
    <w:rsid w:val="00714DD9"/>
    <w:rsid w:val="00714FA2"/>
    <w:rsid w:val="00715151"/>
    <w:rsid w:val="007157E3"/>
    <w:rsid w:val="00715845"/>
    <w:rsid w:val="00715864"/>
    <w:rsid w:val="00715C9D"/>
    <w:rsid w:val="0071680F"/>
    <w:rsid w:val="00716841"/>
    <w:rsid w:val="00716990"/>
    <w:rsid w:val="00716A84"/>
    <w:rsid w:val="00716BE5"/>
    <w:rsid w:val="00716DAB"/>
    <w:rsid w:val="00716ED9"/>
    <w:rsid w:val="00717151"/>
    <w:rsid w:val="0071742B"/>
    <w:rsid w:val="00717864"/>
    <w:rsid w:val="00717B16"/>
    <w:rsid w:val="00717DAC"/>
    <w:rsid w:val="007202A9"/>
    <w:rsid w:val="007204FE"/>
    <w:rsid w:val="007205DD"/>
    <w:rsid w:val="00720727"/>
    <w:rsid w:val="00720BA3"/>
    <w:rsid w:val="00720BCC"/>
    <w:rsid w:val="00720BF2"/>
    <w:rsid w:val="00720E62"/>
    <w:rsid w:val="007210D8"/>
    <w:rsid w:val="00721116"/>
    <w:rsid w:val="00721281"/>
    <w:rsid w:val="00721DB9"/>
    <w:rsid w:val="0072204D"/>
    <w:rsid w:val="00722776"/>
    <w:rsid w:val="0072287A"/>
    <w:rsid w:val="00722A2C"/>
    <w:rsid w:val="00722AFB"/>
    <w:rsid w:val="007230D9"/>
    <w:rsid w:val="007234E9"/>
    <w:rsid w:val="007235E6"/>
    <w:rsid w:val="00724ACE"/>
    <w:rsid w:val="00724B49"/>
    <w:rsid w:val="00724D74"/>
    <w:rsid w:val="00724EFB"/>
    <w:rsid w:val="00724F55"/>
    <w:rsid w:val="00724F7A"/>
    <w:rsid w:val="00725288"/>
    <w:rsid w:val="007252E2"/>
    <w:rsid w:val="007255E4"/>
    <w:rsid w:val="007255F4"/>
    <w:rsid w:val="00725667"/>
    <w:rsid w:val="0072573E"/>
    <w:rsid w:val="007258CE"/>
    <w:rsid w:val="00725A58"/>
    <w:rsid w:val="00725B6F"/>
    <w:rsid w:val="00725C49"/>
    <w:rsid w:val="00725F64"/>
    <w:rsid w:val="007260A9"/>
    <w:rsid w:val="007260BA"/>
    <w:rsid w:val="007262E4"/>
    <w:rsid w:val="007265D4"/>
    <w:rsid w:val="00726622"/>
    <w:rsid w:val="00726F24"/>
    <w:rsid w:val="007271AE"/>
    <w:rsid w:val="007271D5"/>
    <w:rsid w:val="0072725F"/>
    <w:rsid w:val="00727507"/>
    <w:rsid w:val="00727BF9"/>
    <w:rsid w:val="00727D55"/>
    <w:rsid w:val="007302EF"/>
    <w:rsid w:val="007303F1"/>
    <w:rsid w:val="00730477"/>
    <w:rsid w:val="00730664"/>
    <w:rsid w:val="007309A4"/>
    <w:rsid w:val="00730A8E"/>
    <w:rsid w:val="00730ED3"/>
    <w:rsid w:val="0073114B"/>
    <w:rsid w:val="007314E0"/>
    <w:rsid w:val="00731911"/>
    <w:rsid w:val="00731A25"/>
    <w:rsid w:val="00731D42"/>
    <w:rsid w:val="00731DBD"/>
    <w:rsid w:val="0073219B"/>
    <w:rsid w:val="00732EB8"/>
    <w:rsid w:val="0073344D"/>
    <w:rsid w:val="0073376D"/>
    <w:rsid w:val="0073379A"/>
    <w:rsid w:val="00733866"/>
    <w:rsid w:val="00733F00"/>
    <w:rsid w:val="007341FF"/>
    <w:rsid w:val="00734255"/>
    <w:rsid w:val="00734301"/>
    <w:rsid w:val="0073448A"/>
    <w:rsid w:val="00734E97"/>
    <w:rsid w:val="0073567B"/>
    <w:rsid w:val="007357F1"/>
    <w:rsid w:val="00735D38"/>
    <w:rsid w:val="00735E9B"/>
    <w:rsid w:val="00736159"/>
    <w:rsid w:val="00736216"/>
    <w:rsid w:val="00736346"/>
    <w:rsid w:val="007366F4"/>
    <w:rsid w:val="00736CC6"/>
    <w:rsid w:val="00736F92"/>
    <w:rsid w:val="007370A4"/>
    <w:rsid w:val="00737137"/>
    <w:rsid w:val="007371EB"/>
    <w:rsid w:val="0073739A"/>
    <w:rsid w:val="007373A9"/>
    <w:rsid w:val="00737519"/>
    <w:rsid w:val="00737529"/>
    <w:rsid w:val="00737828"/>
    <w:rsid w:val="00737B4A"/>
    <w:rsid w:val="00737D1D"/>
    <w:rsid w:val="00737DFC"/>
    <w:rsid w:val="00737FC3"/>
    <w:rsid w:val="007406E6"/>
    <w:rsid w:val="007409BE"/>
    <w:rsid w:val="00740AF5"/>
    <w:rsid w:val="00740B70"/>
    <w:rsid w:val="00741422"/>
    <w:rsid w:val="0074172E"/>
    <w:rsid w:val="00741C47"/>
    <w:rsid w:val="00742045"/>
    <w:rsid w:val="0074213B"/>
    <w:rsid w:val="00742779"/>
    <w:rsid w:val="0074290E"/>
    <w:rsid w:val="007429CB"/>
    <w:rsid w:val="00742B35"/>
    <w:rsid w:val="00742C04"/>
    <w:rsid w:val="007431FA"/>
    <w:rsid w:val="00743877"/>
    <w:rsid w:val="0074388E"/>
    <w:rsid w:val="0074395F"/>
    <w:rsid w:val="00743A5A"/>
    <w:rsid w:val="00743AF6"/>
    <w:rsid w:val="00743C2B"/>
    <w:rsid w:val="00743DAA"/>
    <w:rsid w:val="00743E88"/>
    <w:rsid w:val="00743FBD"/>
    <w:rsid w:val="0074401A"/>
    <w:rsid w:val="007441BD"/>
    <w:rsid w:val="0074483B"/>
    <w:rsid w:val="00744940"/>
    <w:rsid w:val="00744E28"/>
    <w:rsid w:val="00744EF3"/>
    <w:rsid w:val="007453A1"/>
    <w:rsid w:val="00745993"/>
    <w:rsid w:val="00745A87"/>
    <w:rsid w:val="00745E72"/>
    <w:rsid w:val="007466AA"/>
    <w:rsid w:val="00746881"/>
    <w:rsid w:val="00746933"/>
    <w:rsid w:val="00746B3A"/>
    <w:rsid w:val="00746B3D"/>
    <w:rsid w:val="00746DA3"/>
    <w:rsid w:val="00746E52"/>
    <w:rsid w:val="00747161"/>
    <w:rsid w:val="007473F4"/>
    <w:rsid w:val="007476F4"/>
    <w:rsid w:val="00747D83"/>
    <w:rsid w:val="00747FBE"/>
    <w:rsid w:val="00747FCE"/>
    <w:rsid w:val="00747FE6"/>
    <w:rsid w:val="00750451"/>
    <w:rsid w:val="007504BB"/>
    <w:rsid w:val="00751165"/>
    <w:rsid w:val="0075142D"/>
    <w:rsid w:val="00751540"/>
    <w:rsid w:val="007517B4"/>
    <w:rsid w:val="00751911"/>
    <w:rsid w:val="0075191C"/>
    <w:rsid w:val="00751B98"/>
    <w:rsid w:val="00751C58"/>
    <w:rsid w:val="007528AC"/>
    <w:rsid w:val="007529C9"/>
    <w:rsid w:val="007531AE"/>
    <w:rsid w:val="007532D7"/>
    <w:rsid w:val="007532E8"/>
    <w:rsid w:val="007534E0"/>
    <w:rsid w:val="007534EC"/>
    <w:rsid w:val="0075388F"/>
    <w:rsid w:val="00753D73"/>
    <w:rsid w:val="00753DBF"/>
    <w:rsid w:val="00753E23"/>
    <w:rsid w:val="00754317"/>
    <w:rsid w:val="00754AA4"/>
    <w:rsid w:val="00754B44"/>
    <w:rsid w:val="00754DC3"/>
    <w:rsid w:val="0075528C"/>
    <w:rsid w:val="007557C5"/>
    <w:rsid w:val="00755C10"/>
    <w:rsid w:val="00755C46"/>
    <w:rsid w:val="00755E91"/>
    <w:rsid w:val="00756039"/>
    <w:rsid w:val="007560E8"/>
    <w:rsid w:val="00756303"/>
    <w:rsid w:val="00756941"/>
    <w:rsid w:val="00756B92"/>
    <w:rsid w:val="00756FF5"/>
    <w:rsid w:val="007572A9"/>
    <w:rsid w:val="00757326"/>
    <w:rsid w:val="007577AD"/>
    <w:rsid w:val="00757816"/>
    <w:rsid w:val="007600D3"/>
    <w:rsid w:val="007603F0"/>
    <w:rsid w:val="007607E5"/>
    <w:rsid w:val="00760C04"/>
    <w:rsid w:val="00760C4B"/>
    <w:rsid w:val="00760E8D"/>
    <w:rsid w:val="007612A4"/>
    <w:rsid w:val="007614E1"/>
    <w:rsid w:val="00761624"/>
    <w:rsid w:val="007616B5"/>
    <w:rsid w:val="0076183B"/>
    <w:rsid w:val="0076198A"/>
    <w:rsid w:val="00761CCD"/>
    <w:rsid w:val="00761E9F"/>
    <w:rsid w:val="0076204B"/>
    <w:rsid w:val="00762520"/>
    <w:rsid w:val="0076283B"/>
    <w:rsid w:val="007629A9"/>
    <w:rsid w:val="00762A48"/>
    <w:rsid w:val="00762D88"/>
    <w:rsid w:val="00763E52"/>
    <w:rsid w:val="00764156"/>
    <w:rsid w:val="00764690"/>
    <w:rsid w:val="007647CA"/>
    <w:rsid w:val="007648F5"/>
    <w:rsid w:val="00764CC7"/>
    <w:rsid w:val="00764CDC"/>
    <w:rsid w:val="00764DCD"/>
    <w:rsid w:val="00765029"/>
    <w:rsid w:val="007651E3"/>
    <w:rsid w:val="007657F7"/>
    <w:rsid w:val="00765A7A"/>
    <w:rsid w:val="007662F1"/>
    <w:rsid w:val="00766345"/>
    <w:rsid w:val="007663CD"/>
    <w:rsid w:val="00766418"/>
    <w:rsid w:val="007664DB"/>
    <w:rsid w:val="00766566"/>
    <w:rsid w:val="0076671F"/>
    <w:rsid w:val="0076679E"/>
    <w:rsid w:val="007669A5"/>
    <w:rsid w:val="00766A6F"/>
    <w:rsid w:val="00766F51"/>
    <w:rsid w:val="007673A7"/>
    <w:rsid w:val="00770022"/>
    <w:rsid w:val="00770088"/>
    <w:rsid w:val="00770165"/>
    <w:rsid w:val="0077024F"/>
    <w:rsid w:val="00770373"/>
    <w:rsid w:val="0077070A"/>
    <w:rsid w:val="007709B9"/>
    <w:rsid w:val="00770E7C"/>
    <w:rsid w:val="00771102"/>
    <w:rsid w:val="007711A4"/>
    <w:rsid w:val="0077137C"/>
    <w:rsid w:val="00771B2B"/>
    <w:rsid w:val="00771E7E"/>
    <w:rsid w:val="00772143"/>
    <w:rsid w:val="0077215E"/>
    <w:rsid w:val="007721A8"/>
    <w:rsid w:val="0077229F"/>
    <w:rsid w:val="007725D7"/>
    <w:rsid w:val="007726C8"/>
    <w:rsid w:val="00772A2D"/>
    <w:rsid w:val="00772DB5"/>
    <w:rsid w:val="00772DC5"/>
    <w:rsid w:val="00772F68"/>
    <w:rsid w:val="007733B3"/>
    <w:rsid w:val="007739DC"/>
    <w:rsid w:val="00773BE5"/>
    <w:rsid w:val="00773C8C"/>
    <w:rsid w:val="00773D23"/>
    <w:rsid w:val="00773DB9"/>
    <w:rsid w:val="00773F3D"/>
    <w:rsid w:val="00774033"/>
    <w:rsid w:val="00774363"/>
    <w:rsid w:val="0077446E"/>
    <w:rsid w:val="007747D6"/>
    <w:rsid w:val="007748D5"/>
    <w:rsid w:val="00774B6B"/>
    <w:rsid w:val="0077520A"/>
    <w:rsid w:val="0077545A"/>
    <w:rsid w:val="0077554D"/>
    <w:rsid w:val="00775702"/>
    <w:rsid w:val="00775D4C"/>
    <w:rsid w:val="007763B0"/>
    <w:rsid w:val="00776D40"/>
    <w:rsid w:val="007770AF"/>
    <w:rsid w:val="007770D8"/>
    <w:rsid w:val="00777985"/>
    <w:rsid w:val="00777A97"/>
    <w:rsid w:val="00777F69"/>
    <w:rsid w:val="0078037D"/>
    <w:rsid w:val="007807DD"/>
    <w:rsid w:val="007809C1"/>
    <w:rsid w:val="00780DF3"/>
    <w:rsid w:val="00780F78"/>
    <w:rsid w:val="00781000"/>
    <w:rsid w:val="007812E7"/>
    <w:rsid w:val="00781343"/>
    <w:rsid w:val="007813D4"/>
    <w:rsid w:val="00781987"/>
    <w:rsid w:val="007819BA"/>
    <w:rsid w:val="00781BEC"/>
    <w:rsid w:val="00781C65"/>
    <w:rsid w:val="00781E11"/>
    <w:rsid w:val="007822B4"/>
    <w:rsid w:val="0078244F"/>
    <w:rsid w:val="00782524"/>
    <w:rsid w:val="007825E2"/>
    <w:rsid w:val="007829A8"/>
    <w:rsid w:val="007835EF"/>
    <w:rsid w:val="00783616"/>
    <w:rsid w:val="00783738"/>
    <w:rsid w:val="007839A0"/>
    <w:rsid w:val="00783A2E"/>
    <w:rsid w:val="007841AB"/>
    <w:rsid w:val="0078427F"/>
    <w:rsid w:val="0078444A"/>
    <w:rsid w:val="00784772"/>
    <w:rsid w:val="00784DCF"/>
    <w:rsid w:val="00784EC0"/>
    <w:rsid w:val="0078509F"/>
    <w:rsid w:val="007854A5"/>
    <w:rsid w:val="00785AB9"/>
    <w:rsid w:val="00785D0A"/>
    <w:rsid w:val="007864AA"/>
    <w:rsid w:val="00786738"/>
    <w:rsid w:val="00786754"/>
    <w:rsid w:val="00786BC3"/>
    <w:rsid w:val="00786D74"/>
    <w:rsid w:val="00786F1D"/>
    <w:rsid w:val="0078708B"/>
    <w:rsid w:val="007873FB"/>
    <w:rsid w:val="00787454"/>
    <w:rsid w:val="0078756F"/>
    <w:rsid w:val="007877C0"/>
    <w:rsid w:val="00787ACD"/>
    <w:rsid w:val="00787B00"/>
    <w:rsid w:val="00787B47"/>
    <w:rsid w:val="00787B93"/>
    <w:rsid w:val="00787BF3"/>
    <w:rsid w:val="00787CAB"/>
    <w:rsid w:val="00790067"/>
    <w:rsid w:val="00790166"/>
    <w:rsid w:val="0079020B"/>
    <w:rsid w:val="0079044B"/>
    <w:rsid w:val="007904E8"/>
    <w:rsid w:val="00790B2E"/>
    <w:rsid w:val="00790CE9"/>
    <w:rsid w:val="00790D75"/>
    <w:rsid w:val="00790EDE"/>
    <w:rsid w:val="0079120C"/>
    <w:rsid w:val="0079165C"/>
    <w:rsid w:val="007918F4"/>
    <w:rsid w:val="00791B23"/>
    <w:rsid w:val="00791C41"/>
    <w:rsid w:val="00791EAA"/>
    <w:rsid w:val="0079220D"/>
    <w:rsid w:val="007928F7"/>
    <w:rsid w:val="00792AEE"/>
    <w:rsid w:val="00792C34"/>
    <w:rsid w:val="00792C45"/>
    <w:rsid w:val="00792FBB"/>
    <w:rsid w:val="00793212"/>
    <w:rsid w:val="00793239"/>
    <w:rsid w:val="00793776"/>
    <w:rsid w:val="00793A6C"/>
    <w:rsid w:val="0079423A"/>
    <w:rsid w:val="00794499"/>
    <w:rsid w:val="00794509"/>
    <w:rsid w:val="00794965"/>
    <w:rsid w:val="00794A32"/>
    <w:rsid w:val="0079527C"/>
    <w:rsid w:val="00795429"/>
    <w:rsid w:val="007954C9"/>
    <w:rsid w:val="00795CCC"/>
    <w:rsid w:val="00795F5E"/>
    <w:rsid w:val="007963B5"/>
    <w:rsid w:val="007966D3"/>
    <w:rsid w:val="00796C7A"/>
    <w:rsid w:val="00797024"/>
    <w:rsid w:val="0079771D"/>
    <w:rsid w:val="00797C2D"/>
    <w:rsid w:val="00797D85"/>
    <w:rsid w:val="007A02BF"/>
    <w:rsid w:val="007A06A8"/>
    <w:rsid w:val="007A088C"/>
    <w:rsid w:val="007A0C04"/>
    <w:rsid w:val="007A0C5F"/>
    <w:rsid w:val="007A19CF"/>
    <w:rsid w:val="007A1A94"/>
    <w:rsid w:val="007A1C3A"/>
    <w:rsid w:val="007A236C"/>
    <w:rsid w:val="007A2948"/>
    <w:rsid w:val="007A2961"/>
    <w:rsid w:val="007A2A69"/>
    <w:rsid w:val="007A2B0D"/>
    <w:rsid w:val="007A2F8D"/>
    <w:rsid w:val="007A2FC2"/>
    <w:rsid w:val="007A305F"/>
    <w:rsid w:val="007A32A9"/>
    <w:rsid w:val="007A32ED"/>
    <w:rsid w:val="007A32F0"/>
    <w:rsid w:val="007A36E2"/>
    <w:rsid w:val="007A3C4D"/>
    <w:rsid w:val="007A3E53"/>
    <w:rsid w:val="007A4112"/>
    <w:rsid w:val="007A43B2"/>
    <w:rsid w:val="007A469F"/>
    <w:rsid w:val="007A4CE8"/>
    <w:rsid w:val="007A53D9"/>
    <w:rsid w:val="007A5BF6"/>
    <w:rsid w:val="007A5D85"/>
    <w:rsid w:val="007A5F83"/>
    <w:rsid w:val="007A6627"/>
    <w:rsid w:val="007A679C"/>
    <w:rsid w:val="007A67EC"/>
    <w:rsid w:val="007A6E07"/>
    <w:rsid w:val="007A74C7"/>
    <w:rsid w:val="007A753B"/>
    <w:rsid w:val="007A767F"/>
    <w:rsid w:val="007A79E0"/>
    <w:rsid w:val="007A7C48"/>
    <w:rsid w:val="007A7C84"/>
    <w:rsid w:val="007A7DD4"/>
    <w:rsid w:val="007A7EAC"/>
    <w:rsid w:val="007A7FF8"/>
    <w:rsid w:val="007B02B6"/>
    <w:rsid w:val="007B0693"/>
    <w:rsid w:val="007B0912"/>
    <w:rsid w:val="007B0A69"/>
    <w:rsid w:val="007B0EA5"/>
    <w:rsid w:val="007B1212"/>
    <w:rsid w:val="007B1217"/>
    <w:rsid w:val="007B14AA"/>
    <w:rsid w:val="007B1BFA"/>
    <w:rsid w:val="007B1F90"/>
    <w:rsid w:val="007B211B"/>
    <w:rsid w:val="007B257B"/>
    <w:rsid w:val="007B269C"/>
    <w:rsid w:val="007B2C51"/>
    <w:rsid w:val="007B31CC"/>
    <w:rsid w:val="007B34E8"/>
    <w:rsid w:val="007B37C7"/>
    <w:rsid w:val="007B37F7"/>
    <w:rsid w:val="007B3D10"/>
    <w:rsid w:val="007B3DB8"/>
    <w:rsid w:val="007B3FD8"/>
    <w:rsid w:val="007B41B8"/>
    <w:rsid w:val="007B45D2"/>
    <w:rsid w:val="007B4B4A"/>
    <w:rsid w:val="007B4BDA"/>
    <w:rsid w:val="007B4C1C"/>
    <w:rsid w:val="007B4DD5"/>
    <w:rsid w:val="007B4E6C"/>
    <w:rsid w:val="007B4F37"/>
    <w:rsid w:val="007B52D0"/>
    <w:rsid w:val="007B530A"/>
    <w:rsid w:val="007B5480"/>
    <w:rsid w:val="007B55CF"/>
    <w:rsid w:val="007B57D2"/>
    <w:rsid w:val="007B5858"/>
    <w:rsid w:val="007B5DEB"/>
    <w:rsid w:val="007B5F84"/>
    <w:rsid w:val="007B5F97"/>
    <w:rsid w:val="007B603C"/>
    <w:rsid w:val="007B6493"/>
    <w:rsid w:val="007B66D0"/>
    <w:rsid w:val="007B66D4"/>
    <w:rsid w:val="007B68D5"/>
    <w:rsid w:val="007B6AAC"/>
    <w:rsid w:val="007B6BBD"/>
    <w:rsid w:val="007B6F92"/>
    <w:rsid w:val="007B7154"/>
    <w:rsid w:val="007B7300"/>
    <w:rsid w:val="007B7A65"/>
    <w:rsid w:val="007B7E0A"/>
    <w:rsid w:val="007C0065"/>
    <w:rsid w:val="007C0090"/>
    <w:rsid w:val="007C0102"/>
    <w:rsid w:val="007C0146"/>
    <w:rsid w:val="007C068E"/>
    <w:rsid w:val="007C08D0"/>
    <w:rsid w:val="007C0A73"/>
    <w:rsid w:val="007C0CE2"/>
    <w:rsid w:val="007C0F97"/>
    <w:rsid w:val="007C0FAC"/>
    <w:rsid w:val="007C11E3"/>
    <w:rsid w:val="007C131D"/>
    <w:rsid w:val="007C15AA"/>
    <w:rsid w:val="007C1656"/>
    <w:rsid w:val="007C178B"/>
    <w:rsid w:val="007C1BC9"/>
    <w:rsid w:val="007C1D5E"/>
    <w:rsid w:val="007C20FE"/>
    <w:rsid w:val="007C2170"/>
    <w:rsid w:val="007C2386"/>
    <w:rsid w:val="007C246C"/>
    <w:rsid w:val="007C26D4"/>
    <w:rsid w:val="007C284E"/>
    <w:rsid w:val="007C29BE"/>
    <w:rsid w:val="007C2B39"/>
    <w:rsid w:val="007C320F"/>
    <w:rsid w:val="007C381F"/>
    <w:rsid w:val="007C3BB3"/>
    <w:rsid w:val="007C4710"/>
    <w:rsid w:val="007C47AF"/>
    <w:rsid w:val="007C4809"/>
    <w:rsid w:val="007C48E3"/>
    <w:rsid w:val="007C4C2D"/>
    <w:rsid w:val="007C4FC4"/>
    <w:rsid w:val="007C5121"/>
    <w:rsid w:val="007C5142"/>
    <w:rsid w:val="007C580B"/>
    <w:rsid w:val="007C5EB2"/>
    <w:rsid w:val="007C5F01"/>
    <w:rsid w:val="007C60A9"/>
    <w:rsid w:val="007C6165"/>
    <w:rsid w:val="007C630B"/>
    <w:rsid w:val="007C6369"/>
    <w:rsid w:val="007C6466"/>
    <w:rsid w:val="007C67A2"/>
    <w:rsid w:val="007C67E8"/>
    <w:rsid w:val="007C6EFD"/>
    <w:rsid w:val="007C7147"/>
    <w:rsid w:val="007C7361"/>
    <w:rsid w:val="007C7B2A"/>
    <w:rsid w:val="007D03E2"/>
    <w:rsid w:val="007D0400"/>
    <w:rsid w:val="007D079E"/>
    <w:rsid w:val="007D08B0"/>
    <w:rsid w:val="007D08CC"/>
    <w:rsid w:val="007D0B3B"/>
    <w:rsid w:val="007D0BE3"/>
    <w:rsid w:val="007D0C3B"/>
    <w:rsid w:val="007D0D5D"/>
    <w:rsid w:val="007D1031"/>
    <w:rsid w:val="007D17C2"/>
    <w:rsid w:val="007D1AF6"/>
    <w:rsid w:val="007D1C18"/>
    <w:rsid w:val="007D1F7D"/>
    <w:rsid w:val="007D2655"/>
    <w:rsid w:val="007D28E6"/>
    <w:rsid w:val="007D28EA"/>
    <w:rsid w:val="007D2DE9"/>
    <w:rsid w:val="007D309E"/>
    <w:rsid w:val="007D3228"/>
    <w:rsid w:val="007D349A"/>
    <w:rsid w:val="007D35C7"/>
    <w:rsid w:val="007D3BA0"/>
    <w:rsid w:val="007D3D52"/>
    <w:rsid w:val="007D3FA5"/>
    <w:rsid w:val="007D4437"/>
    <w:rsid w:val="007D45D3"/>
    <w:rsid w:val="007D49C9"/>
    <w:rsid w:val="007D4ACD"/>
    <w:rsid w:val="007D5067"/>
    <w:rsid w:val="007D5217"/>
    <w:rsid w:val="007D566B"/>
    <w:rsid w:val="007D5AA6"/>
    <w:rsid w:val="007D5D5D"/>
    <w:rsid w:val="007D5F46"/>
    <w:rsid w:val="007D62AC"/>
    <w:rsid w:val="007D65A2"/>
    <w:rsid w:val="007D668A"/>
    <w:rsid w:val="007D67A5"/>
    <w:rsid w:val="007D6CA4"/>
    <w:rsid w:val="007D7180"/>
    <w:rsid w:val="007D726E"/>
    <w:rsid w:val="007D733D"/>
    <w:rsid w:val="007D749B"/>
    <w:rsid w:val="007D74C5"/>
    <w:rsid w:val="007E014D"/>
    <w:rsid w:val="007E03A3"/>
    <w:rsid w:val="007E03F6"/>
    <w:rsid w:val="007E0B8E"/>
    <w:rsid w:val="007E0D0D"/>
    <w:rsid w:val="007E0FED"/>
    <w:rsid w:val="007E15C9"/>
    <w:rsid w:val="007E1C76"/>
    <w:rsid w:val="007E24D8"/>
    <w:rsid w:val="007E2972"/>
    <w:rsid w:val="007E2AB9"/>
    <w:rsid w:val="007E2C3F"/>
    <w:rsid w:val="007E2D30"/>
    <w:rsid w:val="007E2DC3"/>
    <w:rsid w:val="007E2EFE"/>
    <w:rsid w:val="007E31DA"/>
    <w:rsid w:val="007E32B4"/>
    <w:rsid w:val="007E3311"/>
    <w:rsid w:val="007E388A"/>
    <w:rsid w:val="007E3CDC"/>
    <w:rsid w:val="007E3CEB"/>
    <w:rsid w:val="007E42FD"/>
    <w:rsid w:val="007E4375"/>
    <w:rsid w:val="007E4E9D"/>
    <w:rsid w:val="007E4EEA"/>
    <w:rsid w:val="007E4F05"/>
    <w:rsid w:val="007E4F0B"/>
    <w:rsid w:val="007E500F"/>
    <w:rsid w:val="007E5053"/>
    <w:rsid w:val="007E5497"/>
    <w:rsid w:val="007E5723"/>
    <w:rsid w:val="007E5750"/>
    <w:rsid w:val="007E58BA"/>
    <w:rsid w:val="007E590E"/>
    <w:rsid w:val="007E59B3"/>
    <w:rsid w:val="007E5E5D"/>
    <w:rsid w:val="007E63AD"/>
    <w:rsid w:val="007E6456"/>
    <w:rsid w:val="007E6464"/>
    <w:rsid w:val="007E651A"/>
    <w:rsid w:val="007E665A"/>
    <w:rsid w:val="007E6AA2"/>
    <w:rsid w:val="007E75E4"/>
    <w:rsid w:val="007E75E5"/>
    <w:rsid w:val="007E7629"/>
    <w:rsid w:val="007E76DD"/>
    <w:rsid w:val="007E7895"/>
    <w:rsid w:val="007E78AC"/>
    <w:rsid w:val="007E7973"/>
    <w:rsid w:val="007F0D4D"/>
    <w:rsid w:val="007F0F5A"/>
    <w:rsid w:val="007F121C"/>
    <w:rsid w:val="007F134C"/>
    <w:rsid w:val="007F137C"/>
    <w:rsid w:val="007F1DDA"/>
    <w:rsid w:val="007F21B6"/>
    <w:rsid w:val="007F2518"/>
    <w:rsid w:val="007F264D"/>
    <w:rsid w:val="007F28CC"/>
    <w:rsid w:val="007F2C92"/>
    <w:rsid w:val="007F2FBE"/>
    <w:rsid w:val="007F321A"/>
    <w:rsid w:val="007F3371"/>
    <w:rsid w:val="007F3399"/>
    <w:rsid w:val="007F372D"/>
    <w:rsid w:val="007F383A"/>
    <w:rsid w:val="007F3A2D"/>
    <w:rsid w:val="007F3C40"/>
    <w:rsid w:val="007F3E68"/>
    <w:rsid w:val="007F43FD"/>
    <w:rsid w:val="007F482B"/>
    <w:rsid w:val="007F497E"/>
    <w:rsid w:val="007F4AF7"/>
    <w:rsid w:val="007F5069"/>
    <w:rsid w:val="007F5184"/>
    <w:rsid w:val="007F51FE"/>
    <w:rsid w:val="007F58B5"/>
    <w:rsid w:val="007F5B74"/>
    <w:rsid w:val="007F5CBC"/>
    <w:rsid w:val="007F5D57"/>
    <w:rsid w:val="007F64C1"/>
    <w:rsid w:val="007F6856"/>
    <w:rsid w:val="007F68A7"/>
    <w:rsid w:val="007F69F1"/>
    <w:rsid w:val="007F6DDA"/>
    <w:rsid w:val="007F6EB7"/>
    <w:rsid w:val="007F7AF1"/>
    <w:rsid w:val="007F7CCE"/>
    <w:rsid w:val="007F7CF0"/>
    <w:rsid w:val="007F7D42"/>
    <w:rsid w:val="007F7E71"/>
    <w:rsid w:val="00800182"/>
    <w:rsid w:val="00800273"/>
    <w:rsid w:val="008006DC"/>
    <w:rsid w:val="008009B2"/>
    <w:rsid w:val="00800C97"/>
    <w:rsid w:val="00800DDA"/>
    <w:rsid w:val="00800E98"/>
    <w:rsid w:val="00801027"/>
    <w:rsid w:val="00801567"/>
    <w:rsid w:val="0080164B"/>
    <w:rsid w:val="008020DD"/>
    <w:rsid w:val="008027FE"/>
    <w:rsid w:val="008029A9"/>
    <w:rsid w:val="00802BCA"/>
    <w:rsid w:val="00802F74"/>
    <w:rsid w:val="0080302C"/>
    <w:rsid w:val="00803135"/>
    <w:rsid w:val="0080354A"/>
    <w:rsid w:val="008035DF"/>
    <w:rsid w:val="008039D7"/>
    <w:rsid w:val="00803A80"/>
    <w:rsid w:val="00803F64"/>
    <w:rsid w:val="00804274"/>
    <w:rsid w:val="008043EA"/>
    <w:rsid w:val="00804A48"/>
    <w:rsid w:val="00804B17"/>
    <w:rsid w:val="008050AD"/>
    <w:rsid w:val="00805147"/>
    <w:rsid w:val="00805967"/>
    <w:rsid w:val="00806345"/>
    <w:rsid w:val="00806AD6"/>
    <w:rsid w:val="00807099"/>
    <w:rsid w:val="0080711A"/>
    <w:rsid w:val="008071BE"/>
    <w:rsid w:val="008073B2"/>
    <w:rsid w:val="008074F2"/>
    <w:rsid w:val="0080750A"/>
    <w:rsid w:val="008075F4"/>
    <w:rsid w:val="008076BA"/>
    <w:rsid w:val="00807806"/>
    <w:rsid w:val="00807B03"/>
    <w:rsid w:val="00807B1F"/>
    <w:rsid w:val="00807B80"/>
    <w:rsid w:val="008107E6"/>
    <w:rsid w:val="0081085E"/>
    <w:rsid w:val="008109F1"/>
    <w:rsid w:val="00810ABF"/>
    <w:rsid w:val="00810D2B"/>
    <w:rsid w:val="00810E82"/>
    <w:rsid w:val="00810ED3"/>
    <w:rsid w:val="00811230"/>
    <w:rsid w:val="00811303"/>
    <w:rsid w:val="008113A4"/>
    <w:rsid w:val="00811857"/>
    <w:rsid w:val="00811AB9"/>
    <w:rsid w:val="00811B3E"/>
    <w:rsid w:val="00811B9E"/>
    <w:rsid w:val="00811D8D"/>
    <w:rsid w:val="0081204B"/>
    <w:rsid w:val="008122B2"/>
    <w:rsid w:val="008125CB"/>
    <w:rsid w:val="00812B04"/>
    <w:rsid w:val="00812B23"/>
    <w:rsid w:val="00812B25"/>
    <w:rsid w:val="00812BF7"/>
    <w:rsid w:val="00812EB0"/>
    <w:rsid w:val="00812F71"/>
    <w:rsid w:val="0081322D"/>
    <w:rsid w:val="008132CA"/>
    <w:rsid w:val="00813990"/>
    <w:rsid w:val="00813A54"/>
    <w:rsid w:val="00813AF9"/>
    <w:rsid w:val="00813F8E"/>
    <w:rsid w:val="00813FBA"/>
    <w:rsid w:val="0081437F"/>
    <w:rsid w:val="0081474A"/>
    <w:rsid w:val="00814865"/>
    <w:rsid w:val="0081488E"/>
    <w:rsid w:val="008148FE"/>
    <w:rsid w:val="008149D1"/>
    <w:rsid w:val="00814B11"/>
    <w:rsid w:val="00814D4B"/>
    <w:rsid w:val="00814DC8"/>
    <w:rsid w:val="00814F27"/>
    <w:rsid w:val="008150A5"/>
    <w:rsid w:val="00815279"/>
    <w:rsid w:val="00815836"/>
    <w:rsid w:val="00815960"/>
    <w:rsid w:val="00815AAD"/>
    <w:rsid w:val="00815B08"/>
    <w:rsid w:val="00815B97"/>
    <w:rsid w:val="00815C84"/>
    <w:rsid w:val="00815FD3"/>
    <w:rsid w:val="0081613E"/>
    <w:rsid w:val="00816472"/>
    <w:rsid w:val="0081659A"/>
    <w:rsid w:val="008165F2"/>
    <w:rsid w:val="008166EC"/>
    <w:rsid w:val="00816700"/>
    <w:rsid w:val="00816AEB"/>
    <w:rsid w:val="00816C5A"/>
    <w:rsid w:val="00816C63"/>
    <w:rsid w:val="00816EB1"/>
    <w:rsid w:val="0081748B"/>
    <w:rsid w:val="0081758B"/>
    <w:rsid w:val="0081759B"/>
    <w:rsid w:val="008176AC"/>
    <w:rsid w:val="0081788E"/>
    <w:rsid w:val="00817E90"/>
    <w:rsid w:val="008206E9"/>
    <w:rsid w:val="00820C75"/>
    <w:rsid w:val="00820CCD"/>
    <w:rsid w:val="00820D3E"/>
    <w:rsid w:val="00820EC7"/>
    <w:rsid w:val="00820F0C"/>
    <w:rsid w:val="0082131F"/>
    <w:rsid w:val="00821708"/>
    <w:rsid w:val="008228F1"/>
    <w:rsid w:val="00822C00"/>
    <w:rsid w:val="008230C8"/>
    <w:rsid w:val="00823114"/>
    <w:rsid w:val="00823142"/>
    <w:rsid w:val="00823386"/>
    <w:rsid w:val="008233EB"/>
    <w:rsid w:val="00823758"/>
    <w:rsid w:val="00823A66"/>
    <w:rsid w:val="0082478A"/>
    <w:rsid w:val="0082490F"/>
    <w:rsid w:val="008249AE"/>
    <w:rsid w:val="00824BFF"/>
    <w:rsid w:val="0082523D"/>
    <w:rsid w:val="00825438"/>
    <w:rsid w:val="00825580"/>
    <w:rsid w:val="0082574E"/>
    <w:rsid w:val="008257AF"/>
    <w:rsid w:val="00825843"/>
    <w:rsid w:val="00825A01"/>
    <w:rsid w:val="00825B82"/>
    <w:rsid w:val="00825D31"/>
    <w:rsid w:val="00826388"/>
    <w:rsid w:val="00826AB8"/>
    <w:rsid w:val="008270A0"/>
    <w:rsid w:val="00827109"/>
    <w:rsid w:val="0082739C"/>
    <w:rsid w:val="0082779F"/>
    <w:rsid w:val="008277A8"/>
    <w:rsid w:val="00827EBE"/>
    <w:rsid w:val="00830037"/>
    <w:rsid w:val="008301DF"/>
    <w:rsid w:val="008303A9"/>
    <w:rsid w:val="008303BF"/>
    <w:rsid w:val="00830438"/>
    <w:rsid w:val="008306AD"/>
    <w:rsid w:val="00830E5B"/>
    <w:rsid w:val="00830F1B"/>
    <w:rsid w:val="00831141"/>
    <w:rsid w:val="0083138D"/>
    <w:rsid w:val="00831620"/>
    <w:rsid w:val="00831B3D"/>
    <w:rsid w:val="00831D15"/>
    <w:rsid w:val="00831F94"/>
    <w:rsid w:val="0083221E"/>
    <w:rsid w:val="0083242C"/>
    <w:rsid w:val="0083250B"/>
    <w:rsid w:val="00832652"/>
    <w:rsid w:val="00832801"/>
    <w:rsid w:val="00832C27"/>
    <w:rsid w:val="00832C31"/>
    <w:rsid w:val="00832C54"/>
    <w:rsid w:val="00832CDC"/>
    <w:rsid w:val="00832F95"/>
    <w:rsid w:val="0083326F"/>
    <w:rsid w:val="00833439"/>
    <w:rsid w:val="00833568"/>
    <w:rsid w:val="008336C4"/>
    <w:rsid w:val="0083386A"/>
    <w:rsid w:val="00833C26"/>
    <w:rsid w:val="00833C88"/>
    <w:rsid w:val="00833FA4"/>
    <w:rsid w:val="0083415F"/>
    <w:rsid w:val="00834243"/>
    <w:rsid w:val="008344C9"/>
    <w:rsid w:val="008348E8"/>
    <w:rsid w:val="00834EEE"/>
    <w:rsid w:val="008350CB"/>
    <w:rsid w:val="00835227"/>
    <w:rsid w:val="0083533C"/>
    <w:rsid w:val="00835423"/>
    <w:rsid w:val="00835876"/>
    <w:rsid w:val="008358BD"/>
    <w:rsid w:val="00835F65"/>
    <w:rsid w:val="008361B4"/>
    <w:rsid w:val="00836657"/>
    <w:rsid w:val="0083736B"/>
    <w:rsid w:val="00837532"/>
    <w:rsid w:val="00837648"/>
    <w:rsid w:val="00837649"/>
    <w:rsid w:val="00837977"/>
    <w:rsid w:val="00837F31"/>
    <w:rsid w:val="008403AC"/>
    <w:rsid w:val="00840622"/>
    <w:rsid w:val="00841088"/>
    <w:rsid w:val="008412CD"/>
    <w:rsid w:val="0084132B"/>
    <w:rsid w:val="008415A6"/>
    <w:rsid w:val="00842028"/>
    <w:rsid w:val="0084225F"/>
    <w:rsid w:val="00842452"/>
    <w:rsid w:val="00843312"/>
    <w:rsid w:val="00843439"/>
    <w:rsid w:val="008436D7"/>
    <w:rsid w:val="0084383F"/>
    <w:rsid w:val="00843ACB"/>
    <w:rsid w:val="00843CF2"/>
    <w:rsid w:val="00843F1A"/>
    <w:rsid w:val="00844055"/>
    <w:rsid w:val="008440DC"/>
    <w:rsid w:val="008441F0"/>
    <w:rsid w:val="0084483E"/>
    <w:rsid w:val="00844BCB"/>
    <w:rsid w:val="00844F17"/>
    <w:rsid w:val="00845394"/>
    <w:rsid w:val="0084539D"/>
    <w:rsid w:val="00845400"/>
    <w:rsid w:val="0084572C"/>
    <w:rsid w:val="008458B7"/>
    <w:rsid w:val="008466A2"/>
    <w:rsid w:val="008466B4"/>
    <w:rsid w:val="00846759"/>
    <w:rsid w:val="00846B39"/>
    <w:rsid w:val="00846BF1"/>
    <w:rsid w:val="00846C85"/>
    <w:rsid w:val="00846EBE"/>
    <w:rsid w:val="00846EE4"/>
    <w:rsid w:val="00847209"/>
    <w:rsid w:val="0084757C"/>
    <w:rsid w:val="0084779D"/>
    <w:rsid w:val="008477C8"/>
    <w:rsid w:val="008501F6"/>
    <w:rsid w:val="00850262"/>
    <w:rsid w:val="00850710"/>
    <w:rsid w:val="00850763"/>
    <w:rsid w:val="008508CF"/>
    <w:rsid w:val="00850AC3"/>
    <w:rsid w:val="00850CED"/>
    <w:rsid w:val="00850FE8"/>
    <w:rsid w:val="00851419"/>
    <w:rsid w:val="008515AB"/>
    <w:rsid w:val="00851663"/>
    <w:rsid w:val="008516F1"/>
    <w:rsid w:val="008518C4"/>
    <w:rsid w:val="00851B06"/>
    <w:rsid w:val="00851FD4"/>
    <w:rsid w:val="008523DB"/>
    <w:rsid w:val="00852ABE"/>
    <w:rsid w:val="00852B7B"/>
    <w:rsid w:val="00852CAE"/>
    <w:rsid w:val="00852EF2"/>
    <w:rsid w:val="0085361B"/>
    <w:rsid w:val="00853758"/>
    <w:rsid w:val="008544B2"/>
    <w:rsid w:val="008544BA"/>
    <w:rsid w:val="00854556"/>
    <w:rsid w:val="008552B6"/>
    <w:rsid w:val="008552C9"/>
    <w:rsid w:val="0085546F"/>
    <w:rsid w:val="008554FD"/>
    <w:rsid w:val="00855618"/>
    <w:rsid w:val="008556E3"/>
    <w:rsid w:val="00855B8A"/>
    <w:rsid w:val="00855D54"/>
    <w:rsid w:val="00856184"/>
    <w:rsid w:val="0085640B"/>
    <w:rsid w:val="00856C5C"/>
    <w:rsid w:val="00856C5D"/>
    <w:rsid w:val="00856D6D"/>
    <w:rsid w:val="00856DB4"/>
    <w:rsid w:val="008571CB"/>
    <w:rsid w:val="0085738E"/>
    <w:rsid w:val="00857397"/>
    <w:rsid w:val="008575C0"/>
    <w:rsid w:val="00857969"/>
    <w:rsid w:val="00860170"/>
    <w:rsid w:val="0086088F"/>
    <w:rsid w:val="00860CC2"/>
    <w:rsid w:val="0086121F"/>
    <w:rsid w:val="00861304"/>
    <w:rsid w:val="00861702"/>
    <w:rsid w:val="008617C6"/>
    <w:rsid w:val="00861BCC"/>
    <w:rsid w:val="00861CBB"/>
    <w:rsid w:val="00861E62"/>
    <w:rsid w:val="00862175"/>
    <w:rsid w:val="008621BC"/>
    <w:rsid w:val="00862E2E"/>
    <w:rsid w:val="0086331E"/>
    <w:rsid w:val="0086344F"/>
    <w:rsid w:val="00863588"/>
    <w:rsid w:val="008637F6"/>
    <w:rsid w:val="0086386A"/>
    <w:rsid w:val="00863CD1"/>
    <w:rsid w:val="00863D9A"/>
    <w:rsid w:val="00864179"/>
    <w:rsid w:val="008641EE"/>
    <w:rsid w:val="00864703"/>
    <w:rsid w:val="00864C2D"/>
    <w:rsid w:val="00864C47"/>
    <w:rsid w:val="00864D6F"/>
    <w:rsid w:val="00864EF1"/>
    <w:rsid w:val="0086508D"/>
    <w:rsid w:val="008650AA"/>
    <w:rsid w:val="008651B8"/>
    <w:rsid w:val="0086551E"/>
    <w:rsid w:val="00865BC6"/>
    <w:rsid w:val="008662D8"/>
    <w:rsid w:val="00866A86"/>
    <w:rsid w:val="00866AFB"/>
    <w:rsid w:val="00866BD2"/>
    <w:rsid w:val="008678C5"/>
    <w:rsid w:val="008679B2"/>
    <w:rsid w:val="00867A63"/>
    <w:rsid w:val="00867B9D"/>
    <w:rsid w:val="00867FB1"/>
    <w:rsid w:val="0087001A"/>
    <w:rsid w:val="008701C9"/>
    <w:rsid w:val="00870617"/>
    <w:rsid w:val="00870878"/>
    <w:rsid w:val="0087087F"/>
    <w:rsid w:val="0087090E"/>
    <w:rsid w:val="00870AE8"/>
    <w:rsid w:val="00870DFD"/>
    <w:rsid w:val="00871027"/>
    <w:rsid w:val="00871071"/>
    <w:rsid w:val="00871517"/>
    <w:rsid w:val="0087158C"/>
    <w:rsid w:val="0087180F"/>
    <w:rsid w:val="008719E1"/>
    <w:rsid w:val="00871A92"/>
    <w:rsid w:val="00871AC7"/>
    <w:rsid w:val="00871BD1"/>
    <w:rsid w:val="00871DB7"/>
    <w:rsid w:val="00871DD2"/>
    <w:rsid w:val="00871ED3"/>
    <w:rsid w:val="008722C7"/>
    <w:rsid w:val="008729A0"/>
    <w:rsid w:val="00872B39"/>
    <w:rsid w:val="00872B4E"/>
    <w:rsid w:val="008730C0"/>
    <w:rsid w:val="00873414"/>
    <w:rsid w:val="00873450"/>
    <w:rsid w:val="0087347D"/>
    <w:rsid w:val="0087382A"/>
    <w:rsid w:val="00873A48"/>
    <w:rsid w:val="00873B54"/>
    <w:rsid w:val="00874090"/>
    <w:rsid w:val="0087452B"/>
    <w:rsid w:val="00874766"/>
    <w:rsid w:val="00874894"/>
    <w:rsid w:val="00874CD5"/>
    <w:rsid w:val="00874D13"/>
    <w:rsid w:val="00874FBA"/>
    <w:rsid w:val="008753DC"/>
    <w:rsid w:val="00875708"/>
    <w:rsid w:val="00875A6F"/>
    <w:rsid w:val="00875B02"/>
    <w:rsid w:val="00875B9F"/>
    <w:rsid w:val="00875D63"/>
    <w:rsid w:val="00875FEC"/>
    <w:rsid w:val="0087610A"/>
    <w:rsid w:val="008764FB"/>
    <w:rsid w:val="008769AC"/>
    <w:rsid w:val="00876D9B"/>
    <w:rsid w:val="00876FAE"/>
    <w:rsid w:val="00877408"/>
    <w:rsid w:val="00877975"/>
    <w:rsid w:val="00877E2E"/>
    <w:rsid w:val="0088013E"/>
    <w:rsid w:val="008801BD"/>
    <w:rsid w:val="008803C0"/>
    <w:rsid w:val="008809FC"/>
    <w:rsid w:val="00880EB3"/>
    <w:rsid w:val="00880F85"/>
    <w:rsid w:val="00880FA1"/>
    <w:rsid w:val="00881623"/>
    <w:rsid w:val="008819F7"/>
    <w:rsid w:val="00881B62"/>
    <w:rsid w:val="00881D98"/>
    <w:rsid w:val="00881DB7"/>
    <w:rsid w:val="008824FB"/>
    <w:rsid w:val="00882613"/>
    <w:rsid w:val="00882D0F"/>
    <w:rsid w:val="00882E23"/>
    <w:rsid w:val="0088388C"/>
    <w:rsid w:val="00883BEC"/>
    <w:rsid w:val="00883D2F"/>
    <w:rsid w:val="00883DB9"/>
    <w:rsid w:val="00884278"/>
    <w:rsid w:val="00884359"/>
    <w:rsid w:val="00884414"/>
    <w:rsid w:val="008844E0"/>
    <w:rsid w:val="00884875"/>
    <w:rsid w:val="008849E6"/>
    <w:rsid w:val="00884DD9"/>
    <w:rsid w:val="00884E84"/>
    <w:rsid w:val="00885697"/>
    <w:rsid w:val="00885ED4"/>
    <w:rsid w:val="00886154"/>
    <w:rsid w:val="008865EA"/>
    <w:rsid w:val="008866DF"/>
    <w:rsid w:val="00886ADF"/>
    <w:rsid w:val="0088735E"/>
    <w:rsid w:val="00887ACE"/>
    <w:rsid w:val="00887ECF"/>
    <w:rsid w:val="0089027F"/>
    <w:rsid w:val="0089042F"/>
    <w:rsid w:val="008906FD"/>
    <w:rsid w:val="00890844"/>
    <w:rsid w:val="00890858"/>
    <w:rsid w:val="00890F40"/>
    <w:rsid w:val="008914C8"/>
    <w:rsid w:val="008918F1"/>
    <w:rsid w:val="00891E9B"/>
    <w:rsid w:val="00892046"/>
    <w:rsid w:val="008920B3"/>
    <w:rsid w:val="0089261A"/>
    <w:rsid w:val="00892715"/>
    <w:rsid w:val="008927C3"/>
    <w:rsid w:val="00892872"/>
    <w:rsid w:val="008929E0"/>
    <w:rsid w:val="00892A56"/>
    <w:rsid w:val="00892D56"/>
    <w:rsid w:val="00892E22"/>
    <w:rsid w:val="00892EEB"/>
    <w:rsid w:val="00892F12"/>
    <w:rsid w:val="00892FF1"/>
    <w:rsid w:val="00893032"/>
    <w:rsid w:val="00893366"/>
    <w:rsid w:val="00893DC4"/>
    <w:rsid w:val="00893DE0"/>
    <w:rsid w:val="00893E35"/>
    <w:rsid w:val="00893F2E"/>
    <w:rsid w:val="00894C99"/>
    <w:rsid w:val="00894CBC"/>
    <w:rsid w:val="00894E0A"/>
    <w:rsid w:val="00894F38"/>
    <w:rsid w:val="00894F51"/>
    <w:rsid w:val="0089520D"/>
    <w:rsid w:val="00895604"/>
    <w:rsid w:val="00895B2E"/>
    <w:rsid w:val="008960FC"/>
    <w:rsid w:val="008962EF"/>
    <w:rsid w:val="0089657F"/>
    <w:rsid w:val="008966D5"/>
    <w:rsid w:val="008967C3"/>
    <w:rsid w:val="0089685F"/>
    <w:rsid w:val="00896A00"/>
    <w:rsid w:val="00896ACE"/>
    <w:rsid w:val="00896AD3"/>
    <w:rsid w:val="00896B60"/>
    <w:rsid w:val="00896BE1"/>
    <w:rsid w:val="00896C99"/>
    <w:rsid w:val="00896F5B"/>
    <w:rsid w:val="0089788B"/>
    <w:rsid w:val="00897920"/>
    <w:rsid w:val="0089794F"/>
    <w:rsid w:val="00897A57"/>
    <w:rsid w:val="00897D47"/>
    <w:rsid w:val="00897F39"/>
    <w:rsid w:val="008A0267"/>
    <w:rsid w:val="008A05C6"/>
    <w:rsid w:val="008A1187"/>
    <w:rsid w:val="008A13AA"/>
    <w:rsid w:val="008A2083"/>
    <w:rsid w:val="008A20B6"/>
    <w:rsid w:val="008A23E4"/>
    <w:rsid w:val="008A265C"/>
    <w:rsid w:val="008A29B5"/>
    <w:rsid w:val="008A2B02"/>
    <w:rsid w:val="008A3434"/>
    <w:rsid w:val="008A34EC"/>
    <w:rsid w:val="008A34EF"/>
    <w:rsid w:val="008A35B9"/>
    <w:rsid w:val="008A372A"/>
    <w:rsid w:val="008A38BE"/>
    <w:rsid w:val="008A39C0"/>
    <w:rsid w:val="008A40D0"/>
    <w:rsid w:val="008A43D6"/>
    <w:rsid w:val="008A483B"/>
    <w:rsid w:val="008A48E1"/>
    <w:rsid w:val="008A496B"/>
    <w:rsid w:val="008A4F75"/>
    <w:rsid w:val="008A55E4"/>
    <w:rsid w:val="008A57FF"/>
    <w:rsid w:val="008A5EF0"/>
    <w:rsid w:val="008A6044"/>
    <w:rsid w:val="008A637A"/>
    <w:rsid w:val="008A64F5"/>
    <w:rsid w:val="008A6713"/>
    <w:rsid w:val="008A68EC"/>
    <w:rsid w:val="008A6ABA"/>
    <w:rsid w:val="008A6C13"/>
    <w:rsid w:val="008A6FB6"/>
    <w:rsid w:val="008A72CC"/>
    <w:rsid w:val="008A73FC"/>
    <w:rsid w:val="008A7BB4"/>
    <w:rsid w:val="008A7CFC"/>
    <w:rsid w:val="008B0157"/>
    <w:rsid w:val="008B070B"/>
    <w:rsid w:val="008B08F8"/>
    <w:rsid w:val="008B0A7B"/>
    <w:rsid w:val="008B0BEF"/>
    <w:rsid w:val="008B0F58"/>
    <w:rsid w:val="008B1415"/>
    <w:rsid w:val="008B1499"/>
    <w:rsid w:val="008B14D0"/>
    <w:rsid w:val="008B14EB"/>
    <w:rsid w:val="008B19BC"/>
    <w:rsid w:val="008B1B5E"/>
    <w:rsid w:val="008B1F0C"/>
    <w:rsid w:val="008B1FD2"/>
    <w:rsid w:val="008B21F9"/>
    <w:rsid w:val="008B253C"/>
    <w:rsid w:val="008B26A1"/>
    <w:rsid w:val="008B2903"/>
    <w:rsid w:val="008B293E"/>
    <w:rsid w:val="008B2D7D"/>
    <w:rsid w:val="008B2FF1"/>
    <w:rsid w:val="008B3722"/>
    <w:rsid w:val="008B3C9F"/>
    <w:rsid w:val="008B4050"/>
    <w:rsid w:val="008B44C8"/>
    <w:rsid w:val="008B450B"/>
    <w:rsid w:val="008B4B3D"/>
    <w:rsid w:val="008B4C21"/>
    <w:rsid w:val="008B519D"/>
    <w:rsid w:val="008B5899"/>
    <w:rsid w:val="008B5A54"/>
    <w:rsid w:val="008B5A58"/>
    <w:rsid w:val="008B5DC6"/>
    <w:rsid w:val="008B5FE2"/>
    <w:rsid w:val="008B6221"/>
    <w:rsid w:val="008B65AB"/>
    <w:rsid w:val="008B68BE"/>
    <w:rsid w:val="008B6A2F"/>
    <w:rsid w:val="008B717D"/>
    <w:rsid w:val="008B7229"/>
    <w:rsid w:val="008B73F6"/>
    <w:rsid w:val="008B7A29"/>
    <w:rsid w:val="008B7E60"/>
    <w:rsid w:val="008C002D"/>
    <w:rsid w:val="008C0B4D"/>
    <w:rsid w:val="008C0BC9"/>
    <w:rsid w:val="008C0C6B"/>
    <w:rsid w:val="008C0D32"/>
    <w:rsid w:val="008C0EA7"/>
    <w:rsid w:val="008C0F3F"/>
    <w:rsid w:val="008C13CF"/>
    <w:rsid w:val="008C1990"/>
    <w:rsid w:val="008C19B5"/>
    <w:rsid w:val="008C1EEB"/>
    <w:rsid w:val="008C1FFF"/>
    <w:rsid w:val="008C25C8"/>
    <w:rsid w:val="008C28BF"/>
    <w:rsid w:val="008C2A5D"/>
    <w:rsid w:val="008C2B4A"/>
    <w:rsid w:val="008C30A2"/>
    <w:rsid w:val="008C3133"/>
    <w:rsid w:val="008C38F0"/>
    <w:rsid w:val="008C395F"/>
    <w:rsid w:val="008C3E2C"/>
    <w:rsid w:val="008C3FD8"/>
    <w:rsid w:val="008C4007"/>
    <w:rsid w:val="008C4173"/>
    <w:rsid w:val="008C4535"/>
    <w:rsid w:val="008C4596"/>
    <w:rsid w:val="008C4996"/>
    <w:rsid w:val="008C4AFB"/>
    <w:rsid w:val="008C4D12"/>
    <w:rsid w:val="008C4ECF"/>
    <w:rsid w:val="008C505A"/>
    <w:rsid w:val="008C5177"/>
    <w:rsid w:val="008C5362"/>
    <w:rsid w:val="008C5418"/>
    <w:rsid w:val="008C55E3"/>
    <w:rsid w:val="008C57EB"/>
    <w:rsid w:val="008C59DF"/>
    <w:rsid w:val="008C6249"/>
    <w:rsid w:val="008C6299"/>
    <w:rsid w:val="008C63E5"/>
    <w:rsid w:val="008C6A22"/>
    <w:rsid w:val="008C6E7E"/>
    <w:rsid w:val="008C757D"/>
    <w:rsid w:val="008C769D"/>
    <w:rsid w:val="008C7750"/>
    <w:rsid w:val="008C7D7D"/>
    <w:rsid w:val="008C7E17"/>
    <w:rsid w:val="008C7E34"/>
    <w:rsid w:val="008D0097"/>
    <w:rsid w:val="008D065F"/>
    <w:rsid w:val="008D0815"/>
    <w:rsid w:val="008D0A3C"/>
    <w:rsid w:val="008D0F91"/>
    <w:rsid w:val="008D1421"/>
    <w:rsid w:val="008D14AC"/>
    <w:rsid w:val="008D1705"/>
    <w:rsid w:val="008D1813"/>
    <w:rsid w:val="008D188E"/>
    <w:rsid w:val="008D1908"/>
    <w:rsid w:val="008D1C90"/>
    <w:rsid w:val="008D1D08"/>
    <w:rsid w:val="008D2094"/>
    <w:rsid w:val="008D2218"/>
    <w:rsid w:val="008D2356"/>
    <w:rsid w:val="008D25E1"/>
    <w:rsid w:val="008D2666"/>
    <w:rsid w:val="008D2AE8"/>
    <w:rsid w:val="008D2E37"/>
    <w:rsid w:val="008D31E5"/>
    <w:rsid w:val="008D3320"/>
    <w:rsid w:val="008D339F"/>
    <w:rsid w:val="008D35D8"/>
    <w:rsid w:val="008D386A"/>
    <w:rsid w:val="008D3AED"/>
    <w:rsid w:val="008D4AEC"/>
    <w:rsid w:val="008D4B9F"/>
    <w:rsid w:val="008D4BF1"/>
    <w:rsid w:val="008D4F01"/>
    <w:rsid w:val="008D4F91"/>
    <w:rsid w:val="008D51FB"/>
    <w:rsid w:val="008D5279"/>
    <w:rsid w:val="008D560B"/>
    <w:rsid w:val="008D5632"/>
    <w:rsid w:val="008D5828"/>
    <w:rsid w:val="008D58A4"/>
    <w:rsid w:val="008D5A70"/>
    <w:rsid w:val="008D5A72"/>
    <w:rsid w:val="008D60D5"/>
    <w:rsid w:val="008D6317"/>
    <w:rsid w:val="008D6336"/>
    <w:rsid w:val="008D639E"/>
    <w:rsid w:val="008D64C4"/>
    <w:rsid w:val="008D64CF"/>
    <w:rsid w:val="008D64F3"/>
    <w:rsid w:val="008D6542"/>
    <w:rsid w:val="008D65BE"/>
    <w:rsid w:val="008D6A4F"/>
    <w:rsid w:val="008D6A8E"/>
    <w:rsid w:val="008D6B1F"/>
    <w:rsid w:val="008D6DE3"/>
    <w:rsid w:val="008D6F2E"/>
    <w:rsid w:val="008D7446"/>
    <w:rsid w:val="008D746B"/>
    <w:rsid w:val="008D74BB"/>
    <w:rsid w:val="008D752E"/>
    <w:rsid w:val="008D7547"/>
    <w:rsid w:val="008D7B05"/>
    <w:rsid w:val="008D7BF1"/>
    <w:rsid w:val="008D7C50"/>
    <w:rsid w:val="008D7F38"/>
    <w:rsid w:val="008D9D26"/>
    <w:rsid w:val="008E02DE"/>
    <w:rsid w:val="008E072C"/>
    <w:rsid w:val="008E07E4"/>
    <w:rsid w:val="008E08E1"/>
    <w:rsid w:val="008E0C3C"/>
    <w:rsid w:val="008E1366"/>
    <w:rsid w:val="008E147F"/>
    <w:rsid w:val="008E148B"/>
    <w:rsid w:val="008E1818"/>
    <w:rsid w:val="008E1C22"/>
    <w:rsid w:val="008E1C2D"/>
    <w:rsid w:val="008E1D08"/>
    <w:rsid w:val="008E1D2D"/>
    <w:rsid w:val="008E1E65"/>
    <w:rsid w:val="008E20F0"/>
    <w:rsid w:val="008E2417"/>
    <w:rsid w:val="008E2491"/>
    <w:rsid w:val="008E2585"/>
    <w:rsid w:val="008E2899"/>
    <w:rsid w:val="008E2991"/>
    <w:rsid w:val="008E2A5A"/>
    <w:rsid w:val="008E2F8B"/>
    <w:rsid w:val="008E3015"/>
    <w:rsid w:val="008E37DB"/>
    <w:rsid w:val="008E39FC"/>
    <w:rsid w:val="008E3ABD"/>
    <w:rsid w:val="008E3ED5"/>
    <w:rsid w:val="008E438F"/>
    <w:rsid w:val="008E4471"/>
    <w:rsid w:val="008E44FC"/>
    <w:rsid w:val="008E4A74"/>
    <w:rsid w:val="008E51B2"/>
    <w:rsid w:val="008E5413"/>
    <w:rsid w:val="008E555D"/>
    <w:rsid w:val="008E57C4"/>
    <w:rsid w:val="008E5D4D"/>
    <w:rsid w:val="008E6116"/>
    <w:rsid w:val="008E6161"/>
    <w:rsid w:val="008E6292"/>
    <w:rsid w:val="008E6403"/>
    <w:rsid w:val="008E65E7"/>
    <w:rsid w:val="008E6835"/>
    <w:rsid w:val="008E6AD0"/>
    <w:rsid w:val="008E6E61"/>
    <w:rsid w:val="008E7198"/>
    <w:rsid w:val="008E72CD"/>
    <w:rsid w:val="008E73A0"/>
    <w:rsid w:val="008E7515"/>
    <w:rsid w:val="008E7DA9"/>
    <w:rsid w:val="008F0F72"/>
    <w:rsid w:val="008F1359"/>
    <w:rsid w:val="008F13E1"/>
    <w:rsid w:val="008F173B"/>
    <w:rsid w:val="008F18EB"/>
    <w:rsid w:val="008F1D2C"/>
    <w:rsid w:val="008F1F91"/>
    <w:rsid w:val="008F1FB1"/>
    <w:rsid w:val="008F28BF"/>
    <w:rsid w:val="008F2A9E"/>
    <w:rsid w:val="008F2C10"/>
    <w:rsid w:val="008F2C39"/>
    <w:rsid w:val="008F2DAA"/>
    <w:rsid w:val="008F3729"/>
    <w:rsid w:val="008F372C"/>
    <w:rsid w:val="008F3B93"/>
    <w:rsid w:val="008F4729"/>
    <w:rsid w:val="008F4BD2"/>
    <w:rsid w:val="008F4FEE"/>
    <w:rsid w:val="008F5136"/>
    <w:rsid w:val="008F51AF"/>
    <w:rsid w:val="008F5741"/>
    <w:rsid w:val="008F5F84"/>
    <w:rsid w:val="008F61CE"/>
    <w:rsid w:val="008F7256"/>
    <w:rsid w:val="008F7BA8"/>
    <w:rsid w:val="008F7DBD"/>
    <w:rsid w:val="00900122"/>
    <w:rsid w:val="009001FD"/>
    <w:rsid w:val="0090037D"/>
    <w:rsid w:val="00900474"/>
    <w:rsid w:val="00900750"/>
    <w:rsid w:val="00900826"/>
    <w:rsid w:val="00900A08"/>
    <w:rsid w:val="00900A4C"/>
    <w:rsid w:val="00900CC2"/>
    <w:rsid w:val="00900CC9"/>
    <w:rsid w:val="00900E28"/>
    <w:rsid w:val="00900F2B"/>
    <w:rsid w:val="00901134"/>
    <w:rsid w:val="009011BF"/>
    <w:rsid w:val="00901245"/>
    <w:rsid w:val="00901323"/>
    <w:rsid w:val="00901427"/>
    <w:rsid w:val="00901529"/>
    <w:rsid w:val="00901975"/>
    <w:rsid w:val="00901DBE"/>
    <w:rsid w:val="009026DA"/>
    <w:rsid w:val="00902BB6"/>
    <w:rsid w:val="00902CEE"/>
    <w:rsid w:val="00902DF6"/>
    <w:rsid w:val="00902EC2"/>
    <w:rsid w:val="009034BE"/>
    <w:rsid w:val="00903C3A"/>
    <w:rsid w:val="00903F14"/>
    <w:rsid w:val="0090434A"/>
    <w:rsid w:val="00904684"/>
    <w:rsid w:val="009046ED"/>
    <w:rsid w:val="009050A6"/>
    <w:rsid w:val="009050FD"/>
    <w:rsid w:val="0090538C"/>
    <w:rsid w:val="009054F6"/>
    <w:rsid w:val="00905888"/>
    <w:rsid w:val="00905A87"/>
    <w:rsid w:val="00905C37"/>
    <w:rsid w:val="00905D24"/>
    <w:rsid w:val="00906145"/>
    <w:rsid w:val="009061A0"/>
    <w:rsid w:val="00906356"/>
    <w:rsid w:val="00907030"/>
    <w:rsid w:val="0090712A"/>
    <w:rsid w:val="0090725A"/>
    <w:rsid w:val="00907655"/>
    <w:rsid w:val="0090776E"/>
    <w:rsid w:val="0090780B"/>
    <w:rsid w:val="00907DCC"/>
    <w:rsid w:val="009101B2"/>
    <w:rsid w:val="009103C7"/>
    <w:rsid w:val="009104DB"/>
    <w:rsid w:val="009105A4"/>
    <w:rsid w:val="0091081C"/>
    <w:rsid w:val="0091095B"/>
    <w:rsid w:val="00910ABC"/>
    <w:rsid w:val="00910C8D"/>
    <w:rsid w:val="00911465"/>
    <w:rsid w:val="009118BF"/>
    <w:rsid w:val="0091199C"/>
    <w:rsid w:val="009132FE"/>
    <w:rsid w:val="00913308"/>
    <w:rsid w:val="00913326"/>
    <w:rsid w:val="009139C2"/>
    <w:rsid w:val="00913B55"/>
    <w:rsid w:val="00913C63"/>
    <w:rsid w:val="00913D0A"/>
    <w:rsid w:val="009140E9"/>
    <w:rsid w:val="00914877"/>
    <w:rsid w:val="00914E72"/>
    <w:rsid w:val="00914EA9"/>
    <w:rsid w:val="0091508E"/>
    <w:rsid w:val="009154EF"/>
    <w:rsid w:val="00915551"/>
    <w:rsid w:val="00915705"/>
    <w:rsid w:val="00915749"/>
    <w:rsid w:val="00915758"/>
    <w:rsid w:val="0091588A"/>
    <w:rsid w:val="00916694"/>
    <w:rsid w:val="00916ADD"/>
    <w:rsid w:val="00916F6C"/>
    <w:rsid w:val="0091714B"/>
    <w:rsid w:val="009171D0"/>
    <w:rsid w:val="009172AB"/>
    <w:rsid w:val="009176E4"/>
    <w:rsid w:val="0091792B"/>
    <w:rsid w:val="009179D0"/>
    <w:rsid w:val="00917B24"/>
    <w:rsid w:val="009209FA"/>
    <w:rsid w:val="00920A56"/>
    <w:rsid w:val="00920A94"/>
    <w:rsid w:val="009215B9"/>
    <w:rsid w:val="00921AF9"/>
    <w:rsid w:val="00921B02"/>
    <w:rsid w:val="00921C59"/>
    <w:rsid w:val="00921D56"/>
    <w:rsid w:val="009221AE"/>
    <w:rsid w:val="00922501"/>
    <w:rsid w:val="00922639"/>
    <w:rsid w:val="0092288D"/>
    <w:rsid w:val="00922CF1"/>
    <w:rsid w:val="0092306C"/>
    <w:rsid w:val="00923C90"/>
    <w:rsid w:val="00923D26"/>
    <w:rsid w:val="00924408"/>
    <w:rsid w:val="0092451B"/>
    <w:rsid w:val="009247FC"/>
    <w:rsid w:val="009248BF"/>
    <w:rsid w:val="00924F34"/>
    <w:rsid w:val="0092514E"/>
    <w:rsid w:val="00925AA5"/>
    <w:rsid w:val="00925C8A"/>
    <w:rsid w:val="00925DB0"/>
    <w:rsid w:val="00925E27"/>
    <w:rsid w:val="00925EB2"/>
    <w:rsid w:val="009262EF"/>
    <w:rsid w:val="00926991"/>
    <w:rsid w:val="00926B33"/>
    <w:rsid w:val="00926B5A"/>
    <w:rsid w:val="00926BF4"/>
    <w:rsid w:val="009270AE"/>
    <w:rsid w:val="009275BA"/>
    <w:rsid w:val="00927BA1"/>
    <w:rsid w:val="00927C19"/>
    <w:rsid w:val="00927EE5"/>
    <w:rsid w:val="009300E6"/>
    <w:rsid w:val="009300EE"/>
    <w:rsid w:val="0093015F"/>
    <w:rsid w:val="009302BE"/>
    <w:rsid w:val="00930430"/>
    <w:rsid w:val="009308B7"/>
    <w:rsid w:val="0093094B"/>
    <w:rsid w:val="00930B1F"/>
    <w:rsid w:val="00930D25"/>
    <w:rsid w:val="00930F9B"/>
    <w:rsid w:val="00930FF9"/>
    <w:rsid w:val="00931147"/>
    <w:rsid w:val="009312E8"/>
    <w:rsid w:val="00931625"/>
    <w:rsid w:val="00931723"/>
    <w:rsid w:val="00931FA3"/>
    <w:rsid w:val="0093209E"/>
    <w:rsid w:val="00932861"/>
    <w:rsid w:val="00932A7D"/>
    <w:rsid w:val="00932C9F"/>
    <w:rsid w:val="00932D11"/>
    <w:rsid w:val="00932DD9"/>
    <w:rsid w:val="00933116"/>
    <w:rsid w:val="0093322A"/>
    <w:rsid w:val="009333C0"/>
    <w:rsid w:val="00933429"/>
    <w:rsid w:val="00933903"/>
    <w:rsid w:val="00933A0B"/>
    <w:rsid w:val="00933A82"/>
    <w:rsid w:val="00933D99"/>
    <w:rsid w:val="00933E6E"/>
    <w:rsid w:val="00933E9D"/>
    <w:rsid w:val="009343FE"/>
    <w:rsid w:val="00934575"/>
    <w:rsid w:val="0093470F"/>
    <w:rsid w:val="009347F9"/>
    <w:rsid w:val="00934897"/>
    <w:rsid w:val="00934D78"/>
    <w:rsid w:val="00934FBD"/>
    <w:rsid w:val="0093522C"/>
    <w:rsid w:val="0093547F"/>
    <w:rsid w:val="009355F8"/>
    <w:rsid w:val="0093584C"/>
    <w:rsid w:val="00935928"/>
    <w:rsid w:val="00935D07"/>
    <w:rsid w:val="00935DD2"/>
    <w:rsid w:val="00935F11"/>
    <w:rsid w:val="00936180"/>
    <w:rsid w:val="00936182"/>
    <w:rsid w:val="0093645C"/>
    <w:rsid w:val="009364FF"/>
    <w:rsid w:val="00936648"/>
    <w:rsid w:val="00936858"/>
    <w:rsid w:val="00936A6F"/>
    <w:rsid w:val="00936B66"/>
    <w:rsid w:val="00936F09"/>
    <w:rsid w:val="00936F14"/>
    <w:rsid w:val="00937308"/>
    <w:rsid w:val="00937649"/>
    <w:rsid w:val="009377FC"/>
    <w:rsid w:val="00937898"/>
    <w:rsid w:val="00937B12"/>
    <w:rsid w:val="00937B38"/>
    <w:rsid w:val="00937E33"/>
    <w:rsid w:val="0094019D"/>
    <w:rsid w:val="00940206"/>
    <w:rsid w:val="009402F6"/>
    <w:rsid w:val="009403F0"/>
    <w:rsid w:val="00940456"/>
    <w:rsid w:val="00940DF7"/>
    <w:rsid w:val="00940EB6"/>
    <w:rsid w:val="00941514"/>
    <w:rsid w:val="00941899"/>
    <w:rsid w:val="009419D8"/>
    <w:rsid w:val="00941B58"/>
    <w:rsid w:val="00941ED7"/>
    <w:rsid w:val="0094203D"/>
    <w:rsid w:val="0094221C"/>
    <w:rsid w:val="009426E3"/>
    <w:rsid w:val="0094285A"/>
    <w:rsid w:val="009429E4"/>
    <w:rsid w:val="00942B1E"/>
    <w:rsid w:val="00942C11"/>
    <w:rsid w:val="00943014"/>
    <w:rsid w:val="009437A4"/>
    <w:rsid w:val="00943D3D"/>
    <w:rsid w:val="00943D91"/>
    <w:rsid w:val="00943F9B"/>
    <w:rsid w:val="0094431B"/>
    <w:rsid w:val="00944321"/>
    <w:rsid w:val="0094478F"/>
    <w:rsid w:val="00944A55"/>
    <w:rsid w:val="00944B14"/>
    <w:rsid w:val="00944BE4"/>
    <w:rsid w:val="00944C8C"/>
    <w:rsid w:val="00944FCF"/>
    <w:rsid w:val="0094516F"/>
    <w:rsid w:val="009451FF"/>
    <w:rsid w:val="00945739"/>
    <w:rsid w:val="009457DB"/>
    <w:rsid w:val="009458C7"/>
    <w:rsid w:val="00945909"/>
    <w:rsid w:val="00945949"/>
    <w:rsid w:val="00945BE3"/>
    <w:rsid w:val="00945E7C"/>
    <w:rsid w:val="00945EBC"/>
    <w:rsid w:val="00946254"/>
    <w:rsid w:val="00946A4C"/>
    <w:rsid w:val="00946AC6"/>
    <w:rsid w:val="009474C8"/>
    <w:rsid w:val="00947BAF"/>
    <w:rsid w:val="00947BF2"/>
    <w:rsid w:val="00947C45"/>
    <w:rsid w:val="009500B4"/>
    <w:rsid w:val="00950818"/>
    <w:rsid w:val="00950950"/>
    <w:rsid w:val="00950C83"/>
    <w:rsid w:val="00950F4D"/>
    <w:rsid w:val="00951072"/>
    <w:rsid w:val="009510DC"/>
    <w:rsid w:val="00951406"/>
    <w:rsid w:val="00951411"/>
    <w:rsid w:val="009515B2"/>
    <w:rsid w:val="009516B9"/>
    <w:rsid w:val="009518E8"/>
    <w:rsid w:val="00951BC5"/>
    <w:rsid w:val="00951F9D"/>
    <w:rsid w:val="00951FE1"/>
    <w:rsid w:val="00952465"/>
    <w:rsid w:val="009524E8"/>
    <w:rsid w:val="00952547"/>
    <w:rsid w:val="00952562"/>
    <w:rsid w:val="009525AF"/>
    <w:rsid w:val="009528A8"/>
    <w:rsid w:val="00952DC8"/>
    <w:rsid w:val="00952E79"/>
    <w:rsid w:val="009531C1"/>
    <w:rsid w:val="009531D7"/>
    <w:rsid w:val="00953263"/>
    <w:rsid w:val="00953F0E"/>
    <w:rsid w:val="009540FF"/>
    <w:rsid w:val="009544CF"/>
    <w:rsid w:val="0095488D"/>
    <w:rsid w:val="00954A7C"/>
    <w:rsid w:val="00954AC4"/>
    <w:rsid w:val="00955FAF"/>
    <w:rsid w:val="009560F6"/>
    <w:rsid w:val="0095618F"/>
    <w:rsid w:val="00956B03"/>
    <w:rsid w:val="00956BDA"/>
    <w:rsid w:val="009574E5"/>
    <w:rsid w:val="00957603"/>
    <w:rsid w:val="009577E0"/>
    <w:rsid w:val="00957D98"/>
    <w:rsid w:val="00957DD8"/>
    <w:rsid w:val="0096027E"/>
    <w:rsid w:val="0096065B"/>
    <w:rsid w:val="0096085C"/>
    <w:rsid w:val="00960C73"/>
    <w:rsid w:val="00960E21"/>
    <w:rsid w:val="00960F8A"/>
    <w:rsid w:val="00960FB5"/>
    <w:rsid w:val="0096100C"/>
    <w:rsid w:val="00961A1A"/>
    <w:rsid w:val="00962016"/>
    <w:rsid w:val="00962079"/>
    <w:rsid w:val="009628D9"/>
    <w:rsid w:val="00962ACC"/>
    <w:rsid w:val="00962C37"/>
    <w:rsid w:val="00962DF2"/>
    <w:rsid w:val="00962DFB"/>
    <w:rsid w:val="00962FE4"/>
    <w:rsid w:val="009634D2"/>
    <w:rsid w:val="009634DF"/>
    <w:rsid w:val="0096354D"/>
    <w:rsid w:val="0096360F"/>
    <w:rsid w:val="00963AB1"/>
    <w:rsid w:val="00963E8D"/>
    <w:rsid w:val="00964431"/>
    <w:rsid w:val="00964583"/>
    <w:rsid w:val="0096477E"/>
    <w:rsid w:val="00964B1B"/>
    <w:rsid w:val="00964E02"/>
    <w:rsid w:val="00964E41"/>
    <w:rsid w:val="00965482"/>
    <w:rsid w:val="009657AF"/>
    <w:rsid w:val="00965839"/>
    <w:rsid w:val="0096597A"/>
    <w:rsid w:val="00965AF4"/>
    <w:rsid w:val="00965D44"/>
    <w:rsid w:val="00965D8C"/>
    <w:rsid w:val="00965FE0"/>
    <w:rsid w:val="00966A51"/>
    <w:rsid w:val="00966AA7"/>
    <w:rsid w:val="00967193"/>
    <w:rsid w:val="00967202"/>
    <w:rsid w:val="00967B27"/>
    <w:rsid w:val="00967F97"/>
    <w:rsid w:val="00967FFE"/>
    <w:rsid w:val="00970472"/>
    <w:rsid w:val="00970976"/>
    <w:rsid w:val="00970B9A"/>
    <w:rsid w:val="00970C60"/>
    <w:rsid w:val="00970F70"/>
    <w:rsid w:val="00971290"/>
    <w:rsid w:val="0097150A"/>
    <w:rsid w:val="0097167A"/>
    <w:rsid w:val="009719D5"/>
    <w:rsid w:val="00971B04"/>
    <w:rsid w:val="00971D4F"/>
    <w:rsid w:val="00971E87"/>
    <w:rsid w:val="009726B6"/>
    <w:rsid w:val="00972C67"/>
    <w:rsid w:val="00972D42"/>
    <w:rsid w:val="009730E1"/>
    <w:rsid w:val="0097323C"/>
    <w:rsid w:val="009732EC"/>
    <w:rsid w:val="0097338A"/>
    <w:rsid w:val="009735B3"/>
    <w:rsid w:val="00973623"/>
    <w:rsid w:val="00973926"/>
    <w:rsid w:val="00973981"/>
    <w:rsid w:val="00973A77"/>
    <w:rsid w:val="00973A8E"/>
    <w:rsid w:val="00973B02"/>
    <w:rsid w:val="00973E6F"/>
    <w:rsid w:val="0097408C"/>
    <w:rsid w:val="009740CA"/>
    <w:rsid w:val="00974493"/>
    <w:rsid w:val="0097491A"/>
    <w:rsid w:val="00974B8D"/>
    <w:rsid w:val="00974C0F"/>
    <w:rsid w:val="00974E08"/>
    <w:rsid w:val="0097500E"/>
    <w:rsid w:val="0097546A"/>
    <w:rsid w:val="009755D3"/>
    <w:rsid w:val="00975689"/>
    <w:rsid w:val="009756C8"/>
    <w:rsid w:val="00975721"/>
    <w:rsid w:val="00975A9D"/>
    <w:rsid w:val="00975AC7"/>
    <w:rsid w:val="00975C21"/>
    <w:rsid w:val="00975E30"/>
    <w:rsid w:val="00975ED3"/>
    <w:rsid w:val="00976372"/>
    <w:rsid w:val="00976381"/>
    <w:rsid w:val="009763F7"/>
    <w:rsid w:val="009765F0"/>
    <w:rsid w:val="00976DAA"/>
    <w:rsid w:val="00976EF1"/>
    <w:rsid w:val="009773A3"/>
    <w:rsid w:val="00977675"/>
    <w:rsid w:val="00977754"/>
    <w:rsid w:val="00977ADC"/>
    <w:rsid w:val="00977B18"/>
    <w:rsid w:val="00977E58"/>
    <w:rsid w:val="0098035C"/>
    <w:rsid w:val="0098041E"/>
    <w:rsid w:val="0098077D"/>
    <w:rsid w:val="009807FD"/>
    <w:rsid w:val="009808A8"/>
    <w:rsid w:val="00981008"/>
    <w:rsid w:val="00981689"/>
    <w:rsid w:val="00981714"/>
    <w:rsid w:val="00981BEB"/>
    <w:rsid w:val="00981DC1"/>
    <w:rsid w:val="00981DF0"/>
    <w:rsid w:val="009821CE"/>
    <w:rsid w:val="009822E1"/>
    <w:rsid w:val="00982531"/>
    <w:rsid w:val="00982554"/>
    <w:rsid w:val="00982856"/>
    <w:rsid w:val="00982D0C"/>
    <w:rsid w:val="0098308E"/>
    <w:rsid w:val="00983512"/>
    <w:rsid w:val="00983674"/>
    <w:rsid w:val="00984068"/>
    <w:rsid w:val="009846F9"/>
    <w:rsid w:val="00984AE9"/>
    <w:rsid w:val="009850EF"/>
    <w:rsid w:val="009852CF"/>
    <w:rsid w:val="00985317"/>
    <w:rsid w:val="00985343"/>
    <w:rsid w:val="00985D5F"/>
    <w:rsid w:val="0098614D"/>
    <w:rsid w:val="00986207"/>
    <w:rsid w:val="009862DD"/>
    <w:rsid w:val="009864F9"/>
    <w:rsid w:val="00986CB2"/>
    <w:rsid w:val="00986D44"/>
    <w:rsid w:val="00987800"/>
    <w:rsid w:val="00987815"/>
    <w:rsid w:val="00987CCA"/>
    <w:rsid w:val="00987DD7"/>
    <w:rsid w:val="00987F2D"/>
    <w:rsid w:val="00987F51"/>
    <w:rsid w:val="009901BB"/>
    <w:rsid w:val="009901EB"/>
    <w:rsid w:val="009902F2"/>
    <w:rsid w:val="0099098B"/>
    <w:rsid w:val="009909E7"/>
    <w:rsid w:val="00990BE2"/>
    <w:rsid w:val="00990E1A"/>
    <w:rsid w:val="00990F2A"/>
    <w:rsid w:val="00990F55"/>
    <w:rsid w:val="0099114E"/>
    <w:rsid w:val="00991345"/>
    <w:rsid w:val="009913CD"/>
    <w:rsid w:val="00991641"/>
    <w:rsid w:val="009918A8"/>
    <w:rsid w:val="00991C35"/>
    <w:rsid w:val="00991F86"/>
    <w:rsid w:val="009927E5"/>
    <w:rsid w:val="00992887"/>
    <w:rsid w:val="00992999"/>
    <w:rsid w:val="00992BF0"/>
    <w:rsid w:val="00992CB8"/>
    <w:rsid w:val="00992E97"/>
    <w:rsid w:val="00992F6A"/>
    <w:rsid w:val="00993194"/>
    <w:rsid w:val="009931E3"/>
    <w:rsid w:val="00993720"/>
    <w:rsid w:val="0099379F"/>
    <w:rsid w:val="00993A27"/>
    <w:rsid w:val="0099407E"/>
    <w:rsid w:val="009940FE"/>
    <w:rsid w:val="0099411E"/>
    <w:rsid w:val="00994147"/>
    <w:rsid w:val="0099432D"/>
    <w:rsid w:val="009943EB"/>
    <w:rsid w:val="00994AB7"/>
    <w:rsid w:val="00994ACD"/>
    <w:rsid w:val="00994D38"/>
    <w:rsid w:val="00995654"/>
    <w:rsid w:val="009956C4"/>
    <w:rsid w:val="009959A9"/>
    <w:rsid w:val="00995AF7"/>
    <w:rsid w:val="00995D95"/>
    <w:rsid w:val="00995FC2"/>
    <w:rsid w:val="00996631"/>
    <w:rsid w:val="00996707"/>
    <w:rsid w:val="009967A4"/>
    <w:rsid w:val="009967B5"/>
    <w:rsid w:val="0099683E"/>
    <w:rsid w:val="00996B25"/>
    <w:rsid w:val="00996F27"/>
    <w:rsid w:val="00997285"/>
    <w:rsid w:val="0099758C"/>
    <w:rsid w:val="009976E3"/>
    <w:rsid w:val="009976F1"/>
    <w:rsid w:val="0099782D"/>
    <w:rsid w:val="00997CDB"/>
    <w:rsid w:val="00997D8C"/>
    <w:rsid w:val="009A00EC"/>
    <w:rsid w:val="009A056A"/>
    <w:rsid w:val="009A07AC"/>
    <w:rsid w:val="009A07AF"/>
    <w:rsid w:val="009A07E2"/>
    <w:rsid w:val="009A08C8"/>
    <w:rsid w:val="009A0B8C"/>
    <w:rsid w:val="009A2118"/>
    <w:rsid w:val="009A248D"/>
    <w:rsid w:val="009A257C"/>
    <w:rsid w:val="009A2AA8"/>
    <w:rsid w:val="009A2AED"/>
    <w:rsid w:val="009A2E33"/>
    <w:rsid w:val="009A2EBA"/>
    <w:rsid w:val="009A2F15"/>
    <w:rsid w:val="009A30A7"/>
    <w:rsid w:val="009A34AC"/>
    <w:rsid w:val="009A351D"/>
    <w:rsid w:val="009A3769"/>
    <w:rsid w:val="009A3B8E"/>
    <w:rsid w:val="009A3F2E"/>
    <w:rsid w:val="009A434B"/>
    <w:rsid w:val="009A463E"/>
    <w:rsid w:val="009A4964"/>
    <w:rsid w:val="009A4B06"/>
    <w:rsid w:val="009A4E33"/>
    <w:rsid w:val="009A503B"/>
    <w:rsid w:val="009A5191"/>
    <w:rsid w:val="009A51A6"/>
    <w:rsid w:val="009A5E6C"/>
    <w:rsid w:val="009A60C1"/>
    <w:rsid w:val="009A639B"/>
    <w:rsid w:val="009A63C2"/>
    <w:rsid w:val="009A647C"/>
    <w:rsid w:val="009A658F"/>
    <w:rsid w:val="009A668A"/>
    <w:rsid w:val="009A6A96"/>
    <w:rsid w:val="009A6AA6"/>
    <w:rsid w:val="009A6F38"/>
    <w:rsid w:val="009A71B4"/>
    <w:rsid w:val="009A7231"/>
    <w:rsid w:val="009A739D"/>
    <w:rsid w:val="009A73F3"/>
    <w:rsid w:val="009A744B"/>
    <w:rsid w:val="009A74F2"/>
    <w:rsid w:val="009A7955"/>
    <w:rsid w:val="009A7B71"/>
    <w:rsid w:val="009A7DE3"/>
    <w:rsid w:val="009B0321"/>
    <w:rsid w:val="009B0920"/>
    <w:rsid w:val="009B0B11"/>
    <w:rsid w:val="009B106F"/>
    <w:rsid w:val="009B13BB"/>
    <w:rsid w:val="009B14BF"/>
    <w:rsid w:val="009B16E5"/>
    <w:rsid w:val="009B1A65"/>
    <w:rsid w:val="009B1C98"/>
    <w:rsid w:val="009B1CDC"/>
    <w:rsid w:val="009B20B7"/>
    <w:rsid w:val="009B2157"/>
    <w:rsid w:val="009B2192"/>
    <w:rsid w:val="009B266C"/>
    <w:rsid w:val="009B28C6"/>
    <w:rsid w:val="009B2F34"/>
    <w:rsid w:val="009B315E"/>
    <w:rsid w:val="009B3173"/>
    <w:rsid w:val="009B3214"/>
    <w:rsid w:val="009B3233"/>
    <w:rsid w:val="009B38CC"/>
    <w:rsid w:val="009B3D50"/>
    <w:rsid w:val="009B3FC6"/>
    <w:rsid w:val="009B40BD"/>
    <w:rsid w:val="009B48A9"/>
    <w:rsid w:val="009B503C"/>
    <w:rsid w:val="009B510F"/>
    <w:rsid w:val="009B52B3"/>
    <w:rsid w:val="009B52FE"/>
    <w:rsid w:val="009B5864"/>
    <w:rsid w:val="009B5D87"/>
    <w:rsid w:val="009B5DE1"/>
    <w:rsid w:val="009B60C1"/>
    <w:rsid w:val="009B6393"/>
    <w:rsid w:val="009B63E4"/>
    <w:rsid w:val="009B6B29"/>
    <w:rsid w:val="009B71FC"/>
    <w:rsid w:val="009B72E5"/>
    <w:rsid w:val="009B7386"/>
    <w:rsid w:val="009B7539"/>
    <w:rsid w:val="009B76B2"/>
    <w:rsid w:val="009B781B"/>
    <w:rsid w:val="009B7898"/>
    <w:rsid w:val="009B7C57"/>
    <w:rsid w:val="009B7DA5"/>
    <w:rsid w:val="009C01BE"/>
    <w:rsid w:val="009C0383"/>
    <w:rsid w:val="009C043A"/>
    <w:rsid w:val="009C057C"/>
    <w:rsid w:val="009C07DA"/>
    <w:rsid w:val="009C101F"/>
    <w:rsid w:val="009C1124"/>
    <w:rsid w:val="009C14B4"/>
    <w:rsid w:val="009C16DE"/>
    <w:rsid w:val="009C18C9"/>
    <w:rsid w:val="009C1ED2"/>
    <w:rsid w:val="009C1FE5"/>
    <w:rsid w:val="009C2178"/>
    <w:rsid w:val="009C22A2"/>
    <w:rsid w:val="009C2507"/>
    <w:rsid w:val="009C26AE"/>
    <w:rsid w:val="009C2885"/>
    <w:rsid w:val="009C2A4A"/>
    <w:rsid w:val="009C2AD3"/>
    <w:rsid w:val="009C2DB7"/>
    <w:rsid w:val="009C31DD"/>
    <w:rsid w:val="009C3625"/>
    <w:rsid w:val="009C3AF4"/>
    <w:rsid w:val="009C3DE2"/>
    <w:rsid w:val="009C40C0"/>
    <w:rsid w:val="009C4522"/>
    <w:rsid w:val="009C458E"/>
    <w:rsid w:val="009C47F4"/>
    <w:rsid w:val="009C48C3"/>
    <w:rsid w:val="009C503B"/>
    <w:rsid w:val="009C504E"/>
    <w:rsid w:val="009C5673"/>
    <w:rsid w:val="009C59C9"/>
    <w:rsid w:val="009C5B96"/>
    <w:rsid w:val="009C614B"/>
    <w:rsid w:val="009C61D2"/>
    <w:rsid w:val="009C6405"/>
    <w:rsid w:val="009C66AB"/>
    <w:rsid w:val="009C6A26"/>
    <w:rsid w:val="009C6B2C"/>
    <w:rsid w:val="009C6B8C"/>
    <w:rsid w:val="009C777E"/>
    <w:rsid w:val="009C779D"/>
    <w:rsid w:val="009C7987"/>
    <w:rsid w:val="009C7AE7"/>
    <w:rsid w:val="009C7AFF"/>
    <w:rsid w:val="009C7BFD"/>
    <w:rsid w:val="009C7CAA"/>
    <w:rsid w:val="009D0088"/>
    <w:rsid w:val="009D03E5"/>
    <w:rsid w:val="009D04D5"/>
    <w:rsid w:val="009D05BC"/>
    <w:rsid w:val="009D061F"/>
    <w:rsid w:val="009D09D0"/>
    <w:rsid w:val="009D09F7"/>
    <w:rsid w:val="009D0CAE"/>
    <w:rsid w:val="009D1615"/>
    <w:rsid w:val="009D179F"/>
    <w:rsid w:val="009D19D8"/>
    <w:rsid w:val="009D1ECC"/>
    <w:rsid w:val="009D21AB"/>
    <w:rsid w:val="009D22C6"/>
    <w:rsid w:val="009D241D"/>
    <w:rsid w:val="009D25A0"/>
    <w:rsid w:val="009D27C5"/>
    <w:rsid w:val="009D28FB"/>
    <w:rsid w:val="009D2E2C"/>
    <w:rsid w:val="009D2E51"/>
    <w:rsid w:val="009D2FC6"/>
    <w:rsid w:val="009D31BC"/>
    <w:rsid w:val="009D333F"/>
    <w:rsid w:val="009D3821"/>
    <w:rsid w:val="009D3940"/>
    <w:rsid w:val="009D3998"/>
    <w:rsid w:val="009D3D9A"/>
    <w:rsid w:val="009D3F71"/>
    <w:rsid w:val="009D4537"/>
    <w:rsid w:val="009D467A"/>
    <w:rsid w:val="009D46B5"/>
    <w:rsid w:val="009D46BE"/>
    <w:rsid w:val="009D4A68"/>
    <w:rsid w:val="009D4C6E"/>
    <w:rsid w:val="009D4E47"/>
    <w:rsid w:val="009D5139"/>
    <w:rsid w:val="009D559C"/>
    <w:rsid w:val="009D5B30"/>
    <w:rsid w:val="009D6084"/>
    <w:rsid w:val="009D6371"/>
    <w:rsid w:val="009D6508"/>
    <w:rsid w:val="009D6632"/>
    <w:rsid w:val="009D6681"/>
    <w:rsid w:val="009D6B73"/>
    <w:rsid w:val="009D72DC"/>
    <w:rsid w:val="009D7642"/>
    <w:rsid w:val="009D7952"/>
    <w:rsid w:val="009D7BE0"/>
    <w:rsid w:val="009D7F95"/>
    <w:rsid w:val="009E0038"/>
    <w:rsid w:val="009E0453"/>
    <w:rsid w:val="009E0B46"/>
    <w:rsid w:val="009E0EDA"/>
    <w:rsid w:val="009E0FC6"/>
    <w:rsid w:val="009E12BE"/>
    <w:rsid w:val="009E1366"/>
    <w:rsid w:val="009E17E4"/>
    <w:rsid w:val="009E19D3"/>
    <w:rsid w:val="009E1D11"/>
    <w:rsid w:val="009E1E53"/>
    <w:rsid w:val="009E2055"/>
    <w:rsid w:val="009E24AD"/>
    <w:rsid w:val="009E2696"/>
    <w:rsid w:val="009E2707"/>
    <w:rsid w:val="009E2E45"/>
    <w:rsid w:val="009E2F34"/>
    <w:rsid w:val="009E3315"/>
    <w:rsid w:val="009E3399"/>
    <w:rsid w:val="009E361D"/>
    <w:rsid w:val="009E451A"/>
    <w:rsid w:val="009E4C89"/>
    <w:rsid w:val="009E4D50"/>
    <w:rsid w:val="009E4D68"/>
    <w:rsid w:val="009E5366"/>
    <w:rsid w:val="009E575E"/>
    <w:rsid w:val="009E5CEA"/>
    <w:rsid w:val="009E6273"/>
    <w:rsid w:val="009E6345"/>
    <w:rsid w:val="009E66CE"/>
    <w:rsid w:val="009E677F"/>
    <w:rsid w:val="009E6B6A"/>
    <w:rsid w:val="009E6C13"/>
    <w:rsid w:val="009E6DD3"/>
    <w:rsid w:val="009E7B25"/>
    <w:rsid w:val="009E7B2C"/>
    <w:rsid w:val="009E7D3E"/>
    <w:rsid w:val="009E7D89"/>
    <w:rsid w:val="009E7EAD"/>
    <w:rsid w:val="009F043B"/>
    <w:rsid w:val="009F0673"/>
    <w:rsid w:val="009F07F8"/>
    <w:rsid w:val="009F08F0"/>
    <w:rsid w:val="009F0F4D"/>
    <w:rsid w:val="009F112B"/>
    <w:rsid w:val="009F1227"/>
    <w:rsid w:val="009F12E7"/>
    <w:rsid w:val="009F133A"/>
    <w:rsid w:val="009F1362"/>
    <w:rsid w:val="009F18EB"/>
    <w:rsid w:val="009F190B"/>
    <w:rsid w:val="009F1FFA"/>
    <w:rsid w:val="009F21BF"/>
    <w:rsid w:val="009F22E6"/>
    <w:rsid w:val="009F2355"/>
    <w:rsid w:val="009F2459"/>
    <w:rsid w:val="009F28C6"/>
    <w:rsid w:val="009F2C57"/>
    <w:rsid w:val="009F2C81"/>
    <w:rsid w:val="009F2CF8"/>
    <w:rsid w:val="009F2D1E"/>
    <w:rsid w:val="009F3069"/>
    <w:rsid w:val="009F3624"/>
    <w:rsid w:val="009F3702"/>
    <w:rsid w:val="009F375C"/>
    <w:rsid w:val="009F38CF"/>
    <w:rsid w:val="009F3B59"/>
    <w:rsid w:val="009F3C3E"/>
    <w:rsid w:val="009F3F63"/>
    <w:rsid w:val="009F4169"/>
    <w:rsid w:val="009F42FD"/>
    <w:rsid w:val="009F4442"/>
    <w:rsid w:val="009F4759"/>
    <w:rsid w:val="009F5283"/>
    <w:rsid w:val="009F52A3"/>
    <w:rsid w:val="009F54E6"/>
    <w:rsid w:val="009F569C"/>
    <w:rsid w:val="009F57DC"/>
    <w:rsid w:val="009F585E"/>
    <w:rsid w:val="009F5B5B"/>
    <w:rsid w:val="009F5C0A"/>
    <w:rsid w:val="009F5CC8"/>
    <w:rsid w:val="009F62BB"/>
    <w:rsid w:val="009F65DD"/>
    <w:rsid w:val="009F665A"/>
    <w:rsid w:val="009F6804"/>
    <w:rsid w:val="009F68CD"/>
    <w:rsid w:val="009F69C6"/>
    <w:rsid w:val="009F6F5B"/>
    <w:rsid w:val="009F7249"/>
    <w:rsid w:val="009F735B"/>
    <w:rsid w:val="009F7647"/>
    <w:rsid w:val="009F77AC"/>
    <w:rsid w:val="009F7890"/>
    <w:rsid w:val="00A0033F"/>
    <w:rsid w:val="00A0044E"/>
    <w:rsid w:val="00A00B13"/>
    <w:rsid w:val="00A00C0B"/>
    <w:rsid w:val="00A00D61"/>
    <w:rsid w:val="00A00E4E"/>
    <w:rsid w:val="00A01342"/>
    <w:rsid w:val="00A01690"/>
    <w:rsid w:val="00A01919"/>
    <w:rsid w:val="00A01BB1"/>
    <w:rsid w:val="00A01D18"/>
    <w:rsid w:val="00A020EA"/>
    <w:rsid w:val="00A024FA"/>
    <w:rsid w:val="00A02555"/>
    <w:rsid w:val="00A026F0"/>
    <w:rsid w:val="00A0298C"/>
    <w:rsid w:val="00A02B9B"/>
    <w:rsid w:val="00A02C99"/>
    <w:rsid w:val="00A02CE6"/>
    <w:rsid w:val="00A02D47"/>
    <w:rsid w:val="00A02EB1"/>
    <w:rsid w:val="00A0321D"/>
    <w:rsid w:val="00A0322D"/>
    <w:rsid w:val="00A03725"/>
    <w:rsid w:val="00A039FE"/>
    <w:rsid w:val="00A03B2F"/>
    <w:rsid w:val="00A03C50"/>
    <w:rsid w:val="00A04867"/>
    <w:rsid w:val="00A049C3"/>
    <w:rsid w:val="00A04CD5"/>
    <w:rsid w:val="00A055E4"/>
    <w:rsid w:val="00A056E3"/>
    <w:rsid w:val="00A0579D"/>
    <w:rsid w:val="00A058D9"/>
    <w:rsid w:val="00A05AB4"/>
    <w:rsid w:val="00A05CFA"/>
    <w:rsid w:val="00A05D9B"/>
    <w:rsid w:val="00A05EA8"/>
    <w:rsid w:val="00A05FCA"/>
    <w:rsid w:val="00A061EA"/>
    <w:rsid w:val="00A065E5"/>
    <w:rsid w:val="00A0681E"/>
    <w:rsid w:val="00A06F1E"/>
    <w:rsid w:val="00A0779F"/>
    <w:rsid w:val="00A077A0"/>
    <w:rsid w:val="00A10110"/>
    <w:rsid w:val="00A101AF"/>
    <w:rsid w:val="00A10BDC"/>
    <w:rsid w:val="00A10E1E"/>
    <w:rsid w:val="00A10EA1"/>
    <w:rsid w:val="00A11059"/>
    <w:rsid w:val="00A1140A"/>
    <w:rsid w:val="00A115D2"/>
    <w:rsid w:val="00A11774"/>
    <w:rsid w:val="00A118D6"/>
    <w:rsid w:val="00A1191C"/>
    <w:rsid w:val="00A11CED"/>
    <w:rsid w:val="00A11F1A"/>
    <w:rsid w:val="00A11F30"/>
    <w:rsid w:val="00A12231"/>
    <w:rsid w:val="00A125AF"/>
    <w:rsid w:val="00A1279C"/>
    <w:rsid w:val="00A12B5A"/>
    <w:rsid w:val="00A12C38"/>
    <w:rsid w:val="00A12FB6"/>
    <w:rsid w:val="00A12FC9"/>
    <w:rsid w:val="00A1312F"/>
    <w:rsid w:val="00A1343C"/>
    <w:rsid w:val="00A143F8"/>
    <w:rsid w:val="00A14B80"/>
    <w:rsid w:val="00A14B8E"/>
    <w:rsid w:val="00A15327"/>
    <w:rsid w:val="00A15449"/>
    <w:rsid w:val="00A15596"/>
    <w:rsid w:val="00A15BF5"/>
    <w:rsid w:val="00A15DF8"/>
    <w:rsid w:val="00A1624B"/>
    <w:rsid w:val="00A16570"/>
    <w:rsid w:val="00A16629"/>
    <w:rsid w:val="00A16804"/>
    <w:rsid w:val="00A1680A"/>
    <w:rsid w:val="00A16BF4"/>
    <w:rsid w:val="00A16E03"/>
    <w:rsid w:val="00A17132"/>
    <w:rsid w:val="00A174FF"/>
    <w:rsid w:val="00A17699"/>
    <w:rsid w:val="00A177DD"/>
    <w:rsid w:val="00A17907"/>
    <w:rsid w:val="00A17D7F"/>
    <w:rsid w:val="00A200A5"/>
    <w:rsid w:val="00A20387"/>
    <w:rsid w:val="00A20AF8"/>
    <w:rsid w:val="00A20B10"/>
    <w:rsid w:val="00A20BA5"/>
    <w:rsid w:val="00A20C51"/>
    <w:rsid w:val="00A21149"/>
    <w:rsid w:val="00A21276"/>
    <w:rsid w:val="00A21334"/>
    <w:rsid w:val="00A214D8"/>
    <w:rsid w:val="00A21565"/>
    <w:rsid w:val="00A21859"/>
    <w:rsid w:val="00A219D5"/>
    <w:rsid w:val="00A21A92"/>
    <w:rsid w:val="00A21E2F"/>
    <w:rsid w:val="00A22039"/>
    <w:rsid w:val="00A2215A"/>
    <w:rsid w:val="00A228F3"/>
    <w:rsid w:val="00A22B29"/>
    <w:rsid w:val="00A22B82"/>
    <w:rsid w:val="00A22CF5"/>
    <w:rsid w:val="00A22D61"/>
    <w:rsid w:val="00A2303E"/>
    <w:rsid w:val="00A2304A"/>
    <w:rsid w:val="00A2342D"/>
    <w:rsid w:val="00A2373D"/>
    <w:rsid w:val="00A23962"/>
    <w:rsid w:val="00A2398E"/>
    <w:rsid w:val="00A23F5E"/>
    <w:rsid w:val="00A24064"/>
    <w:rsid w:val="00A242AD"/>
    <w:rsid w:val="00A2431B"/>
    <w:rsid w:val="00A247D4"/>
    <w:rsid w:val="00A249D1"/>
    <w:rsid w:val="00A254CE"/>
    <w:rsid w:val="00A25608"/>
    <w:rsid w:val="00A2560D"/>
    <w:rsid w:val="00A2566E"/>
    <w:rsid w:val="00A25999"/>
    <w:rsid w:val="00A25B3C"/>
    <w:rsid w:val="00A25D21"/>
    <w:rsid w:val="00A25D23"/>
    <w:rsid w:val="00A260CD"/>
    <w:rsid w:val="00A26695"/>
    <w:rsid w:val="00A26ACA"/>
    <w:rsid w:val="00A26EA3"/>
    <w:rsid w:val="00A275FC"/>
    <w:rsid w:val="00A279E2"/>
    <w:rsid w:val="00A27A3F"/>
    <w:rsid w:val="00A27E45"/>
    <w:rsid w:val="00A30140"/>
    <w:rsid w:val="00A309D6"/>
    <w:rsid w:val="00A30C97"/>
    <w:rsid w:val="00A30E4E"/>
    <w:rsid w:val="00A30F3A"/>
    <w:rsid w:val="00A3128E"/>
    <w:rsid w:val="00A314CA"/>
    <w:rsid w:val="00A31533"/>
    <w:rsid w:val="00A316B8"/>
    <w:rsid w:val="00A31867"/>
    <w:rsid w:val="00A32370"/>
    <w:rsid w:val="00A32660"/>
    <w:rsid w:val="00A3277F"/>
    <w:rsid w:val="00A32C32"/>
    <w:rsid w:val="00A32D0C"/>
    <w:rsid w:val="00A330CC"/>
    <w:rsid w:val="00A33478"/>
    <w:rsid w:val="00A334EB"/>
    <w:rsid w:val="00A338C4"/>
    <w:rsid w:val="00A33ACE"/>
    <w:rsid w:val="00A33B0F"/>
    <w:rsid w:val="00A342FD"/>
    <w:rsid w:val="00A3446A"/>
    <w:rsid w:val="00A34A4F"/>
    <w:rsid w:val="00A34B2D"/>
    <w:rsid w:val="00A34B8D"/>
    <w:rsid w:val="00A34EEF"/>
    <w:rsid w:val="00A35089"/>
    <w:rsid w:val="00A351E6"/>
    <w:rsid w:val="00A35498"/>
    <w:rsid w:val="00A357EF"/>
    <w:rsid w:val="00A3582C"/>
    <w:rsid w:val="00A3588E"/>
    <w:rsid w:val="00A35B7F"/>
    <w:rsid w:val="00A35EA3"/>
    <w:rsid w:val="00A361CA"/>
    <w:rsid w:val="00A362DA"/>
    <w:rsid w:val="00A36520"/>
    <w:rsid w:val="00A366B3"/>
    <w:rsid w:val="00A37282"/>
    <w:rsid w:val="00A37286"/>
    <w:rsid w:val="00A3749B"/>
    <w:rsid w:val="00A375CA"/>
    <w:rsid w:val="00A378A8"/>
    <w:rsid w:val="00A37B06"/>
    <w:rsid w:val="00A37C1F"/>
    <w:rsid w:val="00A400C7"/>
    <w:rsid w:val="00A405AC"/>
    <w:rsid w:val="00A407A2"/>
    <w:rsid w:val="00A40C95"/>
    <w:rsid w:val="00A40D19"/>
    <w:rsid w:val="00A40E10"/>
    <w:rsid w:val="00A411D8"/>
    <w:rsid w:val="00A41422"/>
    <w:rsid w:val="00A419B7"/>
    <w:rsid w:val="00A41B7C"/>
    <w:rsid w:val="00A41D70"/>
    <w:rsid w:val="00A420C4"/>
    <w:rsid w:val="00A427A0"/>
    <w:rsid w:val="00A42A6E"/>
    <w:rsid w:val="00A42FD1"/>
    <w:rsid w:val="00A43349"/>
    <w:rsid w:val="00A4359E"/>
    <w:rsid w:val="00A4383F"/>
    <w:rsid w:val="00A43AC9"/>
    <w:rsid w:val="00A43B4B"/>
    <w:rsid w:val="00A4417C"/>
    <w:rsid w:val="00A44814"/>
    <w:rsid w:val="00A4516A"/>
    <w:rsid w:val="00A451C3"/>
    <w:rsid w:val="00A454AF"/>
    <w:rsid w:val="00A45614"/>
    <w:rsid w:val="00A45A64"/>
    <w:rsid w:val="00A45E34"/>
    <w:rsid w:val="00A45EBE"/>
    <w:rsid w:val="00A45F4A"/>
    <w:rsid w:val="00A464AC"/>
    <w:rsid w:val="00A46535"/>
    <w:rsid w:val="00A46623"/>
    <w:rsid w:val="00A466DF"/>
    <w:rsid w:val="00A46978"/>
    <w:rsid w:val="00A46DA0"/>
    <w:rsid w:val="00A46FA0"/>
    <w:rsid w:val="00A47B66"/>
    <w:rsid w:val="00A47C20"/>
    <w:rsid w:val="00A47C62"/>
    <w:rsid w:val="00A50600"/>
    <w:rsid w:val="00A50A2B"/>
    <w:rsid w:val="00A50AE5"/>
    <w:rsid w:val="00A50E08"/>
    <w:rsid w:val="00A50EAA"/>
    <w:rsid w:val="00A510DF"/>
    <w:rsid w:val="00A5126F"/>
    <w:rsid w:val="00A5166D"/>
    <w:rsid w:val="00A517FB"/>
    <w:rsid w:val="00A518B7"/>
    <w:rsid w:val="00A518CD"/>
    <w:rsid w:val="00A51A97"/>
    <w:rsid w:val="00A51AA2"/>
    <w:rsid w:val="00A520EF"/>
    <w:rsid w:val="00A520F4"/>
    <w:rsid w:val="00A52434"/>
    <w:rsid w:val="00A524CA"/>
    <w:rsid w:val="00A52571"/>
    <w:rsid w:val="00A52608"/>
    <w:rsid w:val="00A527AD"/>
    <w:rsid w:val="00A53058"/>
    <w:rsid w:val="00A530C9"/>
    <w:rsid w:val="00A530F3"/>
    <w:rsid w:val="00A5312A"/>
    <w:rsid w:val="00A538D4"/>
    <w:rsid w:val="00A53BBB"/>
    <w:rsid w:val="00A53F48"/>
    <w:rsid w:val="00A53FF8"/>
    <w:rsid w:val="00A541D1"/>
    <w:rsid w:val="00A543D0"/>
    <w:rsid w:val="00A54962"/>
    <w:rsid w:val="00A549D5"/>
    <w:rsid w:val="00A54A3B"/>
    <w:rsid w:val="00A54E4E"/>
    <w:rsid w:val="00A54ECC"/>
    <w:rsid w:val="00A550C5"/>
    <w:rsid w:val="00A5546E"/>
    <w:rsid w:val="00A554CC"/>
    <w:rsid w:val="00A55715"/>
    <w:rsid w:val="00A55BAB"/>
    <w:rsid w:val="00A56094"/>
    <w:rsid w:val="00A561AF"/>
    <w:rsid w:val="00A56230"/>
    <w:rsid w:val="00A5627E"/>
    <w:rsid w:val="00A565ED"/>
    <w:rsid w:val="00A5676E"/>
    <w:rsid w:val="00A56815"/>
    <w:rsid w:val="00A56F44"/>
    <w:rsid w:val="00A57306"/>
    <w:rsid w:val="00A575EE"/>
    <w:rsid w:val="00A5776D"/>
    <w:rsid w:val="00A57A40"/>
    <w:rsid w:val="00A57D17"/>
    <w:rsid w:val="00A57E5D"/>
    <w:rsid w:val="00A6033D"/>
    <w:rsid w:val="00A6054B"/>
    <w:rsid w:val="00A60BE0"/>
    <w:rsid w:val="00A60CC6"/>
    <w:rsid w:val="00A61319"/>
    <w:rsid w:val="00A613EE"/>
    <w:rsid w:val="00A61456"/>
    <w:rsid w:val="00A61697"/>
    <w:rsid w:val="00A61889"/>
    <w:rsid w:val="00A61E2D"/>
    <w:rsid w:val="00A61EE0"/>
    <w:rsid w:val="00A62169"/>
    <w:rsid w:val="00A62507"/>
    <w:rsid w:val="00A6267D"/>
    <w:rsid w:val="00A62E42"/>
    <w:rsid w:val="00A62EB5"/>
    <w:rsid w:val="00A63403"/>
    <w:rsid w:val="00A63B1B"/>
    <w:rsid w:val="00A64A71"/>
    <w:rsid w:val="00A64F87"/>
    <w:rsid w:val="00A652B8"/>
    <w:rsid w:val="00A65750"/>
    <w:rsid w:val="00A658DE"/>
    <w:rsid w:val="00A65AC0"/>
    <w:rsid w:val="00A65B7B"/>
    <w:rsid w:val="00A65CAF"/>
    <w:rsid w:val="00A65EC4"/>
    <w:rsid w:val="00A6689E"/>
    <w:rsid w:val="00A669E5"/>
    <w:rsid w:val="00A66F6B"/>
    <w:rsid w:val="00A67293"/>
    <w:rsid w:val="00A673BC"/>
    <w:rsid w:val="00A67D0B"/>
    <w:rsid w:val="00A700E0"/>
    <w:rsid w:val="00A7015E"/>
    <w:rsid w:val="00A70170"/>
    <w:rsid w:val="00A70514"/>
    <w:rsid w:val="00A705D9"/>
    <w:rsid w:val="00A70929"/>
    <w:rsid w:val="00A70BF1"/>
    <w:rsid w:val="00A70FFC"/>
    <w:rsid w:val="00A7166C"/>
    <w:rsid w:val="00A7171C"/>
    <w:rsid w:val="00A7176B"/>
    <w:rsid w:val="00A7186E"/>
    <w:rsid w:val="00A71A22"/>
    <w:rsid w:val="00A71C5D"/>
    <w:rsid w:val="00A71D67"/>
    <w:rsid w:val="00A72272"/>
    <w:rsid w:val="00A72524"/>
    <w:rsid w:val="00A7288F"/>
    <w:rsid w:val="00A72B0C"/>
    <w:rsid w:val="00A72BC8"/>
    <w:rsid w:val="00A72DF0"/>
    <w:rsid w:val="00A73013"/>
    <w:rsid w:val="00A7342A"/>
    <w:rsid w:val="00A73823"/>
    <w:rsid w:val="00A73DED"/>
    <w:rsid w:val="00A73EF2"/>
    <w:rsid w:val="00A74438"/>
    <w:rsid w:val="00A747E4"/>
    <w:rsid w:val="00A74C89"/>
    <w:rsid w:val="00A74E10"/>
    <w:rsid w:val="00A75041"/>
    <w:rsid w:val="00A752AE"/>
    <w:rsid w:val="00A753B2"/>
    <w:rsid w:val="00A755E5"/>
    <w:rsid w:val="00A75AE7"/>
    <w:rsid w:val="00A75BD3"/>
    <w:rsid w:val="00A75C2D"/>
    <w:rsid w:val="00A75E70"/>
    <w:rsid w:val="00A75FAA"/>
    <w:rsid w:val="00A764E9"/>
    <w:rsid w:val="00A76510"/>
    <w:rsid w:val="00A76629"/>
    <w:rsid w:val="00A768AB"/>
    <w:rsid w:val="00A77836"/>
    <w:rsid w:val="00A778BB"/>
    <w:rsid w:val="00A77C3D"/>
    <w:rsid w:val="00A800CD"/>
    <w:rsid w:val="00A80489"/>
    <w:rsid w:val="00A8052C"/>
    <w:rsid w:val="00A8063E"/>
    <w:rsid w:val="00A80763"/>
    <w:rsid w:val="00A80E9B"/>
    <w:rsid w:val="00A81593"/>
    <w:rsid w:val="00A81EF6"/>
    <w:rsid w:val="00A81F6D"/>
    <w:rsid w:val="00A827CA"/>
    <w:rsid w:val="00A82AF0"/>
    <w:rsid w:val="00A82CDE"/>
    <w:rsid w:val="00A82E7A"/>
    <w:rsid w:val="00A83AC6"/>
    <w:rsid w:val="00A84374"/>
    <w:rsid w:val="00A845DD"/>
    <w:rsid w:val="00A84C3B"/>
    <w:rsid w:val="00A84E22"/>
    <w:rsid w:val="00A84E58"/>
    <w:rsid w:val="00A8505C"/>
    <w:rsid w:val="00A855F5"/>
    <w:rsid w:val="00A85D0D"/>
    <w:rsid w:val="00A86095"/>
    <w:rsid w:val="00A86366"/>
    <w:rsid w:val="00A86406"/>
    <w:rsid w:val="00A86AC3"/>
    <w:rsid w:val="00A86D34"/>
    <w:rsid w:val="00A86DB2"/>
    <w:rsid w:val="00A86E81"/>
    <w:rsid w:val="00A872D9"/>
    <w:rsid w:val="00A87BBC"/>
    <w:rsid w:val="00A904B1"/>
    <w:rsid w:val="00A906B0"/>
    <w:rsid w:val="00A90A39"/>
    <w:rsid w:val="00A90CAC"/>
    <w:rsid w:val="00A9110D"/>
    <w:rsid w:val="00A91525"/>
    <w:rsid w:val="00A9188A"/>
    <w:rsid w:val="00A91CFC"/>
    <w:rsid w:val="00A91FC7"/>
    <w:rsid w:val="00A92130"/>
    <w:rsid w:val="00A92CDB"/>
    <w:rsid w:val="00A939FD"/>
    <w:rsid w:val="00A94350"/>
    <w:rsid w:val="00A943C2"/>
    <w:rsid w:val="00A9525B"/>
    <w:rsid w:val="00A95270"/>
    <w:rsid w:val="00A9537C"/>
    <w:rsid w:val="00A958BC"/>
    <w:rsid w:val="00A95D85"/>
    <w:rsid w:val="00A95F18"/>
    <w:rsid w:val="00A96780"/>
    <w:rsid w:val="00A96A39"/>
    <w:rsid w:val="00A96A4C"/>
    <w:rsid w:val="00A96D8A"/>
    <w:rsid w:val="00A96DAA"/>
    <w:rsid w:val="00A9723B"/>
    <w:rsid w:val="00A97677"/>
    <w:rsid w:val="00A97A19"/>
    <w:rsid w:val="00A97AED"/>
    <w:rsid w:val="00A97C54"/>
    <w:rsid w:val="00A97D30"/>
    <w:rsid w:val="00AA006C"/>
    <w:rsid w:val="00AA0272"/>
    <w:rsid w:val="00AA0331"/>
    <w:rsid w:val="00AA033B"/>
    <w:rsid w:val="00AA05B2"/>
    <w:rsid w:val="00AA0769"/>
    <w:rsid w:val="00AA077D"/>
    <w:rsid w:val="00AA0D1E"/>
    <w:rsid w:val="00AA0E69"/>
    <w:rsid w:val="00AA16DF"/>
    <w:rsid w:val="00AA1A02"/>
    <w:rsid w:val="00AA1A20"/>
    <w:rsid w:val="00AA1DC5"/>
    <w:rsid w:val="00AA1EC6"/>
    <w:rsid w:val="00AA1FCC"/>
    <w:rsid w:val="00AA20B9"/>
    <w:rsid w:val="00AA2656"/>
    <w:rsid w:val="00AA27DC"/>
    <w:rsid w:val="00AA290B"/>
    <w:rsid w:val="00AA2BF4"/>
    <w:rsid w:val="00AA2BF8"/>
    <w:rsid w:val="00AA32CE"/>
    <w:rsid w:val="00AA3316"/>
    <w:rsid w:val="00AA399C"/>
    <w:rsid w:val="00AA3B67"/>
    <w:rsid w:val="00AA3BBD"/>
    <w:rsid w:val="00AA3BFE"/>
    <w:rsid w:val="00AA4000"/>
    <w:rsid w:val="00AA403E"/>
    <w:rsid w:val="00AA42DD"/>
    <w:rsid w:val="00AA433A"/>
    <w:rsid w:val="00AA450B"/>
    <w:rsid w:val="00AA49C4"/>
    <w:rsid w:val="00AA4CAE"/>
    <w:rsid w:val="00AA53B1"/>
    <w:rsid w:val="00AA5997"/>
    <w:rsid w:val="00AA5B88"/>
    <w:rsid w:val="00AA6416"/>
    <w:rsid w:val="00AA641A"/>
    <w:rsid w:val="00AA6430"/>
    <w:rsid w:val="00AA6AF1"/>
    <w:rsid w:val="00AA6C2F"/>
    <w:rsid w:val="00AA6D38"/>
    <w:rsid w:val="00AA6DCB"/>
    <w:rsid w:val="00AA6F89"/>
    <w:rsid w:val="00AA7451"/>
    <w:rsid w:val="00AA7DE8"/>
    <w:rsid w:val="00AA7EFF"/>
    <w:rsid w:val="00AB03B5"/>
    <w:rsid w:val="00AB0408"/>
    <w:rsid w:val="00AB04D8"/>
    <w:rsid w:val="00AB09D6"/>
    <w:rsid w:val="00AB0F54"/>
    <w:rsid w:val="00AB1038"/>
    <w:rsid w:val="00AB1471"/>
    <w:rsid w:val="00AB15E5"/>
    <w:rsid w:val="00AB197D"/>
    <w:rsid w:val="00AB1A84"/>
    <w:rsid w:val="00AB1AD6"/>
    <w:rsid w:val="00AB1B2F"/>
    <w:rsid w:val="00AB21D1"/>
    <w:rsid w:val="00AB22F8"/>
    <w:rsid w:val="00AB230C"/>
    <w:rsid w:val="00AB25E9"/>
    <w:rsid w:val="00AB26A3"/>
    <w:rsid w:val="00AB2785"/>
    <w:rsid w:val="00AB2AE0"/>
    <w:rsid w:val="00AB2CC9"/>
    <w:rsid w:val="00AB30E0"/>
    <w:rsid w:val="00AB32EB"/>
    <w:rsid w:val="00AB34D0"/>
    <w:rsid w:val="00AB37AE"/>
    <w:rsid w:val="00AB3819"/>
    <w:rsid w:val="00AB3B91"/>
    <w:rsid w:val="00AB3BB2"/>
    <w:rsid w:val="00AB3D0B"/>
    <w:rsid w:val="00AB44EB"/>
    <w:rsid w:val="00AB450E"/>
    <w:rsid w:val="00AB456B"/>
    <w:rsid w:val="00AB4839"/>
    <w:rsid w:val="00AB49F1"/>
    <w:rsid w:val="00AB4BDB"/>
    <w:rsid w:val="00AB4E9E"/>
    <w:rsid w:val="00AB50BD"/>
    <w:rsid w:val="00AB5179"/>
    <w:rsid w:val="00AB56F9"/>
    <w:rsid w:val="00AB5715"/>
    <w:rsid w:val="00AB57EB"/>
    <w:rsid w:val="00AB5A6D"/>
    <w:rsid w:val="00AB5E52"/>
    <w:rsid w:val="00AB6791"/>
    <w:rsid w:val="00AB6834"/>
    <w:rsid w:val="00AB6986"/>
    <w:rsid w:val="00AB6B53"/>
    <w:rsid w:val="00AB79BD"/>
    <w:rsid w:val="00AB7B3A"/>
    <w:rsid w:val="00AC026C"/>
    <w:rsid w:val="00AC059E"/>
    <w:rsid w:val="00AC0606"/>
    <w:rsid w:val="00AC088F"/>
    <w:rsid w:val="00AC08B5"/>
    <w:rsid w:val="00AC0BE6"/>
    <w:rsid w:val="00AC0F1E"/>
    <w:rsid w:val="00AC0FE0"/>
    <w:rsid w:val="00AC166E"/>
    <w:rsid w:val="00AC176D"/>
    <w:rsid w:val="00AC18BA"/>
    <w:rsid w:val="00AC1E01"/>
    <w:rsid w:val="00AC1E1B"/>
    <w:rsid w:val="00AC1EAE"/>
    <w:rsid w:val="00AC229F"/>
    <w:rsid w:val="00AC2543"/>
    <w:rsid w:val="00AC254F"/>
    <w:rsid w:val="00AC25E5"/>
    <w:rsid w:val="00AC273B"/>
    <w:rsid w:val="00AC28A0"/>
    <w:rsid w:val="00AC2990"/>
    <w:rsid w:val="00AC2CA2"/>
    <w:rsid w:val="00AC2ED0"/>
    <w:rsid w:val="00AC33EB"/>
    <w:rsid w:val="00AC34DC"/>
    <w:rsid w:val="00AC40C7"/>
    <w:rsid w:val="00AC42F7"/>
    <w:rsid w:val="00AC44F9"/>
    <w:rsid w:val="00AC4561"/>
    <w:rsid w:val="00AC4726"/>
    <w:rsid w:val="00AC4851"/>
    <w:rsid w:val="00AC4BB3"/>
    <w:rsid w:val="00AC4E48"/>
    <w:rsid w:val="00AC5523"/>
    <w:rsid w:val="00AC5582"/>
    <w:rsid w:val="00AC5877"/>
    <w:rsid w:val="00AC6000"/>
    <w:rsid w:val="00AC607F"/>
    <w:rsid w:val="00AC6337"/>
    <w:rsid w:val="00AC6652"/>
    <w:rsid w:val="00AC6665"/>
    <w:rsid w:val="00AC6906"/>
    <w:rsid w:val="00AC6B3C"/>
    <w:rsid w:val="00AC6D63"/>
    <w:rsid w:val="00AC6FF9"/>
    <w:rsid w:val="00AC70BD"/>
    <w:rsid w:val="00AC72D3"/>
    <w:rsid w:val="00AC7520"/>
    <w:rsid w:val="00AC7539"/>
    <w:rsid w:val="00AD0038"/>
    <w:rsid w:val="00AD0076"/>
    <w:rsid w:val="00AD0405"/>
    <w:rsid w:val="00AD0474"/>
    <w:rsid w:val="00AD0504"/>
    <w:rsid w:val="00AD05E3"/>
    <w:rsid w:val="00AD0D82"/>
    <w:rsid w:val="00AD0E21"/>
    <w:rsid w:val="00AD12BB"/>
    <w:rsid w:val="00AD13F9"/>
    <w:rsid w:val="00AD175F"/>
    <w:rsid w:val="00AD1E48"/>
    <w:rsid w:val="00AD1F43"/>
    <w:rsid w:val="00AD2370"/>
    <w:rsid w:val="00AD2425"/>
    <w:rsid w:val="00AD2814"/>
    <w:rsid w:val="00AD29B6"/>
    <w:rsid w:val="00AD2B00"/>
    <w:rsid w:val="00AD2B08"/>
    <w:rsid w:val="00AD334A"/>
    <w:rsid w:val="00AD33F3"/>
    <w:rsid w:val="00AD37B4"/>
    <w:rsid w:val="00AD3F6C"/>
    <w:rsid w:val="00AD3F8D"/>
    <w:rsid w:val="00AD412A"/>
    <w:rsid w:val="00AD43AF"/>
    <w:rsid w:val="00AD46E9"/>
    <w:rsid w:val="00AD490B"/>
    <w:rsid w:val="00AD55F2"/>
    <w:rsid w:val="00AD58DE"/>
    <w:rsid w:val="00AD59E9"/>
    <w:rsid w:val="00AD5A27"/>
    <w:rsid w:val="00AD64AB"/>
    <w:rsid w:val="00AD6615"/>
    <w:rsid w:val="00AD678B"/>
    <w:rsid w:val="00AD694D"/>
    <w:rsid w:val="00AD69BC"/>
    <w:rsid w:val="00AD6AF2"/>
    <w:rsid w:val="00AD6B29"/>
    <w:rsid w:val="00AD6B91"/>
    <w:rsid w:val="00AD7004"/>
    <w:rsid w:val="00AD712C"/>
    <w:rsid w:val="00AD7A7D"/>
    <w:rsid w:val="00AD7B82"/>
    <w:rsid w:val="00AD7FD8"/>
    <w:rsid w:val="00AE043C"/>
    <w:rsid w:val="00AE0471"/>
    <w:rsid w:val="00AE0787"/>
    <w:rsid w:val="00AE0A48"/>
    <w:rsid w:val="00AE0C5B"/>
    <w:rsid w:val="00AE0F21"/>
    <w:rsid w:val="00AE0FD5"/>
    <w:rsid w:val="00AE102A"/>
    <w:rsid w:val="00AE15D8"/>
    <w:rsid w:val="00AE1670"/>
    <w:rsid w:val="00AE199A"/>
    <w:rsid w:val="00AE1E59"/>
    <w:rsid w:val="00AE1FDC"/>
    <w:rsid w:val="00AE28C1"/>
    <w:rsid w:val="00AE2F6B"/>
    <w:rsid w:val="00AE2F90"/>
    <w:rsid w:val="00AE303A"/>
    <w:rsid w:val="00AE39CB"/>
    <w:rsid w:val="00AE3C00"/>
    <w:rsid w:val="00AE4312"/>
    <w:rsid w:val="00AE44CD"/>
    <w:rsid w:val="00AE46D2"/>
    <w:rsid w:val="00AE48B2"/>
    <w:rsid w:val="00AE4AB1"/>
    <w:rsid w:val="00AE4E37"/>
    <w:rsid w:val="00AE5623"/>
    <w:rsid w:val="00AE57FB"/>
    <w:rsid w:val="00AE5865"/>
    <w:rsid w:val="00AE5A3B"/>
    <w:rsid w:val="00AE6134"/>
    <w:rsid w:val="00AE62A6"/>
    <w:rsid w:val="00AE666F"/>
    <w:rsid w:val="00AE6703"/>
    <w:rsid w:val="00AE67B5"/>
    <w:rsid w:val="00AE6A8E"/>
    <w:rsid w:val="00AE6AA7"/>
    <w:rsid w:val="00AE6CDA"/>
    <w:rsid w:val="00AE6FAF"/>
    <w:rsid w:val="00AE7F2C"/>
    <w:rsid w:val="00AF06B7"/>
    <w:rsid w:val="00AF06CF"/>
    <w:rsid w:val="00AF06FE"/>
    <w:rsid w:val="00AF096D"/>
    <w:rsid w:val="00AF0A63"/>
    <w:rsid w:val="00AF117D"/>
    <w:rsid w:val="00AF1273"/>
    <w:rsid w:val="00AF131F"/>
    <w:rsid w:val="00AF1BD8"/>
    <w:rsid w:val="00AF232B"/>
    <w:rsid w:val="00AF251E"/>
    <w:rsid w:val="00AF3016"/>
    <w:rsid w:val="00AF3916"/>
    <w:rsid w:val="00AF3C42"/>
    <w:rsid w:val="00AF40BC"/>
    <w:rsid w:val="00AF41D8"/>
    <w:rsid w:val="00AF41EF"/>
    <w:rsid w:val="00AF4273"/>
    <w:rsid w:val="00AF4776"/>
    <w:rsid w:val="00AF47E4"/>
    <w:rsid w:val="00AF4A22"/>
    <w:rsid w:val="00AF4BDB"/>
    <w:rsid w:val="00AF4CA8"/>
    <w:rsid w:val="00AF5081"/>
    <w:rsid w:val="00AF5087"/>
    <w:rsid w:val="00AF51C4"/>
    <w:rsid w:val="00AF53D0"/>
    <w:rsid w:val="00AF54FA"/>
    <w:rsid w:val="00AF574D"/>
    <w:rsid w:val="00AF57B6"/>
    <w:rsid w:val="00AF5FEA"/>
    <w:rsid w:val="00AF60D9"/>
    <w:rsid w:val="00AF6190"/>
    <w:rsid w:val="00AF6258"/>
    <w:rsid w:val="00AF63C4"/>
    <w:rsid w:val="00AF6583"/>
    <w:rsid w:val="00AF66DC"/>
    <w:rsid w:val="00AF685D"/>
    <w:rsid w:val="00AF6BDA"/>
    <w:rsid w:val="00AF6D9B"/>
    <w:rsid w:val="00AF6FA8"/>
    <w:rsid w:val="00AF6FF2"/>
    <w:rsid w:val="00AF7104"/>
    <w:rsid w:val="00AF7332"/>
    <w:rsid w:val="00AF7B74"/>
    <w:rsid w:val="00B0093E"/>
    <w:rsid w:val="00B01212"/>
    <w:rsid w:val="00B013EB"/>
    <w:rsid w:val="00B01B82"/>
    <w:rsid w:val="00B02145"/>
    <w:rsid w:val="00B0276F"/>
    <w:rsid w:val="00B0292C"/>
    <w:rsid w:val="00B029DF"/>
    <w:rsid w:val="00B02B49"/>
    <w:rsid w:val="00B0310F"/>
    <w:rsid w:val="00B03115"/>
    <w:rsid w:val="00B03396"/>
    <w:rsid w:val="00B033A9"/>
    <w:rsid w:val="00B033CB"/>
    <w:rsid w:val="00B03B0D"/>
    <w:rsid w:val="00B03C26"/>
    <w:rsid w:val="00B042B1"/>
    <w:rsid w:val="00B044BA"/>
    <w:rsid w:val="00B044DD"/>
    <w:rsid w:val="00B04632"/>
    <w:rsid w:val="00B04774"/>
    <w:rsid w:val="00B04927"/>
    <w:rsid w:val="00B04968"/>
    <w:rsid w:val="00B04E4B"/>
    <w:rsid w:val="00B053EF"/>
    <w:rsid w:val="00B053F2"/>
    <w:rsid w:val="00B0541B"/>
    <w:rsid w:val="00B0558A"/>
    <w:rsid w:val="00B05630"/>
    <w:rsid w:val="00B056C9"/>
    <w:rsid w:val="00B057D0"/>
    <w:rsid w:val="00B05D0A"/>
    <w:rsid w:val="00B05D38"/>
    <w:rsid w:val="00B05F3A"/>
    <w:rsid w:val="00B06418"/>
    <w:rsid w:val="00B06CB0"/>
    <w:rsid w:val="00B06EC8"/>
    <w:rsid w:val="00B06FB6"/>
    <w:rsid w:val="00B07824"/>
    <w:rsid w:val="00B07C86"/>
    <w:rsid w:val="00B07FA9"/>
    <w:rsid w:val="00B1021F"/>
    <w:rsid w:val="00B107C5"/>
    <w:rsid w:val="00B1091A"/>
    <w:rsid w:val="00B10AEF"/>
    <w:rsid w:val="00B10B3E"/>
    <w:rsid w:val="00B10D57"/>
    <w:rsid w:val="00B10D58"/>
    <w:rsid w:val="00B10DFD"/>
    <w:rsid w:val="00B1113C"/>
    <w:rsid w:val="00B1120C"/>
    <w:rsid w:val="00B1142C"/>
    <w:rsid w:val="00B11FFC"/>
    <w:rsid w:val="00B12264"/>
    <w:rsid w:val="00B128D9"/>
    <w:rsid w:val="00B12C48"/>
    <w:rsid w:val="00B12EA8"/>
    <w:rsid w:val="00B13183"/>
    <w:rsid w:val="00B13268"/>
    <w:rsid w:val="00B13375"/>
    <w:rsid w:val="00B133B7"/>
    <w:rsid w:val="00B134B1"/>
    <w:rsid w:val="00B137CB"/>
    <w:rsid w:val="00B137F6"/>
    <w:rsid w:val="00B13B10"/>
    <w:rsid w:val="00B13B63"/>
    <w:rsid w:val="00B140A3"/>
    <w:rsid w:val="00B1442E"/>
    <w:rsid w:val="00B1460A"/>
    <w:rsid w:val="00B14A7D"/>
    <w:rsid w:val="00B14BE5"/>
    <w:rsid w:val="00B14C0F"/>
    <w:rsid w:val="00B15151"/>
    <w:rsid w:val="00B15442"/>
    <w:rsid w:val="00B15689"/>
    <w:rsid w:val="00B15BB8"/>
    <w:rsid w:val="00B15C69"/>
    <w:rsid w:val="00B15DEF"/>
    <w:rsid w:val="00B15DF7"/>
    <w:rsid w:val="00B163D7"/>
    <w:rsid w:val="00B164C6"/>
    <w:rsid w:val="00B16A4F"/>
    <w:rsid w:val="00B16D2B"/>
    <w:rsid w:val="00B174D4"/>
    <w:rsid w:val="00B174F0"/>
    <w:rsid w:val="00B17B64"/>
    <w:rsid w:val="00B20032"/>
    <w:rsid w:val="00B20397"/>
    <w:rsid w:val="00B204D0"/>
    <w:rsid w:val="00B2057E"/>
    <w:rsid w:val="00B205C0"/>
    <w:rsid w:val="00B208D6"/>
    <w:rsid w:val="00B20AA2"/>
    <w:rsid w:val="00B20BEB"/>
    <w:rsid w:val="00B20C2E"/>
    <w:rsid w:val="00B20EA3"/>
    <w:rsid w:val="00B210C3"/>
    <w:rsid w:val="00B210D8"/>
    <w:rsid w:val="00B21391"/>
    <w:rsid w:val="00B2183E"/>
    <w:rsid w:val="00B2199E"/>
    <w:rsid w:val="00B21CD2"/>
    <w:rsid w:val="00B21FD5"/>
    <w:rsid w:val="00B22181"/>
    <w:rsid w:val="00B2280C"/>
    <w:rsid w:val="00B22998"/>
    <w:rsid w:val="00B22A6D"/>
    <w:rsid w:val="00B22A89"/>
    <w:rsid w:val="00B22D65"/>
    <w:rsid w:val="00B22E1E"/>
    <w:rsid w:val="00B22EDB"/>
    <w:rsid w:val="00B22EE5"/>
    <w:rsid w:val="00B230F2"/>
    <w:rsid w:val="00B231A8"/>
    <w:rsid w:val="00B233F3"/>
    <w:rsid w:val="00B235B5"/>
    <w:rsid w:val="00B23B89"/>
    <w:rsid w:val="00B23D5C"/>
    <w:rsid w:val="00B241AC"/>
    <w:rsid w:val="00B241C1"/>
    <w:rsid w:val="00B24352"/>
    <w:rsid w:val="00B24509"/>
    <w:rsid w:val="00B247F0"/>
    <w:rsid w:val="00B248D2"/>
    <w:rsid w:val="00B2496D"/>
    <w:rsid w:val="00B24FF4"/>
    <w:rsid w:val="00B25406"/>
    <w:rsid w:val="00B25549"/>
    <w:rsid w:val="00B25555"/>
    <w:rsid w:val="00B25560"/>
    <w:rsid w:val="00B25A96"/>
    <w:rsid w:val="00B25ABA"/>
    <w:rsid w:val="00B25D51"/>
    <w:rsid w:val="00B25FED"/>
    <w:rsid w:val="00B26CEE"/>
    <w:rsid w:val="00B26DA4"/>
    <w:rsid w:val="00B27010"/>
    <w:rsid w:val="00B271CF"/>
    <w:rsid w:val="00B271FD"/>
    <w:rsid w:val="00B274FF"/>
    <w:rsid w:val="00B2755C"/>
    <w:rsid w:val="00B27938"/>
    <w:rsid w:val="00B3011E"/>
    <w:rsid w:val="00B30140"/>
    <w:rsid w:val="00B30263"/>
    <w:rsid w:val="00B30454"/>
    <w:rsid w:val="00B308D0"/>
    <w:rsid w:val="00B3091B"/>
    <w:rsid w:val="00B30A96"/>
    <w:rsid w:val="00B30E4C"/>
    <w:rsid w:val="00B30E74"/>
    <w:rsid w:val="00B30EFC"/>
    <w:rsid w:val="00B30F6B"/>
    <w:rsid w:val="00B30FA2"/>
    <w:rsid w:val="00B3145D"/>
    <w:rsid w:val="00B3149D"/>
    <w:rsid w:val="00B314EC"/>
    <w:rsid w:val="00B31751"/>
    <w:rsid w:val="00B31BB0"/>
    <w:rsid w:val="00B31D6C"/>
    <w:rsid w:val="00B32198"/>
    <w:rsid w:val="00B321B6"/>
    <w:rsid w:val="00B322FD"/>
    <w:rsid w:val="00B32396"/>
    <w:rsid w:val="00B32CBF"/>
    <w:rsid w:val="00B32D5B"/>
    <w:rsid w:val="00B32FD0"/>
    <w:rsid w:val="00B32FFA"/>
    <w:rsid w:val="00B33036"/>
    <w:rsid w:val="00B333F2"/>
    <w:rsid w:val="00B33755"/>
    <w:rsid w:val="00B338A1"/>
    <w:rsid w:val="00B33A7A"/>
    <w:rsid w:val="00B33BBF"/>
    <w:rsid w:val="00B33C2B"/>
    <w:rsid w:val="00B33C67"/>
    <w:rsid w:val="00B340D1"/>
    <w:rsid w:val="00B34278"/>
    <w:rsid w:val="00B34398"/>
    <w:rsid w:val="00B34AC4"/>
    <w:rsid w:val="00B34C47"/>
    <w:rsid w:val="00B34F23"/>
    <w:rsid w:val="00B35048"/>
    <w:rsid w:val="00B3520E"/>
    <w:rsid w:val="00B35272"/>
    <w:rsid w:val="00B35275"/>
    <w:rsid w:val="00B35D69"/>
    <w:rsid w:val="00B35E28"/>
    <w:rsid w:val="00B35E3D"/>
    <w:rsid w:val="00B3633D"/>
    <w:rsid w:val="00B363A9"/>
    <w:rsid w:val="00B36807"/>
    <w:rsid w:val="00B36862"/>
    <w:rsid w:val="00B36C0D"/>
    <w:rsid w:val="00B36D9C"/>
    <w:rsid w:val="00B36DC0"/>
    <w:rsid w:val="00B36E5C"/>
    <w:rsid w:val="00B36F6D"/>
    <w:rsid w:val="00B370A9"/>
    <w:rsid w:val="00B3730F"/>
    <w:rsid w:val="00B3737B"/>
    <w:rsid w:val="00B3773C"/>
    <w:rsid w:val="00B37779"/>
    <w:rsid w:val="00B37972"/>
    <w:rsid w:val="00B37F6B"/>
    <w:rsid w:val="00B4043B"/>
    <w:rsid w:val="00B40927"/>
    <w:rsid w:val="00B40AC0"/>
    <w:rsid w:val="00B41087"/>
    <w:rsid w:val="00B410E7"/>
    <w:rsid w:val="00B411C3"/>
    <w:rsid w:val="00B4138B"/>
    <w:rsid w:val="00B41698"/>
    <w:rsid w:val="00B416A0"/>
    <w:rsid w:val="00B419D8"/>
    <w:rsid w:val="00B41D21"/>
    <w:rsid w:val="00B41FB5"/>
    <w:rsid w:val="00B4203F"/>
    <w:rsid w:val="00B420C7"/>
    <w:rsid w:val="00B42303"/>
    <w:rsid w:val="00B42DDD"/>
    <w:rsid w:val="00B43041"/>
    <w:rsid w:val="00B4354C"/>
    <w:rsid w:val="00B43C0A"/>
    <w:rsid w:val="00B43DC0"/>
    <w:rsid w:val="00B44079"/>
    <w:rsid w:val="00B445E1"/>
    <w:rsid w:val="00B44614"/>
    <w:rsid w:val="00B44839"/>
    <w:rsid w:val="00B44AEA"/>
    <w:rsid w:val="00B44C03"/>
    <w:rsid w:val="00B455A1"/>
    <w:rsid w:val="00B455AF"/>
    <w:rsid w:val="00B458BD"/>
    <w:rsid w:val="00B45C26"/>
    <w:rsid w:val="00B461E4"/>
    <w:rsid w:val="00B466A1"/>
    <w:rsid w:val="00B4699B"/>
    <w:rsid w:val="00B469CD"/>
    <w:rsid w:val="00B46B2F"/>
    <w:rsid w:val="00B46B30"/>
    <w:rsid w:val="00B470CE"/>
    <w:rsid w:val="00B474F8"/>
    <w:rsid w:val="00B47528"/>
    <w:rsid w:val="00B47583"/>
    <w:rsid w:val="00B47692"/>
    <w:rsid w:val="00B47893"/>
    <w:rsid w:val="00B478CB"/>
    <w:rsid w:val="00B47C31"/>
    <w:rsid w:val="00B47D05"/>
    <w:rsid w:val="00B47E80"/>
    <w:rsid w:val="00B47F28"/>
    <w:rsid w:val="00B502F5"/>
    <w:rsid w:val="00B50494"/>
    <w:rsid w:val="00B50A66"/>
    <w:rsid w:val="00B50B6F"/>
    <w:rsid w:val="00B50E91"/>
    <w:rsid w:val="00B50F4E"/>
    <w:rsid w:val="00B51017"/>
    <w:rsid w:val="00B51350"/>
    <w:rsid w:val="00B51446"/>
    <w:rsid w:val="00B51B1D"/>
    <w:rsid w:val="00B51C04"/>
    <w:rsid w:val="00B51DD4"/>
    <w:rsid w:val="00B51FD5"/>
    <w:rsid w:val="00B5257A"/>
    <w:rsid w:val="00B52766"/>
    <w:rsid w:val="00B52999"/>
    <w:rsid w:val="00B529A3"/>
    <w:rsid w:val="00B52BDD"/>
    <w:rsid w:val="00B52CFA"/>
    <w:rsid w:val="00B5360A"/>
    <w:rsid w:val="00B53A36"/>
    <w:rsid w:val="00B53B26"/>
    <w:rsid w:val="00B53D51"/>
    <w:rsid w:val="00B53F05"/>
    <w:rsid w:val="00B540D6"/>
    <w:rsid w:val="00B54621"/>
    <w:rsid w:val="00B546D3"/>
    <w:rsid w:val="00B54B17"/>
    <w:rsid w:val="00B54BE4"/>
    <w:rsid w:val="00B54C11"/>
    <w:rsid w:val="00B54C78"/>
    <w:rsid w:val="00B54EC2"/>
    <w:rsid w:val="00B5514C"/>
    <w:rsid w:val="00B556CC"/>
    <w:rsid w:val="00B55AC8"/>
    <w:rsid w:val="00B55EC8"/>
    <w:rsid w:val="00B56132"/>
    <w:rsid w:val="00B5616C"/>
    <w:rsid w:val="00B5636A"/>
    <w:rsid w:val="00B563E3"/>
    <w:rsid w:val="00B5657F"/>
    <w:rsid w:val="00B56AB2"/>
    <w:rsid w:val="00B56D04"/>
    <w:rsid w:val="00B572A7"/>
    <w:rsid w:val="00B577F8"/>
    <w:rsid w:val="00B57E9A"/>
    <w:rsid w:val="00B60139"/>
    <w:rsid w:val="00B60262"/>
    <w:rsid w:val="00B606A8"/>
    <w:rsid w:val="00B6076B"/>
    <w:rsid w:val="00B60A15"/>
    <w:rsid w:val="00B60A38"/>
    <w:rsid w:val="00B60D59"/>
    <w:rsid w:val="00B60E90"/>
    <w:rsid w:val="00B613A5"/>
    <w:rsid w:val="00B61404"/>
    <w:rsid w:val="00B61B2B"/>
    <w:rsid w:val="00B61D9F"/>
    <w:rsid w:val="00B61E22"/>
    <w:rsid w:val="00B61E3F"/>
    <w:rsid w:val="00B6281E"/>
    <w:rsid w:val="00B6283F"/>
    <w:rsid w:val="00B62B5E"/>
    <w:rsid w:val="00B62F0D"/>
    <w:rsid w:val="00B63013"/>
    <w:rsid w:val="00B63219"/>
    <w:rsid w:val="00B63469"/>
    <w:rsid w:val="00B63565"/>
    <w:rsid w:val="00B63A75"/>
    <w:rsid w:val="00B63FE4"/>
    <w:rsid w:val="00B64067"/>
    <w:rsid w:val="00B64094"/>
    <w:rsid w:val="00B643C9"/>
    <w:rsid w:val="00B64638"/>
    <w:rsid w:val="00B64666"/>
    <w:rsid w:val="00B6472E"/>
    <w:rsid w:val="00B64864"/>
    <w:rsid w:val="00B64984"/>
    <w:rsid w:val="00B64AA9"/>
    <w:rsid w:val="00B64BA1"/>
    <w:rsid w:val="00B64E27"/>
    <w:rsid w:val="00B651B0"/>
    <w:rsid w:val="00B655BE"/>
    <w:rsid w:val="00B655E7"/>
    <w:rsid w:val="00B6580F"/>
    <w:rsid w:val="00B65E42"/>
    <w:rsid w:val="00B65F4C"/>
    <w:rsid w:val="00B66150"/>
    <w:rsid w:val="00B66800"/>
    <w:rsid w:val="00B66CA4"/>
    <w:rsid w:val="00B66E0A"/>
    <w:rsid w:val="00B66EC3"/>
    <w:rsid w:val="00B66EEE"/>
    <w:rsid w:val="00B67118"/>
    <w:rsid w:val="00B672D6"/>
    <w:rsid w:val="00B675C0"/>
    <w:rsid w:val="00B67708"/>
    <w:rsid w:val="00B67CE9"/>
    <w:rsid w:val="00B67DB2"/>
    <w:rsid w:val="00B70123"/>
    <w:rsid w:val="00B7022D"/>
    <w:rsid w:val="00B70510"/>
    <w:rsid w:val="00B70602"/>
    <w:rsid w:val="00B70788"/>
    <w:rsid w:val="00B70832"/>
    <w:rsid w:val="00B70DD8"/>
    <w:rsid w:val="00B70E4F"/>
    <w:rsid w:val="00B710C1"/>
    <w:rsid w:val="00B7112A"/>
    <w:rsid w:val="00B715FD"/>
    <w:rsid w:val="00B7176D"/>
    <w:rsid w:val="00B719BC"/>
    <w:rsid w:val="00B71A8A"/>
    <w:rsid w:val="00B71D11"/>
    <w:rsid w:val="00B71DE1"/>
    <w:rsid w:val="00B71E1E"/>
    <w:rsid w:val="00B720D7"/>
    <w:rsid w:val="00B7223A"/>
    <w:rsid w:val="00B7225A"/>
    <w:rsid w:val="00B72573"/>
    <w:rsid w:val="00B72888"/>
    <w:rsid w:val="00B72A45"/>
    <w:rsid w:val="00B72D4F"/>
    <w:rsid w:val="00B72FE3"/>
    <w:rsid w:val="00B736CC"/>
    <w:rsid w:val="00B73759"/>
    <w:rsid w:val="00B739A9"/>
    <w:rsid w:val="00B73A88"/>
    <w:rsid w:val="00B74830"/>
    <w:rsid w:val="00B748FF"/>
    <w:rsid w:val="00B749C1"/>
    <w:rsid w:val="00B74D03"/>
    <w:rsid w:val="00B7501F"/>
    <w:rsid w:val="00B75499"/>
    <w:rsid w:val="00B7564E"/>
    <w:rsid w:val="00B75716"/>
    <w:rsid w:val="00B75861"/>
    <w:rsid w:val="00B75878"/>
    <w:rsid w:val="00B758D7"/>
    <w:rsid w:val="00B75943"/>
    <w:rsid w:val="00B75956"/>
    <w:rsid w:val="00B75BD0"/>
    <w:rsid w:val="00B75DF1"/>
    <w:rsid w:val="00B76B28"/>
    <w:rsid w:val="00B770FF"/>
    <w:rsid w:val="00B77310"/>
    <w:rsid w:val="00B77429"/>
    <w:rsid w:val="00B77787"/>
    <w:rsid w:val="00B77801"/>
    <w:rsid w:val="00B77970"/>
    <w:rsid w:val="00B77A26"/>
    <w:rsid w:val="00B77BB0"/>
    <w:rsid w:val="00B805C5"/>
    <w:rsid w:val="00B8084E"/>
    <w:rsid w:val="00B808A7"/>
    <w:rsid w:val="00B80C3A"/>
    <w:rsid w:val="00B80DFA"/>
    <w:rsid w:val="00B80EDB"/>
    <w:rsid w:val="00B8108C"/>
    <w:rsid w:val="00B81335"/>
    <w:rsid w:val="00B81352"/>
    <w:rsid w:val="00B8182D"/>
    <w:rsid w:val="00B81DC8"/>
    <w:rsid w:val="00B822EB"/>
    <w:rsid w:val="00B82802"/>
    <w:rsid w:val="00B82941"/>
    <w:rsid w:val="00B82B38"/>
    <w:rsid w:val="00B82D07"/>
    <w:rsid w:val="00B82EF9"/>
    <w:rsid w:val="00B8311B"/>
    <w:rsid w:val="00B83375"/>
    <w:rsid w:val="00B834FD"/>
    <w:rsid w:val="00B8394C"/>
    <w:rsid w:val="00B83AFB"/>
    <w:rsid w:val="00B83F84"/>
    <w:rsid w:val="00B849A8"/>
    <w:rsid w:val="00B84E8F"/>
    <w:rsid w:val="00B8507C"/>
    <w:rsid w:val="00B85392"/>
    <w:rsid w:val="00B8569E"/>
    <w:rsid w:val="00B85E73"/>
    <w:rsid w:val="00B85F47"/>
    <w:rsid w:val="00B8674C"/>
    <w:rsid w:val="00B86764"/>
    <w:rsid w:val="00B86CBB"/>
    <w:rsid w:val="00B86D2A"/>
    <w:rsid w:val="00B86EF2"/>
    <w:rsid w:val="00B8745D"/>
    <w:rsid w:val="00B87582"/>
    <w:rsid w:val="00B8759F"/>
    <w:rsid w:val="00B875C3"/>
    <w:rsid w:val="00B87927"/>
    <w:rsid w:val="00B87CD8"/>
    <w:rsid w:val="00B90560"/>
    <w:rsid w:val="00B90733"/>
    <w:rsid w:val="00B908F8"/>
    <w:rsid w:val="00B90D15"/>
    <w:rsid w:val="00B910F3"/>
    <w:rsid w:val="00B91C33"/>
    <w:rsid w:val="00B91F6C"/>
    <w:rsid w:val="00B92004"/>
    <w:rsid w:val="00B9250D"/>
    <w:rsid w:val="00B92619"/>
    <w:rsid w:val="00B92624"/>
    <w:rsid w:val="00B927BB"/>
    <w:rsid w:val="00B9292E"/>
    <w:rsid w:val="00B92ED6"/>
    <w:rsid w:val="00B93A72"/>
    <w:rsid w:val="00B93ACC"/>
    <w:rsid w:val="00B93BE9"/>
    <w:rsid w:val="00B93E62"/>
    <w:rsid w:val="00B944EA"/>
    <w:rsid w:val="00B945ED"/>
    <w:rsid w:val="00B94629"/>
    <w:rsid w:val="00B94AB3"/>
    <w:rsid w:val="00B94B33"/>
    <w:rsid w:val="00B94C5B"/>
    <w:rsid w:val="00B95120"/>
    <w:rsid w:val="00B95186"/>
    <w:rsid w:val="00B952F8"/>
    <w:rsid w:val="00B9571F"/>
    <w:rsid w:val="00B95EC4"/>
    <w:rsid w:val="00B95EEC"/>
    <w:rsid w:val="00B95EFE"/>
    <w:rsid w:val="00B96211"/>
    <w:rsid w:val="00B9696A"/>
    <w:rsid w:val="00B976D5"/>
    <w:rsid w:val="00B97740"/>
    <w:rsid w:val="00B97A86"/>
    <w:rsid w:val="00B97B3D"/>
    <w:rsid w:val="00B97F6D"/>
    <w:rsid w:val="00BA0347"/>
    <w:rsid w:val="00BA0CCB"/>
    <w:rsid w:val="00BA0E5A"/>
    <w:rsid w:val="00BA0EA1"/>
    <w:rsid w:val="00BA0F54"/>
    <w:rsid w:val="00BA13E4"/>
    <w:rsid w:val="00BA14E4"/>
    <w:rsid w:val="00BA15DF"/>
    <w:rsid w:val="00BA1682"/>
    <w:rsid w:val="00BA16A6"/>
    <w:rsid w:val="00BA1B6F"/>
    <w:rsid w:val="00BA1C2E"/>
    <w:rsid w:val="00BA1D25"/>
    <w:rsid w:val="00BA1D86"/>
    <w:rsid w:val="00BA1DA2"/>
    <w:rsid w:val="00BA2620"/>
    <w:rsid w:val="00BA26D9"/>
    <w:rsid w:val="00BA2A3D"/>
    <w:rsid w:val="00BA2B82"/>
    <w:rsid w:val="00BA2CA1"/>
    <w:rsid w:val="00BA2D86"/>
    <w:rsid w:val="00BA36DB"/>
    <w:rsid w:val="00BA377B"/>
    <w:rsid w:val="00BA39E5"/>
    <w:rsid w:val="00BA3B4B"/>
    <w:rsid w:val="00BA3C8D"/>
    <w:rsid w:val="00BA435E"/>
    <w:rsid w:val="00BA44A4"/>
    <w:rsid w:val="00BA4666"/>
    <w:rsid w:val="00BA4780"/>
    <w:rsid w:val="00BA4838"/>
    <w:rsid w:val="00BA5390"/>
    <w:rsid w:val="00BA5500"/>
    <w:rsid w:val="00BA61E2"/>
    <w:rsid w:val="00BA6247"/>
    <w:rsid w:val="00BA628F"/>
    <w:rsid w:val="00BA6666"/>
    <w:rsid w:val="00BA6FA0"/>
    <w:rsid w:val="00BA7121"/>
    <w:rsid w:val="00BA7226"/>
    <w:rsid w:val="00BA72F4"/>
    <w:rsid w:val="00BA7358"/>
    <w:rsid w:val="00BA7399"/>
    <w:rsid w:val="00BA7749"/>
    <w:rsid w:val="00BA7765"/>
    <w:rsid w:val="00BA7866"/>
    <w:rsid w:val="00BB0040"/>
    <w:rsid w:val="00BB00F5"/>
    <w:rsid w:val="00BB0281"/>
    <w:rsid w:val="00BB046C"/>
    <w:rsid w:val="00BB06E7"/>
    <w:rsid w:val="00BB0CA7"/>
    <w:rsid w:val="00BB0DD4"/>
    <w:rsid w:val="00BB11C5"/>
    <w:rsid w:val="00BB1486"/>
    <w:rsid w:val="00BB1501"/>
    <w:rsid w:val="00BB1584"/>
    <w:rsid w:val="00BB1595"/>
    <w:rsid w:val="00BB1CB6"/>
    <w:rsid w:val="00BB1F88"/>
    <w:rsid w:val="00BB2050"/>
    <w:rsid w:val="00BB210E"/>
    <w:rsid w:val="00BB27AB"/>
    <w:rsid w:val="00BB2A10"/>
    <w:rsid w:val="00BB2B27"/>
    <w:rsid w:val="00BB2DAC"/>
    <w:rsid w:val="00BB332C"/>
    <w:rsid w:val="00BB3D48"/>
    <w:rsid w:val="00BB3F5E"/>
    <w:rsid w:val="00BB40F4"/>
    <w:rsid w:val="00BB447E"/>
    <w:rsid w:val="00BB4952"/>
    <w:rsid w:val="00BB4981"/>
    <w:rsid w:val="00BB4D9B"/>
    <w:rsid w:val="00BB4F95"/>
    <w:rsid w:val="00BB5043"/>
    <w:rsid w:val="00BB51B0"/>
    <w:rsid w:val="00BB5446"/>
    <w:rsid w:val="00BB5519"/>
    <w:rsid w:val="00BB55D7"/>
    <w:rsid w:val="00BB5666"/>
    <w:rsid w:val="00BB61DC"/>
    <w:rsid w:val="00BB6786"/>
    <w:rsid w:val="00BB6D4A"/>
    <w:rsid w:val="00BB6DB0"/>
    <w:rsid w:val="00BB70BF"/>
    <w:rsid w:val="00BB71E8"/>
    <w:rsid w:val="00BB7441"/>
    <w:rsid w:val="00BB757C"/>
    <w:rsid w:val="00BB76D2"/>
    <w:rsid w:val="00BB777B"/>
    <w:rsid w:val="00BB7A02"/>
    <w:rsid w:val="00BB7AF9"/>
    <w:rsid w:val="00BB7B76"/>
    <w:rsid w:val="00BB7F60"/>
    <w:rsid w:val="00BC0055"/>
    <w:rsid w:val="00BC00C6"/>
    <w:rsid w:val="00BC02BC"/>
    <w:rsid w:val="00BC068E"/>
    <w:rsid w:val="00BC0C00"/>
    <w:rsid w:val="00BC1704"/>
    <w:rsid w:val="00BC1A82"/>
    <w:rsid w:val="00BC1F22"/>
    <w:rsid w:val="00BC1FA0"/>
    <w:rsid w:val="00BC2056"/>
    <w:rsid w:val="00BC2A87"/>
    <w:rsid w:val="00BC2B00"/>
    <w:rsid w:val="00BC2CD3"/>
    <w:rsid w:val="00BC303B"/>
    <w:rsid w:val="00BC31D3"/>
    <w:rsid w:val="00BC352C"/>
    <w:rsid w:val="00BC3588"/>
    <w:rsid w:val="00BC3F11"/>
    <w:rsid w:val="00BC3FE6"/>
    <w:rsid w:val="00BC4027"/>
    <w:rsid w:val="00BC4423"/>
    <w:rsid w:val="00BC446D"/>
    <w:rsid w:val="00BC4D5D"/>
    <w:rsid w:val="00BC4F8B"/>
    <w:rsid w:val="00BC5420"/>
    <w:rsid w:val="00BC5487"/>
    <w:rsid w:val="00BC54E3"/>
    <w:rsid w:val="00BC558A"/>
    <w:rsid w:val="00BC57F7"/>
    <w:rsid w:val="00BC5889"/>
    <w:rsid w:val="00BC5AAB"/>
    <w:rsid w:val="00BC5EA3"/>
    <w:rsid w:val="00BC5FB5"/>
    <w:rsid w:val="00BC6195"/>
    <w:rsid w:val="00BC646A"/>
    <w:rsid w:val="00BC680A"/>
    <w:rsid w:val="00BC7028"/>
    <w:rsid w:val="00BC7203"/>
    <w:rsid w:val="00BC724D"/>
    <w:rsid w:val="00BC757E"/>
    <w:rsid w:val="00BC7A3D"/>
    <w:rsid w:val="00BC7BF3"/>
    <w:rsid w:val="00BC7CDB"/>
    <w:rsid w:val="00BD0039"/>
    <w:rsid w:val="00BD0992"/>
    <w:rsid w:val="00BD0B03"/>
    <w:rsid w:val="00BD1333"/>
    <w:rsid w:val="00BD141D"/>
    <w:rsid w:val="00BD18BE"/>
    <w:rsid w:val="00BD1D8A"/>
    <w:rsid w:val="00BD1DD0"/>
    <w:rsid w:val="00BD2120"/>
    <w:rsid w:val="00BD218A"/>
    <w:rsid w:val="00BD22CD"/>
    <w:rsid w:val="00BD22E1"/>
    <w:rsid w:val="00BD23A1"/>
    <w:rsid w:val="00BD24BA"/>
    <w:rsid w:val="00BD24E5"/>
    <w:rsid w:val="00BD2718"/>
    <w:rsid w:val="00BD2ABC"/>
    <w:rsid w:val="00BD2B04"/>
    <w:rsid w:val="00BD3875"/>
    <w:rsid w:val="00BD3945"/>
    <w:rsid w:val="00BD3E76"/>
    <w:rsid w:val="00BD3EEA"/>
    <w:rsid w:val="00BD3F12"/>
    <w:rsid w:val="00BD43B6"/>
    <w:rsid w:val="00BD4594"/>
    <w:rsid w:val="00BD48C3"/>
    <w:rsid w:val="00BD4974"/>
    <w:rsid w:val="00BD4D51"/>
    <w:rsid w:val="00BD4DD9"/>
    <w:rsid w:val="00BD5650"/>
    <w:rsid w:val="00BD56F8"/>
    <w:rsid w:val="00BD5702"/>
    <w:rsid w:val="00BD6062"/>
    <w:rsid w:val="00BD62B0"/>
    <w:rsid w:val="00BD6556"/>
    <w:rsid w:val="00BD68EA"/>
    <w:rsid w:val="00BD6B45"/>
    <w:rsid w:val="00BD72B4"/>
    <w:rsid w:val="00BD7304"/>
    <w:rsid w:val="00BD7592"/>
    <w:rsid w:val="00BD764D"/>
    <w:rsid w:val="00BD7698"/>
    <w:rsid w:val="00BD7708"/>
    <w:rsid w:val="00BD78DF"/>
    <w:rsid w:val="00BE031E"/>
    <w:rsid w:val="00BE0726"/>
    <w:rsid w:val="00BE0A01"/>
    <w:rsid w:val="00BE1971"/>
    <w:rsid w:val="00BE1ACE"/>
    <w:rsid w:val="00BE1E9C"/>
    <w:rsid w:val="00BE255E"/>
    <w:rsid w:val="00BE287B"/>
    <w:rsid w:val="00BE2CF2"/>
    <w:rsid w:val="00BE31AB"/>
    <w:rsid w:val="00BE3437"/>
    <w:rsid w:val="00BE3530"/>
    <w:rsid w:val="00BE39BA"/>
    <w:rsid w:val="00BE3E48"/>
    <w:rsid w:val="00BE4CB5"/>
    <w:rsid w:val="00BE5180"/>
    <w:rsid w:val="00BE5565"/>
    <w:rsid w:val="00BE5647"/>
    <w:rsid w:val="00BE57BC"/>
    <w:rsid w:val="00BE5CE3"/>
    <w:rsid w:val="00BE5EC2"/>
    <w:rsid w:val="00BE5FA0"/>
    <w:rsid w:val="00BE67D6"/>
    <w:rsid w:val="00BE69C1"/>
    <w:rsid w:val="00BE73F6"/>
    <w:rsid w:val="00BE74C8"/>
    <w:rsid w:val="00BE763B"/>
    <w:rsid w:val="00BE77BD"/>
    <w:rsid w:val="00BE7834"/>
    <w:rsid w:val="00BE78A8"/>
    <w:rsid w:val="00BE7932"/>
    <w:rsid w:val="00BE797F"/>
    <w:rsid w:val="00BE79F8"/>
    <w:rsid w:val="00BE7C2C"/>
    <w:rsid w:val="00BE7FE1"/>
    <w:rsid w:val="00BF0276"/>
    <w:rsid w:val="00BF05B6"/>
    <w:rsid w:val="00BF11F2"/>
    <w:rsid w:val="00BF1272"/>
    <w:rsid w:val="00BF16A4"/>
    <w:rsid w:val="00BF1702"/>
    <w:rsid w:val="00BF1A2A"/>
    <w:rsid w:val="00BF1AEC"/>
    <w:rsid w:val="00BF1D10"/>
    <w:rsid w:val="00BF1D34"/>
    <w:rsid w:val="00BF1F6B"/>
    <w:rsid w:val="00BF2365"/>
    <w:rsid w:val="00BF2A6C"/>
    <w:rsid w:val="00BF2B48"/>
    <w:rsid w:val="00BF2D72"/>
    <w:rsid w:val="00BF373F"/>
    <w:rsid w:val="00BF3C1C"/>
    <w:rsid w:val="00BF4250"/>
    <w:rsid w:val="00BF4323"/>
    <w:rsid w:val="00BF45BD"/>
    <w:rsid w:val="00BF46E7"/>
    <w:rsid w:val="00BF4CAA"/>
    <w:rsid w:val="00BF53A9"/>
    <w:rsid w:val="00BF546C"/>
    <w:rsid w:val="00BF5473"/>
    <w:rsid w:val="00BF594E"/>
    <w:rsid w:val="00BF5AFA"/>
    <w:rsid w:val="00BF5C44"/>
    <w:rsid w:val="00BF63EF"/>
    <w:rsid w:val="00BF682B"/>
    <w:rsid w:val="00BF688E"/>
    <w:rsid w:val="00BF6C4D"/>
    <w:rsid w:val="00BF6E28"/>
    <w:rsid w:val="00BF6F22"/>
    <w:rsid w:val="00BF6F3C"/>
    <w:rsid w:val="00BF6FB7"/>
    <w:rsid w:val="00BF7201"/>
    <w:rsid w:val="00BF74AE"/>
    <w:rsid w:val="00BF7838"/>
    <w:rsid w:val="00C00142"/>
    <w:rsid w:val="00C004F2"/>
    <w:rsid w:val="00C005D5"/>
    <w:rsid w:val="00C00681"/>
    <w:rsid w:val="00C00BA4"/>
    <w:rsid w:val="00C00D4C"/>
    <w:rsid w:val="00C01097"/>
    <w:rsid w:val="00C012CB"/>
    <w:rsid w:val="00C01346"/>
    <w:rsid w:val="00C01357"/>
    <w:rsid w:val="00C01427"/>
    <w:rsid w:val="00C015D2"/>
    <w:rsid w:val="00C020A1"/>
    <w:rsid w:val="00C020C3"/>
    <w:rsid w:val="00C0236D"/>
    <w:rsid w:val="00C0282C"/>
    <w:rsid w:val="00C02850"/>
    <w:rsid w:val="00C02861"/>
    <w:rsid w:val="00C029D4"/>
    <w:rsid w:val="00C02AF1"/>
    <w:rsid w:val="00C02BFD"/>
    <w:rsid w:val="00C02ED0"/>
    <w:rsid w:val="00C03101"/>
    <w:rsid w:val="00C03452"/>
    <w:rsid w:val="00C03837"/>
    <w:rsid w:val="00C038FA"/>
    <w:rsid w:val="00C03975"/>
    <w:rsid w:val="00C03A2B"/>
    <w:rsid w:val="00C03DDB"/>
    <w:rsid w:val="00C0420A"/>
    <w:rsid w:val="00C0428C"/>
    <w:rsid w:val="00C04340"/>
    <w:rsid w:val="00C04443"/>
    <w:rsid w:val="00C0445F"/>
    <w:rsid w:val="00C04539"/>
    <w:rsid w:val="00C045BF"/>
    <w:rsid w:val="00C046AF"/>
    <w:rsid w:val="00C049C2"/>
    <w:rsid w:val="00C04DF2"/>
    <w:rsid w:val="00C04FF9"/>
    <w:rsid w:val="00C05412"/>
    <w:rsid w:val="00C05423"/>
    <w:rsid w:val="00C05450"/>
    <w:rsid w:val="00C05CC7"/>
    <w:rsid w:val="00C05FFB"/>
    <w:rsid w:val="00C06255"/>
    <w:rsid w:val="00C062D6"/>
    <w:rsid w:val="00C067D5"/>
    <w:rsid w:val="00C06837"/>
    <w:rsid w:val="00C06989"/>
    <w:rsid w:val="00C06C0C"/>
    <w:rsid w:val="00C074C9"/>
    <w:rsid w:val="00C07B6D"/>
    <w:rsid w:val="00C07E94"/>
    <w:rsid w:val="00C104EB"/>
    <w:rsid w:val="00C10510"/>
    <w:rsid w:val="00C1058E"/>
    <w:rsid w:val="00C10608"/>
    <w:rsid w:val="00C108F8"/>
    <w:rsid w:val="00C10C25"/>
    <w:rsid w:val="00C10E44"/>
    <w:rsid w:val="00C112F3"/>
    <w:rsid w:val="00C11368"/>
    <w:rsid w:val="00C11952"/>
    <w:rsid w:val="00C11A31"/>
    <w:rsid w:val="00C11EDF"/>
    <w:rsid w:val="00C12357"/>
    <w:rsid w:val="00C12694"/>
    <w:rsid w:val="00C12858"/>
    <w:rsid w:val="00C12A3C"/>
    <w:rsid w:val="00C12CF1"/>
    <w:rsid w:val="00C13314"/>
    <w:rsid w:val="00C13EF4"/>
    <w:rsid w:val="00C14122"/>
    <w:rsid w:val="00C14609"/>
    <w:rsid w:val="00C14C37"/>
    <w:rsid w:val="00C14F6E"/>
    <w:rsid w:val="00C150F5"/>
    <w:rsid w:val="00C15154"/>
    <w:rsid w:val="00C151C4"/>
    <w:rsid w:val="00C159FA"/>
    <w:rsid w:val="00C15AAE"/>
    <w:rsid w:val="00C15EB3"/>
    <w:rsid w:val="00C1602C"/>
    <w:rsid w:val="00C16153"/>
    <w:rsid w:val="00C16AA0"/>
    <w:rsid w:val="00C16DA8"/>
    <w:rsid w:val="00C16DD0"/>
    <w:rsid w:val="00C171DE"/>
    <w:rsid w:val="00C176D6"/>
    <w:rsid w:val="00C17C2D"/>
    <w:rsid w:val="00C17C33"/>
    <w:rsid w:val="00C2091F"/>
    <w:rsid w:val="00C20E4B"/>
    <w:rsid w:val="00C21050"/>
    <w:rsid w:val="00C210B6"/>
    <w:rsid w:val="00C21228"/>
    <w:rsid w:val="00C212B7"/>
    <w:rsid w:val="00C21409"/>
    <w:rsid w:val="00C215F7"/>
    <w:rsid w:val="00C21A11"/>
    <w:rsid w:val="00C21F26"/>
    <w:rsid w:val="00C22227"/>
    <w:rsid w:val="00C224D4"/>
    <w:rsid w:val="00C22534"/>
    <w:rsid w:val="00C229F3"/>
    <w:rsid w:val="00C22B8C"/>
    <w:rsid w:val="00C22F0E"/>
    <w:rsid w:val="00C2328D"/>
    <w:rsid w:val="00C23364"/>
    <w:rsid w:val="00C23BA7"/>
    <w:rsid w:val="00C23D7D"/>
    <w:rsid w:val="00C23F69"/>
    <w:rsid w:val="00C240C6"/>
    <w:rsid w:val="00C242B2"/>
    <w:rsid w:val="00C243A7"/>
    <w:rsid w:val="00C249C5"/>
    <w:rsid w:val="00C24D4D"/>
    <w:rsid w:val="00C24D51"/>
    <w:rsid w:val="00C24D74"/>
    <w:rsid w:val="00C24FCF"/>
    <w:rsid w:val="00C251E9"/>
    <w:rsid w:val="00C252D3"/>
    <w:rsid w:val="00C2568D"/>
    <w:rsid w:val="00C25722"/>
    <w:rsid w:val="00C25743"/>
    <w:rsid w:val="00C2584C"/>
    <w:rsid w:val="00C25F30"/>
    <w:rsid w:val="00C25F45"/>
    <w:rsid w:val="00C25F58"/>
    <w:rsid w:val="00C26266"/>
    <w:rsid w:val="00C26920"/>
    <w:rsid w:val="00C26A4A"/>
    <w:rsid w:val="00C26B6A"/>
    <w:rsid w:val="00C26D60"/>
    <w:rsid w:val="00C26F66"/>
    <w:rsid w:val="00C26F7E"/>
    <w:rsid w:val="00C27337"/>
    <w:rsid w:val="00C274ED"/>
    <w:rsid w:val="00C27DBD"/>
    <w:rsid w:val="00C27F34"/>
    <w:rsid w:val="00C27FD3"/>
    <w:rsid w:val="00C30297"/>
    <w:rsid w:val="00C30570"/>
    <w:rsid w:val="00C30A61"/>
    <w:rsid w:val="00C31477"/>
    <w:rsid w:val="00C31527"/>
    <w:rsid w:val="00C31711"/>
    <w:rsid w:val="00C318F7"/>
    <w:rsid w:val="00C31B72"/>
    <w:rsid w:val="00C32125"/>
    <w:rsid w:val="00C3220D"/>
    <w:rsid w:val="00C32379"/>
    <w:rsid w:val="00C326EB"/>
    <w:rsid w:val="00C3275E"/>
    <w:rsid w:val="00C32968"/>
    <w:rsid w:val="00C32A75"/>
    <w:rsid w:val="00C32B45"/>
    <w:rsid w:val="00C32E5C"/>
    <w:rsid w:val="00C3308E"/>
    <w:rsid w:val="00C33225"/>
    <w:rsid w:val="00C33F82"/>
    <w:rsid w:val="00C348E4"/>
    <w:rsid w:val="00C34973"/>
    <w:rsid w:val="00C349DC"/>
    <w:rsid w:val="00C349E4"/>
    <w:rsid w:val="00C34C76"/>
    <w:rsid w:val="00C34C9B"/>
    <w:rsid w:val="00C350CD"/>
    <w:rsid w:val="00C35203"/>
    <w:rsid w:val="00C3539F"/>
    <w:rsid w:val="00C3552C"/>
    <w:rsid w:val="00C35606"/>
    <w:rsid w:val="00C3566C"/>
    <w:rsid w:val="00C356AC"/>
    <w:rsid w:val="00C35BB7"/>
    <w:rsid w:val="00C35C63"/>
    <w:rsid w:val="00C35E03"/>
    <w:rsid w:val="00C36020"/>
    <w:rsid w:val="00C360D3"/>
    <w:rsid w:val="00C362F1"/>
    <w:rsid w:val="00C36A82"/>
    <w:rsid w:val="00C36C73"/>
    <w:rsid w:val="00C36E40"/>
    <w:rsid w:val="00C3740C"/>
    <w:rsid w:val="00C3753E"/>
    <w:rsid w:val="00C375B1"/>
    <w:rsid w:val="00C37710"/>
    <w:rsid w:val="00C37DED"/>
    <w:rsid w:val="00C37E11"/>
    <w:rsid w:val="00C37ED8"/>
    <w:rsid w:val="00C407B8"/>
    <w:rsid w:val="00C4087A"/>
    <w:rsid w:val="00C409E6"/>
    <w:rsid w:val="00C40ADF"/>
    <w:rsid w:val="00C41797"/>
    <w:rsid w:val="00C417D2"/>
    <w:rsid w:val="00C419F1"/>
    <w:rsid w:val="00C41AAC"/>
    <w:rsid w:val="00C4271E"/>
    <w:rsid w:val="00C428D6"/>
    <w:rsid w:val="00C42B8E"/>
    <w:rsid w:val="00C43316"/>
    <w:rsid w:val="00C434AF"/>
    <w:rsid w:val="00C437DF"/>
    <w:rsid w:val="00C43928"/>
    <w:rsid w:val="00C43AEA"/>
    <w:rsid w:val="00C43C25"/>
    <w:rsid w:val="00C43E34"/>
    <w:rsid w:val="00C44541"/>
    <w:rsid w:val="00C449A5"/>
    <w:rsid w:val="00C44F5B"/>
    <w:rsid w:val="00C459D3"/>
    <w:rsid w:val="00C45B65"/>
    <w:rsid w:val="00C45C57"/>
    <w:rsid w:val="00C45D03"/>
    <w:rsid w:val="00C45DFD"/>
    <w:rsid w:val="00C45E09"/>
    <w:rsid w:val="00C46167"/>
    <w:rsid w:val="00C46364"/>
    <w:rsid w:val="00C464E5"/>
    <w:rsid w:val="00C46F0E"/>
    <w:rsid w:val="00C47051"/>
    <w:rsid w:val="00C472FB"/>
    <w:rsid w:val="00C473CD"/>
    <w:rsid w:val="00C4740F"/>
    <w:rsid w:val="00C475AD"/>
    <w:rsid w:val="00C476FF"/>
    <w:rsid w:val="00C47787"/>
    <w:rsid w:val="00C477CB"/>
    <w:rsid w:val="00C47B98"/>
    <w:rsid w:val="00C47D2A"/>
    <w:rsid w:val="00C47D63"/>
    <w:rsid w:val="00C5016B"/>
    <w:rsid w:val="00C501AD"/>
    <w:rsid w:val="00C50EBA"/>
    <w:rsid w:val="00C50FF1"/>
    <w:rsid w:val="00C5136D"/>
    <w:rsid w:val="00C515A0"/>
    <w:rsid w:val="00C51812"/>
    <w:rsid w:val="00C518BB"/>
    <w:rsid w:val="00C51D0D"/>
    <w:rsid w:val="00C521B3"/>
    <w:rsid w:val="00C5224B"/>
    <w:rsid w:val="00C5233A"/>
    <w:rsid w:val="00C529C6"/>
    <w:rsid w:val="00C5318E"/>
    <w:rsid w:val="00C535B5"/>
    <w:rsid w:val="00C53AD3"/>
    <w:rsid w:val="00C53F95"/>
    <w:rsid w:val="00C5406A"/>
    <w:rsid w:val="00C54583"/>
    <w:rsid w:val="00C545A7"/>
    <w:rsid w:val="00C5466B"/>
    <w:rsid w:val="00C54938"/>
    <w:rsid w:val="00C54AFA"/>
    <w:rsid w:val="00C54BA4"/>
    <w:rsid w:val="00C54E4E"/>
    <w:rsid w:val="00C54E65"/>
    <w:rsid w:val="00C55251"/>
    <w:rsid w:val="00C555A8"/>
    <w:rsid w:val="00C55AC2"/>
    <w:rsid w:val="00C55CCD"/>
    <w:rsid w:val="00C56074"/>
    <w:rsid w:val="00C5609C"/>
    <w:rsid w:val="00C56AEF"/>
    <w:rsid w:val="00C56B21"/>
    <w:rsid w:val="00C57140"/>
    <w:rsid w:val="00C5728C"/>
    <w:rsid w:val="00C5772E"/>
    <w:rsid w:val="00C57785"/>
    <w:rsid w:val="00C57F12"/>
    <w:rsid w:val="00C600E5"/>
    <w:rsid w:val="00C6038A"/>
    <w:rsid w:val="00C6045B"/>
    <w:rsid w:val="00C60CCE"/>
    <w:rsid w:val="00C60F6B"/>
    <w:rsid w:val="00C60FDB"/>
    <w:rsid w:val="00C61207"/>
    <w:rsid w:val="00C61429"/>
    <w:rsid w:val="00C614D0"/>
    <w:rsid w:val="00C616BE"/>
    <w:rsid w:val="00C61DC6"/>
    <w:rsid w:val="00C61F9A"/>
    <w:rsid w:val="00C6209D"/>
    <w:rsid w:val="00C62873"/>
    <w:rsid w:val="00C629CE"/>
    <w:rsid w:val="00C62C9D"/>
    <w:rsid w:val="00C62D1F"/>
    <w:rsid w:val="00C636E0"/>
    <w:rsid w:val="00C6380D"/>
    <w:rsid w:val="00C63847"/>
    <w:rsid w:val="00C638FF"/>
    <w:rsid w:val="00C63AC3"/>
    <w:rsid w:val="00C64592"/>
    <w:rsid w:val="00C6472B"/>
    <w:rsid w:val="00C6477F"/>
    <w:rsid w:val="00C64820"/>
    <w:rsid w:val="00C648F0"/>
    <w:rsid w:val="00C64C00"/>
    <w:rsid w:val="00C64D82"/>
    <w:rsid w:val="00C652BA"/>
    <w:rsid w:val="00C65702"/>
    <w:rsid w:val="00C65CD0"/>
    <w:rsid w:val="00C65E4C"/>
    <w:rsid w:val="00C6638F"/>
    <w:rsid w:val="00C663AB"/>
    <w:rsid w:val="00C663D5"/>
    <w:rsid w:val="00C664A9"/>
    <w:rsid w:val="00C666D5"/>
    <w:rsid w:val="00C66A0C"/>
    <w:rsid w:val="00C66B1E"/>
    <w:rsid w:val="00C66B52"/>
    <w:rsid w:val="00C66E12"/>
    <w:rsid w:val="00C672B9"/>
    <w:rsid w:val="00C67C88"/>
    <w:rsid w:val="00C67EAC"/>
    <w:rsid w:val="00C70016"/>
    <w:rsid w:val="00C7025E"/>
    <w:rsid w:val="00C70286"/>
    <w:rsid w:val="00C704AD"/>
    <w:rsid w:val="00C70828"/>
    <w:rsid w:val="00C70D1C"/>
    <w:rsid w:val="00C710D5"/>
    <w:rsid w:val="00C71160"/>
    <w:rsid w:val="00C715E6"/>
    <w:rsid w:val="00C717E8"/>
    <w:rsid w:val="00C71C88"/>
    <w:rsid w:val="00C72209"/>
    <w:rsid w:val="00C723D8"/>
    <w:rsid w:val="00C728BB"/>
    <w:rsid w:val="00C72A3A"/>
    <w:rsid w:val="00C72A75"/>
    <w:rsid w:val="00C72BB7"/>
    <w:rsid w:val="00C72FEC"/>
    <w:rsid w:val="00C732A8"/>
    <w:rsid w:val="00C73952"/>
    <w:rsid w:val="00C73F79"/>
    <w:rsid w:val="00C744EC"/>
    <w:rsid w:val="00C74639"/>
    <w:rsid w:val="00C74979"/>
    <w:rsid w:val="00C749D8"/>
    <w:rsid w:val="00C74A0D"/>
    <w:rsid w:val="00C74C2A"/>
    <w:rsid w:val="00C74D55"/>
    <w:rsid w:val="00C7506E"/>
    <w:rsid w:val="00C756CA"/>
    <w:rsid w:val="00C75CEF"/>
    <w:rsid w:val="00C76696"/>
    <w:rsid w:val="00C76FE7"/>
    <w:rsid w:val="00C77105"/>
    <w:rsid w:val="00C771EC"/>
    <w:rsid w:val="00C773C2"/>
    <w:rsid w:val="00C777EB"/>
    <w:rsid w:val="00C77867"/>
    <w:rsid w:val="00C77E88"/>
    <w:rsid w:val="00C77F98"/>
    <w:rsid w:val="00C8022E"/>
    <w:rsid w:val="00C806D7"/>
    <w:rsid w:val="00C807A8"/>
    <w:rsid w:val="00C80850"/>
    <w:rsid w:val="00C80949"/>
    <w:rsid w:val="00C80D8E"/>
    <w:rsid w:val="00C80F82"/>
    <w:rsid w:val="00C80FCA"/>
    <w:rsid w:val="00C810C7"/>
    <w:rsid w:val="00C8124E"/>
    <w:rsid w:val="00C81712"/>
    <w:rsid w:val="00C8209B"/>
    <w:rsid w:val="00C820BF"/>
    <w:rsid w:val="00C823E5"/>
    <w:rsid w:val="00C82C69"/>
    <w:rsid w:val="00C8307D"/>
    <w:rsid w:val="00C834F7"/>
    <w:rsid w:val="00C8354E"/>
    <w:rsid w:val="00C83563"/>
    <w:rsid w:val="00C83615"/>
    <w:rsid w:val="00C83F79"/>
    <w:rsid w:val="00C843E9"/>
    <w:rsid w:val="00C84575"/>
    <w:rsid w:val="00C85314"/>
    <w:rsid w:val="00C858AA"/>
    <w:rsid w:val="00C8595D"/>
    <w:rsid w:val="00C85A51"/>
    <w:rsid w:val="00C85B4F"/>
    <w:rsid w:val="00C8678F"/>
    <w:rsid w:val="00C86E2F"/>
    <w:rsid w:val="00C8709D"/>
    <w:rsid w:val="00C87361"/>
    <w:rsid w:val="00C874DD"/>
    <w:rsid w:val="00C87BA1"/>
    <w:rsid w:val="00C87ECF"/>
    <w:rsid w:val="00C901EC"/>
    <w:rsid w:val="00C90505"/>
    <w:rsid w:val="00C90518"/>
    <w:rsid w:val="00C9138D"/>
    <w:rsid w:val="00C915E2"/>
    <w:rsid w:val="00C918B9"/>
    <w:rsid w:val="00C91C15"/>
    <w:rsid w:val="00C91CC1"/>
    <w:rsid w:val="00C91D05"/>
    <w:rsid w:val="00C91D07"/>
    <w:rsid w:val="00C91DEE"/>
    <w:rsid w:val="00C92152"/>
    <w:rsid w:val="00C93E44"/>
    <w:rsid w:val="00C93EF9"/>
    <w:rsid w:val="00C9415A"/>
    <w:rsid w:val="00C94390"/>
    <w:rsid w:val="00C94BD7"/>
    <w:rsid w:val="00C9504F"/>
    <w:rsid w:val="00C95A51"/>
    <w:rsid w:val="00C95C7E"/>
    <w:rsid w:val="00C9605A"/>
    <w:rsid w:val="00C9690F"/>
    <w:rsid w:val="00C969CF"/>
    <w:rsid w:val="00C96B9B"/>
    <w:rsid w:val="00C96D88"/>
    <w:rsid w:val="00C977B4"/>
    <w:rsid w:val="00C977BC"/>
    <w:rsid w:val="00C978FB"/>
    <w:rsid w:val="00CA0161"/>
    <w:rsid w:val="00CA0173"/>
    <w:rsid w:val="00CA0287"/>
    <w:rsid w:val="00CA08D1"/>
    <w:rsid w:val="00CA0983"/>
    <w:rsid w:val="00CA1485"/>
    <w:rsid w:val="00CA1559"/>
    <w:rsid w:val="00CA15A7"/>
    <w:rsid w:val="00CA17E0"/>
    <w:rsid w:val="00CA1ADA"/>
    <w:rsid w:val="00CA25EA"/>
    <w:rsid w:val="00CA2841"/>
    <w:rsid w:val="00CA2B16"/>
    <w:rsid w:val="00CA2BAE"/>
    <w:rsid w:val="00CA3163"/>
    <w:rsid w:val="00CA36CB"/>
    <w:rsid w:val="00CA36F5"/>
    <w:rsid w:val="00CA398A"/>
    <w:rsid w:val="00CA3DB6"/>
    <w:rsid w:val="00CA42C3"/>
    <w:rsid w:val="00CA4348"/>
    <w:rsid w:val="00CA452C"/>
    <w:rsid w:val="00CA45FE"/>
    <w:rsid w:val="00CA46D6"/>
    <w:rsid w:val="00CA4926"/>
    <w:rsid w:val="00CA4A30"/>
    <w:rsid w:val="00CA4BC0"/>
    <w:rsid w:val="00CA509C"/>
    <w:rsid w:val="00CA5417"/>
    <w:rsid w:val="00CA545D"/>
    <w:rsid w:val="00CA55E9"/>
    <w:rsid w:val="00CA5802"/>
    <w:rsid w:val="00CA5993"/>
    <w:rsid w:val="00CA60A3"/>
    <w:rsid w:val="00CA64C4"/>
    <w:rsid w:val="00CA6AF9"/>
    <w:rsid w:val="00CA6C1B"/>
    <w:rsid w:val="00CA6D37"/>
    <w:rsid w:val="00CA6E1A"/>
    <w:rsid w:val="00CA7188"/>
    <w:rsid w:val="00CA721C"/>
    <w:rsid w:val="00CA76D7"/>
    <w:rsid w:val="00CA778D"/>
    <w:rsid w:val="00CA7B13"/>
    <w:rsid w:val="00CA7D38"/>
    <w:rsid w:val="00CA7E15"/>
    <w:rsid w:val="00CB02AD"/>
    <w:rsid w:val="00CB03C5"/>
    <w:rsid w:val="00CB042F"/>
    <w:rsid w:val="00CB0550"/>
    <w:rsid w:val="00CB05F3"/>
    <w:rsid w:val="00CB07F3"/>
    <w:rsid w:val="00CB09B0"/>
    <w:rsid w:val="00CB0C2C"/>
    <w:rsid w:val="00CB10F0"/>
    <w:rsid w:val="00CB1201"/>
    <w:rsid w:val="00CB12ED"/>
    <w:rsid w:val="00CB132A"/>
    <w:rsid w:val="00CB1501"/>
    <w:rsid w:val="00CB16FD"/>
    <w:rsid w:val="00CB1AA9"/>
    <w:rsid w:val="00CB1C44"/>
    <w:rsid w:val="00CB1C57"/>
    <w:rsid w:val="00CB1FFC"/>
    <w:rsid w:val="00CB22D1"/>
    <w:rsid w:val="00CB26A4"/>
    <w:rsid w:val="00CB288A"/>
    <w:rsid w:val="00CB28E9"/>
    <w:rsid w:val="00CB2927"/>
    <w:rsid w:val="00CB2D17"/>
    <w:rsid w:val="00CB2E93"/>
    <w:rsid w:val="00CB2F9A"/>
    <w:rsid w:val="00CB31AA"/>
    <w:rsid w:val="00CB3494"/>
    <w:rsid w:val="00CB373F"/>
    <w:rsid w:val="00CB3D89"/>
    <w:rsid w:val="00CB4236"/>
    <w:rsid w:val="00CB42B5"/>
    <w:rsid w:val="00CB4754"/>
    <w:rsid w:val="00CB4755"/>
    <w:rsid w:val="00CB4A67"/>
    <w:rsid w:val="00CB4C87"/>
    <w:rsid w:val="00CB4F68"/>
    <w:rsid w:val="00CB4FF2"/>
    <w:rsid w:val="00CB5323"/>
    <w:rsid w:val="00CB5425"/>
    <w:rsid w:val="00CB548F"/>
    <w:rsid w:val="00CB554C"/>
    <w:rsid w:val="00CB564B"/>
    <w:rsid w:val="00CB58F2"/>
    <w:rsid w:val="00CB590D"/>
    <w:rsid w:val="00CB5EF0"/>
    <w:rsid w:val="00CB632F"/>
    <w:rsid w:val="00CB63DE"/>
    <w:rsid w:val="00CB6455"/>
    <w:rsid w:val="00CB6787"/>
    <w:rsid w:val="00CB6B0A"/>
    <w:rsid w:val="00CB6B54"/>
    <w:rsid w:val="00CB6E27"/>
    <w:rsid w:val="00CB6F3D"/>
    <w:rsid w:val="00CB73AA"/>
    <w:rsid w:val="00CB7544"/>
    <w:rsid w:val="00CB797F"/>
    <w:rsid w:val="00CB7B6A"/>
    <w:rsid w:val="00CB7EA5"/>
    <w:rsid w:val="00CC081E"/>
    <w:rsid w:val="00CC0D39"/>
    <w:rsid w:val="00CC0FFF"/>
    <w:rsid w:val="00CC12BB"/>
    <w:rsid w:val="00CC12F4"/>
    <w:rsid w:val="00CC13C6"/>
    <w:rsid w:val="00CC1A20"/>
    <w:rsid w:val="00CC1BC5"/>
    <w:rsid w:val="00CC1BCD"/>
    <w:rsid w:val="00CC1BF5"/>
    <w:rsid w:val="00CC1FB1"/>
    <w:rsid w:val="00CC2489"/>
    <w:rsid w:val="00CC25F1"/>
    <w:rsid w:val="00CC264A"/>
    <w:rsid w:val="00CC267E"/>
    <w:rsid w:val="00CC2759"/>
    <w:rsid w:val="00CC285F"/>
    <w:rsid w:val="00CC2F35"/>
    <w:rsid w:val="00CC2FBB"/>
    <w:rsid w:val="00CC30FC"/>
    <w:rsid w:val="00CC336F"/>
    <w:rsid w:val="00CC3592"/>
    <w:rsid w:val="00CC35F1"/>
    <w:rsid w:val="00CC3827"/>
    <w:rsid w:val="00CC3A80"/>
    <w:rsid w:val="00CC3D17"/>
    <w:rsid w:val="00CC3DC1"/>
    <w:rsid w:val="00CC4382"/>
    <w:rsid w:val="00CC441B"/>
    <w:rsid w:val="00CC45C0"/>
    <w:rsid w:val="00CC46E5"/>
    <w:rsid w:val="00CC482F"/>
    <w:rsid w:val="00CC4844"/>
    <w:rsid w:val="00CC4A56"/>
    <w:rsid w:val="00CC4C2C"/>
    <w:rsid w:val="00CC4D96"/>
    <w:rsid w:val="00CC559D"/>
    <w:rsid w:val="00CC59F5"/>
    <w:rsid w:val="00CC5C90"/>
    <w:rsid w:val="00CC5DE7"/>
    <w:rsid w:val="00CC5F13"/>
    <w:rsid w:val="00CC6057"/>
    <w:rsid w:val="00CC6516"/>
    <w:rsid w:val="00CC68D5"/>
    <w:rsid w:val="00CC69DC"/>
    <w:rsid w:val="00CC6D43"/>
    <w:rsid w:val="00CC7062"/>
    <w:rsid w:val="00CC74CF"/>
    <w:rsid w:val="00CC76ED"/>
    <w:rsid w:val="00CC7803"/>
    <w:rsid w:val="00CC79D5"/>
    <w:rsid w:val="00CC7BE2"/>
    <w:rsid w:val="00CD01CE"/>
    <w:rsid w:val="00CD0415"/>
    <w:rsid w:val="00CD0E42"/>
    <w:rsid w:val="00CD106E"/>
    <w:rsid w:val="00CD148A"/>
    <w:rsid w:val="00CD1789"/>
    <w:rsid w:val="00CD1812"/>
    <w:rsid w:val="00CD1B0C"/>
    <w:rsid w:val="00CD1DD8"/>
    <w:rsid w:val="00CD21E0"/>
    <w:rsid w:val="00CD28F2"/>
    <w:rsid w:val="00CD2BD9"/>
    <w:rsid w:val="00CD3141"/>
    <w:rsid w:val="00CD3213"/>
    <w:rsid w:val="00CD339A"/>
    <w:rsid w:val="00CD33D1"/>
    <w:rsid w:val="00CD33F8"/>
    <w:rsid w:val="00CD3488"/>
    <w:rsid w:val="00CD35B9"/>
    <w:rsid w:val="00CD37C0"/>
    <w:rsid w:val="00CD3E42"/>
    <w:rsid w:val="00CD3E90"/>
    <w:rsid w:val="00CD40BF"/>
    <w:rsid w:val="00CD46AB"/>
    <w:rsid w:val="00CD4712"/>
    <w:rsid w:val="00CD4892"/>
    <w:rsid w:val="00CD4D8C"/>
    <w:rsid w:val="00CD5A12"/>
    <w:rsid w:val="00CD5C21"/>
    <w:rsid w:val="00CD5DDC"/>
    <w:rsid w:val="00CD6135"/>
    <w:rsid w:val="00CD6268"/>
    <w:rsid w:val="00CD62EA"/>
    <w:rsid w:val="00CD63CD"/>
    <w:rsid w:val="00CD6461"/>
    <w:rsid w:val="00CD654B"/>
    <w:rsid w:val="00CD687F"/>
    <w:rsid w:val="00CD6887"/>
    <w:rsid w:val="00CD69A8"/>
    <w:rsid w:val="00CD6B33"/>
    <w:rsid w:val="00CD6BD4"/>
    <w:rsid w:val="00CD6D00"/>
    <w:rsid w:val="00CD6EA1"/>
    <w:rsid w:val="00CD6FE6"/>
    <w:rsid w:val="00CD7277"/>
    <w:rsid w:val="00CD72BD"/>
    <w:rsid w:val="00CD745E"/>
    <w:rsid w:val="00CD7FB7"/>
    <w:rsid w:val="00CE02E7"/>
    <w:rsid w:val="00CE0448"/>
    <w:rsid w:val="00CE0505"/>
    <w:rsid w:val="00CE0A20"/>
    <w:rsid w:val="00CE0A5E"/>
    <w:rsid w:val="00CE13DC"/>
    <w:rsid w:val="00CE1469"/>
    <w:rsid w:val="00CE14E1"/>
    <w:rsid w:val="00CE2092"/>
    <w:rsid w:val="00CE223E"/>
    <w:rsid w:val="00CE22EA"/>
    <w:rsid w:val="00CE2562"/>
    <w:rsid w:val="00CE2731"/>
    <w:rsid w:val="00CE2824"/>
    <w:rsid w:val="00CE3745"/>
    <w:rsid w:val="00CE3985"/>
    <w:rsid w:val="00CE39CD"/>
    <w:rsid w:val="00CE3A9E"/>
    <w:rsid w:val="00CE3E67"/>
    <w:rsid w:val="00CE400C"/>
    <w:rsid w:val="00CE41AB"/>
    <w:rsid w:val="00CE4237"/>
    <w:rsid w:val="00CE42FB"/>
    <w:rsid w:val="00CE462E"/>
    <w:rsid w:val="00CE4897"/>
    <w:rsid w:val="00CE4C39"/>
    <w:rsid w:val="00CE50CF"/>
    <w:rsid w:val="00CE5A17"/>
    <w:rsid w:val="00CE5B0C"/>
    <w:rsid w:val="00CE602C"/>
    <w:rsid w:val="00CE622C"/>
    <w:rsid w:val="00CE63B7"/>
    <w:rsid w:val="00CE687E"/>
    <w:rsid w:val="00CE68DA"/>
    <w:rsid w:val="00CE69FE"/>
    <w:rsid w:val="00CE6A76"/>
    <w:rsid w:val="00CE70B3"/>
    <w:rsid w:val="00CE72E8"/>
    <w:rsid w:val="00CE76BD"/>
    <w:rsid w:val="00CE7718"/>
    <w:rsid w:val="00CE7B73"/>
    <w:rsid w:val="00CF0075"/>
    <w:rsid w:val="00CF00D4"/>
    <w:rsid w:val="00CF0775"/>
    <w:rsid w:val="00CF09FA"/>
    <w:rsid w:val="00CF0D14"/>
    <w:rsid w:val="00CF1722"/>
    <w:rsid w:val="00CF183A"/>
    <w:rsid w:val="00CF1850"/>
    <w:rsid w:val="00CF1939"/>
    <w:rsid w:val="00CF1BD9"/>
    <w:rsid w:val="00CF2029"/>
    <w:rsid w:val="00CF23C8"/>
    <w:rsid w:val="00CF2A6C"/>
    <w:rsid w:val="00CF2F75"/>
    <w:rsid w:val="00CF3162"/>
    <w:rsid w:val="00CF3200"/>
    <w:rsid w:val="00CF3AE1"/>
    <w:rsid w:val="00CF3F9B"/>
    <w:rsid w:val="00CF4295"/>
    <w:rsid w:val="00CF4731"/>
    <w:rsid w:val="00CF4777"/>
    <w:rsid w:val="00CF4871"/>
    <w:rsid w:val="00CF49F6"/>
    <w:rsid w:val="00CF4E18"/>
    <w:rsid w:val="00CF5155"/>
    <w:rsid w:val="00CF5CA5"/>
    <w:rsid w:val="00CF5CFB"/>
    <w:rsid w:val="00CF62B5"/>
    <w:rsid w:val="00CF68BD"/>
    <w:rsid w:val="00CF6BAA"/>
    <w:rsid w:val="00CF70DD"/>
    <w:rsid w:val="00CF7A03"/>
    <w:rsid w:val="00CF7A1C"/>
    <w:rsid w:val="00CF7E4B"/>
    <w:rsid w:val="00CF7EBC"/>
    <w:rsid w:val="00CF7FBA"/>
    <w:rsid w:val="00D000C5"/>
    <w:rsid w:val="00D0027E"/>
    <w:rsid w:val="00D0028B"/>
    <w:rsid w:val="00D002C0"/>
    <w:rsid w:val="00D00B89"/>
    <w:rsid w:val="00D00D81"/>
    <w:rsid w:val="00D0173D"/>
    <w:rsid w:val="00D01A13"/>
    <w:rsid w:val="00D01AD6"/>
    <w:rsid w:val="00D01D80"/>
    <w:rsid w:val="00D020CE"/>
    <w:rsid w:val="00D020D6"/>
    <w:rsid w:val="00D023CA"/>
    <w:rsid w:val="00D0244D"/>
    <w:rsid w:val="00D024A5"/>
    <w:rsid w:val="00D02781"/>
    <w:rsid w:val="00D02FCC"/>
    <w:rsid w:val="00D02FCF"/>
    <w:rsid w:val="00D03C3D"/>
    <w:rsid w:val="00D04B88"/>
    <w:rsid w:val="00D052E6"/>
    <w:rsid w:val="00D05471"/>
    <w:rsid w:val="00D05A85"/>
    <w:rsid w:val="00D05BF2"/>
    <w:rsid w:val="00D05D0C"/>
    <w:rsid w:val="00D05DDE"/>
    <w:rsid w:val="00D05F4E"/>
    <w:rsid w:val="00D060AA"/>
    <w:rsid w:val="00D060DB"/>
    <w:rsid w:val="00D064AA"/>
    <w:rsid w:val="00D06C13"/>
    <w:rsid w:val="00D06D90"/>
    <w:rsid w:val="00D06E3A"/>
    <w:rsid w:val="00D0721B"/>
    <w:rsid w:val="00D0731B"/>
    <w:rsid w:val="00D074C9"/>
    <w:rsid w:val="00D07793"/>
    <w:rsid w:val="00D07965"/>
    <w:rsid w:val="00D0797D"/>
    <w:rsid w:val="00D07CEB"/>
    <w:rsid w:val="00D07DBB"/>
    <w:rsid w:val="00D10386"/>
    <w:rsid w:val="00D106F5"/>
    <w:rsid w:val="00D10866"/>
    <w:rsid w:val="00D108B3"/>
    <w:rsid w:val="00D10AD4"/>
    <w:rsid w:val="00D10BFD"/>
    <w:rsid w:val="00D10C55"/>
    <w:rsid w:val="00D10E16"/>
    <w:rsid w:val="00D10F15"/>
    <w:rsid w:val="00D112B5"/>
    <w:rsid w:val="00D11A96"/>
    <w:rsid w:val="00D11E91"/>
    <w:rsid w:val="00D11F41"/>
    <w:rsid w:val="00D12113"/>
    <w:rsid w:val="00D125AD"/>
    <w:rsid w:val="00D1286F"/>
    <w:rsid w:val="00D12A3F"/>
    <w:rsid w:val="00D12A84"/>
    <w:rsid w:val="00D12BC7"/>
    <w:rsid w:val="00D12C60"/>
    <w:rsid w:val="00D12C7B"/>
    <w:rsid w:val="00D12D6F"/>
    <w:rsid w:val="00D13058"/>
    <w:rsid w:val="00D1310A"/>
    <w:rsid w:val="00D13161"/>
    <w:rsid w:val="00D1349A"/>
    <w:rsid w:val="00D136B5"/>
    <w:rsid w:val="00D13A42"/>
    <w:rsid w:val="00D13B39"/>
    <w:rsid w:val="00D13E19"/>
    <w:rsid w:val="00D145F5"/>
    <w:rsid w:val="00D1463B"/>
    <w:rsid w:val="00D14740"/>
    <w:rsid w:val="00D149D4"/>
    <w:rsid w:val="00D14B19"/>
    <w:rsid w:val="00D14C6D"/>
    <w:rsid w:val="00D153EC"/>
    <w:rsid w:val="00D1583B"/>
    <w:rsid w:val="00D1624C"/>
    <w:rsid w:val="00D163A1"/>
    <w:rsid w:val="00D16595"/>
    <w:rsid w:val="00D167F7"/>
    <w:rsid w:val="00D168F8"/>
    <w:rsid w:val="00D16D5A"/>
    <w:rsid w:val="00D1713F"/>
    <w:rsid w:val="00D173ED"/>
    <w:rsid w:val="00D1759D"/>
    <w:rsid w:val="00D17969"/>
    <w:rsid w:val="00D17A2F"/>
    <w:rsid w:val="00D17A60"/>
    <w:rsid w:val="00D17DC9"/>
    <w:rsid w:val="00D2046F"/>
    <w:rsid w:val="00D2054A"/>
    <w:rsid w:val="00D20560"/>
    <w:rsid w:val="00D205FE"/>
    <w:rsid w:val="00D207CD"/>
    <w:rsid w:val="00D20D01"/>
    <w:rsid w:val="00D210CD"/>
    <w:rsid w:val="00D21119"/>
    <w:rsid w:val="00D21299"/>
    <w:rsid w:val="00D21336"/>
    <w:rsid w:val="00D22273"/>
    <w:rsid w:val="00D224FA"/>
    <w:rsid w:val="00D229D7"/>
    <w:rsid w:val="00D229D9"/>
    <w:rsid w:val="00D22A0D"/>
    <w:rsid w:val="00D22AB1"/>
    <w:rsid w:val="00D22D93"/>
    <w:rsid w:val="00D22E8E"/>
    <w:rsid w:val="00D22EEE"/>
    <w:rsid w:val="00D238DF"/>
    <w:rsid w:val="00D238F8"/>
    <w:rsid w:val="00D23AA0"/>
    <w:rsid w:val="00D23BE1"/>
    <w:rsid w:val="00D24232"/>
    <w:rsid w:val="00D2460F"/>
    <w:rsid w:val="00D24629"/>
    <w:rsid w:val="00D24899"/>
    <w:rsid w:val="00D24CD7"/>
    <w:rsid w:val="00D254D2"/>
    <w:rsid w:val="00D255B3"/>
    <w:rsid w:val="00D255EC"/>
    <w:rsid w:val="00D2566D"/>
    <w:rsid w:val="00D25940"/>
    <w:rsid w:val="00D25B35"/>
    <w:rsid w:val="00D25BDF"/>
    <w:rsid w:val="00D25F52"/>
    <w:rsid w:val="00D25FD7"/>
    <w:rsid w:val="00D2613A"/>
    <w:rsid w:val="00D261C3"/>
    <w:rsid w:val="00D2649F"/>
    <w:rsid w:val="00D2659F"/>
    <w:rsid w:val="00D26B92"/>
    <w:rsid w:val="00D26D79"/>
    <w:rsid w:val="00D27359"/>
    <w:rsid w:val="00D27694"/>
    <w:rsid w:val="00D277BD"/>
    <w:rsid w:val="00D27831"/>
    <w:rsid w:val="00D27BF6"/>
    <w:rsid w:val="00D27FA7"/>
    <w:rsid w:val="00D30224"/>
    <w:rsid w:val="00D3075B"/>
    <w:rsid w:val="00D308D7"/>
    <w:rsid w:val="00D30A67"/>
    <w:rsid w:val="00D30D80"/>
    <w:rsid w:val="00D316B7"/>
    <w:rsid w:val="00D31739"/>
    <w:rsid w:val="00D318FC"/>
    <w:rsid w:val="00D31A52"/>
    <w:rsid w:val="00D31C63"/>
    <w:rsid w:val="00D31C72"/>
    <w:rsid w:val="00D31CDD"/>
    <w:rsid w:val="00D31FF5"/>
    <w:rsid w:val="00D32034"/>
    <w:rsid w:val="00D322A8"/>
    <w:rsid w:val="00D324A7"/>
    <w:rsid w:val="00D32674"/>
    <w:rsid w:val="00D32740"/>
    <w:rsid w:val="00D3282E"/>
    <w:rsid w:val="00D32B2C"/>
    <w:rsid w:val="00D32B90"/>
    <w:rsid w:val="00D33699"/>
    <w:rsid w:val="00D338BA"/>
    <w:rsid w:val="00D338D0"/>
    <w:rsid w:val="00D33FD3"/>
    <w:rsid w:val="00D3454B"/>
    <w:rsid w:val="00D34574"/>
    <w:rsid w:val="00D350E1"/>
    <w:rsid w:val="00D355F0"/>
    <w:rsid w:val="00D359FC"/>
    <w:rsid w:val="00D360B3"/>
    <w:rsid w:val="00D362DA"/>
    <w:rsid w:val="00D3633C"/>
    <w:rsid w:val="00D36A50"/>
    <w:rsid w:val="00D36F80"/>
    <w:rsid w:val="00D37022"/>
    <w:rsid w:val="00D3724C"/>
    <w:rsid w:val="00D3724D"/>
    <w:rsid w:val="00D372E4"/>
    <w:rsid w:val="00D37560"/>
    <w:rsid w:val="00D37D2A"/>
    <w:rsid w:val="00D37EC7"/>
    <w:rsid w:val="00D37FFB"/>
    <w:rsid w:val="00D406D6"/>
    <w:rsid w:val="00D40844"/>
    <w:rsid w:val="00D40A4B"/>
    <w:rsid w:val="00D40B89"/>
    <w:rsid w:val="00D4125D"/>
    <w:rsid w:val="00D41F08"/>
    <w:rsid w:val="00D42053"/>
    <w:rsid w:val="00D423EB"/>
    <w:rsid w:val="00D42517"/>
    <w:rsid w:val="00D42718"/>
    <w:rsid w:val="00D42D0A"/>
    <w:rsid w:val="00D42F6F"/>
    <w:rsid w:val="00D43406"/>
    <w:rsid w:val="00D436AB"/>
    <w:rsid w:val="00D43735"/>
    <w:rsid w:val="00D43C60"/>
    <w:rsid w:val="00D43F40"/>
    <w:rsid w:val="00D43F97"/>
    <w:rsid w:val="00D442A6"/>
    <w:rsid w:val="00D44358"/>
    <w:rsid w:val="00D444FD"/>
    <w:rsid w:val="00D44901"/>
    <w:rsid w:val="00D44C5E"/>
    <w:rsid w:val="00D44D4B"/>
    <w:rsid w:val="00D44DE6"/>
    <w:rsid w:val="00D44E08"/>
    <w:rsid w:val="00D45115"/>
    <w:rsid w:val="00D45581"/>
    <w:rsid w:val="00D45679"/>
    <w:rsid w:val="00D45A44"/>
    <w:rsid w:val="00D45AF8"/>
    <w:rsid w:val="00D45D70"/>
    <w:rsid w:val="00D45ECF"/>
    <w:rsid w:val="00D4619C"/>
    <w:rsid w:val="00D46325"/>
    <w:rsid w:val="00D46425"/>
    <w:rsid w:val="00D464ED"/>
    <w:rsid w:val="00D46822"/>
    <w:rsid w:val="00D46971"/>
    <w:rsid w:val="00D472EB"/>
    <w:rsid w:val="00D47380"/>
    <w:rsid w:val="00D47399"/>
    <w:rsid w:val="00D477A4"/>
    <w:rsid w:val="00D4786A"/>
    <w:rsid w:val="00D47AF7"/>
    <w:rsid w:val="00D47D0E"/>
    <w:rsid w:val="00D47EEC"/>
    <w:rsid w:val="00D501B5"/>
    <w:rsid w:val="00D50236"/>
    <w:rsid w:val="00D50874"/>
    <w:rsid w:val="00D509E2"/>
    <w:rsid w:val="00D50C14"/>
    <w:rsid w:val="00D50C1A"/>
    <w:rsid w:val="00D50C26"/>
    <w:rsid w:val="00D510F8"/>
    <w:rsid w:val="00D512FC"/>
    <w:rsid w:val="00D51569"/>
    <w:rsid w:val="00D515DB"/>
    <w:rsid w:val="00D51C05"/>
    <w:rsid w:val="00D522A0"/>
    <w:rsid w:val="00D52377"/>
    <w:rsid w:val="00D524BA"/>
    <w:rsid w:val="00D5252B"/>
    <w:rsid w:val="00D526CD"/>
    <w:rsid w:val="00D52B88"/>
    <w:rsid w:val="00D52D6D"/>
    <w:rsid w:val="00D53A61"/>
    <w:rsid w:val="00D53CCF"/>
    <w:rsid w:val="00D53EB5"/>
    <w:rsid w:val="00D53EC8"/>
    <w:rsid w:val="00D53EE1"/>
    <w:rsid w:val="00D54332"/>
    <w:rsid w:val="00D543C2"/>
    <w:rsid w:val="00D5453F"/>
    <w:rsid w:val="00D545C2"/>
    <w:rsid w:val="00D548FA"/>
    <w:rsid w:val="00D549AC"/>
    <w:rsid w:val="00D549D6"/>
    <w:rsid w:val="00D54B1B"/>
    <w:rsid w:val="00D54BE3"/>
    <w:rsid w:val="00D54C71"/>
    <w:rsid w:val="00D55390"/>
    <w:rsid w:val="00D559E8"/>
    <w:rsid w:val="00D55C1D"/>
    <w:rsid w:val="00D55EDB"/>
    <w:rsid w:val="00D56042"/>
    <w:rsid w:val="00D5614F"/>
    <w:rsid w:val="00D5639D"/>
    <w:rsid w:val="00D56BE9"/>
    <w:rsid w:val="00D56FA3"/>
    <w:rsid w:val="00D571C7"/>
    <w:rsid w:val="00D57307"/>
    <w:rsid w:val="00D576AE"/>
    <w:rsid w:val="00D57882"/>
    <w:rsid w:val="00D57B15"/>
    <w:rsid w:val="00D57CBF"/>
    <w:rsid w:val="00D57D22"/>
    <w:rsid w:val="00D57DCC"/>
    <w:rsid w:val="00D60077"/>
    <w:rsid w:val="00D601DD"/>
    <w:rsid w:val="00D60874"/>
    <w:rsid w:val="00D60AEB"/>
    <w:rsid w:val="00D61649"/>
    <w:rsid w:val="00D61685"/>
    <w:rsid w:val="00D61ABF"/>
    <w:rsid w:val="00D61AE2"/>
    <w:rsid w:val="00D62161"/>
    <w:rsid w:val="00D62740"/>
    <w:rsid w:val="00D627B5"/>
    <w:rsid w:val="00D629C9"/>
    <w:rsid w:val="00D62B99"/>
    <w:rsid w:val="00D62CE1"/>
    <w:rsid w:val="00D62EBE"/>
    <w:rsid w:val="00D62F02"/>
    <w:rsid w:val="00D62F1D"/>
    <w:rsid w:val="00D632CD"/>
    <w:rsid w:val="00D6331A"/>
    <w:rsid w:val="00D63379"/>
    <w:rsid w:val="00D6377B"/>
    <w:rsid w:val="00D63890"/>
    <w:rsid w:val="00D64156"/>
    <w:rsid w:val="00D647C5"/>
    <w:rsid w:val="00D64832"/>
    <w:rsid w:val="00D64A6F"/>
    <w:rsid w:val="00D64C60"/>
    <w:rsid w:val="00D64CF8"/>
    <w:rsid w:val="00D64DD1"/>
    <w:rsid w:val="00D64DDD"/>
    <w:rsid w:val="00D64E4E"/>
    <w:rsid w:val="00D64F89"/>
    <w:rsid w:val="00D65113"/>
    <w:rsid w:val="00D6558A"/>
    <w:rsid w:val="00D65B01"/>
    <w:rsid w:val="00D66238"/>
    <w:rsid w:val="00D66392"/>
    <w:rsid w:val="00D666EA"/>
    <w:rsid w:val="00D66BE4"/>
    <w:rsid w:val="00D66CDB"/>
    <w:rsid w:val="00D67419"/>
    <w:rsid w:val="00D67793"/>
    <w:rsid w:val="00D678BC"/>
    <w:rsid w:val="00D67BC7"/>
    <w:rsid w:val="00D67C95"/>
    <w:rsid w:val="00D67D96"/>
    <w:rsid w:val="00D70104"/>
    <w:rsid w:val="00D70585"/>
    <w:rsid w:val="00D70668"/>
    <w:rsid w:val="00D7095D"/>
    <w:rsid w:val="00D70B6A"/>
    <w:rsid w:val="00D70D2D"/>
    <w:rsid w:val="00D70E23"/>
    <w:rsid w:val="00D715FD"/>
    <w:rsid w:val="00D7187B"/>
    <w:rsid w:val="00D71F35"/>
    <w:rsid w:val="00D71F9E"/>
    <w:rsid w:val="00D721DA"/>
    <w:rsid w:val="00D72237"/>
    <w:rsid w:val="00D723D1"/>
    <w:rsid w:val="00D723D8"/>
    <w:rsid w:val="00D7249C"/>
    <w:rsid w:val="00D72598"/>
    <w:rsid w:val="00D726F1"/>
    <w:rsid w:val="00D7273E"/>
    <w:rsid w:val="00D728E1"/>
    <w:rsid w:val="00D72A12"/>
    <w:rsid w:val="00D72ED7"/>
    <w:rsid w:val="00D7375A"/>
    <w:rsid w:val="00D7375F"/>
    <w:rsid w:val="00D737B3"/>
    <w:rsid w:val="00D73C23"/>
    <w:rsid w:val="00D73DD0"/>
    <w:rsid w:val="00D74076"/>
    <w:rsid w:val="00D74136"/>
    <w:rsid w:val="00D74422"/>
    <w:rsid w:val="00D748B9"/>
    <w:rsid w:val="00D749DC"/>
    <w:rsid w:val="00D74A38"/>
    <w:rsid w:val="00D74AB5"/>
    <w:rsid w:val="00D751EC"/>
    <w:rsid w:val="00D75389"/>
    <w:rsid w:val="00D75C9D"/>
    <w:rsid w:val="00D760C9"/>
    <w:rsid w:val="00D76F95"/>
    <w:rsid w:val="00D774DF"/>
    <w:rsid w:val="00D776D6"/>
    <w:rsid w:val="00D77968"/>
    <w:rsid w:val="00D77C91"/>
    <w:rsid w:val="00D77FB8"/>
    <w:rsid w:val="00D801DD"/>
    <w:rsid w:val="00D801ED"/>
    <w:rsid w:val="00D802AB"/>
    <w:rsid w:val="00D8037E"/>
    <w:rsid w:val="00D804A5"/>
    <w:rsid w:val="00D806AD"/>
    <w:rsid w:val="00D80714"/>
    <w:rsid w:val="00D80DF4"/>
    <w:rsid w:val="00D8132B"/>
    <w:rsid w:val="00D8147B"/>
    <w:rsid w:val="00D81625"/>
    <w:rsid w:val="00D81664"/>
    <w:rsid w:val="00D81687"/>
    <w:rsid w:val="00D81992"/>
    <w:rsid w:val="00D819B4"/>
    <w:rsid w:val="00D82005"/>
    <w:rsid w:val="00D82244"/>
    <w:rsid w:val="00D82383"/>
    <w:rsid w:val="00D82564"/>
    <w:rsid w:val="00D825CA"/>
    <w:rsid w:val="00D8270A"/>
    <w:rsid w:val="00D82F24"/>
    <w:rsid w:val="00D82FD0"/>
    <w:rsid w:val="00D834E9"/>
    <w:rsid w:val="00D83978"/>
    <w:rsid w:val="00D83B02"/>
    <w:rsid w:val="00D83BD9"/>
    <w:rsid w:val="00D83DF4"/>
    <w:rsid w:val="00D84064"/>
    <w:rsid w:val="00D841E2"/>
    <w:rsid w:val="00D8428D"/>
    <w:rsid w:val="00D84370"/>
    <w:rsid w:val="00D84603"/>
    <w:rsid w:val="00D8506E"/>
    <w:rsid w:val="00D854F0"/>
    <w:rsid w:val="00D85CB0"/>
    <w:rsid w:val="00D85E64"/>
    <w:rsid w:val="00D85EF4"/>
    <w:rsid w:val="00D86013"/>
    <w:rsid w:val="00D864D9"/>
    <w:rsid w:val="00D86541"/>
    <w:rsid w:val="00D870B0"/>
    <w:rsid w:val="00D87281"/>
    <w:rsid w:val="00D873CF"/>
    <w:rsid w:val="00D87AC5"/>
    <w:rsid w:val="00D87B84"/>
    <w:rsid w:val="00D87BF0"/>
    <w:rsid w:val="00D90238"/>
    <w:rsid w:val="00D90291"/>
    <w:rsid w:val="00D90921"/>
    <w:rsid w:val="00D909DB"/>
    <w:rsid w:val="00D9100F"/>
    <w:rsid w:val="00D91083"/>
    <w:rsid w:val="00D91146"/>
    <w:rsid w:val="00D91361"/>
    <w:rsid w:val="00D91597"/>
    <w:rsid w:val="00D915F9"/>
    <w:rsid w:val="00D917C5"/>
    <w:rsid w:val="00D91AAA"/>
    <w:rsid w:val="00D91BF6"/>
    <w:rsid w:val="00D91CA0"/>
    <w:rsid w:val="00D91FE2"/>
    <w:rsid w:val="00D92109"/>
    <w:rsid w:val="00D92348"/>
    <w:rsid w:val="00D9249B"/>
    <w:rsid w:val="00D92502"/>
    <w:rsid w:val="00D92F69"/>
    <w:rsid w:val="00D93588"/>
    <w:rsid w:val="00D935AA"/>
    <w:rsid w:val="00D935FF"/>
    <w:rsid w:val="00D93BF9"/>
    <w:rsid w:val="00D94458"/>
    <w:rsid w:val="00D946FD"/>
    <w:rsid w:val="00D947E9"/>
    <w:rsid w:val="00D94B78"/>
    <w:rsid w:val="00D94FC5"/>
    <w:rsid w:val="00D956E8"/>
    <w:rsid w:val="00D95915"/>
    <w:rsid w:val="00D95E30"/>
    <w:rsid w:val="00D95FB9"/>
    <w:rsid w:val="00D9603B"/>
    <w:rsid w:val="00D961F6"/>
    <w:rsid w:val="00D96620"/>
    <w:rsid w:val="00D96901"/>
    <w:rsid w:val="00D969F0"/>
    <w:rsid w:val="00D96D3B"/>
    <w:rsid w:val="00D977E3"/>
    <w:rsid w:val="00D97AED"/>
    <w:rsid w:val="00D97EAC"/>
    <w:rsid w:val="00DA0194"/>
    <w:rsid w:val="00DA0ADC"/>
    <w:rsid w:val="00DA0B00"/>
    <w:rsid w:val="00DA0C1E"/>
    <w:rsid w:val="00DA0D94"/>
    <w:rsid w:val="00DA129C"/>
    <w:rsid w:val="00DA12C3"/>
    <w:rsid w:val="00DA187B"/>
    <w:rsid w:val="00DA18B3"/>
    <w:rsid w:val="00DA1C2D"/>
    <w:rsid w:val="00DA1CE6"/>
    <w:rsid w:val="00DA1FBC"/>
    <w:rsid w:val="00DA2313"/>
    <w:rsid w:val="00DA23F6"/>
    <w:rsid w:val="00DA2533"/>
    <w:rsid w:val="00DA280C"/>
    <w:rsid w:val="00DA288A"/>
    <w:rsid w:val="00DA2FB1"/>
    <w:rsid w:val="00DA30A0"/>
    <w:rsid w:val="00DA30EF"/>
    <w:rsid w:val="00DA371B"/>
    <w:rsid w:val="00DA390B"/>
    <w:rsid w:val="00DA47F9"/>
    <w:rsid w:val="00DA49DF"/>
    <w:rsid w:val="00DA4AA6"/>
    <w:rsid w:val="00DA4DAE"/>
    <w:rsid w:val="00DA509D"/>
    <w:rsid w:val="00DA5635"/>
    <w:rsid w:val="00DA58AE"/>
    <w:rsid w:val="00DA591C"/>
    <w:rsid w:val="00DA5BF5"/>
    <w:rsid w:val="00DA5C95"/>
    <w:rsid w:val="00DA63A6"/>
    <w:rsid w:val="00DA686B"/>
    <w:rsid w:val="00DA68EA"/>
    <w:rsid w:val="00DA6A13"/>
    <w:rsid w:val="00DA6D90"/>
    <w:rsid w:val="00DA6E1B"/>
    <w:rsid w:val="00DA6E86"/>
    <w:rsid w:val="00DA6F41"/>
    <w:rsid w:val="00DA700D"/>
    <w:rsid w:val="00DA74A6"/>
    <w:rsid w:val="00DA7616"/>
    <w:rsid w:val="00DA77BF"/>
    <w:rsid w:val="00DA77C6"/>
    <w:rsid w:val="00DA7E0B"/>
    <w:rsid w:val="00DB012C"/>
    <w:rsid w:val="00DB029D"/>
    <w:rsid w:val="00DB04CA"/>
    <w:rsid w:val="00DB075B"/>
    <w:rsid w:val="00DB0A4E"/>
    <w:rsid w:val="00DB0ADD"/>
    <w:rsid w:val="00DB0C0B"/>
    <w:rsid w:val="00DB0DB1"/>
    <w:rsid w:val="00DB0FDD"/>
    <w:rsid w:val="00DB10FA"/>
    <w:rsid w:val="00DB1112"/>
    <w:rsid w:val="00DB18CE"/>
    <w:rsid w:val="00DB19A9"/>
    <w:rsid w:val="00DB19DF"/>
    <w:rsid w:val="00DB1BBC"/>
    <w:rsid w:val="00DB1E4F"/>
    <w:rsid w:val="00DB1FB7"/>
    <w:rsid w:val="00DB1FF3"/>
    <w:rsid w:val="00DB2BAF"/>
    <w:rsid w:val="00DB31B5"/>
    <w:rsid w:val="00DB34A8"/>
    <w:rsid w:val="00DB3726"/>
    <w:rsid w:val="00DB391A"/>
    <w:rsid w:val="00DB4695"/>
    <w:rsid w:val="00DB492A"/>
    <w:rsid w:val="00DB4994"/>
    <w:rsid w:val="00DB49DC"/>
    <w:rsid w:val="00DB4AA6"/>
    <w:rsid w:val="00DB5098"/>
    <w:rsid w:val="00DB51D2"/>
    <w:rsid w:val="00DB56F7"/>
    <w:rsid w:val="00DB5B2A"/>
    <w:rsid w:val="00DB6341"/>
    <w:rsid w:val="00DB6C02"/>
    <w:rsid w:val="00DB6FED"/>
    <w:rsid w:val="00DB74EC"/>
    <w:rsid w:val="00DB7EB1"/>
    <w:rsid w:val="00DB7F09"/>
    <w:rsid w:val="00DB7F47"/>
    <w:rsid w:val="00DC00D3"/>
    <w:rsid w:val="00DC00E8"/>
    <w:rsid w:val="00DC0200"/>
    <w:rsid w:val="00DC04AB"/>
    <w:rsid w:val="00DC05E2"/>
    <w:rsid w:val="00DC0D18"/>
    <w:rsid w:val="00DC1258"/>
    <w:rsid w:val="00DC12A1"/>
    <w:rsid w:val="00DC15BC"/>
    <w:rsid w:val="00DC15CB"/>
    <w:rsid w:val="00DC167D"/>
    <w:rsid w:val="00DC18B2"/>
    <w:rsid w:val="00DC2AA6"/>
    <w:rsid w:val="00DC2B33"/>
    <w:rsid w:val="00DC2E9F"/>
    <w:rsid w:val="00DC2EF7"/>
    <w:rsid w:val="00DC2FE3"/>
    <w:rsid w:val="00DC3440"/>
    <w:rsid w:val="00DC360F"/>
    <w:rsid w:val="00DC39F5"/>
    <w:rsid w:val="00DC42CC"/>
    <w:rsid w:val="00DC4594"/>
    <w:rsid w:val="00DC47C9"/>
    <w:rsid w:val="00DC486A"/>
    <w:rsid w:val="00DC500D"/>
    <w:rsid w:val="00DC50F3"/>
    <w:rsid w:val="00DC533D"/>
    <w:rsid w:val="00DC554B"/>
    <w:rsid w:val="00DC56A0"/>
    <w:rsid w:val="00DC5789"/>
    <w:rsid w:val="00DC63F3"/>
    <w:rsid w:val="00DC64A7"/>
    <w:rsid w:val="00DC6C79"/>
    <w:rsid w:val="00DC6DFE"/>
    <w:rsid w:val="00DC6E88"/>
    <w:rsid w:val="00DC6F31"/>
    <w:rsid w:val="00DC7108"/>
    <w:rsid w:val="00DC7830"/>
    <w:rsid w:val="00DC78CF"/>
    <w:rsid w:val="00DC78D1"/>
    <w:rsid w:val="00DC7936"/>
    <w:rsid w:val="00DC7BAD"/>
    <w:rsid w:val="00DD0449"/>
    <w:rsid w:val="00DD05B7"/>
    <w:rsid w:val="00DD09DA"/>
    <w:rsid w:val="00DD11B8"/>
    <w:rsid w:val="00DD1455"/>
    <w:rsid w:val="00DD16B4"/>
    <w:rsid w:val="00DD17F4"/>
    <w:rsid w:val="00DD188C"/>
    <w:rsid w:val="00DD1E2E"/>
    <w:rsid w:val="00DD229E"/>
    <w:rsid w:val="00DD233E"/>
    <w:rsid w:val="00DD23D7"/>
    <w:rsid w:val="00DD2989"/>
    <w:rsid w:val="00DD2992"/>
    <w:rsid w:val="00DD2BF9"/>
    <w:rsid w:val="00DD2D9E"/>
    <w:rsid w:val="00DD31A5"/>
    <w:rsid w:val="00DD336D"/>
    <w:rsid w:val="00DD399C"/>
    <w:rsid w:val="00DD3CB6"/>
    <w:rsid w:val="00DD3D09"/>
    <w:rsid w:val="00DD3D0B"/>
    <w:rsid w:val="00DD3DB7"/>
    <w:rsid w:val="00DD3DDD"/>
    <w:rsid w:val="00DD3F17"/>
    <w:rsid w:val="00DD40D2"/>
    <w:rsid w:val="00DD4319"/>
    <w:rsid w:val="00DD4934"/>
    <w:rsid w:val="00DD4A95"/>
    <w:rsid w:val="00DD4AF1"/>
    <w:rsid w:val="00DD5162"/>
    <w:rsid w:val="00DD52E9"/>
    <w:rsid w:val="00DD551A"/>
    <w:rsid w:val="00DD5B1E"/>
    <w:rsid w:val="00DD5CC4"/>
    <w:rsid w:val="00DD5FB1"/>
    <w:rsid w:val="00DD616F"/>
    <w:rsid w:val="00DD64CF"/>
    <w:rsid w:val="00DD6A40"/>
    <w:rsid w:val="00DD6EA5"/>
    <w:rsid w:val="00DD7052"/>
    <w:rsid w:val="00DD705F"/>
    <w:rsid w:val="00DD73BB"/>
    <w:rsid w:val="00DD7F7B"/>
    <w:rsid w:val="00DE08FE"/>
    <w:rsid w:val="00DE0D8C"/>
    <w:rsid w:val="00DE0E0F"/>
    <w:rsid w:val="00DE0E9C"/>
    <w:rsid w:val="00DE0FC9"/>
    <w:rsid w:val="00DE17C7"/>
    <w:rsid w:val="00DE1C51"/>
    <w:rsid w:val="00DE1CFB"/>
    <w:rsid w:val="00DE1E4A"/>
    <w:rsid w:val="00DE1EB8"/>
    <w:rsid w:val="00DE1F25"/>
    <w:rsid w:val="00DE26A7"/>
    <w:rsid w:val="00DE2744"/>
    <w:rsid w:val="00DE27EA"/>
    <w:rsid w:val="00DE2A39"/>
    <w:rsid w:val="00DE2B3C"/>
    <w:rsid w:val="00DE2C86"/>
    <w:rsid w:val="00DE30A5"/>
    <w:rsid w:val="00DE33A0"/>
    <w:rsid w:val="00DE34B0"/>
    <w:rsid w:val="00DE3501"/>
    <w:rsid w:val="00DE3660"/>
    <w:rsid w:val="00DE378A"/>
    <w:rsid w:val="00DE3B67"/>
    <w:rsid w:val="00DE3F2F"/>
    <w:rsid w:val="00DE4006"/>
    <w:rsid w:val="00DE4101"/>
    <w:rsid w:val="00DE41F3"/>
    <w:rsid w:val="00DE4370"/>
    <w:rsid w:val="00DE45B2"/>
    <w:rsid w:val="00DE4D83"/>
    <w:rsid w:val="00DE522B"/>
    <w:rsid w:val="00DE5247"/>
    <w:rsid w:val="00DE55EC"/>
    <w:rsid w:val="00DE583E"/>
    <w:rsid w:val="00DE58D0"/>
    <w:rsid w:val="00DE593F"/>
    <w:rsid w:val="00DE5B7F"/>
    <w:rsid w:val="00DE5D03"/>
    <w:rsid w:val="00DE6101"/>
    <w:rsid w:val="00DE6660"/>
    <w:rsid w:val="00DE6681"/>
    <w:rsid w:val="00DE6A78"/>
    <w:rsid w:val="00DE6AD8"/>
    <w:rsid w:val="00DE6BC3"/>
    <w:rsid w:val="00DE6C00"/>
    <w:rsid w:val="00DE6C36"/>
    <w:rsid w:val="00DE761B"/>
    <w:rsid w:val="00DE7681"/>
    <w:rsid w:val="00DE79B4"/>
    <w:rsid w:val="00DE7CCD"/>
    <w:rsid w:val="00DE7F99"/>
    <w:rsid w:val="00DF0195"/>
    <w:rsid w:val="00DF03EC"/>
    <w:rsid w:val="00DF07D6"/>
    <w:rsid w:val="00DF0A66"/>
    <w:rsid w:val="00DF0B46"/>
    <w:rsid w:val="00DF0C45"/>
    <w:rsid w:val="00DF0DFE"/>
    <w:rsid w:val="00DF0F89"/>
    <w:rsid w:val="00DF1029"/>
    <w:rsid w:val="00DF10D6"/>
    <w:rsid w:val="00DF1216"/>
    <w:rsid w:val="00DF14AB"/>
    <w:rsid w:val="00DF1693"/>
    <w:rsid w:val="00DF1AF9"/>
    <w:rsid w:val="00DF1E0D"/>
    <w:rsid w:val="00DF231C"/>
    <w:rsid w:val="00DF2692"/>
    <w:rsid w:val="00DF2B70"/>
    <w:rsid w:val="00DF31FC"/>
    <w:rsid w:val="00DF3308"/>
    <w:rsid w:val="00DF3AB0"/>
    <w:rsid w:val="00DF3D2B"/>
    <w:rsid w:val="00DF50C3"/>
    <w:rsid w:val="00DF5212"/>
    <w:rsid w:val="00DF5462"/>
    <w:rsid w:val="00DF5712"/>
    <w:rsid w:val="00DF60B4"/>
    <w:rsid w:val="00DF618B"/>
    <w:rsid w:val="00DF6195"/>
    <w:rsid w:val="00DF669A"/>
    <w:rsid w:val="00DF68F3"/>
    <w:rsid w:val="00DF6CF8"/>
    <w:rsid w:val="00DF6ECA"/>
    <w:rsid w:val="00DF71B1"/>
    <w:rsid w:val="00DF7342"/>
    <w:rsid w:val="00DF7493"/>
    <w:rsid w:val="00DF7651"/>
    <w:rsid w:val="00E006AA"/>
    <w:rsid w:val="00E00B5B"/>
    <w:rsid w:val="00E00BCF"/>
    <w:rsid w:val="00E01089"/>
    <w:rsid w:val="00E0109F"/>
    <w:rsid w:val="00E01599"/>
    <w:rsid w:val="00E016B8"/>
    <w:rsid w:val="00E017D9"/>
    <w:rsid w:val="00E019BB"/>
    <w:rsid w:val="00E01BD5"/>
    <w:rsid w:val="00E01CED"/>
    <w:rsid w:val="00E01D84"/>
    <w:rsid w:val="00E0265E"/>
    <w:rsid w:val="00E02743"/>
    <w:rsid w:val="00E02834"/>
    <w:rsid w:val="00E02D15"/>
    <w:rsid w:val="00E02F5D"/>
    <w:rsid w:val="00E0315B"/>
    <w:rsid w:val="00E0344D"/>
    <w:rsid w:val="00E034FF"/>
    <w:rsid w:val="00E035BF"/>
    <w:rsid w:val="00E03646"/>
    <w:rsid w:val="00E0385F"/>
    <w:rsid w:val="00E03F18"/>
    <w:rsid w:val="00E045D6"/>
    <w:rsid w:val="00E0480A"/>
    <w:rsid w:val="00E04D0C"/>
    <w:rsid w:val="00E05107"/>
    <w:rsid w:val="00E0560A"/>
    <w:rsid w:val="00E05B05"/>
    <w:rsid w:val="00E05B78"/>
    <w:rsid w:val="00E05DAD"/>
    <w:rsid w:val="00E06092"/>
    <w:rsid w:val="00E0757A"/>
    <w:rsid w:val="00E07753"/>
    <w:rsid w:val="00E07FC2"/>
    <w:rsid w:val="00E1023B"/>
    <w:rsid w:val="00E102C4"/>
    <w:rsid w:val="00E1037B"/>
    <w:rsid w:val="00E104AE"/>
    <w:rsid w:val="00E10D39"/>
    <w:rsid w:val="00E10D40"/>
    <w:rsid w:val="00E10F8C"/>
    <w:rsid w:val="00E1136B"/>
    <w:rsid w:val="00E11A7A"/>
    <w:rsid w:val="00E11BE8"/>
    <w:rsid w:val="00E1205B"/>
    <w:rsid w:val="00E121E2"/>
    <w:rsid w:val="00E12248"/>
    <w:rsid w:val="00E1226E"/>
    <w:rsid w:val="00E124E1"/>
    <w:rsid w:val="00E1279F"/>
    <w:rsid w:val="00E129EE"/>
    <w:rsid w:val="00E12B6F"/>
    <w:rsid w:val="00E1306C"/>
    <w:rsid w:val="00E1314E"/>
    <w:rsid w:val="00E131F2"/>
    <w:rsid w:val="00E1368C"/>
    <w:rsid w:val="00E13C27"/>
    <w:rsid w:val="00E13E90"/>
    <w:rsid w:val="00E14536"/>
    <w:rsid w:val="00E147A8"/>
    <w:rsid w:val="00E147C6"/>
    <w:rsid w:val="00E14A39"/>
    <w:rsid w:val="00E14CC7"/>
    <w:rsid w:val="00E150E2"/>
    <w:rsid w:val="00E155C8"/>
    <w:rsid w:val="00E15A9A"/>
    <w:rsid w:val="00E15BCC"/>
    <w:rsid w:val="00E15CAB"/>
    <w:rsid w:val="00E15D6C"/>
    <w:rsid w:val="00E15F11"/>
    <w:rsid w:val="00E16192"/>
    <w:rsid w:val="00E161EF"/>
    <w:rsid w:val="00E16446"/>
    <w:rsid w:val="00E16447"/>
    <w:rsid w:val="00E16799"/>
    <w:rsid w:val="00E16B0D"/>
    <w:rsid w:val="00E16D1C"/>
    <w:rsid w:val="00E16D45"/>
    <w:rsid w:val="00E175BE"/>
    <w:rsid w:val="00E179D8"/>
    <w:rsid w:val="00E17E01"/>
    <w:rsid w:val="00E20578"/>
    <w:rsid w:val="00E20658"/>
    <w:rsid w:val="00E206AF"/>
    <w:rsid w:val="00E2085F"/>
    <w:rsid w:val="00E20B5C"/>
    <w:rsid w:val="00E20C72"/>
    <w:rsid w:val="00E20C9A"/>
    <w:rsid w:val="00E20FE7"/>
    <w:rsid w:val="00E212FB"/>
    <w:rsid w:val="00E21304"/>
    <w:rsid w:val="00E214C7"/>
    <w:rsid w:val="00E21689"/>
    <w:rsid w:val="00E2169F"/>
    <w:rsid w:val="00E21761"/>
    <w:rsid w:val="00E21B1B"/>
    <w:rsid w:val="00E21B32"/>
    <w:rsid w:val="00E21B85"/>
    <w:rsid w:val="00E21BD5"/>
    <w:rsid w:val="00E21D8A"/>
    <w:rsid w:val="00E2206C"/>
    <w:rsid w:val="00E22361"/>
    <w:rsid w:val="00E229D7"/>
    <w:rsid w:val="00E22BCC"/>
    <w:rsid w:val="00E22D51"/>
    <w:rsid w:val="00E23470"/>
    <w:rsid w:val="00E23C4A"/>
    <w:rsid w:val="00E23F99"/>
    <w:rsid w:val="00E24041"/>
    <w:rsid w:val="00E240AB"/>
    <w:rsid w:val="00E241BD"/>
    <w:rsid w:val="00E244E5"/>
    <w:rsid w:val="00E24A38"/>
    <w:rsid w:val="00E25188"/>
    <w:rsid w:val="00E255EE"/>
    <w:rsid w:val="00E25B9C"/>
    <w:rsid w:val="00E26033"/>
    <w:rsid w:val="00E261FE"/>
    <w:rsid w:val="00E2632D"/>
    <w:rsid w:val="00E26408"/>
    <w:rsid w:val="00E26780"/>
    <w:rsid w:val="00E268B1"/>
    <w:rsid w:val="00E26D9E"/>
    <w:rsid w:val="00E26F42"/>
    <w:rsid w:val="00E272F0"/>
    <w:rsid w:val="00E275F3"/>
    <w:rsid w:val="00E276AB"/>
    <w:rsid w:val="00E27D90"/>
    <w:rsid w:val="00E27DC7"/>
    <w:rsid w:val="00E30131"/>
    <w:rsid w:val="00E30509"/>
    <w:rsid w:val="00E30958"/>
    <w:rsid w:val="00E30A7D"/>
    <w:rsid w:val="00E30C36"/>
    <w:rsid w:val="00E310E6"/>
    <w:rsid w:val="00E31172"/>
    <w:rsid w:val="00E318BC"/>
    <w:rsid w:val="00E32079"/>
    <w:rsid w:val="00E32129"/>
    <w:rsid w:val="00E323DF"/>
    <w:rsid w:val="00E326CE"/>
    <w:rsid w:val="00E32DB6"/>
    <w:rsid w:val="00E33192"/>
    <w:rsid w:val="00E33601"/>
    <w:rsid w:val="00E3396C"/>
    <w:rsid w:val="00E33987"/>
    <w:rsid w:val="00E33AED"/>
    <w:rsid w:val="00E34119"/>
    <w:rsid w:val="00E34444"/>
    <w:rsid w:val="00E34525"/>
    <w:rsid w:val="00E3464C"/>
    <w:rsid w:val="00E34956"/>
    <w:rsid w:val="00E34B46"/>
    <w:rsid w:val="00E3523D"/>
    <w:rsid w:val="00E352B0"/>
    <w:rsid w:val="00E354CF"/>
    <w:rsid w:val="00E354DA"/>
    <w:rsid w:val="00E35B7E"/>
    <w:rsid w:val="00E35E53"/>
    <w:rsid w:val="00E35E8A"/>
    <w:rsid w:val="00E35FA1"/>
    <w:rsid w:val="00E36282"/>
    <w:rsid w:val="00E365E8"/>
    <w:rsid w:val="00E367D8"/>
    <w:rsid w:val="00E368AE"/>
    <w:rsid w:val="00E36DF0"/>
    <w:rsid w:val="00E3732A"/>
    <w:rsid w:val="00E37665"/>
    <w:rsid w:val="00E379B7"/>
    <w:rsid w:val="00E37D91"/>
    <w:rsid w:val="00E37E52"/>
    <w:rsid w:val="00E37FA4"/>
    <w:rsid w:val="00E400EF"/>
    <w:rsid w:val="00E403AE"/>
    <w:rsid w:val="00E403DE"/>
    <w:rsid w:val="00E407DC"/>
    <w:rsid w:val="00E40B77"/>
    <w:rsid w:val="00E40BC0"/>
    <w:rsid w:val="00E411BF"/>
    <w:rsid w:val="00E415A6"/>
    <w:rsid w:val="00E41687"/>
    <w:rsid w:val="00E416D8"/>
    <w:rsid w:val="00E41C36"/>
    <w:rsid w:val="00E41C62"/>
    <w:rsid w:val="00E41CBF"/>
    <w:rsid w:val="00E41E21"/>
    <w:rsid w:val="00E423A3"/>
    <w:rsid w:val="00E42879"/>
    <w:rsid w:val="00E428BA"/>
    <w:rsid w:val="00E4291F"/>
    <w:rsid w:val="00E42A33"/>
    <w:rsid w:val="00E42BDD"/>
    <w:rsid w:val="00E42CB5"/>
    <w:rsid w:val="00E42DAF"/>
    <w:rsid w:val="00E42F90"/>
    <w:rsid w:val="00E43436"/>
    <w:rsid w:val="00E4348F"/>
    <w:rsid w:val="00E436AF"/>
    <w:rsid w:val="00E43904"/>
    <w:rsid w:val="00E43E51"/>
    <w:rsid w:val="00E43F38"/>
    <w:rsid w:val="00E4459E"/>
    <w:rsid w:val="00E44B50"/>
    <w:rsid w:val="00E44B73"/>
    <w:rsid w:val="00E44DFB"/>
    <w:rsid w:val="00E45096"/>
    <w:rsid w:val="00E4521F"/>
    <w:rsid w:val="00E457A8"/>
    <w:rsid w:val="00E45CCA"/>
    <w:rsid w:val="00E45CEF"/>
    <w:rsid w:val="00E45EA0"/>
    <w:rsid w:val="00E45F07"/>
    <w:rsid w:val="00E46259"/>
    <w:rsid w:val="00E46820"/>
    <w:rsid w:val="00E46E53"/>
    <w:rsid w:val="00E46EFB"/>
    <w:rsid w:val="00E472E8"/>
    <w:rsid w:val="00E4739C"/>
    <w:rsid w:val="00E47AE4"/>
    <w:rsid w:val="00E501A1"/>
    <w:rsid w:val="00E502C4"/>
    <w:rsid w:val="00E5035F"/>
    <w:rsid w:val="00E50659"/>
    <w:rsid w:val="00E509CB"/>
    <w:rsid w:val="00E50B82"/>
    <w:rsid w:val="00E50D99"/>
    <w:rsid w:val="00E50E58"/>
    <w:rsid w:val="00E50E7C"/>
    <w:rsid w:val="00E51036"/>
    <w:rsid w:val="00E514D6"/>
    <w:rsid w:val="00E51545"/>
    <w:rsid w:val="00E51892"/>
    <w:rsid w:val="00E51919"/>
    <w:rsid w:val="00E52451"/>
    <w:rsid w:val="00E52678"/>
    <w:rsid w:val="00E52D9C"/>
    <w:rsid w:val="00E52E52"/>
    <w:rsid w:val="00E5301B"/>
    <w:rsid w:val="00E53098"/>
    <w:rsid w:val="00E5338A"/>
    <w:rsid w:val="00E534A0"/>
    <w:rsid w:val="00E534AF"/>
    <w:rsid w:val="00E53695"/>
    <w:rsid w:val="00E53727"/>
    <w:rsid w:val="00E53A30"/>
    <w:rsid w:val="00E53FF6"/>
    <w:rsid w:val="00E54096"/>
    <w:rsid w:val="00E54105"/>
    <w:rsid w:val="00E54113"/>
    <w:rsid w:val="00E54174"/>
    <w:rsid w:val="00E543B7"/>
    <w:rsid w:val="00E547E4"/>
    <w:rsid w:val="00E549DC"/>
    <w:rsid w:val="00E54E23"/>
    <w:rsid w:val="00E55326"/>
    <w:rsid w:val="00E554E5"/>
    <w:rsid w:val="00E55C26"/>
    <w:rsid w:val="00E55C4B"/>
    <w:rsid w:val="00E55C7B"/>
    <w:rsid w:val="00E55CF7"/>
    <w:rsid w:val="00E55F5A"/>
    <w:rsid w:val="00E567C5"/>
    <w:rsid w:val="00E56A31"/>
    <w:rsid w:val="00E56B30"/>
    <w:rsid w:val="00E56F1D"/>
    <w:rsid w:val="00E5741F"/>
    <w:rsid w:val="00E5745F"/>
    <w:rsid w:val="00E57575"/>
    <w:rsid w:val="00E57988"/>
    <w:rsid w:val="00E57B01"/>
    <w:rsid w:val="00E57E2E"/>
    <w:rsid w:val="00E57E92"/>
    <w:rsid w:val="00E6027D"/>
    <w:rsid w:val="00E6038B"/>
    <w:rsid w:val="00E6053C"/>
    <w:rsid w:val="00E605DF"/>
    <w:rsid w:val="00E60ABE"/>
    <w:rsid w:val="00E60D0A"/>
    <w:rsid w:val="00E60E1C"/>
    <w:rsid w:val="00E60E26"/>
    <w:rsid w:val="00E610D2"/>
    <w:rsid w:val="00E611D7"/>
    <w:rsid w:val="00E6137D"/>
    <w:rsid w:val="00E61485"/>
    <w:rsid w:val="00E615E9"/>
    <w:rsid w:val="00E61792"/>
    <w:rsid w:val="00E617B0"/>
    <w:rsid w:val="00E61A42"/>
    <w:rsid w:val="00E61CF3"/>
    <w:rsid w:val="00E61D76"/>
    <w:rsid w:val="00E61E9E"/>
    <w:rsid w:val="00E6228F"/>
    <w:rsid w:val="00E622D9"/>
    <w:rsid w:val="00E62420"/>
    <w:rsid w:val="00E62444"/>
    <w:rsid w:val="00E6256B"/>
    <w:rsid w:val="00E632B5"/>
    <w:rsid w:val="00E6392E"/>
    <w:rsid w:val="00E63E85"/>
    <w:rsid w:val="00E63ECA"/>
    <w:rsid w:val="00E63FEF"/>
    <w:rsid w:val="00E640A1"/>
    <w:rsid w:val="00E640C5"/>
    <w:rsid w:val="00E6448A"/>
    <w:rsid w:val="00E64BF0"/>
    <w:rsid w:val="00E64FB6"/>
    <w:rsid w:val="00E65577"/>
    <w:rsid w:val="00E656FB"/>
    <w:rsid w:val="00E6603F"/>
    <w:rsid w:val="00E66460"/>
    <w:rsid w:val="00E66546"/>
    <w:rsid w:val="00E6657E"/>
    <w:rsid w:val="00E66B09"/>
    <w:rsid w:val="00E66B82"/>
    <w:rsid w:val="00E66E81"/>
    <w:rsid w:val="00E673F6"/>
    <w:rsid w:val="00E67700"/>
    <w:rsid w:val="00E67808"/>
    <w:rsid w:val="00E67964"/>
    <w:rsid w:val="00E67D76"/>
    <w:rsid w:val="00E67E1D"/>
    <w:rsid w:val="00E67E46"/>
    <w:rsid w:val="00E7006B"/>
    <w:rsid w:val="00E7032C"/>
    <w:rsid w:val="00E7044E"/>
    <w:rsid w:val="00E70790"/>
    <w:rsid w:val="00E7088C"/>
    <w:rsid w:val="00E711D7"/>
    <w:rsid w:val="00E71253"/>
    <w:rsid w:val="00E71372"/>
    <w:rsid w:val="00E71389"/>
    <w:rsid w:val="00E713F5"/>
    <w:rsid w:val="00E7192E"/>
    <w:rsid w:val="00E7202F"/>
    <w:rsid w:val="00E72B4A"/>
    <w:rsid w:val="00E72C66"/>
    <w:rsid w:val="00E7382B"/>
    <w:rsid w:val="00E7385F"/>
    <w:rsid w:val="00E73A14"/>
    <w:rsid w:val="00E73E33"/>
    <w:rsid w:val="00E7417D"/>
    <w:rsid w:val="00E74402"/>
    <w:rsid w:val="00E744DA"/>
    <w:rsid w:val="00E750CB"/>
    <w:rsid w:val="00E752A6"/>
    <w:rsid w:val="00E7538C"/>
    <w:rsid w:val="00E75585"/>
    <w:rsid w:val="00E75EDA"/>
    <w:rsid w:val="00E76BA3"/>
    <w:rsid w:val="00E77715"/>
    <w:rsid w:val="00E77755"/>
    <w:rsid w:val="00E7782F"/>
    <w:rsid w:val="00E77D06"/>
    <w:rsid w:val="00E77D3C"/>
    <w:rsid w:val="00E77E20"/>
    <w:rsid w:val="00E8032C"/>
    <w:rsid w:val="00E807E2"/>
    <w:rsid w:val="00E809DC"/>
    <w:rsid w:val="00E80A33"/>
    <w:rsid w:val="00E80A55"/>
    <w:rsid w:val="00E80CCE"/>
    <w:rsid w:val="00E80E5C"/>
    <w:rsid w:val="00E816AC"/>
    <w:rsid w:val="00E81819"/>
    <w:rsid w:val="00E81A40"/>
    <w:rsid w:val="00E81C04"/>
    <w:rsid w:val="00E81DF6"/>
    <w:rsid w:val="00E82361"/>
    <w:rsid w:val="00E82715"/>
    <w:rsid w:val="00E82990"/>
    <w:rsid w:val="00E829FB"/>
    <w:rsid w:val="00E82AD5"/>
    <w:rsid w:val="00E82C09"/>
    <w:rsid w:val="00E82F29"/>
    <w:rsid w:val="00E8310C"/>
    <w:rsid w:val="00E831BA"/>
    <w:rsid w:val="00E83777"/>
    <w:rsid w:val="00E838A4"/>
    <w:rsid w:val="00E83919"/>
    <w:rsid w:val="00E83C5C"/>
    <w:rsid w:val="00E83F70"/>
    <w:rsid w:val="00E84053"/>
    <w:rsid w:val="00E8433B"/>
    <w:rsid w:val="00E84861"/>
    <w:rsid w:val="00E84F7A"/>
    <w:rsid w:val="00E84FAB"/>
    <w:rsid w:val="00E85194"/>
    <w:rsid w:val="00E8593A"/>
    <w:rsid w:val="00E85BA2"/>
    <w:rsid w:val="00E85DEA"/>
    <w:rsid w:val="00E85EFF"/>
    <w:rsid w:val="00E860DD"/>
    <w:rsid w:val="00E861A8"/>
    <w:rsid w:val="00E86220"/>
    <w:rsid w:val="00E8634A"/>
    <w:rsid w:val="00E867AC"/>
    <w:rsid w:val="00E8687A"/>
    <w:rsid w:val="00E86890"/>
    <w:rsid w:val="00E86AF2"/>
    <w:rsid w:val="00E86B2D"/>
    <w:rsid w:val="00E86CBB"/>
    <w:rsid w:val="00E876CB"/>
    <w:rsid w:val="00E87B56"/>
    <w:rsid w:val="00E902B0"/>
    <w:rsid w:val="00E902B3"/>
    <w:rsid w:val="00E902E8"/>
    <w:rsid w:val="00E9068D"/>
    <w:rsid w:val="00E90815"/>
    <w:rsid w:val="00E909A6"/>
    <w:rsid w:val="00E90CB5"/>
    <w:rsid w:val="00E90D5F"/>
    <w:rsid w:val="00E91043"/>
    <w:rsid w:val="00E91162"/>
    <w:rsid w:val="00E91401"/>
    <w:rsid w:val="00E9198F"/>
    <w:rsid w:val="00E91A55"/>
    <w:rsid w:val="00E91DDD"/>
    <w:rsid w:val="00E91F11"/>
    <w:rsid w:val="00E9210A"/>
    <w:rsid w:val="00E92C4D"/>
    <w:rsid w:val="00E93452"/>
    <w:rsid w:val="00E93733"/>
    <w:rsid w:val="00E93C63"/>
    <w:rsid w:val="00E93C6F"/>
    <w:rsid w:val="00E93FF9"/>
    <w:rsid w:val="00E9406D"/>
    <w:rsid w:val="00E944F6"/>
    <w:rsid w:val="00E94655"/>
    <w:rsid w:val="00E946BE"/>
    <w:rsid w:val="00E948C7"/>
    <w:rsid w:val="00E951F1"/>
    <w:rsid w:val="00E9560A"/>
    <w:rsid w:val="00E95EA7"/>
    <w:rsid w:val="00E95ED1"/>
    <w:rsid w:val="00E960FF"/>
    <w:rsid w:val="00E96357"/>
    <w:rsid w:val="00E9636E"/>
    <w:rsid w:val="00E965D9"/>
    <w:rsid w:val="00E966F2"/>
    <w:rsid w:val="00E96BC5"/>
    <w:rsid w:val="00E96BE7"/>
    <w:rsid w:val="00E96D01"/>
    <w:rsid w:val="00E96DAA"/>
    <w:rsid w:val="00E96E86"/>
    <w:rsid w:val="00E96F69"/>
    <w:rsid w:val="00E97A79"/>
    <w:rsid w:val="00E97D4A"/>
    <w:rsid w:val="00E97EAF"/>
    <w:rsid w:val="00EA073B"/>
    <w:rsid w:val="00EA0B54"/>
    <w:rsid w:val="00EA0BC4"/>
    <w:rsid w:val="00EA0DB7"/>
    <w:rsid w:val="00EA0E15"/>
    <w:rsid w:val="00EA1288"/>
    <w:rsid w:val="00EA13DD"/>
    <w:rsid w:val="00EA161D"/>
    <w:rsid w:val="00EA1696"/>
    <w:rsid w:val="00EA1911"/>
    <w:rsid w:val="00EA1951"/>
    <w:rsid w:val="00EA1A6E"/>
    <w:rsid w:val="00EA1E04"/>
    <w:rsid w:val="00EA20B6"/>
    <w:rsid w:val="00EA27AF"/>
    <w:rsid w:val="00EA28A7"/>
    <w:rsid w:val="00EA2A27"/>
    <w:rsid w:val="00EA35A6"/>
    <w:rsid w:val="00EA37C7"/>
    <w:rsid w:val="00EA389F"/>
    <w:rsid w:val="00EA3ACA"/>
    <w:rsid w:val="00EA3CCA"/>
    <w:rsid w:val="00EA40C9"/>
    <w:rsid w:val="00EA40EE"/>
    <w:rsid w:val="00EA4281"/>
    <w:rsid w:val="00EA4622"/>
    <w:rsid w:val="00EA4729"/>
    <w:rsid w:val="00EA4800"/>
    <w:rsid w:val="00EA495C"/>
    <w:rsid w:val="00EA4C59"/>
    <w:rsid w:val="00EA5256"/>
    <w:rsid w:val="00EA53C1"/>
    <w:rsid w:val="00EA53F4"/>
    <w:rsid w:val="00EA5905"/>
    <w:rsid w:val="00EA5A3D"/>
    <w:rsid w:val="00EA5BB3"/>
    <w:rsid w:val="00EA5E6B"/>
    <w:rsid w:val="00EA6007"/>
    <w:rsid w:val="00EA62C4"/>
    <w:rsid w:val="00EA675B"/>
    <w:rsid w:val="00EA6B5F"/>
    <w:rsid w:val="00EA6C78"/>
    <w:rsid w:val="00EA6DAB"/>
    <w:rsid w:val="00EA6DD4"/>
    <w:rsid w:val="00EA70A3"/>
    <w:rsid w:val="00EA7120"/>
    <w:rsid w:val="00EA7155"/>
    <w:rsid w:val="00EA7426"/>
    <w:rsid w:val="00EA7CEE"/>
    <w:rsid w:val="00EA7EA1"/>
    <w:rsid w:val="00EA7F30"/>
    <w:rsid w:val="00EB030F"/>
    <w:rsid w:val="00EB05FE"/>
    <w:rsid w:val="00EB0999"/>
    <w:rsid w:val="00EB0E83"/>
    <w:rsid w:val="00EB1023"/>
    <w:rsid w:val="00EB115A"/>
    <w:rsid w:val="00EB1356"/>
    <w:rsid w:val="00EB14EE"/>
    <w:rsid w:val="00EB15F0"/>
    <w:rsid w:val="00EB1904"/>
    <w:rsid w:val="00EB1B95"/>
    <w:rsid w:val="00EB1CB6"/>
    <w:rsid w:val="00EB1E58"/>
    <w:rsid w:val="00EB1EBB"/>
    <w:rsid w:val="00EB2022"/>
    <w:rsid w:val="00EB264D"/>
    <w:rsid w:val="00EB2A2A"/>
    <w:rsid w:val="00EB2F35"/>
    <w:rsid w:val="00EB35A3"/>
    <w:rsid w:val="00EB35DF"/>
    <w:rsid w:val="00EB39CA"/>
    <w:rsid w:val="00EB3F40"/>
    <w:rsid w:val="00EB416E"/>
    <w:rsid w:val="00EB47CF"/>
    <w:rsid w:val="00EB4A54"/>
    <w:rsid w:val="00EB4F4B"/>
    <w:rsid w:val="00EB597B"/>
    <w:rsid w:val="00EB5BFD"/>
    <w:rsid w:val="00EB6B1B"/>
    <w:rsid w:val="00EB6C42"/>
    <w:rsid w:val="00EB6E27"/>
    <w:rsid w:val="00EB7069"/>
    <w:rsid w:val="00EB718D"/>
    <w:rsid w:val="00EB7787"/>
    <w:rsid w:val="00EB77D2"/>
    <w:rsid w:val="00EB7AB8"/>
    <w:rsid w:val="00EB7D11"/>
    <w:rsid w:val="00EB7FC9"/>
    <w:rsid w:val="00EC006B"/>
    <w:rsid w:val="00EC014B"/>
    <w:rsid w:val="00EC0209"/>
    <w:rsid w:val="00EC056F"/>
    <w:rsid w:val="00EC06D4"/>
    <w:rsid w:val="00EC0710"/>
    <w:rsid w:val="00EC0A0E"/>
    <w:rsid w:val="00EC0B22"/>
    <w:rsid w:val="00EC0CDD"/>
    <w:rsid w:val="00EC0F29"/>
    <w:rsid w:val="00EC13F1"/>
    <w:rsid w:val="00EC1593"/>
    <w:rsid w:val="00EC1A8B"/>
    <w:rsid w:val="00EC1B79"/>
    <w:rsid w:val="00EC1B8B"/>
    <w:rsid w:val="00EC1CE3"/>
    <w:rsid w:val="00EC1F02"/>
    <w:rsid w:val="00EC2612"/>
    <w:rsid w:val="00EC2769"/>
    <w:rsid w:val="00EC280F"/>
    <w:rsid w:val="00EC2910"/>
    <w:rsid w:val="00EC291C"/>
    <w:rsid w:val="00EC2FB3"/>
    <w:rsid w:val="00EC2FC6"/>
    <w:rsid w:val="00EC31CF"/>
    <w:rsid w:val="00EC344B"/>
    <w:rsid w:val="00EC35BA"/>
    <w:rsid w:val="00EC3670"/>
    <w:rsid w:val="00EC3FAC"/>
    <w:rsid w:val="00EC41BE"/>
    <w:rsid w:val="00EC445E"/>
    <w:rsid w:val="00EC457A"/>
    <w:rsid w:val="00EC489A"/>
    <w:rsid w:val="00EC4AE2"/>
    <w:rsid w:val="00EC4F3D"/>
    <w:rsid w:val="00EC5212"/>
    <w:rsid w:val="00EC5C51"/>
    <w:rsid w:val="00EC60D1"/>
    <w:rsid w:val="00EC653E"/>
    <w:rsid w:val="00EC69DF"/>
    <w:rsid w:val="00EC6AD2"/>
    <w:rsid w:val="00EC6B16"/>
    <w:rsid w:val="00EC6D73"/>
    <w:rsid w:val="00EC7022"/>
    <w:rsid w:val="00EC7028"/>
    <w:rsid w:val="00EC7A64"/>
    <w:rsid w:val="00ED0EBE"/>
    <w:rsid w:val="00ED0F53"/>
    <w:rsid w:val="00ED101B"/>
    <w:rsid w:val="00ED1176"/>
    <w:rsid w:val="00ED14FB"/>
    <w:rsid w:val="00ED16B0"/>
    <w:rsid w:val="00ED1B73"/>
    <w:rsid w:val="00ED1C8C"/>
    <w:rsid w:val="00ED1CB1"/>
    <w:rsid w:val="00ED1F31"/>
    <w:rsid w:val="00ED2045"/>
    <w:rsid w:val="00ED21FD"/>
    <w:rsid w:val="00ED2552"/>
    <w:rsid w:val="00ED2A3D"/>
    <w:rsid w:val="00ED2DD5"/>
    <w:rsid w:val="00ED337C"/>
    <w:rsid w:val="00ED3414"/>
    <w:rsid w:val="00ED39F3"/>
    <w:rsid w:val="00ED3AA1"/>
    <w:rsid w:val="00ED3B66"/>
    <w:rsid w:val="00ED3D2B"/>
    <w:rsid w:val="00ED40D8"/>
    <w:rsid w:val="00ED4319"/>
    <w:rsid w:val="00ED4476"/>
    <w:rsid w:val="00ED45F2"/>
    <w:rsid w:val="00ED48E4"/>
    <w:rsid w:val="00ED4BBF"/>
    <w:rsid w:val="00ED4D50"/>
    <w:rsid w:val="00ED4E88"/>
    <w:rsid w:val="00ED4FFC"/>
    <w:rsid w:val="00ED50DF"/>
    <w:rsid w:val="00ED59DB"/>
    <w:rsid w:val="00ED5AC6"/>
    <w:rsid w:val="00ED5AE4"/>
    <w:rsid w:val="00ED5B9D"/>
    <w:rsid w:val="00ED5ED8"/>
    <w:rsid w:val="00ED603E"/>
    <w:rsid w:val="00ED6161"/>
    <w:rsid w:val="00ED64B6"/>
    <w:rsid w:val="00ED6745"/>
    <w:rsid w:val="00ED6D19"/>
    <w:rsid w:val="00ED6E73"/>
    <w:rsid w:val="00ED6F1D"/>
    <w:rsid w:val="00ED6F52"/>
    <w:rsid w:val="00ED732A"/>
    <w:rsid w:val="00ED73E9"/>
    <w:rsid w:val="00ED789D"/>
    <w:rsid w:val="00ED7941"/>
    <w:rsid w:val="00EE006C"/>
    <w:rsid w:val="00EE0571"/>
    <w:rsid w:val="00EE05FF"/>
    <w:rsid w:val="00EE0872"/>
    <w:rsid w:val="00EE0D51"/>
    <w:rsid w:val="00EE0ECF"/>
    <w:rsid w:val="00EE0F59"/>
    <w:rsid w:val="00EE1180"/>
    <w:rsid w:val="00EE171F"/>
    <w:rsid w:val="00EE1995"/>
    <w:rsid w:val="00EE2828"/>
    <w:rsid w:val="00EE2BC6"/>
    <w:rsid w:val="00EE2DE0"/>
    <w:rsid w:val="00EE3037"/>
    <w:rsid w:val="00EE30C8"/>
    <w:rsid w:val="00EE323D"/>
    <w:rsid w:val="00EE400C"/>
    <w:rsid w:val="00EE4093"/>
    <w:rsid w:val="00EE455D"/>
    <w:rsid w:val="00EE4F3B"/>
    <w:rsid w:val="00EE5BB3"/>
    <w:rsid w:val="00EE5CBA"/>
    <w:rsid w:val="00EE62F4"/>
    <w:rsid w:val="00EE6423"/>
    <w:rsid w:val="00EE6564"/>
    <w:rsid w:val="00EE677F"/>
    <w:rsid w:val="00EE6830"/>
    <w:rsid w:val="00EE6E9B"/>
    <w:rsid w:val="00EE7098"/>
    <w:rsid w:val="00EE797F"/>
    <w:rsid w:val="00EE79FC"/>
    <w:rsid w:val="00EE7BC7"/>
    <w:rsid w:val="00EF0075"/>
    <w:rsid w:val="00EF028C"/>
    <w:rsid w:val="00EF0730"/>
    <w:rsid w:val="00EF0A54"/>
    <w:rsid w:val="00EF1034"/>
    <w:rsid w:val="00EF103E"/>
    <w:rsid w:val="00EF122D"/>
    <w:rsid w:val="00EF17A7"/>
    <w:rsid w:val="00EF17D2"/>
    <w:rsid w:val="00EF1B35"/>
    <w:rsid w:val="00EF1C4C"/>
    <w:rsid w:val="00EF1D71"/>
    <w:rsid w:val="00EF219F"/>
    <w:rsid w:val="00EF2536"/>
    <w:rsid w:val="00EF28BD"/>
    <w:rsid w:val="00EF2BAD"/>
    <w:rsid w:val="00EF2CBE"/>
    <w:rsid w:val="00EF2FBF"/>
    <w:rsid w:val="00EF31CA"/>
    <w:rsid w:val="00EF3320"/>
    <w:rsid w:val="00EF3588"/>
    <w:rsid w:val="00EF35D7"/>
    <w:rsid w:val="00EF36AA"/>
    <w:rsid w:val="00EF38CA"/>
    <w:rsid w:val="00EF4096"/>
    <w:rsid w:val="00EF413E"/>
    <w:rsid w:val="00EF4198"/>
    <w:rsid w:val="00EF43AD"/>
    <w:rsid w:val="00EF4704"/>
    <w:rsid w:val="00EF4AA5"/>
    <w:rsid w:val="00EF4E57"/>
    <w:rsid w:val="00EF50BF"/>
    <w:rsid w:val="00EF59E2"/>
    <w:rsid w:val="00EF5BB6"/>
    <w:rsid w:val="00EF5D7E"/>
    <w:rsid w:val="00EF5EA8"/>
    <w:rsid w:val="00EF5FF9"/>
    <w:rsid w:val="00EF627A"/>
    <w:rsid w:val="00EF6650"/>
    <w:rsid w:val="00EF6DBC"/>
    <w:rsid w:val="00EF6E31"/>
    <w:rsid w:val="00EF758D"/>
    <w:rsid w:val="00EF7754"/>
    <w:rsid w:val="00EF77E5"/>
    <w:rsid w:val="00EF793B"/>
    <w:rsid w:val="00EF7A20"/>
    <w:rsid w:val="00EF7C5F"/>
    <w:rsid w:val="00EF7F69"/>
    <w:rsid w:val="00F0058D"/>
    <w:rsid w:val="00F00758"/>
    <w:rsid w:val="00F0082D"/>
    <w:rsid w:val="00F00870"/>
    <w:rsid w:val="00F00A0E"/>
    <w:rsid w:val="00F00AB4"/>
    <w:rsid w:val="00F00E3A"/>
    <w:rsid w:val="00F01CC6"/>
    <w:rsid w:val="00F01F97"/>
    <w:rsid w:val="00F022B4"/>
    <w:rsid w:val="00F024A2"/>
    <w:rsid w:val="00F02F06"/>
    <w:rsid w:val="00F02F64"/>
    <w:rsid w:val="00F03030"/>
    <w:rsid w:val="00F03099"/>
    <w:rsid w:val="00F0330E"/>
    <w:rsid w:val="00F0340E"/>
    <w:rsid w:val="00F03413"/>
    <w:rsid w:val="00F037CA"/>
    <w:rsid w:val="00F0387D"/>
    <w:rsid w:val="00F039F7"/>
    <w:rsid w:val="00F03C9A"/>
    <w:rsid w:val="00F042C6"/>
    <w:rsid w:val="00F04420"/>
    <w:rsid w:val="00F04472"/>
    <w:rsid w:val="00F04621"/>
    <w:rsid w:val="00F048F6"/>
    <w:rsid w:val="00F05269"/>
    <w:rsid w:val="00F056EF"/>
    <w:rsid w:val="00F060A7"/>
    <w:rsid w:val="00F06280"/>
    <w:rsid w:val="00F062F6"/>
    <w:rsid w:val="00F06E27"/>
    <w:rsid w:val="00F07332"/>
    <w:rsid w:val="00F0745D"/>
    <w:rsid w:val="00F07467"/>
    <w:rsid w:val="00F07C90"/>
    <w:rsid w:val="00F07F30"/>
    <w:rsid w:val="00F10157"/>
    <w:rsid w:val="00F10420"/>
    <w:rsid w:val="00F10F07"/>
    <w:rsid w:val="00F11655"/>
    <w:rsid w:val="00F11BA4"/>
    <w:rsid w:val="00F11C9C"/>
    <w:rsid w:val="00F1200F"/>
    <w:rsid w:val="00F126E5"/>
    <w:rsid w:val="00F12701"/>
    <w:rsid w:val="00F12EBF"/>
    <w:rsid w:val="00F13376"/>
    <w:rsid w:val="00F133EF"/>
    <w:rsid w:val="00F1343C"/>
    <w:rsid w:val="00F136B7"/>
    <w:rsid w:val="00F136C3"/>
    <w:rsid w:val="00F136FD"/>
    <w:rsid w:val="00F137C4"/>
    <w:rsid w:val="00F13AD6"/>
    <w:rsid w:val="00F13B2E"/>
    <w:rsid w:val="00F13E0A"/>
    <w:rsid w:val="00F14A23"/>
    <w:rsid w:val="00F14AEB"/>
    <w:rsid w:val="00F14BB7"/>
    <w:rsid w:val="00F150ED"/>
    <w:rsid w:val="00F15A19"/>
    <w:rsid w:val="00F15B1C"/>
    <w:rsid w:val="00F16356"/>
    <w:rsid w:val="00F16453"/>
    <w:rsid w:val="00F16473"/>
    <w:rsid w:val="00F167F8"/>
    <w:rsid w:val="00F16D7D"/>
    <w:rsid w:val="00F16E6B"/>
    <w:rsid w:val="00F17444"/>
    <w:rsid w:val="00F20455"/>
    <w:rsid w:val="00F20469"/>
    <w:rsid w:val="00F205DD"/>
    <w:rsid w:val="00F20674"/>
    <w:rsid w:val="00F20ADC"/>
    <w:rsid w:val="00F20B97"/>
    <w:rsid w:val="00F20EF8"/>
    <w:rsid w:val="00F20FDB"/>
    <w:rsid w:val="00F21095"/>
    <w:rsid w:val="00F214B1"/>
    <w:rsid w:val="00F216BD"/>
    <w:rsid w:val="00F219BC"/>
    <w:rsid w:val="00F219E5"/>
    <w:rsid w:val="00F21B11"/>
    <w:rsid w:val="00F2231F"/>
    <w:rsid w:val="00F2240B"/>
    <w:rsid w:val="00F22462"/>
    <w:rsid w:val="00F22649"/>
    <w:rsid w:val="00F227FA"/>
    <w:rsid w:val="00F22B3F"/>
    <w:rsid w:val="00F22FA9"/>
    <w:rsid w:val="00F232B0"/>
    <w:rsid w:val="00F2398E"/>
    <w:rsid w:val="00F23FE5"/>
    <w:rsid w:val="00F241A9"/>
    <w:rsid w:val="00F24285"/>
    <w:rsid w:val="00F242AD"/>
    <w:rsid w:val="00F2442C"/>
    <w:rsid w:val="00F24494"/>
    <w:rsid w:val="00F245D5"/>
    <w:rsid w:val="00F24D1C"/>
    <w:rsid w:val="00F25883"/>
    <w:rsid w:val="00F258E1"/>
    <w:rsid w:val="00F25C3E"/>
    <w:rsid w:val="00F25E50"/>
    <w:rsid w:val="00F25E66"/>
    <w:rsid w:val="00F25E82"/>
    <w:rsid w:val="00F25EFE"/>
    <w:rsid w:val="00F26116"/>
    <w:rsid w:val="00F261E5"/>
    <w:rsid w:val="00F26256"/>
    <w:rsid w:val="00F262B5"/>
    <w:rsid w:val="00F26A0A"/>
    <w:rsid w:val="00F26A32"/>
    <w:rsid w:val="00F26A96"/>
    <w:rsid w:val="00F26D10"/>
    <w:rsid w:val="00F26D6E"/>
    <w:rsid w:val="00F26FC8"/>
    <w:rsid w:val="00F279F1"/>
    <w:rsid w:val="00F27B0C"/>
    <w:rsid w:val="00F30395"/>
    <w:rsid w:val="00F3092B"/>
    <w:rsid w:val="00F309F7"/>
    <w:rsid w:val="00F30E27"/>
    <w:rsid w:val="00F310C0"/>
    <w:rsid w:val="00F311BE"/>
    <w:rsid w:val="00F312ED"/>
    <w:rsid w:val="00F31656"/>
    <w:rsid w:val="00F31876"/>
    <w:rsid w:val="00F31B38"/>
    <w:rsid w:val="00F31CC8"/>
    <w:rsid w:val="00F31EA3"/>
    <w:rsid w:val="00F32451"/>
    <w:rsid w:val="00F3291B"/>
    <w:rsid w:val="00F3314E"/>
    <w:rsid w:val="00F3355B"/>
    <w:rsid w:val="00F3358B"/>
    <w:rsid w:val="00F33A64"/>
    <w:rsid w:val="00F342A1"/>
    <w:rsid w:val="00F342CF"/>
    <w:rsid w:val="00F3463C"/>
    <w:rsid w:val="00F347A4"/>
    <w:rsid w:val="00F34A66"/>
    <w:rsid w:val="00F358EC"/>
    <w:rsid w:val="00F358EF"/>
    <w:rsid w:val="00F35D58"/>
    <w:rsid w:val="00F3607B"/>
    <w:rsid w:val="00F3613A"/>
    <w:rsid w:val="00F3632A"/>
    <w:rsid w:val="00F363D7"/>
    <w:rsid w:val="00F36497"/>
    <w:rsid w:val="00F3684D"/>
    <w:rsid w:val="00F369AD"/>
    <w:rsid w:val="00F369C7"/>
    <w:rsid w:val="00F36B70"/>
    <w:rsid w:val="00F36D40"/>
    <w:rsid w:val="00F36E27"/>
    <w:rsid w:val="00F36EBF"/>
    <w:rsid w:val="00F36F60"/>
    <w:rsid w:val="00F37225"/>
    <w:rsid w:val="00F37D4B"/>
    <w:rsid w:val="00F37E43"/>
    <w:rsid w:val="00F37FF8"/>
    <w:rsid w:val="00F403A7"/>
    <w:rsid w:val="00F40489"/>
    <w:rsid w:val="00F404B6"/>
    <w:rsid w:val="00F405CD"/>
    <w:rsid w:val="00F40612"/>
    <w:rsid w:val="00F4066F"/>
    <w:rsid w:val="00F40A56"/>
    <w:rsid w:val="00F40DCF"/>
    <w:rsid w:val="00F41033"/>
    <w:rsid w:val="00F41376"/>
    <w:rsid w:val="00F417A7"/>
    <w:rsid w:val="00F4184C"/>
    <w:rsid w:val="00F41A35"/>
    <w:rsid w:val="00F41CA3"/>
    <w:rsid w:val="00F41EB9"/>
    <w:rsid w:val="00F42200"/>
    <w:rsid w:val="00F42524"/>
    <w:rsid w:val="00F42602"/>
    <w:rsid w:val="00F42634"/>
    <w:rsid w:val="00F428AD"/>
    <w:rsid w:val="00F42BE3"/>
    <w:rsid w:val="00F42C3E"/>
    <w:rsid w:val="00F42E83"/>
    <w:rsid w:val="00F43171"/>
    <w:rsid w:val="00F43242"/>
    <w:rsid w:val="00F437F1"/>
    <w:rsid w:val="00F43866"/>
    <w:rsid w:val="00F43937"/>
    <w:rsid w:val="00F43BBB"/>
    <w:rsid w:val="00F43C63"/>
    <w:rsid w:val="00F44166"/>
    <w:rsid w:val="00F44175"/>
    <w:rsid w:val="00F4441A"/>
    <w:rsid w:val="00F44666"/>
    <w:rsid w:val="00F44C7F"/>
    <w:rsid w:val="00F4527E"/>
    <w:rsid w:val="00F45536"/>
    <w:rsid w:val="00F457D5"/>
    <w:rsid w:val="00F45CCA"/>
    <w:rsid w:val="00F45F69"/>
    <w:rsid w:val="00F46238"/>
    <w:rsid w:val="00F4685E"/>
    <w:rsid w:val="00F468CA"/>
    <w:rsid w:val="00F46E9E"/>
    <w:rsid w:val="00F4722B"/>
    <w:rsid w:val="00F4759A"/>
    <w:rsid w:val="00F475FF"/>
    <w:rsid w:val="00F47A94"/>
    <w:rsid w:val="00F50140"/>
    <w:rsid w:val="00F50EB3"/>
    <w:rsid w:val="00F50F52"/>
    <w:rsid w:val="00F51171"/>
    <w:rsid w:val="00F51235"/>
    <w:rsid w:val="00F512FF"/>
    <w:rsid w:val="00F51DF7"/>
    <w:rsid w:val="00F51ED0"/>
    <w:rsid w:val="00F5207D"/>
    <w:rsid w:val="00F5214D"/>
    <w:rsid w:val="00F52EC1"/>
    <w:rsid w:val="00F52F6A"/>
    <w:rsid w:val="00F53004"/>
    <w:rsid w:val="00F53AF1"/>
    <w:rsid w:val="00F53B84"/>
    <w:rsid w:val="00F53E33"/>
    <w:rsid w:val="00F53FC2"/>
    <w:rsid w:val="00F541F5"/>
    <w:rsid w:val="00F54A9F"/>
    <w:rsid w:val="00F54FCA"/>
    <w:rsid w:val="00F551C0"/>
    <w:rsid w:val="00F5522E"/>
    <w:rsid w:val="00F55716"/>
    <w:rsid w:val="00F55745"/>
    <w:rsid w:val="00F55755"/>
    <w:rsid w:val="00F5575F"/>
    <w:rsid w:val="00F55DDD"/>
    <w:rsid w:val="00F55E87"/>
    <w:rsid w:val="00F55FBD"/>
    <w:rsid w:val="00F56316"/>
    <w:rsid w:val="00F563BA"/>
    <w:rsid w:val="00F56FE2"/>
    <w:rsid w:val="00F5700C"/>
    <w:rsid w:val="00F57127"/>
    <w:rsid w:val="00F5720A"/>
    <w:rsid w:val="00F5729D"/>
    <w:rsid w:val="00F57835"/>
    <w:rsid w:val="00F57A22"/>
    <w:rsid w:val="00F57B0D"/>
    <w:rsid w:val="00F57BF2"/>
    <w:rsid w:val="00F57E38"/>
    <w:rsid w:val="00F600C4"/>
    <w:rsid w:val="00F602A2"/>
    <w:rsid w:val="00F6060C"/>
    <w:rsid w:val="00F6070D"/>
    <w:rsid w:val="00F60B00"/>
    <w:rsid w:val="00F613A7"/>
    <w:rsid w:val="00F61499"/>
    <w:rsid w:val="00F6170B"/>
    <w:rsid w:val="00F6182F"/>
    <w:rsid w:val="00F61A7C"/>
    <w:rsid w:val="00F61F89"/>
    <w:rsid w:val="00F62090"/>
    <w:rsid w:val="00F62303"/>
    <w:rsid w:val="00F6258A"/>
    <w:rsid w:val="00F62618"/>
    <w:rsid w:val="00F62699"/>
    <w:rsid w:val="00F62E70"/>
    <w:rsid w:val="00F62F2D"/>
    <w:rsid w:val="00F6329B"/>
    <w:rsid w:val="00F6343B"/>
    <w:rsid w:val="00F63921"/>
    <w:rsid w:val="00F63D92"/>
    <w:rsid w:val="00F63E77"/>
    <w:rsid w:val="00F6402C"/>
    <w:rsid w:val="00F641B5"/>
    <w:rsid w:val="00F6421C"/>
    <w:rsid w:val="00F64372"/>
    <w:rsid w:val="00F64852"/>
    <w:rsid w:val="00F64987"/>
    <w:rsid w:val="00F64A03"/>
    <w:rsid w:val="00F64CD9"/>
    <w:rsid w:val="00F651E1"/>
    <w:rsid w:val="00F653A3"/>
    <w:rsid w:val="00F65441"/>
    <w:rsid w:val="00F658A4"/>
    <w:rsid w:val="00F658C7"/>
    <w:rsid w:val="00F658DE"/>
    <w:rsid w:val="00F65C25"/>
    <w:rsid w:val="00F65D07"/>
    <w:rsid w:val="00F66231"/>
    <w:rsid w:val="00F66704"/>
    <w:rsid w:val="00F6677E"/>
    <w:rsid w:val="00F66B9F"/>
    <w:rsid w:val="00F66BFF"/>
    <w:rsid w:val="00F67075"/>
    <w:rsid w:val="00F677E4"/>
    <w:rsid w:val="00F67B96"/>
    <w:rsid w:val="00F67BFB"/>
    <w:rsid w:val="00F70160"/>
    <w:rsid w:val="00F7026F"/>
    <w:rsid w:val="00F70A8A"/>
    <w:rsid w:val="00F70BCC"/>
    <w:rsid w:val="00F70D8A"/>
    <w:rsid w:val="00F70E48"/>
    <w:rsid w:val="00F71630"/>
    <w:rsid w:val="00F71A0E"/>
    <w:rsid w:val="00F71AB5"/>
    <w:rsid w:val="00F71CB5"/>
    <w:rsid w:val="00F71F07"/>
    <w:rsid w:val="00F71FD6"/>
    <w:rsid w:val="00F71FFB"/>
    <w:rsid w:val="00F72272"/>
    <w:rsid w:val="00F7228B"/>
    <w:rsid w:val="00F72719"/>
    <w:rsid w:val="00F728EE"/>
    <w:rsid w:val="00F72A0B"/>
    <w:rsid w:val="00F72A8B"/>
    <w:rsid w:val="00F73259"/>
    <w:rsid w:val="00F73509"/>
    <w:rsid w:val="00F73971"/>
    <w:rsid w:val="00F73B74"/>
    <w:rsid w:val="00F73E4A"/>
    <w:rsid w:val="00F73E5C"/>
    <w:rsid w:val="00F73EF5"/>
    <w:rsid w:val="00F73F01"/>
    <w:rsid w:val="00F74277"/>
    <w:rsid w:val="00F7431D"/>
    <w:rsid w:val="00F74348"/>
    <w:rsid w:val="00F7495A"/>
    <w:rsid w:val="00F74E01"/>
    <w:rsid w:val="00F75705"/>
    <w:rsid w:val="00F75849"/>
    <w:rsid w:val="00F75AF2"/>
    <w:rsid w:val="00F75BCB"/>
    <w:rsid w:val="00F75E30"/>
    <w:rsid w:val="00F75FD9"/>
    <w:rsid w:val="00F76106"/>
    <w:rsid w:val="00F76339"/>
    <w:rsid w:val="00F767BF"/>
    <w:rsid w:val="00F7691B"/>
    <w:rsid w:val="00F76C20"/>
    <w:rsid w:val="00F76D8D"/>
    <w:rsid w:val="00F76FE5"/>
    <w:rsid w:val="00F771CD"/>
    <w:rsid w:val="00F773C0"/>
    <w:rsid w:val="00F7749D"/>
    <w:rsid w:val="00F7767B"/>
    <w:rsid w:val="00F777BB"/>
    <w:rsid w:val="00F7798A"/>
    <w:rsid w:val="00F77ADA"/>
    <w:rsid w:val="00F77BD0"/>
    <w:rsid w:val="00F77DF3"/>
    <w:rsid w:val="00F77E00"/>
    <w:rsid w:val="00F801AA"/>
    <w:rsid w:val="00F80210"/>
    <w:rsid w:val="00F80426"/>
    <w:rsid w:val="00F805FC"/>
    <w:rsid w:val="00F806D1"/>
    <w:rsid w:val="00F808E9"/>
    <w:rsid w:val="00F80DEB"/>
    <w:rsid w:val="00F80EB2"/>
    <w:rsid w:val="00F81345"/>
    <w:rsid w:val="00F8160D"/>
    <w:rsid w:val="00F81953"/>
    <w:rsid w:val="00F82016"/>
    <w:rsid w:val="00F821E6"/>
    <w:rsid w:val="00F82438"/>
    <w:rsid w:val="00F8252A"/>
    <w:rsid w:val="00F82660"/>
    <w:rsid w:val="00F82740"/>
    <w:rsid w:val="00F82D2E"/>
    <w:rsid w:val="00F83196"/>
    <w:rsid w:val="00F831C3"/>
    <w:rsid w:val="00F83303"/>
    <w:rsid w:val="00F834F8"/>
    <w:rsid w:val="00F8396D"/>
    <w:rsid w:val="00F83B96"/>
    <w:rsid w:val="00F83BC8"/>
    <w:rsid w:val="00F83CD0"/>
    <w:rsid w:val="00F83F0C"/>
    <w:rsid w:val="00F84032"/>
    <w:rsid w:val="00F84049"/>
    <w:rsid w:val="00F8444D"/>
    <w:rsid w:val="00F84716"/>
    <w:rsid w:val="00F849A3"/>
    <w:rsid w:val="00F84BDC"/>
    <w:rsid w:val="00F84C0A"/>
    <w:rsid w:val="00F84F3B"/>
    <w:rsid w:val="00F84FBE"/>
    <w:rsid w:val="00F8507E"/>
    <w:rsid w:val="00F85870"/>
    <w:rsid w:val="00F85B56"/>
    <w:rsid w:val="00F85BD8"/>
    <w:rsid w:val="00F85BF4"/>
    <w:rsid w:val="00F86291"/>
    <w:rsid w:val="00F8674E"/>
    <w:rsid w:val="00F86A64"/>
    <w:rsid w:val="00F86EE0"/>
    <w:rsid w:val="00F870F0"/>
    <w:rsid w:val="00F8751C"/>
    <w:rsid w:val="00F87577"/>
    <w:rsid w:val="00F8757A"/>
    <w:rsid w:val="00F877C9"/>
    <w:rsid w:val="00F87ABC"/>
    <w:rsid w:val="00F87C60"/>
    <w:rsid w:val="00F87E4A"/>
    <w:rsid w:val="00F900C8"/>
    <w:rsid w:val="00F9016A"/>
    <w:rsid w:val="00F904CC"/>
    <w:rsid w:val="00F905A5"/>
    <w:rsid w:val="00F90EE9"/>
    <w:rsid w:val="00F9119D"/>
    <w:rsid w:val="00F916FB"/>
    <w:rsid w:val="00F91AF0"/>
    <w:rsid w:val="00F91CEA"/>
    <w:rsid w:val="00F91FA1"/>
    <w:rsid w:val="00F92279"/>
    <w:rsid w:val="00F9229B"/>
    <w:rsid w:val="00F92604"/>
    <w:rsid w:val="00F92801"/>
    <w:rsid w:val="00F92DC3"/>
    <w:rsid w:val="00F93302"/>
    <w:rsid w:val="00F93335"/>
    <w:rsid w:val="00F934BF"/>
    <w:rsid w:val="00F93B36"/>
    <w:rsid w:val="00F93D63"/>
    <w:rsid w:val="00F94339"/>
    <w:rsid w:val="00F9435D"/>
    <w:rsid w:val="00F9437E"/>
    <w:rsid w:val="00F9450E"/>
    <w:rsid w:val="00F94650"/>
    <w:rsid w:val="00F94C88"/>
    <w:rsid w:val="00F94E94"/>
    <w:rsid w:val="00F95176"/>
    <w:rsid w:val="00F9580F"/>
    <w:rsid w:val="00F958E1"/>
    <w:rsid w:val="00F95AB1"/>
    <w:rsid w:val="00F95E47"/>
    <w:rsid w:val="00F95F59"/>
    <w:rsid w:val="00F96068"/>
    <w:rsid w:val="00F96488"/>
    <w:rsid w:val="00F9681E"/>
    <w:rsid w:val="00F96824"/>
    <w:rsid w:val="00F96C20"/>
    <w:rsid w:val="00F96F51"/>
    <w:rsid w:val="00F96F67"/>
    <w:rsid w:val="00F974CA"/>
    <w:rsid w:val="00F9752F"/>
    <w:rsid w:val="00F977D5"/>
    <w:rsid w:val="00F97AB0"/>
    <w:rsid w:val="00F97CFD"/>
    <w:rsid w:val="00F97E6B"/>
    <w:rsid w:val="00FA051A"/>
    <w:rsid w:val="00FA09C8"/>
    <w:rsid w:val="00FA0BE3"/>
    <w:rsid w:val="00FA1533"/>
    <w:rsid w:val="00FA1569"/>
    <w:rsid w:val="00FA1638"/>
    <w:rsid w:val="00FA1AD9"/>
    <w:rsid w:val="00FA1F3B"/>
    <w:rsid w:val="00FA2A45"/>
    <w:rsid w:val="00FA2BE5"/>
    <w:rsid w:val="00FA2BF0"/>
    <w:rsid w:val="00FA2D0A"/>
    <w:rsid w:val="00FA33D5"/>
    <w:rsid w:val="00FA3497"/>
    <w:rsid w:val="00FA38D9"/>
    <w:rsid w:val="00FA3B31"/>
    <w:rsid w:val="00FA3CA7"/>
    <w:rsid w:val="00FA3E9C"/>
    <w:rsid w:val="00FA3F45"/>
    <w:rsid w:val="00FA3F83"/>
    <w:rsid w:val="00FA409A"/>
    <w:rsid w:val="00FA4150"/>
    <w:rsid w:val="00FA4380"/>
    <w:rsid w:val="00FA4725"/>
    <w:rsid w:val="00FA4906"/>
    <w:rsid w:val="00FA4C2B"/>
    <w:rsid w:val="00FA4CAA"/>
    <w:rsid w:val="00FA5490"/>
    <w:rsid w:val="00FA5533"/>
    <w:rsid w:val="00FA56F4"/>
    <w:rsid w:val="00FA6109"/>
    <w:rsid w:val="00FA631B"/>
    <w:rsid w:val="00FA6D99"/>
    <w:rsid w:val="00FA7071"/>
    <w:rsid w:val="00FA70E4"/>
    <w:rsid w:val="00FA71BF"/>
    <w:rsid w:val="00FA728E"/>
    <w:rsid w:val="00FA72BA"/>
    <w:rsid w:val="00FA78F1"/>
    <w:rsid w:val="00FA7B35"/>
    <w:rsid w:val="00FA7D82"/>
    <w:rsid w:val="00FA7F49"/>
    <w:rsid w:val="00FB06EE"/>
    <w:rsid w:val="00FB09B8"/>
    <w:rsid w:val="00FB0ABA"/>
    <w:rsid w:val="00FB101B"/>
    <w:rsid w:val="00FB1846"/>
    <w:rsid w:val="00FB1C0C"/>
    <w:rsid w:val="00FB1CAC"/>
    <w:rsid w:val="00FB1CB2"/>
    <w:rsid w:val="00FB32A1"/>
    <w:rsid w:val="00FB3A3E"/>
    <w:rsid w:val="00FB3AA9"/>
    <w:rsid w:val="00FB3AD6"/>
    <w:rsid w:val="00FB3D5F"/>
    <w:rsid w:val="00FB3DCA"/>
    <w:rsid w:val="00FB42BC"/>
    <w:rsid w:val="00FB4357"/>
    <w:rsid w:val="00FB4396"/>
    <w:rsid w:val="00FB44C7"/>
    <w:rsid w:val="00FB5070"/>
    <w:rsid w:val="00FB517B"/>
    <w:rsid w:val="00FB521F"/>
    <w:rsid w:val="00FB52DA"/>
    <w:rsid w:val="00FB5499"/>
    <w:rsid w:val="00FB554B"/>
    <w:rsid w:val="00FB5658"/>
    <w:rsid w:val="00FB5D3C"/>
    <w:rsid w:val="00FB5DF7"/>
    <w:rsid w:val="00FB6110"/>
    <w:rsid w:val="00FB61FC"/>
    <w:rsid w:val="00FB6274"/>
    <w:rsid w:val="00FB6494"/>
    <w:rsid w:val="00FB64AA"/>
    <w:rsid w:val="00FB6504"/>
    <w:rsid w:val="00FB6808"/>
    <w:rsid w:val="00FB6BE9"/>
    <w:rsid w:val="00FB6D13"/>
    <w:rsid w:val="00FB6E0C"/>
    <w:rsid w:val="00FB72FD"/>
    <w:rsid w:val="00FB7794"/>
    <w:rsid w:val="00FB799E"/>
    <w:rsid w:val="00FB7B1C"/>
    <w:rsid w:val="00FB7CB0"/>
    <w:rsid w:val="00FC065A"/>
    <w:rsid w:val="00FC0911"/>
    <w:rsid w:val="00FC0D51"/>
    <w:rsid w:val="00FC0DB2"/>
    <w:rsid w:val="00FC125D"/>
    <w:rsid w:val="00FC12CD"/>
    <w:rsid w:val="00FC1403"/>
    <w:rsid w:val="00FC19EB"/>
    <w:rsid w:val="00FC1BC2"/>
    <w:rsid w:val="00FC1D1D"/>
    <w:rsid w:val="00FC1DA7"/>
    <w:rsid w:val="00FC2150"/>
    <w:rsid w:val="00FC229B"/>
    <w:rsid w:val="00FC22C3"/>
    <w:rsid w:val="00FC2567"/>
    <w:rsid w:val="00FC2B22"/>
    <w:rsid w:val="00FC2EC2"/>
    <w:rsid w:val="00FC2F75"/>
    <w:rsid w:val="00FC3294"/>
    <w:rsid w:val="00FC344C"/>
    <w:rsid w:val="00FC3668"/>
    <w:rsid w:val="00FC37E5"/>
    <w:rsid w:val="00FC383D"/>
    <w:rsid w:val="00FC3924"/>
    <w:rsid w:val="00FC42AA"/>
    <w:rsid w:val="00FC4349"/>
    <w:rsid w:val="00FC43E2"/>
    <w:rsid w:val="00FC4645"/>
    <w:rsid w:val="00FC49A5"/>
    <w:rsid w:val="00FC4ABF"/>
    <w:rsid w:val="00FC4F81"/>
    <w:rsid w:val="00FC525D"/>
    <w:rsid w:val="00FC531A"/>
    <w:rsid w:val="00FC558B"/>
    <w:rsid w:val="00FC55B6"/>
    <w:rsid w:val="00FC58D5"/>
    <w:rsid w:val="00FC596E"/>
    <w:rsid w:val="00FC59BA"/>
    <w:rsid w:val="00FC5F71"/>
    <w:rsid w:val="00FC600B"/>
    <w:rsid w:val="00FC6504"/>
    <w:rsid w:val="00FC66C9"/>
    <w:rsid w:val="00FC6ADA"/>
    <w:rsid w:val="00FC6EAC"/>
    <w:rsid w:val="00FC79F2"/>
    <w:rsid w:val="00FC7AA6"/>
    <w:rsid w:val="00FC7D03"/>
    <w:rsid w:val="00FD02A7"/>
    <w:rsid w:val="00FD084A"/>
    <w:rsid w:val="00FD0919"/>
    <w:rsid w:val="00FD131D"/>
    <w:rsid w:val="00FD182E"/>
    <w:rsid w:val="00FD1E85"/>
    <w:rsid w:val="00FD1FAA"/>
    <w:rsid w:val="00FD2281"/>
    <w:rsid w:val="00FD23B2"/>
    <w:rsid w:val="00FD2556"/>
    <w:rsid w:val="00FD29BF"/>
    <w:rsid w:val="00FD2AB6"/>
    <w:rsid w:val="00FD2D9B"/>
    <w:rsid w:val="00FD2DBD"/>
    <w:rsid w:val="00FD370B"/>
    <w:rsid w:val="00FD3A24"/>
    <w:rsid w:val="00FD3AFC"/>
    <w:rsid w:val="00FD3DA4"/>
    <w:rsid w:val="00FD3F85"/>
    <w:rsid w:val="00FD41F7"/>
    <w:rsid w:val="00FD4282"/>
    <w:rsid w:val="00FD456E"/>
    <w:rsid w:val="00FD47A9"/>
    <w:rsid w:val="00FD47BE"/>
    <w:rsid w:val="00FD4954"/>
    <w:rsid w:val="00FD4A10"/>
    <w:rsid w:val="00FD4A8B"/>
    <w:rsid w:val="00FD4B71"/>
    <w:rsid w:val="00FD4C3F"/>
    <w:rsid w:val="00FD4CAE"/>
    <w:rsid w:val="00FD4DE0"/>
    <w:rsid w:val="00FD5325"/>
    <w:rsid w:val="00FD5354"/>
    <w:rsid w:val="00FD5ACD"/>
    <w:rsid w:val="00FD5C34"/>
    <w:rsid w:val="00FD611A"/>
    <w:rsid w:val="00FD61F1"/>
    <w:rsid w:val="00FD62DD"/>
    <w:rsid w:val="00FD6372"/>
    <w:rsid w:val="00FD645C"/>
    <w:rsid w:val="00FD6B8F"/>
    <w:rsid w:val="00FD6CD7"/>
    <w:rsid w:val="00FD6D7E"/>
    <w:rsid w:val="00FD74DF"/>
    <w:rsid w:val="00FD761C"/>
    <w:rsid w:val="00FD7FBA"/>
    <w:rsid w:val="00FE02D8"/>
    <w:rsid w:val="00FE0326"/>
    <w:rsid w:val="00FE0EFA"/>
    <w:rsid w:val="00FE122F"/>
    <w:rsid w:val="00FE215F"/>
    <w:rsid w:val="00FE291C"/>
    <w:rsid w:val="00FE3060"/>
    <w:rsid w:val="00FE30B5"/>
    <w:rsid w:val="00FE33BD"/>
    <w:rsid w:val="00FE3818"/>
    <w:rsid w:val="00FE3898"/>
    <w:rsid w:val="00FE39B8"/>
    <w:rsid w:val="00FE39DA"/>
    <w:rsid w:val="00FE3E1B"/>
    <w:rsid w:val="00FE48B8"/>
    <w:rsid w:val="00FE49BA"/>
    <w:rsid w:val="00FE4D46"/>
    <w:rsid w:val="00FE4F8D"/>
    <w:rsid w:val="00FE545A"/>
    <w:rsid w:val="00FE559C"/>
    <w:rsid w:val="00FE58B6"/>
    <w:rsid w:val="00FE5932"/>
    <w:rsid w:val="00FE5A25"/>
    <w:rsid w:val="00FE5CF6"/>
    <w:rsid w:val="00FE5E0E"/>
    <w:rsid w:val="00FE60DA"/>
    <w:rsid w:val="00FE6443"/>
    <w:rsid w:val="00FE6A27"/>
    <w:rsid w:val="00FE6D36"/>
    <w:rsid w:val="00FE6F65"/>
    <w:rsid w:val="00FE72A7"/>
    <w:rsid w:val="00FE72C2"/>
    <w:rsid w:val="00FE7391"/>
    <w:rsid w:val="00FE750F"/>
    <w:rsid w:val="00FE75AC"/>
    <w:rsid w:val="00FE7726"/>
    <w:rsid w:val="00FE7B27"/>
    <w:rsid w:val="00FE7C58"/>
    <w:rsid w:val="00FF03BF"/>
    <w:rsid w:val="00FF0416"/>
    <w:rsid w:val="00FF04FE"/>
    <w:rsid w:val="00FF06EC"/>
    <w:rsid w:val="00FF0830"/>
    <w:rsid w:val="00FF0D45"/>
    <w:rsid w:val="00FF1625"/>
    <w:rsid w:val="00FF173F"/>
    <w:rsid w:val="00FF179C"/>
    <w:rsid w:val="00FF1853"/>
    <w:rsid w:val="00FF20AF"/>
    <w:rsid w:val="00FF24AF"/>
    <w:rsid w:val="00FF250E"/>
    <w:rsid w:val="00FF2E76"/>
    <w:rsid w:val="00FF31B5"/>
    <w:rsid w:val="00FF322F"/>
    <w:rsid w:val="00FF3274"/>
    <w:rsid w:val="00FF327B"/>
    <w:rsid w:val="00FF34D7"/>
    <w:rsid w:val="00FF388C"/>
    <w:rsid w:val="00FF38F0"/>
    <w:rsid w:val="00FF3DCC"/>
    <w:rsid w:val="00FF401C"/>
    <w:rsid w:val="00FF417B"/>
    <w:rsid w:val="00FF41A1"/>
    <w:rsid w:val="00FF43F8"/>
    <w:rsid w:val="00FF44C6"/>
    <w:rsid w:val="00FF48DF"/>
    <w:rsid w:val="00FF4C64"/>
    <w:rsid w:val="00FF4EA0"/>
    <w:rsid w:val="00FF4FF6"/>
    <w:rsid w:val="00FF50AF"/>
    <w:rsid w:val="00FF516B"/>
    <w:rsid w:val="00FF5224"/>
    <w:rsid w:val="00FF5288"/>
    <w:rsid w:val="00FF52DE"/>
    <w:rsid w:val="00FF534D"/>
    <w:rsid w:val="00FF53EF"/>
    <w:rsid w:val="00FF56A8"/>
    <w:rsid w:val="00FF60C1"/>
    <w:rsid w:val="00FF617D"/>
    <w:rsid w:val="00FF67E8"/>
    <w:rsid w:val="00FF6928"/>
    <w:rsid w:val="00FF6C24"/>
    <w:rsid w:val="00FF6C77"/>
    <w:rsid w:val="00FF6D6B"/>
    <w:rsid w:val="00FF72A6"/>
    <w:rsid w:val="00FF75BF"/>
    <w:rsid w:val="00FF75D8"/>
    <w:rsid w:val="00FF7915"/>
    <w:rsid w:val="00FF7A0D"/>
    <w:rsid w:val="027A01CD"/>
    <w:rsid w:val="0B712617"/>
    <w:rsid w:val="0CF79CA9"/>
    <w:rsid w:val="11C89BFE"/>
    <w:rsid w:val="2328FBAD"/>
    <w:rsid w:val="30544BA3"/>
    <w:rsid w:val="3EABCE23"/>
    <w:rsid w:val="44EE2AE1"/>
    <w:rsid w:val="56911BBB"/>
    <w:rsid w:val="5B35489A"/>
    <w:rsid w:val="7CACA84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D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b + line,b1,Body,level 1,Bullet + line,BodyNum,bulleted,Bullet Char1,Bullet Char1 Char Char Char Char,b1 Char Char Char,Bullet Char1 Char Char Char Char Char,Bullet Char1 Char Char Char"/>
    <w:basedOn w:val="Normal"/>
    <w:link w:val="BulletChar"/>
    <w:qFormat/>
    <w:rsid w:val="008043EA"/>
    <w:pPr>
      <w:numPr>
        <w:numId w:val="17"/>
      </w:numPr>
      <w:tabs>
        <w:tab w:val="left" w:pos="720"/>
      </w:tabs>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6"/>
      </w:numPr>
      <w:spacing w:before="0"/>
    </w:pPr>
  </w:style>
  <w:style w:type="paragraph" w:customStyle="1" w:styleId="OneLevelNumberedParagraph">
    <w:name w:val="One Level Numbered Paragraph"/>
    <w:basedOn w:val="Normal"/>
    <w:rsid w:val="008043EA"/>
    <w:pPr>
      <w:numPr>
        <w:numId w:val="5"/>
      </w:numPr>
      <w:tabs>
        <w:tab w:val="clear" w:pos="284"/>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aliases w:val="ACCC Table"/>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 Char,b + line Char Char,b Char Char,b1 Char,b + line Char,Body Char,level 1 Char,Bulleted Para Char,Bullets Char,Number Char,F5 List Paragraph Char,Dot pt Char,Bullet + line Char,L Char,List Paragraph Char,List Paragraph1 Char"/>
    <w:basedOn w:val="DefaultParagraphFont"/>
    <w:link w:val="Bullet"/>
    <w:qForma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uiPriority w:val="99"/>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CommentReference">
    <w:name w:val="annotation reference"/>
    <w:basedOn w:val="DefaultParagraphFont"/>
    <w:uiPriority w:val="99"/>
    <w:semiHidden/>
    <w:unhideWhenUsed/>
    <w:rsid w:val="006E1938"/>
    <w:rPr>
      <w:sz w:val="16"/>
      <w:szCs w:val="16"/>
    </w:rPr>
  </w:style>
  <w:style w:type="paragraph" w:styleId="CommentText">
    <w:name w:val="annotation text"/>
    <w:basedOn w:val="Normal"/>
    <w:link w:val="CommentTextChar"/>
    <w:uiPriority w:val="99"/>
    <w:unhideWhenUsed/>
    <w:rsid w:val="006E1938"/>
    <w:rPr>
      <w:sz w:val="20"/>
    </w:rPr>
  </w:style>
  <w:style w:type="character" w:customStyle="1" w:styleId="CommentTextChar">
    <w:name w:val="Comment Text Char"/>
    <w:basedOn w:val="DefaultParagraphFont"/>
    <w:link w:val="CommentText"/>
    <w:uiPriority w:val="99"/>
    <w:rsid w:val="006E1938"/>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E1938"/>
    <w:rPr>
      <w:b/>
      <w:bCs/>
    </w:rPr>
  </w:style>
  <w:style w:type="character" w:customStyle="1" w:styleId="CommentSubjectChar">
    <w:name w:val="Comment Subject Char"/>
    <w:basedOn w:val="CommentTextChar"/>
    <w:link w:val="CommentSubject"/>
    <w:uiPriority w:val="99"/>
    <w:semiHidden/>
    <w:rsid w:val="006E1938"/>
    <w:rPr>
      <w:rFonts w:ascii="Calibri Light" w:eastAsia="Times New Roman" w:hAnsi="Calibri Light" w:cs="Times New Roman"/>
      <w:b/>
      <w:bCs/>
      <w:sz w:val="20"/>
      <w:szCs w:val="20"/>
      <w:lang w:eastAsia="en-AU"/>
    </w:rPr>
  </w:style>
  <w:style w:type="paragraph" w:styleId="Revision">
    <w:name w:val="Revision"/>
    <w:hidden/>
    <w:uiPriority w:val="99"/>
    <w:semiHidden/>
    <w:rsid w:val="005E46C2"/>
    <w:pPr>
      <w:spacing w:after="0" w:line="240" w:lineRule="auto"/>
    </w:pPr>
    <w:rPr>
      <w:rFonts w:ascii="Calibri Light" w:eastAsia="Times New Roman" w:hAnsi="Calibri Light" w:cs="Times New Roman"/>
      <w:szCs w:val="20"/>
      <w:lang w:eastAsia="en-AU"/>
    </w:rPr>
  </w:style>
  <w:style w:type="character" w:customStyle="1" w:styleId="ui-provider">
    <w:name w:val="ui-provider"/>
    <w:basedOn w:val="DefaultParagraphFont"/>
    <w:rsid w:val="00D108B3"/>
  </w:style>
  <w:style w:type="character" w:styleId="FollowedHyperlink">
    <w:name w:val="FollowedHyperlink"/>
    <w:basedOn w:val="DefaultParagraphFont"/>
    <w:uiPriority w:val="99"/>
    <w:semiHidden/>
    <w:unhideWhenUsed/>
    <w:rsid w:val="001120F5"/>
    <w:rPr>
      <w:color w:val="844D9E" w:themeColor="followedHyperlink"/>
      <w:u w:val="single"/>
    </w:rPr>
  </w:style>
  <w:style w:type="paragraph" w:styleId="ListParagraph">
    <w:name w:val="List Paragraph"/>
    <w:basedOn w:val="Normal"/>
    <w:uiPriority w:val="34"/>
    <w:qFormat/>
    <w:rsid w:val="006239D1"/>
    <w:pPr>
      <w:spacing w:before="0" w:after="0"/>
      <w:ind w:left="720"/>
      <w:contextualSpacing/>
    </w:pPr>
    <w:rPr>
      <w:rFonts w:ascii="Times New Roman" w:eastAsiaTheme="minorEastAsia" w:hAnsi="Times New Roman"/>
      <w:sz w:val="24"/>
      <w:szCs w:val="24"/>
    </w:rPr>
  </w:style>
  <w:style w:type="character" w:styleId="Mention">
    <w:name w:val="Mention"/>
    <w:basedOn w:val="DefaultParagraphFont"/>
    <w:uiPriority w:val="99"/>
    <w:unhideWhenUsed/>
    <w:rsid w:val="008C7E17"/>
    <w:rPr>
      <w:color w:val="2B579A"/>
      <w:shd w:val="clear" w:color="auto" w:fill="E1DFDD"/>
    </w:rPr>
  </w:style>
  <w:style w:type="character" w:styleId="Emphasis">
    <w:name w:val="Emphasis"/>
    <w:basedOn w:val="DefaultParagraphFont"/>
    <w:uiPriority w:val="20"/>
    <w:rsid w:val="009058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82643">
      <w:bodyDiv w:val="1"/>
      <w:marLeft w:val="0"/>
      <w:marRight w:val="0"/>
      <w:marTop w:val="0"/>
      <w:marBottom w:val="0"/>
      <w:divBdr>
        <w:top w:val="none" w:sz="0" w:space="0" w:color="auto"/>
        <w:left w:val="none" w:sz="0" w:space="0" w:color="auto"/>
        <w:bottom w:val="none" w:sz="0" w:space="0" w:color="auto"/>
        <w:right w:val="none" w:sz="0" w:space="0" w:color="auto"/>
      </w:divBdr>
      <w:divsChild>
        <w:div w:id="35743324">
          <w:marLeft w:val="0"/>
          <w:marRight w:val="0"/>
          <w:marTop w:val="0"/>
          <w:marBottom w:val="0"/>
          <w:divBdr>
            <w:top w:val="none" w:sz="0" w:space="0" w:color="auto"/>
            <w:left w:val="none" w:sz="0" w:space="0" w:color="auto"/>
            <w:bottom w:val="none" w:sz="0" w:space="0" w:color="auto"/>
            <w:right w:val="none" w:sz="0" w:space="0" w:color="auto"/>
          </w:divBdr>
        </w:div>
        <w:div w:id="117336242">
          <w:marLeft w:val="0"/>
          <w:marRight w:val="0"/>
          <w:marTop w:val="0"/>
          <w:marBottom w:val="0"/>
          <w:divBdr>
            <w:top w:val="none" w:sz="0" w:space="0" w:color="auto"/>
            <w:left w:val="none" w:sz="0" w:space="0" w:color="auto"/>
            <w:bottom w:val="none" w:sz="0" w:space="0" w:color="auto"/>
            <w:right w:val="none" w:sz="0" w:space="0" w:color="auto"/>
          </w:divBdr>
        </w:div>
        <w:div w:id="221134815">
          <w:marLeft w:val="0"/>
          <w:marRight w:val="0"/>
          <w:marTop w:val="0"/>
          <w:marBottom w:val="0"/>
          <w:divBdr>
            <w:top w:val="none" w:sz="0" w:space="0" w:color="auto"/>
            <w:left w:val="none" w:sz="0" w:space="0" w:color="auto"/>
            <w:bottom w:val="none" w:sz="0" w:space="0" w:color="auto"/>
            <w:right w:val="none" w:sz="0" w:space="0" w:color="auto"/>
          </w:divBdr>
        </w:div>
        <w:div w:id="482041976">
          <w:marLeft w:val="0"/>
          <w:marRight w:val="0"/>
          <w:marTop w:val="0"/>
          <w:marBottom w:val="0"/>
          <w:divBdr>
            <w:top w:val="none" w:sz="0" w:space="0" w:color="auto"/>
            <w:left w:val="none" w:sz="0" w:space="0" w:color="auto"/>
            <w:bottom w:val="none" w:sz="0" w:space="0" w:color="auto"/>
            <w:right w:val="none" w:sz="0" w:space="0" w:color="auto"/>
          </w:divBdr>
          <w:divsChild>
            <w:div w:id="620646910">
              <w:marLeft w:val="0"/>
              <w:marRight w:val="0"/>
              <w:marTop w:val="30"/>
              <w:marBottom w:val="30"/>
              <w:divBdr>
                <w:top w:val="none" w:sz="0" w:space="0" w:color="auto"/>
                <w:left w:val="none" w:sz="0" w:space="0" w:color="auto"/>
                <w:bottom w:val="none" w:sz="0" w:space="0" w:color="auto"/>
                <w:right w:val="none" w:sz="0" w:space="0" w:color="auto"/>
              </w:divBdr>
              <w:divsChild>
                <w:div w:id="157036265">
                  <w:marLeft w:val="0"/>
                  <w:marRight w:val="0"/>
                  <w:marTop w:val="0"/>
                  <w:marBottom w:val="0"/>
                  <w:divBdr>
                    <w:top w:val="none" w:sz="0" w:space="0" w:color="auto"/>
                    <w:left w:val="none" w:sz="0" w:space="0" w:color="auto"/>
                    <w:bottom w:val="none" w:sz="0" w:space="0" w:color="auto"/>
                    <w:right w:val="none" w:sz="0" w:space="0" w:color="auto"/>
                  </w:divBdr>
                  <w:divsChild>
                    <w:div w:id="448205248">
                      <w:marLeft w:val="0"/>
                      <w:marRight w:val="0"/>
                      <w:marTop w:val="0"/>
                      <w:marBottom w:val="0"/>
                      <w:divBdr>
                        <w:top w:val="none" w:sz="0" w:space="0" w:color="auto"/>
                        <w:left w:val="none" w:sz="0" w:space="0" w:color="auto"/>
                        <w:bottom w:val="none" w:sz="0" w:space="0" w:color="auto"/>
                        <w:right w:val="none" w:sz="0" w:space="0" w:color="auto"/>
                      </w:divBdr>
                    </w:div>
                  </w:divsChild>
                </w:div>
                <w:div w:id="645430601">
                  <w:marLeft w:val="0"/>
                  <w:marRight w:val="0"/>
                  <w:marTop w:val="0"/>
                  <w:marBottom w:val="0"/>
                  <w:divBdr>
                    <w:top w:val="none" w:sz="0" w:space="0" w:color="auto"/>
                    <w:left w:val="none" w:sz="0" w:space="0" w:color="auto"/>
                    <w:bottom w:val="none" w:sz="0" w:space="0" w:color="auto"/>
                    <w:right w:val="none" w:sz="0" w:space="0" w:color="auto"/>
                  </w:divBdr>
                  <w:divsChild>
                    <w:div w:id="1972982364">
                      <w:marLeft w:val="0"/>
                      <w:marRight w:val="0"/>
                      <w:marTop w:val="0"/>
                      <w:marBottom w:val="0"/>
                      <w:divBdr>
                        <w:top w:val="none" w:sz="0" w:space="0" w:color="auto"/>
                        <w:left w:val="none" w:sz="0" w:space="0" w:color="auto"/>
                        <w:bottom w:val="none" w:sz="0" w:space="0" w:color="auto"/>
                        <w:right w:val="none" w:sz="0" w:space="0" w:color="auto"/>
                      </w:divBdr>
                    </w:div>
                  </w:divsChild>
                </w:div>
                <w:div w:id="1070806793">
                  <w:marLeft w:val="0"/>
                  <w:marRight w:val="0"/>
                  <w:marTop w:val="0"/>
                  <w:marBottom w:val="0"/>
                  <w:divBdr>
                    <w:top w:val="none" w:sz="0" w:space="0" w:color="auto"/>
                    <w:left w:val="none" w:sz="0" w:space="0" w:color="auto"/>
                    <w:bottom w:val="none" w:sz="0" w:space="0" w:color="auto"/>
                    <w:right w:val="none" w:sz="0" w:space="0" w:color="auto"/>
                  </w:divBdr>
                  <w:divsChild>
                    <w:div w:id="242839965">
                      <w:marLeft w:val="0"/>
                      <w:marRight w:val="0"/>
                      <w:marTop w:val="0"/>
                      <w:marBottom w:val="0"/>
                      <w:divBdr>
                        <w:top w:val="none" w:sz="0" w:space="0" w:color="auto"/>
                        <w:left w:val="none" w:sz="0" w:space="0" w:color="auto"/>
                        <w:bottom w:val="none" w:sz="0" w:space="0" w:color="auto"/>
                        <w:right w:val="none" w:sz="0" w:space="0" w:color="auto"/>
                      </w:divBdr>
                    </w:div>
                  </w:divsChild>
                </w:div>
                <w:div w:id="1306201148">
                  <w:marLeft w:val="0"/>
                  <w:marRight w:val="0"/>
                  <w:marTop w:val="0"/>
                  <w:marBottom w:val="0"/>
                  <w:divBdr>
                    <w:top w:val="none" w:sz="0" w:space="0" w:color="auto"/>
                    <w:left w:val="none" w:sz="0" w:space="0" w:color="auto"/>
                    <w:bottom w:val="none" w:sz="0" w:space="0" w:color="auto"/>
                    <w:right w:val="none" w:sz="0" w:space="0" w:color="auto"/>
                  </w:divBdr>
                  <w:divsChild>
                    <w:div w:id="963384103">
                      <w:marLeft w:val="0"/>
                      <w:marRight w:val="0"/>
                      <w:marTop w:val="0"/>
                      <w:marBottom w:val="0"/>
                      <w:divBdr>
                        <w:top w:val="none" w:sz="0" w:space="0" w:color="auto"/>
                        <w:left w:val="none" w:sz="0" w:space="0" w:color="auto"/>
                        <w:bottom w:val="none" w:sz="0" w:space="0" w:color="auto"/>
                        <w:right w:val="none" w:sz="0" w:space="0" w:color="auto"/>
                      </w:divBdr>
                    </w:div>
                  </w:divsChild>
                </w:div>
                <w:div w:id="1495493138">
                  <w:marLeft w:val="0"/>
                  <w:marRight w:val="0"/>
                  <w:marTop w:val="0"/>
                  <w:marBottom w:val="0"/>
                  <w:divBdr>
                    <w:top w:val="none" w:sz="0" w:space="0" w:color="auto"/>
                    <w:left w:val="none" w:sz="0" w:space="0" w:color="auto"/>
                    <w:bottom w:val="none" w:sz="0" w:space="0" w:color="auto"/>
                    <w:right w:val="none" w:sz="0" w:space="0" w:color="auto"/>
                  </w:divBdr>
                  <w:divsChild>
                    <w:div w:id="969214448">
                      <w:marLeft w:val="0"/>
                      <w:marRight w:val="0"/>
                      <w:marTop w:val="0"/>
                      <w:marBottom w:val="0"/>
                      <w:divBdr>
                        <w:top w:val="none" w:sz="0" w:space="0" w:color="auto"/>
                        <w:left w:val="none" w:sz="0" w:space="0" w:color="auto"/>
                        <w:bottom w:val="none" w:sz="0" w:space="0" w:color="auto"/>
                        <w:right w:val="none" w:sz="0" w:space="0" w:color="auto"/>
                      </w:divBdr>
                    </w:div>
                  </w:divsChild>
                </w:div>
                <w:div w:id="1733654560">
                  <w:marLeft w:val="0"/>
                  <w:marRight w:val="0"/>
                  <w:marTop w:val="0"/>
                  <w:marBottom w:val="0"/>
                  <w:divBdr>
                    <w:top w:val="none" w:sz="0" w:space="0" w:color="auto"/>
                    <w:left w:val="none" w:sz="0" w:space="0" w:color="auto"/>
                    <w:bottom w:val="none" w:sz="0" w:space="0" w:color="auto"/>
                    <w:right w:val="none" w:sz="0" w:space="0" w:color="auto"/>
                  </w:divBdr>
                  <w:divsChild>
                    <w:div w:id="1654866070">
                      <w:marLeft w:val="0"/>
                      <w:marRight w:val="0"/>
                      <w:marTop w:val="0"/>
                      <w:marBottom w:val="0"/>
                      <w:divBdr>
                        <w:top w:val="none" w:sz="0" w:space="0" w:color="auto"/>
                        <w:left w:val="none" w:sz="0" w:space="0" w:color="auto"/>
                        <w:bottom w:val="none" w:sz="0" w:space="0" w:color="auto"/>
                        <w:right w:val="none" w:sz="0" w:space="0" w:color="auto"/>
                      </w:divBdr>
                    </w:div>
                  </w:divsChild>
                </w:div>
                <w:div w:id="1749031581">
                  <w:marLeft w:val="0"/>
                  <w:marRight w:val="0"/>
                  <w:marTop w:val="0"/>
                  <w:marBottom w:val="0"/>
                  <w:divBdr>
                    <w:top w:val="none" w:sz="0" w:space="0" w:color="auto"/>
                    <w:left w:val="none" w:sz="0" w:space="0" w:color="auto"/>
                    <w:bottom w:val="none" w:sz="0" w:space="0" w:color="auto"/>
                    <w:right w:val="none" w:sz="0" w:space="0" w:color="auto"/>
                  </w:divBdr>
                  <w:divsChild>
                    <w:div w:id="335041121">
                      <w:marLeft w:val="0"/>
                      <w:marRight w:val="0"/>
                      <w:marTop w:val="0"/>
                      <w:marBottom w:val="0"/>
                      <w:divBdr>
                        <w:top w:val="none" w:sz="0" w:space="0" w:color="auto"/>
                        <w:left w:val="none" w:sz="0" w:space="0" w:color="auto"/>
                        <w:bottom w:val="none" w:sz="0" w:space="0" w:color="auto"/>
                        <w:right w:val="none" w:sz="0" w:space="0" w:color="auto"/>
                      </w:divBdr>
                    </w:div>
                  </w:divsChild>
                </w:div>
                <w:div w:id="2091733245">
                  <w:marLeft w:val="0"/>
                  <w:marRight w:val="0"/>
                  <w:marTop w:val="0"/>
                  <w:marBottom w:val="0"/>
                  <w:divBdr>
                    <w:top w:val="none" w:sz="0" w:space="0" w:color="auto"/>
                    <w:left w:val="none" w:sz="0" w:space="0" w:color="auto"/>
                    <w:bottom w:val="none" w:sz="0" w:space="0" w:color="auto"/>
                    <w:right w:val="none" w:sz="0" w:space="0" w:color="auto"/>
                  </w:divBdr>
                  <w:divsChild>
                    <w:div w:id="180888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35950">
          <w:marLeft w:val="0"/>
          <w:marRight w:val="0"/>
          <w:marTop w:val="0"/>
          <w:marBottom w:val="0"/>
          <w:divBdr>
            <w:top w:val="none" w:sz="0" w:space="0" w:color="auto"/>
            <w:left w:val="none" w:sz="0" w:space="0" w:color="auto"/>
            <w:bottom w:val="none" w:sz="0" w:space="0" w:color="auto"/>
            <w:right w:val="none" w:sz="0" w:space="0" w:color="auto"/>
          </w:divBdr>
        </w:div>
        <w:div w:id="1048991541">
          <w:marLeft w:val="0"/>
          <w:marRight w:val="0"/>
          <w:marTop w:val="0"/>
          <w:marBottom w:val="0"/>
          <w:divBdr>
            <w:top w:val="none" w:sz="0" w:space="0" w:color="auto"/>
            <w:left w:val="none" w:sz="0" w:space="0" w:color="auto"/>
            <w:bottom w:val="none" w:sz="0" w:space="0" w:color="auto"/>
            <w:right w:val="none" w:sz="0" w:space="0" w:color="auto"/>
          </w:divBdr>
        </w:div>
        <w:div w:id="1058944165">
          <w:marLeft w:val="0"/>
          <w:marRight w:val="0"/>
          <w:marTop w:val="0"/>
          <w:marBottom w:val="0"/>
          <w:divBdr>
            <w:top w:val="none" w:sz="0" w:space="0" w:color="auto"/>
            <w:left w:val="none" w:sz="0" w:space="0" w:color="auto"/>
            <w:bottom w:val="none" w:sz="0" w:space="0" w:color="auto"/>
            <w:right w:val="none" w:sz="0" w:space="0" w:color="auto"/>
          </w:divBdr>
        </w:div>
        <w:div w:id="1946844537">
          <w:marLeft w:val="0"/>
          <w:marRight w:val="0"/>
          <w:marTop w:val="0"/>
          <w:marBottom w:val="0"/>
          <w:divBdr>
            <w:top w:val="none" w:sz="0" w:space="0" w:color="auto"/>
            <w:left w:val="none" w:sz="0" w:space="0" w:color="auto"/>
            <w:bottom w:val="none" w:sz="0" w:space="0" w:color="auto"/>
            <w:right w:val="none" w:sz="0" w:space="0" w:color="auto"/>
          </w:divBdr>
        </w:div>
        <w:div w:id="1980725848">
          <w:marLeft w:val="0"/>
          <w:marRight w:val="0"/>
          <w:marTop w:val="0"/>
          <w:marBottom w:val="0"/>
          <w:divBdr>
            <w:top w:val="none" w:sz="0" w:space="0" w:color="auto"/>
            <w:left w:val="none" w:sz="0" w:space="0" w:color="auto"/>
            <w:bottom w:val="none" w:sz="0" w:space="0" w:color="auto"/>
            <w:right w:val="none" w:sz="0" w:space="0" w:color="auto"/>
          </w:divBdr>
        </w:div>
      </w:divsChild>
    </w:div>
    <w:div w:id="341974107">
      <w:bodyDiv w:val="1"/>
      <w:marLeft w:val="0"/>
      <w:marRight w:val="0"/>
      <w:marTop w:val="0"/>
      <w:marBottom w:val="0"/>
      <w:divBdr>
        <w:top w:val="none" w:sz="0" w:space="0" w:color="auto"/>
        <w:left w:val="none" w:sz="0" w:space="0" w:color="auto"/>
        <w:bottom w:val="none" w:sz="0" w:space="0" w:color="auto"/>
        <w:right w:val="none" w:sz="0" w:space="0" w:color="auto"/>
      </w:divBdr>
    </w:div>
    <w:div w:id="413165609">
      <w:bodyDiv w:val="1"/>
      <w:marLeft w:val="0"/>
      <w:marRight w:val="0"/>
      <w:marTop w:val="0"/>
      <w:marBottom w:val="0"/>
      <w:divBdr>
        <w:top w:val="none" w:sz="0" w:space="0" w:color="auto"/>
        <w:left w:val="none" w:sz="0" w:space="0" w:color="auto"/>
        <w:bottom w:val="none" w:sz="0" w:space="0" w:color="auto"/>
        <w:right w:val="none" w:sz="0" w:space="0" w:color="auto"/>
      </w:divBdr>
    </w:div>
    <w:div w:id="454953565">
      <w:bodyDiv w:val="1"/>
      <w:marLeft w:val="0"/>
      <w:marRight w:val="0"/>
      <w:marTop w:val="0"/>
      <w:marBottom w:val="0"/>
      <w:divBdr>
        <w:top w:val="none" w:sz="0" w:space="0" w:color="auto"/>
        <w:left w:val="none" w:sz="0" w:space="0" w:color="auto"/>
        <w:bottom w:val="none" w:sz="0" w:space="0" w:color="auto"/>
        <w:right w:val="none" w:sz="0" w:space="0" w:color="auto"/>
      </w:divBdr>
    </w:div>
    <w:div w:id="512261206">
      <w:bodyDiv w:val="1"/>
      <w:marLeft w:val="0"/>
      <w:marRight w:val="0"/>
      <w:marTop w:val="0"/>
      <w:marBottom w:val="0"/>
      <w:divBdr>
        <w:top w:val="none" w:sz="0" w:space="0" w:color="auto"/>
        <w:left w:val="none" w:sz="0" w:space="0" w:color="auto"/>
        <w:bottom w:val="none" w:sz="0" w:space="0" w:color="auto"/>
        <w:right w:val="none" w:sz="0" w:space="0" w:color="auto"/>
      </w:divBdr>
    </w:div>
    <w:div w:id="1061830511">
      <w:bodyDiv w:val="1"/>
      <w:marLeft w:val="0"/>
      <w:marRight w:val="0"/>
      <w:marTop w:val="0"/>
      <w:marBottom w:val="0"/>
      <w:divBdr>
        <w:top w:val="none" w:sz="0" w:space="0" w:color="auto"/>
        <w:left w:val="none" w:sz="0" w:space="0" w:color="auto"/>
        <w:bottom w:val="none" w:sz="0" w:space="0" w:color="auto"/>
        <w:right w:val="none" w:sz="0" w:space="0" w:color="auto"/>
      </w:divBdr>
      <w:divsChild>
        <w:div w:id="516117449">
          <w:marLeft w:val="0"/>
          <w:marRight w:val="0"/>
          <w:marTop w:val="0"/>
          <w:marBottom w:val="0"/>
          <w:divBdr>
            <w:top w:val="none" w:sz="0" w:space="0" w:color="auto"/>
            <w:left w:val="none" w:sz="0" w:space="0" w:color="auto"/>
            <w:bottom w:val="none" w:sz="0" w:space="0" w:color="auto"/>
            <w:right w:val="none" w:sz="0" w:space="0" w:color="auto"/>
          </w:divBdr>
        </w:div>
        <w:div w:id="1053433465">
          <w:marLeft w:val="0"/>
          <w:marRight w:val="0"/>
          <w:marTop w:val="0"/>
          <w:marBottom w:val="0"/>
          <w:divBdr>
            <w:top w:val="none" w:sz="0" w:space="0" w:color="auto"/>
            <w:left w:val="none" w:sz="0" w:space="0" w:color="auto"/>
            <w:bottom w:val="none" w:sz="0" w:space="0" w:color="auto"/>
            <w:right w:val="none" w:sz="0" w:space="0" w:color="auto"/>
          </w:divBdr>
        </w:div>
        <w:div w:id="1776364372">
          <w:marLeft w:val="0"/>
          <w:marRight w:val="0"/>
          <w:marTop w:val="0"/>
          <w:marBottom w:val="0"/>
          <w:divBdr>
            <w:top w:val="none" w:sz="0" w:space="0" w:color="auto"/>
            <w:left w:val="none" w:sz="0" w:space="0" w:color="auto"/>
            <w:bottom w:val="none" w:sz="0" w:space="0" w:color="auto"/>
            <w:right w:val="none" w:sz="0" w:space="0" w:color="auto"/>
          </w:divBdr>
        </w:div>
      </w:divsChild>
    </w:div>
    <w:div w:id="1626963329">
      <w:bodyDiv w:val="1"/>
      <w:marLeft w:val="0"/>
      <w:marRight w:val="0"/>
      <w:marTop w:val="0"/>
      <w:marBottom w:val="0"/>
      <w:divBdr>
        <w:top w:val="none" w:sz="0" w:space="0" w:color="auto"/>
        <w:left w:val="none" w:sz="0" w:space="0" w:color="auto"/>
        <w:bottom w:val="none" w:sz="0" w:space="0" w:color="auto"/>
        <w:right w:val="none" w:sz="0" w:space="0" w:color="auto"/>
      </w:divBdr>
    </w:div>
    <w:div w:id="19209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hyperlink" Target="https://treasury.gov.au/submission-guidelines"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www.pmc.gov.au/government/commonwealth-coat-arm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treasury.gov.au/consultation/c2024-509472" TargetMode="External"/><Relationship Id="rId2" Type="http://schemas.openxmlformats.org/officeDocument/2006/relationships/hyperlink" Target="https://treasury.gov.au/consultation/c2022-314397" TargetMode="External"/><Relationship Id="rId1" Type="http://schemas.openxmlformats.org/officeDocument/2006/relationships/hyperlink" Target="https://ministers.treasury.gov.au/ministers/jim-chalmers-2022/media-releases/streamlining-financial-reporting-architecture" TargetMode="External"/><Relationship Id="rId6" Type="http://schemas.openxmlformats.org/officeDocument/2006/relationships/hyperlink" Target="https://treasury.gov.au/publication/clerp-paper-no-9-proposals-for-reform-corporate-disclosure" TargetMode="External"/><Relationship Id="rId5" Type="http://schemas.openxmlformats.org/officeDocument/2006/relationships/hyperlink" Target="https://treasury.gov.au/publication/clerp-paper-no-1-proposals-for-reform-accounting-standards" TargetMode="External"/><Relationship Id="rId4" Type="http://schemas.openxmlformats.org/officeDocument/2006/relationships/hyperlink" Target="https://treasury.gov.au/consultation/c2024-509472"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7593</Words>
  <Characters>43285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Consultation paper: Positioning Australia’s financial reporting system for the future</vt:lpstr>
    </vt:vector>
  </TitlesOfParts>
  <Company/>
  <LinksUpToDate>false</LinksUpToDate>
  <CharactersWithSpaces>50777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Positioning Australia’s financial reporting system for the future</dc:title>
  <dc:subject/>
  <dc:creator/>
  <cp:keywords/>
  <dc:description/>
  <cp:lastModifiedBy/>
  <cp:revision>1</cp:revision>
  <dcterms:created xsi:type="dcterms:W3CDTF">2025-01-22T02:01:00Z</dcterms:created>
  <dcterms:modified xsi:type="dcterms:W3CDTF">2025-01-22T02:02:00Z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2025-01-22T02:02:07Z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09ac9b9d-3bd2-4239-93f8-fb9a8789d2b9</vt:lpwstr>
  </property>
  <property fmtid="{D5CDD505-2E9C-101B-9397-08002B2CF9AE}" pid="8" name="MSIP_Label_4f932d64-9ab1-4d9b-81d2-a3a8b82dd47d_ContentBits">
    <vt:lpwstr>0</vt:lpwstr>
  </property>
</Properties>
</file>