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F82C0" w14:textId="25AC5113" w:rsidR="00554461" w:rsidRDefault="00C35AD3" w:rsidP="006C70D4">
      <w:pPr>
        <w:pStyle w:val="Bullet"/>
      </w:pPr>
      <w:r>
        <w:rPr>
          <w:noProof/>
        </w:rPr>
        <w:drawing>
          <wp:anchor distT="0" distB="0" distL="114300" distR="114300" simplePos="0" relativeHeight="251658240" behindDoc="1" locked="0" layoutInCell="1" allowOverlap="1" wp14:anchorId="59873845" wp14:editId="1A976804">
            <wp:simplePos x="0" y="0"/>
            <wp:positionH relativeFrom="page">
              <wp:align>left</wp:align>
            </wp:positionH>
            <wp:positionV relativeFrom="page">
              <wp:align>top</wp:align>
            </wp:positionV>
            <wp:extent cx="10705465" cy="7577455"/>
            <wp:effectExtent l="0" t="0" r="635" b="4445"/>
            <wp:wrapNone/>
            <wp:docPr id="8" name="Picture 8" descr="Australian Government - The Treasury. Regulatory Initiatives Grid. Edition 1 December 2024">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ustralian Government - The Treasury. Regulatory Initiatives Grid. Edition 1 December 2024">
                      <a:extLst>
                        <a:ext uri="{C183D7F6-B498-43B3-948B-1728B52AA6E4}">
                          <adec:decorative xmlns:adec="http://schemas.microsoft.com/office/drawing/2017/decorative" val="0"/>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0705465" cy="7577455"/>
                    </a:xfrm>
                    <a:prstGeom prst="rect">
                      <a:avLst/>
                    </a:prstGeom>
                  </pic:spPr>
                </pic:pic>
              </a:graphicData>
            </a:graphic>
            <wp14:sizeRelH relativeFrom="margin">
              <wp14:pctWidth>0</wp14:pctWidth>
            </wp14:sizeRelH>
            <wp14:sizeRelV relativeFrom="margin">
              <wp14:pctHeight>0</wp14:pctHeight>
            </wp14:sizeRelV>
          </wp:anchor>
        </w:drawing>
      </w:r>
    </w:p>
    <w:sdt>
      <w:sdtPr>
        <w:id w:val="-1442289537"/>
        <w:docPartObj>
          <w:docPartGallery w:val="Cover Pages"/>
          <w:docPartUnique/>
        </w:docPartObj>
      </w:sdtPr>
      <w:sdtEndPr/>
      <w:sdtContent>
        <w:p w14:paraId="4339ABBA" w14:textId="6436B14A" w:rsidR="00A97160" w:rsidRPr="006D0240" w:rsidRDefault="00C53F18" w:rsidP="009A3724">
          <w:pPr>
            <w:tabs>
              <w:tab w:val="left" w:pos="12090"/>
            </w:tabs>
          </w:pPr>
          <w:r>
            <w:tab/>
          </w:r>
        </w:p>
        <w:p w14:paraId="771F101B" w14:textId="66A22A3B" w:rsidR="00A97160" w:rsidRDefault="00A97160">
          <w:pPr>
            <w:spacing w:before="0" w:after="160" w:line="259" w:lineRule="auto"/>
          </w:pPr>
          <w:r>
            <w:br w:type="page"/>
          </w:r>
        </w:p>
      </w:sdtContent>
    </w:sdt>
    <w:p w14:paraId="381FB2C9" w14:textId="37ACC913" w:rsidR="00AA09F4" w:rsidRDefault="00AA09F4" w:rsidP="00AA09F4">
      <w:pPr>
        <w:spacing w:before="0" w:after="160"/>
        <w:rPr>
          <w:sz w:val="18"/>
          <w:szCs w:val="16"/>
        </w:rPr>
        <w:sectPr w:rsidR="00AA09F4" w:rsidSect="0000027C">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418" w:bottom="1418" w:left="1418" w:header="709" w:footer="709" w:gutter="0"/>
          <w:pgNumType w:fmt="lowerRoman" w:start="0"/>
          <w:cols w:space="708"/>
          <w:titlePg/>
          <w:docGrid w:linePitch="360"/>
        </w:sectPr>
      </w:pPr>
    </w:p>
    <w:p w14:paraId="498A86BE" w14:textId="3BD635FD" w:rsidR="009B5EA5" w:rsidRPr="00571A20" w:rsidRDefault="00AA09F4" w:rsidP="009B5EA5">
      <w:pPr>
        <w:pStyle w:val="CreativeCommons"/>
        <w:rPr>
          <w:szCs w:val="17"/>
        </w:rPr>
      </w:pPr>
      <w:r>
        <w:lastRenderedPageBreak/>
        <w:br w:type="column"/>
      </w:r>
      <w:r w:rsidR="009B5EA5" w:rsidRPr="00571A20">
        <w:rPr>
          <w:szCs w:val="17"/>
        </w:rPr>
        <w:t>© Commonwealth of Australia 202</w:t>
      </w:r>
      <w:r w:rsidR="00E46B8C">
        <w:rPr>
          <w:szCs w:val="17"/>
        </w:rPr>
        <w:t>4</w:t>
      </w:r>
    </w:p>
    <w:p w14:paraId="6260153E" w14:textId="56129C05" w:rsidR="009B5EA5" w:rsidRPr="00F35BD5" w:rsidRDefault="009B5EA5" w:rsidP="00F35BD5">
      <w:pPr>
        <w:pStyle w:val="CreativeCommons"/>
      </w:pPr>
      <w:r w:rsidRPr="00F35BD5">
        <w:t>ISBN:</w:t>
      </w:r>
      <w:r w:rsidR="00F35BD5" w:rsidRPr="00F35BD5">
        <w:t xml:space="preserve"> 978</w:t>
      </w:r>
      <w:r w:rsidR="0008745D">
        <w:noBreakHyphen/>
      </w:r>
      <w:r w:rsidR="00F35BD5" w:rsidRPr="00F35BD5">
        <w:t>1</w:t>
      </w:r>
      <w:r w:rsidR="0008745D">
        <w:noBreakHyphen/>
      </w:r>
      <w:r w:rsidR="00F35BD5" w:rsidRPr="00F35BD5">
        <w:t>923278</w:t>
      </w:r>
      <w:r w:rsidR="0008745D">
        <w:noBreakHyphen/>
      </w:r>
      <w:r w:rsidR="00F35BD5" w:rsidRPr="00F35BD5">
        <w:t>04</w:t>
      </w:r>
      <w:r w:rsidR="0008745D">
        <w:noBreakHyphen/>
      </w:r>
      <w:r w:rsidR="00F35BD5" w:rsidRPr="00F35BD5">
        <w:t>2</w:t>
      </w:r>
    </w:p>
    <w:p w14:paraId="1B1BCCC8" w14:textId="37B1C46C" w:rsidR="009B5EA5" w:rsidRPr="00571A20" w:rsidRDefault="009B5EA5" w:rsidP="009B5EA5">
      <w:pPr>
        <w:pStyle w:val="CreativeCommons"/>
        <w:rPr>
          <w:szCs w:val="17"/>
        </w:rPr>
      </w:pPr>
      <w:r w:rsidRPr="00571A20">
        <w:rPr>
          <w:szCs w:val="17"/>
        </w:rPr>
        <w:t xml:space="preserve">This publication is available for your use under a </w:t>
      </w:r>
      <w:r w:rsidRPr="001545DB">
        <w:rPr>
          <w:rStyle w:val="Hyperlink"/>
          <w:sz w:val="17"/>
          <w:szCs w:val="17"/>
        </w:rPr>
        <w:t>Creative Commons Attribution 4.0 International</w:t>
      </w:r>
      <w:r w:rsidRPr="001545DB">
        <w:rPr>
          <w:sz w:val="18"/>
          <w:szCs w:val="18"/>
        </w:rPr>
        <w:t xml:space="preserve"> </w:t>
      </w:r>
      <w:r w:rsidRPr="00571A20">
        <w:rPr>
          <w:szCs w:val="17"/>
        </w:rPr>
        <w:t xml:space="preserve">licence, </w:t>
      </w:r>
      <w:proofErr w:type="gramStart"/>
      <w:r w:rsidRPr="00571A20">
        <w:rPr>
          <w:szCs w:val="17"/>
        </w:rPr>
        <w:t>with the exception of</w:t>
      </w:r>
      <w:proofErr w:type="gramEnd"/>
      <w:r w:rsidRPr="00571A20">
        <w:rPr>
          <w:szCs w:val="17"/>
        </w:rPr>
        <w:t xml:space="preserve"> the Commonwealth Coat of Arms, the Treasury logo, photographs, images, third party materials, materials protected by a</w:t>
      </w:r>
      <w:r w:rsidR="00223305" w:rsidRPr="00571A20">
        <w:rPr>
          <w:szCs w:val="17"/>
        </w:rPr>
        <w:t> </w:t>
      </w:r>
      <w:r w:rsidRPr="00571A20">
        <w:rPr>
          <w:szCs w:val="17"/>
        </w:rPr>
        <w:t xml:space="preserve">trademark, signatures and where otherwise stated. The full licence terms are available from </w:t>
      </w:r>
      <w:r w:rsidRPr="001545DB">
        <w:rPr>
          <w:rStyle w:val="Hyperlink"/>
          <w:sz w:val="17"/>
          <w:szCs w:val="17"/>
        </w:rPr>
        <w:t>creativecommons.org/licenses/by/4.0/</w:t>
      </w:r>
      <w:proofErr w:type="spellStart"/>
      <w:r w:rsidRPr="001545DB">
        <w:rPr>
          <w:rStyle w:val="Hyperlink"/>
          <w:sz w:val="17"/>
          <w:szCs w:val="17"/>
        </w:rPr>
        <w:t>legalcode</w:t>
      </w:r>
      <w:proofErr w:type="spellEnd"/>
      <w:r w:rsidRPr="001545DB">
        <w:rPr>
          <w:sz w:val="18"/>
          <w:szCs w:val="18"/>
        </w:rPr>
        <w:t xml:space="preserve">. </w:t>
      </w:r>
    </w:p>
    <w:p w14:paraId="148BE5A8" w14:textId="7D8C1C95" w:rsidR="009B5EA5" w:rsidRPr="00571A20" w:rsidRDefault="009B5EA5" w:rsidP="009B5EA5">
      <w:pPr>
        <w:pStyle w:val="CreativeCommons"/>
      </w:pPr>
      <w:r w:rsidRPr="00571A20">
        <w:rPr>
          <w:szCs w:val="17"/>
        </w:rPr>
        <w:t xml:space="preserve"> </w:t>
      </w:r>
      <w:r w:rsidRPr="00571A20">
        <w:rPr>
          <w:noProof/>
          <w:szCs w:val="17"/>
        </w:rPr>
        <w:drawing>
          <wp:inline distT="0" distB="0" distL="0" distR="0" wp14:anchorId="03316DFA" wp14:editId="0696F6A4">
            <wp:extent cx="809625" cy="285750"/>
            <wp:effectExtent l="0" t="0" r="9525" b="0"/>
            <wp:docPr id="3" name="Picture 3" descr="Creative Commons badge: 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badge: CC-B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55F61F11" w14:textId="558CFC75" w:rsidR="009B5EA5" w:rsidRPr="00571A20" w:rsidRDefault="009B5EA5" w:rsidP="009B5EA5">
      <w:pPr>
        <w:pStyle w:val="CreativeCommons"/>
        <w:rPr>
          <w:szCs w:val="17"/>
        </w:rPr>
      </w:pPr>
      <w:r w:rsidRPr="00571A20">
        <w:rPr>
          <w:szCs w:val="17"/>
        </w:rPr>
        <w:t xml:space="preserve">Use of Treasury material under a </w:t>
      </w:r>
      <w:r w:rsidRPr="001545DB">
        <w:rPr>
          <w:rStyle w:val="Hyperlink"/>
          <w:sz w:val="17"/>
          <w:szCs w:val="17"/>
        </w:rPr>
        <w:t>Creative Commons Attribution 4.0 International</w:t>
      </w:r>
      <w:r w:rsidRPr="001545DB">
        <w:rPr>
          <w:sz w:val="18"/>
          <w:szCs w:val="18"/>
        </w:rPr>
        <w:t xml:space="preserve"> </w:t>
      </w:r>
      <w:r w:rsidRPr="00571A20">
        <w:rPr>
          <w:szCs w:val="17"/>
        </w:rPr>
        <w:t>licence requires you to attribute the work (but not in any way that suggests that the Treasury endorses you or your use of the work).</w:t>
      </w:r>
    </w:p>
    <w:p w14:paraId="5E12C27D" w14:textId="75BF6600" w:rsidR="009B5EA5" w:rsidRPr="00571A20" w:rsidRDefault="009B5EA5" w:rsidP="00571A20">
      <w:pPr>
        <w:pStyle w:val="CreativeCommons"/>
        <w:spacing w:before="180"/>
        <w:rPr>
          <w:rStyle w:val="Strong"/>
          <w:szCs w:val="17"/>
        </w:rPr>
      </w:pPr>
      <w:r w:rsidRPr="00571A20">
        <w:rPr>
          <w:rStyle w:val="Strong"/>
          <w:szCs w:val="17"/>
        </w:rPr>
        <w:t xml:space="preserve">Treasury material used </w:t>
      </w:r>
      <w:r w:rsidR="0008745D">
        <w:rPr>
          <w:rStyle w:val="Strong"/>
          <w:szCs w:val="17"/>
        </w:rPr>
        <w:t>‘</w:t>
      </w:r>
      <w:r w:rsidRPr="00571A20">
        <w:rPr>
          <w:rStyle w:val="Strong"/>
          <w:szCs w:val="17"/>
        </w:rPr>
        <w:t xml:space="preserve">as </w:t>
      </w:r>
      <w:proofErr w:type="gramStart"/>
      <w:r w:rsidRPr="00571A20">
        <w:rPr>
          <w:rStyle w:val="Strong"/>
          <w:szCs w:val="17"/>
        </w:rPr>
        <w:t>supplied</w:t>
      </w:r>
      <w:r w:rsidR="0008745D">
        <w:rPr>
          <w:rStyle w:val="Strong"/>
          <w:szCs w:val="17"/>
        </w:rPr>
        <w:t>’</w:t>
      </w:r>
      <w:proofErr w:type="gramEnd"/>
    </w:p>
    <w:p w14:paraId="10BC2428" w14:textId="77777777" w:rsidR="009B5EA5" w:rsidRPr="00571A20" w:rsidRDefault="009B5EA5" w:rsidP="009B5EA5">
      <w:pPr>
        <w:pStyle w:val="CreativeCommons"/>
        <w:rPr>
          <w:szCs w:val="17"/>
        </w:rPr>
      </w:pPr>
      <w:r w:rsidRPr="00571A20">
        <w:rPr>
          <w:szCs w:val="17"/>
        </w:rPr>
        <w:t xml:space="preserve">Provided you have not modified or transformed Treasury material in any way including, for example, by changing the Treasury text; calculating percentage changes; graphing or charting data; or deriving new statistics from published Treasury statistics – then Treasury prefers the following attribution: </w:t>
      </w:r>
    </w:p>
    <w:p w14:paraId="1CC3D7D8" w14:textId="7019801A" w:rsidR="009B5EA5" w:rsidRPr="00571A20" w:rsidRDefault="009B5EA5" w:rsidP="00571A20">
      <w:pPr>
        <w:pStyle w:val="CreativeCommons"/>
        <w:rPr>
          <w:i/>
          <w:iCs/>
          <w:szCs w:val="17"/>
        </w:rPr>
      </w:pPr>
      <w:r w:rsidRPr="00571A20">
        <w:rPr>
          <w:i/>
          <w:iCs/>
          <w:szCs w:val="17"/>
        </w:rPr>
        <w:t xml:space="preserve">Source: The </w:t>
      </w:r>
      <w:r w:rsidR="007A5FD4" w:rsidRPr="007A5FD4">
        <w:rPr>
          <w:i/>
          <w:iCs/>
          <w:szCs w:val="17"/>
        </w:rPr>
        <w:t>Australian Government</w:t>
      </w:r>
      <w:r w:rsidR="007A5FD4">
        <w:rPr>
          <w:i/>
          <w:iCs/>
          <w:szCs w:val="17"/>
        </w:rPr>
        <w:t xml:space="preserve"> the </w:t>
      </w:r>
      <w:r w:rsidR="00571A20" w:rsidRPr="00571A20">
        <w:rPr>
          <w:i/>
          <w:iCs/>
          <w:szCs w:val="17"/>
        </w:rPr>
        <w:t>Treasury, Australian Taxation Office (ATO) Australian Securities and Investments Commission (ASIC), Attorney</w:t>
      </w:r>
      <w:r w:rsidR="0045500B">
        <w:rPr>
          <w:i/>
          <w:iCs/>
          <w:szCs w:val="17"/>
        </w:rPr>
        <w:noBreakHyphen/>
      </w:r>
      <w:r w:rsidR="00571A20" w:rsidRPr="00571A20">
        <w:rPr>
          <w:i/>
          <w:iCs/>
          <w:szCs w:val="17"/>
        </w:rPr>
        <w:t>General</w:t>
      </w:r>
      <w:r w:rsidR="0008745D">
        <w:rPr>
          <w:i/>
          <w:iCs/>
          <w:szCs w:val="17"/>
        </w:rPr>
        <w:t>’</w:t>
      </w:r>
      <w:r w:rsidR="00571A20" w:rsidRPr="00571A20">
        <w:rPr>
          <w:i/>
          <w:iCs/>
          <w:szCs w:val="17"/>
        </w:rPr>
        <w:t>s Department (AGD), Australian Prudential Regulation Authority (APRA), Australian Transaction Reports and Analysis Centre (AUSTRAC), Reserve Bank of Australia (RBA), Australian Financial Security Authority (AFSA) and the Australian Competition and Consumer Commission (ACCC)</w:t>
      </w:r>
      <w:r w:rsidR="007B1691">
        <w:rPr>
          <w:i/>
          <w:iCs/>
          <w:szCs w:val="17"/>
        </w:rPr>
        <w:t xml:space="preserve">. </w:t>
      </w:r>
    </w:p>
    <w:p w14:paraId="203C2D9F" w14:textId="77777777" w:rsidR="009B5EA5" w:rsidRPr="00571A20" w:rsidRDefault="009B5EA5" w:rsidP="00571A20">
      <w:pPr>
        <w:pStyle w:val="CreativeCommons"/>
        <w:spacing w:before="180"/>
        <w:rPr>
          <w:rStyle w:val="Strong"/>
          <w:szCs w:val="17"/>
        </w:rPr>
      </w:pPr>
      <w:r w:rsidRPr="00571A20">
        <w:rPr>
          <w:rStyle w:val="Strong"/>
          <w:szCs w:val="17"/>
        </w:rPr>
        <w:t>Derivative material</w:t>
      </w:r>
    </w:p>
    <w:p w14:paraId="3FAEF06C" w14:textId="77777777" w:rsidR="009B5EA5" w:rsidRPr="00571A20" w:rsidRDefault="009B5EA5" w:rsidP="009B5EA5">
      <w:pPr>
        <w:pStyle w:val="CreativeCommons"/>
        <w:rPr>
          <w:szCs w:val="17"/>
        </w:rPr>
      </w:pPr>
      <w:r w:rsidRPr="00571A20">
        <w:rPr>
          <w:szCs w:val="17"/>
        </w:rPr>
        <w:t xml:space="preserve">If you have modified or transformed Treasury material, or derived new material from those of the Treasury in any way, then Treasury prefers the following attribution: </w:t>
      </w:r>
    </w:p>
    <w:p w14:paraId="354A39E6" w14:textId="77777777" w:rsidR="009B5EA5" w:rsidRPr="00571A20" w:rsidRDefault="009B5EA5" w:rsidP="00571A20">
      <w:pPr>
        <w:pStyle w:val="CreativeCommons"/>
        <w:rPr>
          <w:i/>
          <w:iCs/>
          <w:szCs w:val="17"/>
        </w:rPr>
      </w:pPr>
      <w:r w:rsidRPr="00571A20">
        <w:rPr>
          <w:i/>
          <w:iCs/>
          <w:szCs w:val="17"/>
        </w:rPr>
        <w:t>Based on Commonwealth of Australia data.</w:t>
      </w:r>
    </w:p>
    <w:p w14:paraId="7B9BFE26" w14:textId="77777777" w:rsidR="009B5EA5" w:rsidRPr="00571A20" w:rsidRDefault="009B5EA5" w:rsidP="00571A20">
      <w:pPr>
        <w:pStyle w:val="CreativeCommons"/>
        <w:spacing w:before="180"/>
        <w:rPr>
          <w:rStyle w:val="Strong"/>
          <w:szCs w:val="17"/>
        </w:rPr>
      </w:pPr>
      <w:r w:rsidRPr="00571A20">
        <w:rPr>
          <w:rStyle w:val="Strong"/>
          <w:szCs w:val="17"/>
        </w:rPr>
        <w:t>Use of the Coat of Arms</w:t>
      </w:r>
    </w:p>
    <w:p w14:paraId="2A71F097" w14:textId="6544C200" w:rsidR="009B5EA5" w:rsidRPr="00571A20" w:rsidRDefault="009B5EA5" w:rsidP="009B5EA5">
      <w:pPr>
        <w:pStyle w:val="CreativeCommons"/>
        <w:rPr>
          <w:szCs w:val="17"/>
        </w:rPr>
      </w:pPr>
      <w:r w:rsidRPr="00571A20">
        <w:rPr>
          <w:szCs w:val="17"/>
        </w:rPr>
        <w:t>The terms under which the Coat of Arms can be used are set out on the Department of the Prime Minister and Cabinet website (see</w:t>
      </w:r>
      <w:r w:rsidR="001545DB">
        <w:rPr>
          <w:szCs w:val="17"/>
        </w:rPr>
        <w:t> </w:t>
      </w:r>
      <w:r w:rsidRPr="001545DB">
        <w:rPr>
          <w:rStyle w:val="Hyperlink"/>
          <w:sz w:val="17"/>
          <w:szCs w:val="17"/>
        </w:rPr>
        <w:t>www.pmc.gov.au/government/commonwealth</w:t>
      </w:r>
      <w:r w:rsidR="0008745D">
        <w:rPr>
          <w:rStyle w:val="Hyperlink"/>
          <w:sz w:val="17"/>
          <w:szCs w:val="17"/>
        </w:rPr>
        <w:noBreakHyphen/>
      </w:r>
      <w:r w:rsidRPr="001545DB">
        <w:rPr>
          <w:rStyle w:val="Hyperlink"/>
          <w:sz w:val="17"/>
          <w:szCs w:val="17"/>
        </w:rPr>
        <w:t>coat</w:t>
      </w:r>
      <w:r w:rsidR="0008745D">
        <w:rPr>
          <w:rStyle w:val="Hyperlink"/>
          <w:sz w:val="17"/>
          <w:szCs w:val="17"/>
        </w:rPr>
        <w:noBreakHyphen/>
      </w:r>
      <w:r w:rsidRPr="001545DB">
        <w:rPr>
          <w:rStyle w:val="Hyperlink"/>
          <w:sz w:val="17"/>
          <w:szCs w:val="17"/>
        </w:rPr>
        <w:t>arms</w:t>
      </w:r>
      <w:r w:rsidRPr="00571A20">
        <w:rPr>
          <w:szCs w:val="17"/>
        </w:rPr>
        <w:t>).</w:t>
      </w:r>
    </w:p>
    <w:p w14:paraId="7027A333" w14:textId="77777777" w:rsidR="009B5EA5" w:rsidRPr="00571A20" w:rsidRDefault="009B5EA5" w:rsidP="00571A20">
      <w:pPr>
        <w:pStyle w:val="CreativeCommons"/>
        <w:spacing w:before="180"/>
        <w:rPr>
          <w:rStyle w:val="Strong"/>
          <w:szCs w:val="17"/>
        </w:rPr>
      </w:pPr>
      <w:r w:rsidRPr="00571A20">
        <w:rPr>
          <w:rStyle w:val="Strong"/>
          <w:szCs w:val="17"/>
        </w:rPr>
        <w:t>Other uses</w:t>
      </w:r>
    </w:p>
    <w:p w14:paraId="3BACCD45" w14:textId="77777777" w:rsidR="009B5EA5" w:rsidRPr="00571A20" w:rsidRDefault="009B5EA5" w:rsidP="009B5EA5">
      <w:pPr>
        <w:pStyle w:val="CreativeCommons"/>
        <w:rPr>
          <w:szCs w:val="17"/>
        </w:rPr>
      </w:pPr>
      <w:r w:rsidRPr="00571A20">
        <w:rPr>
          <w:szCs w:val="17"/>
        </w:rPr>
        <w:t>Enquiries regarding this licence and any other use of this document are welcome at:</w:t>
      </w:r>
    </w:p>
    <w:p w14:paraId="4B5CFB0D" w14:textId="5A73C41A" w:rsidR="009B5EA5" w:rsidRPr="00571A20" w:rsidRDefault="009B5EA5" w:rsidP="00571A20">
      <w:pPr>
        <w:pStyle w:val="CreativeCommons"/>
        <w:spacing w:after="0"/>
        <w:rPr>
          <w:szCs w:val="17"/>
        </w:rPr>
      </w:pPr>
      <w:r w:rsidRPr="00571A20">
        <w:rPr>
          <w:szCs w:val="17"/>
        </w:rPr>
        <w:t>Manager, Media Unit</w:t>
      </w:r>
      <w:r w:rsidR="00571A20">
        <w:rPr>
          <w:szCs w:val="17"/>
        </w:rPr>
        <w:br/>
      </w:r>
      <w:r w:rsidRPr="00571A20">
        <w:rPr>
          <w:szCs w:val="17"/>
        </w:rPr>
        <w:t>The Treasury</w:t>
      </w:r>
    </w:p>
    <w:p w14:paraId="3690C6B4" w14:textId="74C8CE0F" w:rsidR="009B5EA5" w:rsidRPr="00571A20" w:rsidRDefault="009B5EA5" w:rsidP="009B5EA5">
      <w:pPr>
        <w:pStyle w:val="CreativeCommons"/>
        <w:spacing w:before="0" w:after="0"/>
        <w:rPr>
          <w:szCs w:val="17"/>
        </w:rPr>
      </w:pPr>
      <w:r w:rsidRPr="00571A20">
        <w:rPr>
          <w:szCs w:val="17"/>
        </w:rPr>
        <w:t>Langton Crescent</w:t>
      </w:r>
      <w:r w:rsidR="00571A20" w:rsidRPr="00571A20">
        <w:rPr>
          <w:szCs w:val="17"/>
        </w:rPr>
        <w:t>,</w:t>
      </w:r>
      <w:r w:rsidRPr="00571A20">
        <w:rPr>
          <w:szCs w:val="17"/>
        </w:rPr>
        <w:t xml:space="preserve"> Parkes</w:t>
      </w:r>
      <w:r w:rsidR="00571A20" w:rsidRPr="00571A20">
        <w:rPr>
          <w:szCs w:val="17"/>
        </w:rPr>
        <w:t xml:space="preserve">, </w:t>
      </w:r>
      <w:r w:rsidRPr="00571A20">
        <w:rPr>
          <w:szCs w:val="17"/>
        </w:rPr>
        <w:t>AC</w:t>
      </w:r>
      <w:r w:rsidR="00571A20" w:rsidRPr="00571A20">
        <w:rPr>
          <w:szCs w:val="17"/>
        </w:rPr>
        <w:t>T</w:t>
      </w:r>
      <w:r w:rsidRPr="00571A20">
        <w:rPr>
          <w:szCs w:val="17"/>
        </w:rPr>
        <w:t xml:space="preserve"> 2600</w:t>
      </w:r>
    </w:p>
    <w:p w14:paraId="6B23B5EA" w14:textId="77777777" w:rsidR="009B5EA5" w:rsidRPr="001545DB" w:rsidRDefault="009B5EA5" w:rsidP="009B5EA5">
      <w:pPr>
        <w:pStyle w:val="CreativeCommons"/>
        <w:spacing w:before="0"/>
        <w:rPr>
          <w:szCs w:val="17"/>
        </w:rPr>
      </w:pPr>
      <w:r w:rsidRPr="00571A20">
        <w:rPr>
          <w:szCs w:val="17"/>
        </w:rPr>
        <w:t xml:space="preserve">Email: </w:t>
      </w:r>
      <w:r w:rsidRPr="001545DB">
        <w:rPr>
          <w:rStyle w:val="Hyperlink"/>
          <w:sz w:val="17"/>
          <w:szCs w:val="17"/>
        </w:rPr>
        <w:t>media@treasury.gov.au</w:t>
      </w:r>
    </w:p>
    <w:p w14:paraId="17E537B2" w14:textId="77777777" w:rsidR="00635703" w:rsidRPr="00571A20" w:rsidRDefault="009B5EA5" w:rsidP="009B5EA5">
      <w:pPr>
        <w:pStyle w:val="CreativeCommons"/>
        <w:rPr>
          <w:szCs w:val="17"/>
        </w:rPr>
        <w:sectPr w:rsidR="00635703" w:rsidRPr="00571A20" w:rsidSect="0000027C">
          <w:headerReference w:type="even" r:id="rId15"/>
          <w:headerReference w:type="default" r:id="rId16"/>
          <w:footerReference w:type="even" r:id="rId17"/>
          <w:footerReference w:type="default" r:id="rId18"/>
          <w:headerReference w:type="first" r:id="rId19"/>
          <w:footerReference w:type="first" r:id="rId20"/>
          <w:type w:val="continuous"/>
          <w:pgSz w:w="16838" w:h="11906" w:orient="landscape" w:code="9"/>
          <w:pgMar w:top="1418" w:right="1418" w:bottom="1418" w:left="1418" w:header="709" w:footer="709" w:gutter="0"/>
          <w:pgNumType w:fmt="lowerRoman" w:start="0"/>
          <w:cols w:num="2" w:space="1755" w:equalWidth="0">
            <w:col w:w="3175" w:space="1755"/>
            <w:col w:w="9072"/>
          </w:cols>
          <w:titlePg/>
          <w:docGrid w:linePitch="360"/>
        </w:sectPr>
      </w:pPr>
      <w:r w:rsidRPr="00571A20">
        <w:rPr>
          <w:szCs w:val="17"/>
        </w:rPr>
        <w:t xml:space="preserve">In the spirit of reconciliation, the Treasury acknowledges the Traditional Custodians of country throughout Australia and their connections to land, </w:t>
      </w:r>
      <w:proofErr w:type="gramStart"/>
      <w:r w:rsidRPr="00571A20">
        <w:rPr>
          <w:szCs w:val="17"/>
        </w:rPr>
        <w:t>sea</w:t>
      </w:r>
      <w:proofErr w:type="gramEnd"/>
      <w:r w:rsidRPr="00571A20">
        <w:rPr>
          <w:szCs w:val="17"/>
        </w:rPr>
        <w:t xml:space="preserve"> and community. We pay our respect to their Elders past and present and extend that respect to all Aboriginal and Torres Strait Islander peoples.</w:t>
      </w:r>
    </w:p>
    <w:p w14:paraId="3B9A67F2" w14:textId="77777777" w:rsidR="00542846" w:rsidRDefault="000E0B74" w:rsidP="00EF3274">
      <w:pPr>
        <w:pStyle w:val="Heading1"/>
        <w:rPr>
          <w:rStyle w:val="Heading1Char"/>
          <w:bCs/>
        </w:rPr>
      </w:pPr>
      <w:bookmarkStart w:id="0" w:name="_Toc111026801"/>
      <w:bookmarkStart w:id="1" w:name="_Toc173760498"/>
      <w:bookmarkStart w:id="2" w:name="_Toc177049569"/>
      <w:bookmarkStart w:id="3" w:name="_Toc183095601"/>
      <w:r w:rsidRPr="00EF3274">
        <w:rPr>
          <w:rStyle w:val="Heading1Char"/>
          <w:b/>
        </w:rPr>
        <w:lastRenderedPageBreak/>
        <w:t>Contents</w:t>
      </w:r>
      <w:bookmarkEnd w:id="0"/>
      <w:bookmarkEnd w:id="1"/>
      <w:bookmarkEnd w:id="2"/>
      <w:bookmarkEnd w:id="3"/>
    </w:p>
    <w:p w14:paraId="42752541" w14:textId="77777777" w:rsidR="00B04EA3" w:rsidRDefault="00542846" w:rsidP="00542846">
      <w:pPr>
        <w:pStyle w:val="GhostLine"/>
        <w:rPr>
          <w:noProof/>
        </w:rPr>
      </w:pPr>
      <w:r>
        <w:rPr>
          <w:rStyle w:val="Heading1Char"/>
          <w:b w:val="0"/>
          <w:bCs/>
        </w:rPr>
        <w:br w:type="column"/>
      </w:r>
      <w:r w:rsidR="000E0B74" w:rsidRPr="007F2839">
        <w:fldChar w:fldCharType="begin"/>
      </w:r>
      <w:r w:rsidR="000E0B74" w:rsidRPr="007F2839">
        <w:instrText xml:space="preserve"> TOC \o "1-3" \h \z \u </w:instrText>
      </w:r>
      <w:r w:rsidR="000E0B74" w:rsidRPr="007F2839">
        <w:fldChar w:fldCharType="separate"/>
      </w:r>
    </w:p>
    <w:p w14:paraId="13E54659" w14:textId="10EFE834" w:rsidR="00B04EA3" w:rsidRDefault="001D4D7F">
      <w:pPr>
        <w:pStyle w:val="TOC1"/>
        <w:rPr>
          <w:rFonts w:asciiTheme="minorHAnsi" w:eastAsiaTheme="minorEastAsia" w:hAnsiTheme="minorHAnsi" w:cstheme="minorBidi"/>
          <w:b w:val="0"/>
          <w:color w:val="auto"/>
          <w:kern w:val="2"/>
          <w14:ligatures w14:val="standardContextual"/>
        </w:rPr>
      </w:pPr>
      <w:hyperlink w:anchor="_Toc183095602" w:history="1">
        <w:r w:rsidR="00B04EA3" w:rsidRPr="00CA5B20">
          <w:rPr>
            <w:rStyle w:val="Hyperlink"/>
          </w:rPr>
          <w:t>Foreword</w:t>
        </w:r>
        <w:r w:rsidR="00B04EA3">
          <w:rPr>
            <w:webHidden/>
          </w:rPr>
          <w:tab/>
        </w:r>
        <w:r w:rsidR="00B04EA3">
          <w:rPr>
            <w:webHidden/>
          </w:rPr>
          <w:fldChar w:fldCharType="begin"/>
        </w:r>
        <w:r w:rsidR="00B04EA3">
          <w:rPr>
            <w:webHidden/>
          </w:rPr>
          <w:instrText xml:space="preserve"> PAGEREF _Toc183095602 \h </w:instrText>
        </w:r>
        <w:r w:rsidR="00B04EA3">
          <w:rPr>
            <w:webHidden/>
          </w:rPr>
        </w:r>
        <w:r w:rsidR="00B04EA3">
          <w:rPr>
            <w:webHidden/>
          </w:rPr>
          <w:fldChar w:fldCharType="separate"/>
        </w:r>
        <w:r w:rsidR="00F56F56">
          <w:rPr>
            <w:webHidden/>
          </w:rPr>
          <w:t>1</w:t>
        </w:r>
        <w:r w:rsidR="00B04EA3">
          <w:rPr>
            <w:webHidden/>
          </w:rPr>
          <w:fldChar w:fldCharType="end"/>
        </w:r>
      </w:hyperlink>
    </w:p>
    <w:p w14:paraId="5DC87DCD" w14:textId="0369E2AE" w:rsidR="00B04EA3" w:rsidRDefault="001D4D7F">
      <w:pPr>
        <w:pStyle w:val="TOC1"/>
        <w:rPr>
          <w:rFonts w:asciiTheme="minorHAnsi" w:eastAsiaTheme="minorEastAsia" w:hAnsiTheme="minorHAnsi" w:cstheme="minorBidi"/>
          <w:b w:val="0"/>
          <w:color w:val="auto"/>
          <w:kern w:val="2"/>
          <w14:ligatures w14:val="standardContextual"/>
        </w:rPr>
      </w:pPr>
      <w:hyperlink w:anchor="_Toc183095603" w:history="1">
        <w:r w:rsidR="00B04EA3" w:rsidRPr="00CA5B20">
          <w:rPr>
            <w:rStyle w:val="Hyperlink"/>
          </w:rPr>
          <w:t>Snapshot of regulatory initiatives</w:t>
        </w:r>
        <w:r w:rsidR="00B04EA3">
          <w:rPr>
            <w:webHidden/>
          </w:rPr>
          <w:tab/>
        </w:r>
        <w:r w:rsidR="00B04EA3">
          <w:rPr>
            <w:webHidden/>
          </w:rPr>
          <w:fldChar w:fldCharType="begin"/>
        </w:r>
        <w:r w:rsidR="00B04EA3">
          <w:rPr>
            <w:webHidden/>
          </w:rPr>
          <w:instrText xml:space="preserve"> PAGEREF _Toc183095603 \h </w:instrText>
        </w:r>
        <w:r w:rsidR="00B04EA3">
          <w:rPr>
            <w:webHidden/>
          </w:rPr>
        </w:r>
        <w:r w:rsidR="00B04EA3">
          <w:rPr>
            <w:webHidden/>
          </w:rPr>
          <w:fldChar w:fldCharType="separate"/>
        </w:r>
        <w:r w:rsidR="00F56F56">
          <w:rPr>
            <w:webHidden/>
          </w:rPr>
          <w:t>2</w:t>
        </w:r>
        <w:r w:rsidR="00B04EA3">
          <w:rPr>
            <w:webHidden/>
          </w:rPr>
          <w:fldChar w:fldCharType="end"/>
        </w:r>
      </w:hyperlink>
    </w:p>
    <w:p w14:paraId="6F8F0786" w14:textId="34273462" w:rsidR="00B04EA3" w:rsidRDefault="001D4D7F">
      <w:pPr>
        <w:pStyle w:val="TOC1"/>
        <w:rPr>
          <w:rFonts w:asciiTheme="minorHAnsi" w:eastAsiaTheme="minorEastAsia" w:hAnsiTheme="minorHAnsi" w:cstheme="minorBidi"/>
          <w:b w:val="0"/>
          <w:color w:val="auto"/>
          <w:kern w:val="2"/>
          <w14:ligatures w14:val="standardContextual"/>
        </w:rPr>
      </w:pPr>
      <w:hyperlink w:anchor="_Toc183095604" w:history="1">
        <w:r w:rsidR="00B04EA3" w:rsidRPr="00CA5B20">
          <w:rPr>
            <w:rStyle w:val="Hyperlink"/>
          </w:rPr>
          <w:t>Introduction</w:t>
        </w:r>
        <w:r w:rsidR="00B04EA3">
          <w:rPr>
            <w:webHidden/>
          </w:rPr>
          <w:tab/>
        </w:r>
        <w:r w:rsidR="00B04EA3">
          <w:rPr>
            <w:webHidden/>
          </w:rPr>
          <w:fldChar w:fldCharType="begin"/>
        </w:r>
        <w:r w:rsidR="00B04EA3">
          <w:rPr>
            <w:webHidden/>
          </w:rPr>
          <w:instrText xml:space="preserve"> PAGEREF _Toc183095604 \h </w:instrText>
        </w:r>
        <w:r w:rsidR="00B04EA3">
          <w:rPr>
            <w:webHidden/>
          </w:rPr>
        </w:r>
        <w:r w:rsidR="00B04EA3">
          <w:rPr>
            <w:webHidden/>
          </w:rPr>
          <w:fldChar w:fldCharType="separate"/>
        </w:r>
        <w:r w:rsidR="00F56F56">
          <w:rPr>
            <w:webHidden/>
          </w:rPr>
          <w:t>4</w:t>
        </w:r>
        <w:r w:rsidR="00B04EA3">
          <w:rPr>
            <w:webHidden/>
          </w:rPr>
          <w:fldChar w:fldCharType="end"/>
        </w:r>
      </w:hyperlink>
    </w:p>
    <w:p w14:paraId="5D2088A7" w14:textId="38F6ECDD" w:rsidR="00B04EA3" w:rsidRDefault="001D4D7F">
      <w:pPr>
        <w:pStyle w:val="TOC2"/>
        <w:rPr>
          <w:rFonts w:asciiTheme="minorHAnsi" w:eastAsiaTheme="minorEastAsia" w:hAnsiTheme="minorHAnsi" w:cstheme="minorBidi"/>
          <w:color w:val="auto"/>
          <w:kern w:val="2"/>
          <w:szCs w:val="22"/>
          <w14:ligatures w14:val="standardContextual"/>
        </w:rPr>
      </w:pPr>
      <w:hyperlink w:anchor="_Toc183095605" w:history="1">
        <w:r w:rsidR="00B04EA3" w:rsidRPr="00CA5B20">
          <w:rPr>
            <w:rStyle w:val="Hyperlink"/>
          </w:rPr>
          <w:t>Sectors</w:t>
        </w:r>
        <w:r w:rsidR="00B04EA3">
          <w:rPr>
            <w:webHidden/>
          </w:rPr>
          <w:tab/>
        </w:r>
        <w:r w:rsidR="00B04EA3">
          <w:rPr>
            <w:webHidden/>
          </w:rPr>
          <w:fldChar w:fldCharType="begin"/>
        </w:r>
        <w:r w:rsidR="00B04EA3">
          <w:rPr>
            <w:webHidden/>
          </w:rPr>
          <w:instrText xml:space="preserve"> PAGEREF _Toc183095605 \h </w:instrText>
        </w:r>
        <w:r w:rsidR="00B04EA3">
          <w:rPr>
            <w:webHidden/>
          </w:rPr>
        </w:r>
        <w:r w:rsidR="00B04EA3">
          <w:rPr>
            <w:webHidden/>
          </w:rPr>
          <w:fldChar w:fldCharType="separate"/>
        </w:r>
        <w:r w:rsidR="00F56F56">
          <w:rPr>
            <w:webHidden/>
          </w:rPr>
          <w:t>5</w:t>
        </w:r>
        <w:r w:rsidR="00B04EA3">
          <w:rPr>
            <w:webHidden/>
          </w:rPr>
          <w:fldChar w:fldCharType="end"/>
        </w:r>
      </w:hyperlink>
    </w:p>
    <w:p w14:paraId="44275AF0" w14:textId="670948CC" w:rsidR="00B04EA3" w:rsidRDefault="001D4D7F">
      <w:pPr>
        <w:pStyle w:val="TOC2"/>
        <w:rPr>
          <w:rFonts w:asciiTheme="minorHAnsi" w:eastAsiaTheme="minorEastAsia" w:hAnsiTheme="minorHAnsi" w:cstheme="minorBidi"/>
          <w:color w:val="auto"/>
          <w:kern w:val="2"/>
          <w:szCs w:val="22"/>
          <w14:ligatures w14:val="standardContextual"/>
        </w:rPr>
      </w:pPr>
      <w:hyperlink w:anchor="_Toc183095606" w:history="1">
        <w:r w:rsidR="00B04EA3" w:rsidRPr="00CA5B20">
          <w:rPr>
            <w:rStyle w:val="Hyperlink"/>
          </w:rPr>
          <w:t>Categories</w:t>
        </w:r>
        <w:r w:rsidR="00B04EA3">
          <w:rPr>
            <w:webHidden/>
          </w:rPr>
          <w:tab/>
        </w:r>
        <w:r w:rsidR="00B04EA3">
          <w:rPr>
            <w:webHidden/>
          </w:rPr>
          <w:fldChar w:fldCharType="begin"/>
        </w:r>
        <w:r w:rsidR="00B04EA3">
          <w:rPr>
            <w:webHidden/>
          </w:rPr>
          <w:instrText xml:space="preserve"> PAGEREF _Toc183095606 \h </w:instrText>
        </w:r>
        <w:r w:rsidR="00B04EA3">
          <w:rPr>
            <w:webHidden/>
          </w:rPr>
        </w:r>
        <w:r w:rsidR="00B04EA3">
          <w:rPr>
            <w:webHidden/>
          </w:rPr>
          <w:fldChar w:fldCharType="separate"/>
        </w:r>
        <w:r w:rsidR="00F56F56">
          <w:rPr>
            <w:webHidden/>
          </w:rPr>
          <w:t>5</w:t>
        </w:r>
        <w:r w:rsidR="00B04EA3">
          <w:rPr>
            <w:webHidden/>
          </w:rPr>
          <w:fldChar w:fldCharType="end"/>
        </w:r>
      </w:hyperlink>
    </w:p>
    <w:p w14:paraId="34D89516" w14:textId="658C9476" w:rsidR="00B04EA3" w:rsidRDefault="001D4D7F">
      <w:pPr>
        <w:pStyle w:val="TOC2"/>
        <w:rPr>
          <w:rFonts w:asciiTheme="minorHAnsi" w:eastAsiaTheme="minorEastAsia" w:hAnsiTheme="minorHAnsi" w:cstheme="minorBidi"/>
          <w:color w:val="auto"/>
          <w:kern w:val="2"/>
          <w:szCs w:val="22"/>
          <w14:ligatures w14:val="standardContextual"/>
        </w:rPr>
      </w:pPr>
      <w:hyperlink w:anchor="_Toc183095607" w:history="1">
        <w:r w:rsidR="00B04EA3" w:rsidRPr="00CA5B20">
          <w:rPr>
            <w:rStyle w:val="Hyperlink"/>
          </w:rPr>
          <w:t>Contributing agencies</w:t>
        </w:r>
        <w:r w:rsidR="00B04EA3">
          <w:rPr>
            <w:webHidden/>
          </w:rPr>
          <w:tab/>
        </w:r>
        <w:r w:rsidR="00B04EA3">
          <w:rPr>
            <w:webHidden/>
          </w:rPr>
          <w:fldChar w:fldCharType="begin"/>
        </w:r>
        <w:r w:rsidR="00B04EA3">
          <w:rPr>
            <w:webHidden/>
          </w:rPr>
          <w:instrText xml:space="preserve"> PAGEREF _Toc183095607 \h </w:instrText>
        </w:r>
        <w:r w:rsidR="00B04EA3">
          <w:rPr>
            <w:webHidden/>
          </w:rPr>
        </w:r>
        <w:r w:rsidR="00B04EA3">
          <w:rPr>
            <w:webHidden/>
          </w:rPr>
          <w:fldChar w:fldCharType="separate"/>
        </w:r>
        <w:r w:rsidR="00F56F56">
          <w:rPr>
            <w:webHidden/>
          </w:rPr>
          <w:t>6</w:t>
        </w:r>
        <w:r w:rsidR="00B04EA3">
          <w:rPr>
            <w:webHidden/>
          </w:rPr>
          <w:fldChar w:fldCharType="end"/>
        </w:r>
      </w:hyperlink>
    </w:p>
    <w:p w14:paraId="73DC360B" w14:textId="73940E0E" w:rsidR="00B04EA3" w:rsidRDefault="001D4D7F">
      <w:pPr>
        <w:pStyle w:val="TOC2"/>
        <w:rPr>
          <w:rFonts w:asciiTheme="minorHAnsi" w:eastAsiaTheme="minorEastAsia" w:hAnsiTheme="minorHAnsi" w:cstheme="minorBidi"/>
          <w:color w:val="auto"/>
          <w:kern w:val="2"/>
          <w:szCs w:val="22"/>
          <w14:ligatures w14:val="standardContextual"/>
        </w:rPr>
      </w:pPr>
      <w:hyperlink w:anchor="_Toc183095608" w:history="1">
        <w:r w:rsidR="00B04EA3" w:rsidRPr="00CA5B20">
          <w:rPr>
            <w:rStyle w:val="Hyperlink"/>
          </w:rPr>
          <w:t>Scope</w:t>
        </w:r>
        <w:r w:rsidR="00B04EA3">
          <w:rPr>
            <w:webHidden/>
          </w:rPr>
          <w:tab/>
        </w:r>
        <w:r w:rsidR="00B04EA3">
          <w:rPr>
            <w:webHidden/>
          </w:rPr>
          <w:fldChar w:fldCharType="begin"/>
        </w:r>
        <w:r w:rsidR="00B04EA3">
          <w:rPr>
            <w:webHidden/>
          </w:rPr>
          <w:instrText xml:space="preserve"> PAGEREF _Toc183095608 \h </w:instrText>
        </w:r>
        <w:r w:rsidR="00B04EA3">
          <w:rPr>
            <w:webHidden/>
          </w:rPr>
        </w:r>
        <w:r w:rsidR="00B04EA3">
          <w:rPr>
            <w:webHidden/>
          </w:rPr>
          <w:fldChar w:fldCharType="separate"/>
        </w:r>
        <w:r w:rsidR="00F56F56">
          <w:rPr>
            <w:webHidden/>
          </w:rPr>
          <w:t>7</w:t>
        </w:r>
        <w:r w:rsidR="00B04EA3">
          <w:rPr>
            <w:webHidden/>
          </w:rPr>
          <w:fldChar w:fldCharType="end"/>
        </w:r>
      </w:hyperlink>
    </w:p>
    <w:p w14:paraId="62124805" w14:textId="2924A691" w:rsidR="00B04EA3" w:rsidRDefault="001D4D7F">
      <w:pPr>
        <w:pStyle w:val="TOC2"/>
        <w:rPr>
          <w:rFonts w:asciiTheme="minorHAnsi" w:eastAsiaTheme="minorEastAsia" w:hAnsiTheme="minorHAnsi" w:cstheme="minorBidi"/>
          <w:color w:val="auto"/>
          <w:kern w:val="2"/>
          <w:szCs w:val="22"/>
          <w14:ligatures w14:val="standardContextual"/>
        </w:rPr>
      </w:pPr>
      <w:hyperlink w:anchor="_Toc183095609" w:history="1">
        <w:r w:rsidR="00B04EA3" w:rsidRPr="00CA5B20">
          <w:rPr>
            <w:rStyle w:val="Hyperlink"/>
          </w:rPr>
          <w:t>How to read the RIG</w:t>
        </w:r>
        <w:r w:rsidR="00B04EA3">
          <w:rPr>
            <w:webHidden/>
          </w:rPr>
          <w:tab/>
        </w:r>
        <w:r w:rsidR="00B04EA3">
          <w:rPr>
            <w:webHidden/>
          </w:rPr>
          <w:fldChar w:fldCharType="begin"/>
        </w:r>
        <w:r w:rsidR="00B04EA3">
          <w:rPr>
            <w:webHidden/>
          </w:rPr>
          <w:instrText xml:space="preserve"> PAGEREF _Toc183095609 \h </w:instrText>
        </w:r>
        <w:r w:rsidR="00B04EA3">
          <w:rPr>
            <w:webHidden/>
          </w:rPr>
        </w:r>
        <w:r w:rsidR="00B04EA3">
          <w:rPr>
            <w:webHidden/>
          </w:rPr>
          <w:fldChar w:fldCharType="separate"/>
        </w:r>
        <w:r w:rsidR="00F56F56">
          <w:rPr>
            <w:webHidden/>
          </w:rPr>
          <w:t>8</w:t>
        </w:r>
        <w:r w:rsidR="00B04EA3">
          <w:rPr>
            <w:webHidden/>
          </w:rPr>
          <w:fldChar w:fldCharType="end"/>
        </w:r>
      </w:hyperlink>
    </w:p>
    <w:p w14:paraId="7261C3C0" w14:textId="4E085E9E" w:rsidR="00B04EA3" w:rsidRDefault="001D4D7F">
      <w:pPr>
        <w:pStyle w:val="TOC2"/>
        <w:rPr>
          <w:rFonts w:asciiTheme="minorHAnsi" w:eastAsiaTheme="minorEastAsia" w:hAnsiTheme="minorHAnsi" w:cstheme="minorBidi"/>
          <w:color w:val="auto"/>
          <w:kern w:val="2"/>
          <w:szCs w:val="22"/>
          <w14:ligatures w14:val="standardContextual"/>
        </w:rPr>
      </w:pPr>
      <w:hyperlink w:anchor="_Toc183095610" w:history="1">
        <w:r w:rsidR="00B04EA3" w:rsidRPr="00CA5B20">
          <w:rPr>
            <w:rStyle w:val="Hyperlink"/>
          </w:rPr>
          <w:t>RIG formats</w:t>
        </w:r>
        <w:r w:rsidR="00B04EA3">
          <w:rPr>
            <w:webHidden/>
          </w:rPr>
          <w:tab/>
        </w:r>
        <w:r w:rsidR="00B04EA3">
          <w:rPr>
            <w:webHidden/>
          </w:rPr>
          <w:fldChar w:fldCharType="begin"/>
        </w:r>
        <w:r w:rsidR="00B04EA3">
          <w:rPr>
            <w:webHidden/>
          </w:rPr>
          <w:instrText xml:space="preserve"> PAGEREF _Toc183095610 \h </w:instrText>
        </w:r>
        <w:r w:rsidR="00B04EA3">
          <w:rPr>
            <w:webHidden/>
          </w:rPr>
        </w:r>
        <w:r w:rsidR="00B04EA3">
          <w:rPr>
            <w:webHidden/>
          </w:rPr>
          <w:fldChar w:fldCharType="separate"/>
        </w:r>
        <w:r w:rsidR="00F56F56">
          <w:rPr>
            <w:webHidden/>
          </w:rPr>
          <w:t>9</w:t>
        </w:r>
        <w:r w:rsidR="00B04EA3">
          <w:rPr>
            <w:webHidden/>
          </w:rPr>
          <w:fldChar w:fldCharType="end"/>
        </w:r>
      </w:hyperlink>
    </w:p>
    <w:p w14:paraId="2B9F9815" w14:textId="780F06D0" w:rsidR="00B04EA3" w:rsidRDefault="001D4D7F">
      <w:pPr>
        <w:pStyle w:val="TOC2"/>
        <w:rPr>
          <w:rFonts w:asciiTheme="minorHAnsi" w:eastAsiaTheme="minorEastAsia" w:hAnsiTheme="minorHAnsi" w:cstheme="minorBidi"/>
          <w:color w:val="auto"/>
          <w:kern w:val="2"/>
          <w:szCs w:val="22"/>
          <w14:ligatures w14:val="standardContextual"/>
        </w:rPr>
      </w:pPr>
      <w:hyperlink w:anchor="_Toc183095611" w:history="1">
        <w:r w:rsidR="00B04EA3" w:rsidRPr="00CA5B20">
          <w:rPr>
            <w:rStyle w:val="Hyperlink"/>
          </w:rPr>
          <w:t>Feedback</w:t>
        </w:r>
        <w:r w:rsidR="00B04EA3">
          <w:rPr>
            <w:webHidden/>
          </w:rPr>
          <w:tab/>
        </w:r>
        <w:r w:rsidR="00B04EA3">
          <w:rPr>
            <w:webHidden/>
          </w:rPr>
          <w:fldChar w:fldCharType="begin"/>
        </w:r>
        <w:r w:rsidR="00B04EA3">
          <w:rPr>
            <w:webHidden/>
          </w:rPr>
          <w:instrText xml:space="preserve"> PAGEREF _Toc183095611 \h </w:instrText>
        </w:r>
        <w:r w:rsidR="00B04EA3">
          <w:rPr>
            <w:webHidden/>
          </w:rPr>
        </w:r>
        <w:r w:rsidR="00B04EA3">
          <w:rPr>
            <w:webHidden/>
          </w:rPr>
          <w:fldChar w:fldCharType="separate"/>
        </w:r>
        <w:r w:rsidR="00F56F56">
          <w:rPr>
            <w:webHidden/>
          </w:rPr>
          <w:t>9</w:t>
        </w:r>
        <w:r w:rsidR="00B04EA3">
          <w:rPr>
            <w:webHidden/>
          </w:rPr>
          <w:fldChar w:fldCharType="end"/>
        </w:r>
      </w:hyperlink>
    </w:p>
    <w:p w14:paraId="249A36DF" w14:textId="59F4B270" w:rsidR="00B04EA3" w:rsidRDefault="001D4D7F">
      <w:pPr>
        <w:pStyle w:val="TOC2"/>
        <w:rPr>
          <w:rFonts w:asciiTheme="minorHAnsi" w:eastAsiaTheme="minorEastAsia" w:hAnsiTheme="minorHAnsi" w:cstheme="minorBidi"/>
          <w:color w:val="auto"/>
          <w:kern w:val="2"/>
          <w:szCs w:val="22"/>
          <w14:ligatures w14:val="standardContextual"/>
        </w:rPr>
      </w:pPr>
      <w:hyperlink w:anchor="_Toc183095612" w:history="1">
        <w:r w:rsidR="00B04EA3" w:rsidRPr="00CA5B20">
          <w:rPr>
            <w:rStyle w:val="Hyperlink"/>
          </w:rPr>
          <w:t>Future updates</w:t>
        </w:r>
        <w:r w:rsidR="00B04EA3">
          <w:rPr>
            <w:webHidden/>
          </w:rPr>
          <w:tab/>
        </w:r>
        <w:r w:rsidR="00B04EA3">
          <w:rPr>
            <w:webHidden/>
          </w:rPr>
          <w:fldChar w:fldCharType="begin"/>
        </w:r>
        <w:r w:rsidR="00B04EA3">
          <w:rPr>
            <w:webHidden/>
          </w:rPr>
          <w:instrText xml:space="preserve"> PAGEREF _Toc183095612 \h </w:instrText>
        </w:r>
        <w:r w:rsidR="00B04EA3">
          <w:rPr>
            <w:webHidden/>
          </w:rPr>
        </w:r>
        <w:r w:rsidR="00B04EA3">
          <w:rPr>
            <w:webHidden/>
          </w:rPr>
          <w:fldChar w:fldCharType="separate"/>
        </w:r>
        <w:r w:rsidR="00F56F56">
          <w:rPr>
            <w:webHidden/>
          </w:rPr>
          <w:t>9</w:t>
        </w:r>
        <w:r w:rsidR="00B04EA3">
          <w:rPr>
            <w:webHidden/>
          </w:rPr>
          <w:fldChar w:fldCharType="end"/>
        </w:r>
      </w:hyperlink>
    </w:p>
    <w:p w14:paraId="4B37C94D" w14:textId="7232A06F" w:rsidR="00B04EA3" w:rsidRDefault="001D4D7F">
      <w:pPr>
        <w:pStyle w:val="TOC1"/>
        <w:rPr>
          <w:rFonts w:asciiTheme="minorHAnsi" w:eastAsiaTheme="minorEastAsia" w:hAnsiTheme="minorHAnsi" w:cstheme="minorBidi"/>
          <w:b w:val="0"/>
          <w:color w:val="auto"/>
          <w:kern w:val="2"/>
          <w14:ligatures w14:val="standardContextual"/>
        </w:rPr>
      </w:pPr>
      <w:hyperlink w:anchor="_Toc183095613" w:history="1">
        <w:r w:rsidR="00B04EA3" w:rsidRPr="00CA5B20">
          <w:rPr>
            <w:rStyle w:val="Hyperlink"/>
            <w:rFonts w:cs="Calibri"/>
            <w:bCs/>
          </w:rPr>
          <w:t>1. Policy development</w:t>
        </w:r>
        <w:r w:rsidR="00B04EA3">
          <w:rPr>
            <w:webHidden/>
          </w:rPr>
          <w:tab/>
        </w:r>
        <w:r w:rsidR="00B04EA3">
          <w:rPr>
            <w:webHidden/>
          </w:rPr>
          <w:fldChar w:fldCharType="begin"/>
        </w:r>
        <w:r w:rsidR="00B04EA3">
          <w:rPr>
            <w:webHidden/>
          </w:rPr>
          <w:instrText xml:space="preserve"> PAGEREF _Toc183095613 \h </w:instrText>
        </w:r>
        <w:r w:rsidR="00B04EA3">
          <w:rPr>
            <w:webHidden/>
          </w:rPr>
        </w:r>
        <w:r w:rsidR="00B04EA3">
          <w:rPr>
            <w:webHidden/>
          </w:rPr>
          <w:fldChar w:fldCharType="separate"/>
        </w:r>
        <w:r w:rsidR="00F56F56">
          <w:rPr>
            <w:webHidden/>
          </w:rPr>
          <w:t>10</w:t>
        </w:r>
        <w:r w:rsidR="00B04EA3">
          <w:rPr>
            <w:webHidden/>
          </w:rPr>
          <w:fldChar w:fldCharType="end"/>
        </w:r>
      </w:hyperlink>
    </w:p>
    <w:p w14:paraId="363262F8" w14:textId="45773F4A" w:rsidR="00B04EA3" w:rsidRDefault="001D4D7F">
      <w:pPr>
        <w:pStyle w:val="TOC1"/>
        <w:rPr>
          <w:rFonts w:asciiTheme="minorHAnsi" w:eastAsiaTheme="minorEastAsia" w:hAnsiTheme="minorHAnsi" w:cstheme="minorBidi"/>
          <w:b w:val="0"/>
          <w:color w:val="auto"/>
          <w:kern w:val="2"/>
          <w14:ligatures w14:val="standardContextual"/>
        </w:rPr>
      </w:pPr>
      <w:hyperlink w:anchor="_Toc183095614" w:history="1">
        <w:r w:rsidR="00B04EA3" w:rsidRPr="00CA5B20">
          <w:rPr>
            <w:rStyle w:val="Hyperlink"/>
            <w:rFonts w:cs="Calibri"/>
            <w:bCs/>
          </w:rPr>
          <w:t>2. Development of legislation, regulations and instruments</w:t>
        </w:r>
        <w:r w:rsidR="00B04EA3">
          <w:rPr>
            <w:webHidden/>
          </w:rPr>
          <w:tab/>
        </w:r>
        <w:r w:rsidR="00B04EA3">
          <w:rPr>
            <w:webHidden/>
          </w:rPr>
          <w:fldChar w:fldCharType="begin"/>
        </w:r>
        <w:r w:rsidR="00B04EA3">
          <w:rPr>
            <w:webHidden/>
          </w:rPr>
          <w:instrText xml:space="preserve"> PAGEREF _Toc183095614 \h </w:instrText>
        </w:r>
        <w:r w:rsidR="00B04EA3">
          <w:rPr>
            <w:webHidden/>
          </w:rPr>
        </w:r>
        <w:r w:rsidR="00B04EA3">
          <w:rPr>
            <w:webHidden/>
          </w:rPr>
          <w:fldChar w:fldCharType="separate"/>
        </w:r>
        <w:r w:rsidR="00F56F56">
          <w:rPr>
            <w:webHidden/>
          </w:rPr>
          <w:t>12</w:t>
        </w:r>
        <w:r w:rsidR="00B04EA3">
          <w:rPr>
            <w:webHidden/>
          </w:rPr>
          <w:fldChar w:fldCharType="end"/>
        </w:r>
      </w:hyperlink>
    </w:p>
    <w:p w14:paraId="460B8F52" w14:textId="154515E4" w:rsidR="00B04EA3" w:rsidRDefault="001D4D7F">
      <w:pPr>
        <w:pStyle w:val="TOC1"/>
        <w:rPr>
          <w:rFonts w:asciiTheme="minorHAnsi" w:eastAsiaTheme="minorEastAsia" w:hAnsiTheme="minorHAnsi" w:cstheme="minorBidi"/>
          <w:b w:val="0"/>
          <w:color w:val="auto"/>
          <w:kern w:val="2"/>
          <w14:ligatures w14:val="standardContextual"/>
        </w:rPr>
      </w:pPr>
      <w:hyperlink w:anchor="_Toc183095615" w:history="1">
        <w:r w:rsidR="00B04EA3" w:rsidRPr="00CA5B20">
          <w:rPr>
            <w:rStyle w:val="Hyperlink"/>
            <w:rFonts w:cs="Calibri"/>
            <w:bCs/>
          </w:rPr>
          <w:t>3. Ongoing program implementation</w:t>
        </w:r>
        <w:r w:rsidR="00B04EA3">
          <w:rPr>
            <w:webHidden/>
          </w:rPr>
          <w:tab/>
        </w:r>
        <w:r w:rsidR="00B04EA3">
          <w:rPr>
            <w:webHidden/>
          </w:rPr>
          <w:fldChar w:fldCharType="begin"/>
        </w:r>
        <w:r w:rsidR="00B04EA3">
          <w:rPr>
            <w:webHidden/>
          </w:rPr>
          <w:instrText xml:space="preserve"> PAGEREF _Toc183095615 \h </w:instrText>
        </w:r>
        <w:r w:rsidR="00B04EA3">
          <w:rPr>
            <w:webHidden/>
          </w:rPr>
        </w:r>
        <w:r w:rsidR="00B04EA3">
          <w:rPr>
            <w:webHidden/>
          </w:rPr>
          <w:fldChar w:fldCharType="separate"/>
        </w:r>
        <w:r w:rsidR="00F56F56">
          <w:rPr>
            <w:webHidden/>
          </w:rPr>
          <w:t>21</w:t>
        </w:r>
        <w:r w:rsidR="00B04EA3">
          <w:rPr>
            <w:webHidden/>
          </w:rPr>
          <w:fldChar w:fldCharType="end"/>
        </w:r>
      </w:hyperlink>
    </w:p>
    <w:p w14:paraId="448624B7" w14:textId="50A62FED" w:rsidR="00B04EA3" w:rsidRDefault="001D4D7F">
      <w:pPr>
        <w:pStyle w:val="TOC1"/>
        <w:rPr>
          <w:rFonts w:asciiTheme="minorHAnsi" w:eastAsiaTheme="minorEastAsia" w:hAnsiTheme="minorHAnsi" w:cstheme="minorBidi"/>
          <w:b w:val="0"/>
          <w:color w:val="auto"/>
          <w:kern w:val="2"/>
          <w14:ligatures w14:val="standardContextual"/>
        </w:rPr>
      </w:pPr>
      <w:hyperlink w:anchor="_Toc183095616" w:history="1">
        <w:r w:rsidR="00B04EA3" w:rsidRPr="00CA5B20">
          <w:rPr>
            <w:rStyle w:val="Hyperlink"/>
          </w:rPr>
          <w:t>4. Review and evaluation</w:t>
        </w:r>
        <w:r w:rsidR="00B04EA3">
          <w:rPr>
            <w:webHidden/>
          </w:rPr>
          <w:tab/>
        </w:r>
        <w:r w:rsidR="00B04EA3">
          <w:rPr>
            <w:webHidden/>
          </w:rPr>
          <w:fldChar w:fldCharType="begin"/>
        </w:r>
        <w:r w:rsidR="00B04EA3">
          <w:rPr>
            <w:webHidden/>
          </w:rPr>
          <w:instrText xml:space="preserve"> PAGEREF _Toc183095616 \h </w:instrText>
        </w:r>
        <w:r w:rsidR="00B04EA3">
          <w:rPr>
            <w:webHidden/>
          </w:rPr>
        </w:r>
        <w:r w:rsidR="00B04EA3">
          <w:rPr>
            <w:webHidden/>
          </w:rPr>
          <w:fldChar w:fldCharType="separate"/>
        </w:r>
        <w:r w:rsidR="00F56F56">
          <w:rPr>
            <w:webHidden/>
          </w:rPr>
          <w:t>29</w:t>
        </w:r>
        <w:r w:rsidR="00B04EA3">
          <w:rPr>
            <w:webHidden/>
          </w:rPr>
          <w:fldChar w:fldCharType="end"/>
        </w:r>
      </w:hyperlink>
    </w:p>
    <w:p w14:paraId="6DEA9AAD" w14:textId="170C03DE" w:rsidR="00F836F9" w:rsidRPr="007F2839" w:rsidRDefault="000E0B74" w:rsidP="007F2839">
      <w:pPr>
        <w:pStyle w:val="TOC1"/>
      </w:pPr>
      <w:r w:rsidRPr="007F2839">
        <w:fldChar w:fldCharType="end"/>
      </w:r>
      <w:bookmarkStart w:id="4" w:name="_Toc432067103"/>
      <w:bookmarkStart w:id="5" w:name="_Toc452635030"/>
    </w:p>
    <w:p w14:paraId="3682F864" w14:textId="77777777" w:rsidR="00B775EE" w:rsidRPr="00B775EE" w:rsidRDefault="00B775EE" w:rsidP="0056582C">
      <w:pPr>
        <w:pStyle w:val="SingleParagraph"/>
        <w:ind w:right="-2"/>
        <w:rPr>
          <w:b/>
          <w:bCs/>
        </w:rPr>
        <w:sectPr w:rsidR="00B775EE" w:rsidRPr="00B775EE" w:rsidSect="00395588">
          <w:headerReference w:type="even" r:id="rId21"/>
          <w:headerReference w:type="default" r:id="rId22"/>
          <w:footerReference w:type="even" r:id="rId23"/>
          <w:footerReference w:type="default" r:id="rId24"/>
          <w:headerReference w:type="first" r:id="rId25"/>
          <w:footerReference w:type="first" r:id="rId26"/>
          <w:pgSz w:w="16838" w:h="11906" w:orient="landscape" w:code="9"/>
          <w:pgMar w:top="1843" w:right="1418" w:bottom="1021" w:left="1418" w:header="709" w:footer="397" w:gutter="0"/>
          <w:pgNumType w:fmt="lowerRoman" w:start="3"/>
          <w:cols w:num="2" w:space="1755" w:equalWidth="0">
            <w:col w:w="3175" w:space="1755"/>
            <w:col w:w="9072"/>
          </w:cols>
          <w:titlePg/>
          <w:docGrid w:linePitch="360"/>
        </w:sectPr>
      </w:pPr>
    </w:p>
    <w:p w14:paraId="597FF4E9" w14:textId="160E5DE4" w:rsidR="00475085" w:rsidRPr="00F045E0" w:rsidRDefault="00475085" w:rsidP="00FD557E">
      <w:pPr>
        <w:pStyle w:val="Heading1"/>
      </w:pPr>
      <w:bookmarkStart w:id="6" w:name="_Toc183095602"/>
      <w:r w:rsidRPr="00F045E0">
        <w:lastRenderedPageBreak/>
        <w:t>Foreword</w:t>
      </w:r>
      <w:bookmarkEnd w:id="4"/>
      <w:bookmarkEnd w:id="5"/>
      <w:bookmarkEnd w:id="6"/>
    </w:p>
    <w:p w14:paraId="17B6CD0E" w14:textId="45B61220" w:rsidR="00E822D3" w:rsidRDefault="00141113" w:rsidP="00E822D3">
      <w:pPr>
        <w:rPr>
          <w:rFonts w:cs="Arial"/>
          <w:bCs/>
          <w:szCs w:val="24"/>
        </w:rPr>
      </w:pPr>
      <w:r>
        <w:rPr>
          <w:rFonts w:cs="Arial"/>
          <w:bCs/>
          <w:szCs w:val="24"/>
        </w:rPr>
        <w:br w:type="column"/>
      </w:r>
      <w:r w:rsidR="00E822D3">
        <w:rPr>
          <w:rFonts w:cs="Arial"/>
          <w:bCs/>
          <w:szCs w:val="24"/>
        </w:rPr>
        <w:t xml:space="preserve">Our </w:t>
      </w:r>
      <w:proofErr w:type="gramStart"/>
      <w:r w:rsidR="00E822D3">
        <w:rPr>
          <w:rFonts w:cs="Arial"/>
          <w:bCs/>
          <w:szCs w:val="24"/>
        </w:rPr>
        <w:t>Government’s</w:t>
      </w:r>
      <w:proofErr w:type="gramEnd"/>
      <w:r w:rsidR="00E822D3">
        <w:rPr>
          <w:rFonts w:cs="Arial"/>
          <w:bCs/>
          <w:szCs w:val="24"/>
        </w:rPr>
        <w:t xml:space="preserve"> reform agenda is all about </w:t>
      </w:r>
      <w:r w:rsidR="00E822D3" w:rsidRPr="009C16CB">
        <w:rPr>
          <w:rFonts w:cs="Arial"/>
          <w:bCs/>
          <w:szCs w:val="24"/>
        </w:rPr>
        <w:t>modernising our economy and maximising our advantages.</w:t>
      </w:r>
      <w:r w:rsidR="00E822D3">
        <w:rPr>
          <w:rFonts w:cs="Arial"/>
          <w:bCs/>
          <w:szCs w:val="24"/>
        </w:rPr>
        <w:t xml:space="preserve"> A big part of this agenda is focused on getting capital flowing more efficiently and effectively in our economy by making it simpler and easier to do business in Australia. </w:t>
      </w:r>
    </w:p>
    <w:p w14:paraId="5AE54257" w14:textId="1D74CED6" w:rsidR="00E822D3" w:rsidRDefault="00E822D3" w:rsidP="00E822D3">
      <w:pPr>
        <w:rPr>
          <w:rFonts w:cs="Arial"/>
          <w:bCs/>
          <w:szCs w:val="24"/>
        </w:rPr>
      </w:pPr>
      <w:r>
        <w:rPr>
          <w:rFonts w:cs="Arial"/>
          <w:bCs/>
          <w:szCs w:val="24"/>
        </w:rPr>
        <w:t xml:space="preserve">That’s why we’re proud to be publishing the inaugural edition of the financial sector Regulatory Initiatives Grid (RIG), which we’ve been working on since March this year. The RIG will </w:t>
      </w:r>
      <w:r w:rsidR="004D5BD3">
        <w:rPr>
          <w:rFonts w:cs="Arial"/>
          <w:bCs/>
          <w:szCs w:val="24"/>
        </w:rPr>
        <w:t>enhance</w:t>
      </w:r>
      <w:r>
        <w:rPr>
          <w:rFonts w:cs="Arial"/>
          <w:bCs/>
          <w:szCs w:val="24"/>
        </w:rPr>
        <w:t xml:space="preserve"> </w:t>
      </w:r>
      <w:r w:rsidR="002D273D">
        <w:rPr>
          <w:rFonts w:cs="Arial"/>
          <w:bCs/>
          <w:szCs w:val="24"/>
        </w:rPr>
        <w:t xml:space="preserve">our </w:t>
      </w:r>
      <w:r w:rsidR="00A87F87">
        <w:rPr>
          <w:rFonts w:cs="Arial"/>
          <w:bCs/>
          <w:szCs w:val="24"/>
        </w:rPr>
        <w:t>work</w:t>
      </w:r>
      <w:r w:rsidDel="00073CC9">
        <w:rPr>
          <w:rFonts w:cs="Arial"/>
          <w:bCs/>
          <w:szCs w:val="24"/>
        </w:rPr>
        <w:t xml:space="preserve"> </w:t>
      </w:r>
      <w:r w:rsidR="00046C9E">
        <w:rPr>
          <w:rFonts w:cs="Arial"/>
          <w:bCs/>
          <w:szCs w:val="24"/>
        </w:rPr>
        <w:t xml:space="preserve">to </w:t>
      </w:r>
      <w:r w:rsidR="00F44AE2">
        <w:rPr>
          <w:rFonts w:cs="Arial"/>
          <w:bCs/>
          <w:szCs w:val="24"/>
        </w:rPr>
        <w:t xml:space="preserve">support </w:t>
      </w:r>
      <w:r w:rsidRPr="002510F3">
        <w:rPr>
          <w:rFonts w:cs="Arial"/>
          <w:bCs/>
          <w:szCs w:val="24"/>
        </w:rPr>
        <w:t xml:space="preserve">the standard business of regulation </w:t>
      </w:r>
      <w:r w:rsidR="00AA1DF3">
        <w:rPr>
          <w:rFonts w:cs="Arial"/>
          <w:bCs/>
          <w:szCs w:val="24"/>
        </w:rPr>
        <w:t xml:space="preserve">to be </w:t>
      </w:r>
      <w:r w:rsidRPr="002510F3">
        <w:rPr>
          <w:rFonts w:cs="Arial"/>
          <w:bCs/>
          <w:szCs w:val="24"/>
        </w:rPr>
        <w:t>carried out in a more coordinated way</w:t>
      </w:r>
      <w:r>
        <w:rPr>
          <w:rFonts w:cs="Arial"/>
          <w:bCs/>
          <w:szCs w:val="24"/>
        </w:rPr>
        <w:t xml:space="preserve"> across the financial sector</w:t>
      </w:r>
      <w:r w:rsidRPr="002510F3">
        <w:rPr>
          <w:rFonts w:cs="Arial"/>
          <w:bCs/>
          <w:szCs w:val="24"/>
        </w:rPr>
        <w:t>.</w:t>
      </w:r>
    </w:p>
    <w:p w14:paraId="282EDC8C" w14:textId="376E16D1" w:rsidR="00E822D3" w:rsidRDefault="00E822D3" w:rsidP="00E822D3">
      <w:pPr>
        <w:rPr>
          <w:rFonts w:cs="Arial"/>
          <w:bCs/>
          <w:szCs w:val="24"/>
        </w:rPr>
      </w:pPr>
      <w:r>
        <w:rPr>
          <w:rFonts w:cs="Arial"/>
          <w:bCs/>
          <w:szCs w:val="24"/>
        </w:rPr>
        <w:t xml:space="preserve">The RIG </w:t>
      </w:r>
      <w:r w:rsidRPr="00473C24">
        <w:rPr>
          <w:rFonts w:cs="Arial"/>
          <w:bCs/>
          <w:szCs w:val="24"/>
        </w:rPr>
        <w:t xml:space="preserve">will help financial services businesses engage with the Government and regulators more effectively and </w:t>
      </w:r>
      <w:r w:rsidR="003C2FD8">
        <w:rPr>
          <w:rFonts w:cs="Arial"/>
          <w:bCs/>
          <w:szCs w:val="24"/>
        </w:rPr>
        <w:t>support</w:t>
      </w:r>
      <w:r w:rsidR="00A5055D">
        <w:rPr>
          <w:rFonts w:cs="Arial"/>
          <w:bCs/>
          <w:szCs w:val="24"/>
        </w:rPr>
        <w:t xml:space="preserve"> </w:t>
      </w:r>
      <w:r w:rsidRPr="00473C24">
        <w:rPr>
          <w:rFonts w:cs="Arial"/>
          <w:bCs/>
          <w:szCs w:val="24"/>
        </w:rPr>
        <w:t>regulators to avoid duplication, build shared strategic priorities, and focus on how to best implement reforms.</w:t>
      </w:r>
    </w:p>
    <w:p w14:paraId="28CFB1A4" w14:textId="74E239E0" w:rsidR="00E822D3" w:rsidRDefault="00E822D3" w:rsidP="00E822D3">
      <w:pPr>
        <w:rPr>
          <w:rFonts w:cs="Arial"/>
          <w:bCs/>
          <w:szCs w:val="24"/>
        </w:rPr>
      </w:pPr>
      <w:r>
        <w:rPr>
          <w:rFonts w:cs="Arial"/>
          <w:bCs/>
          <w:szCs w:val="24"/>
        </w:rPr>
        <w:t xml:space="preserve">It will </w:t>
      </w:r>
      <w:r w:rsidRPr="00EA46B2">
        <w:rPr>
          <w:rFonts w:cs="Arial"/>
          <w:bCs/>
          <w:szCs w:val="24"/>
        </w:rPr>
        <w:t>give financial services providers clear visibility of regulation that might impact their businesses and will support engagement with proposed reforms and their implementation.</w:t>
      </w:r>
      <w:r>
        <w:rPr>
          <w:rFonts w:cs="Arial"/>
          <w:bCs/>
          <w:szCs w:val="24"/>
        </w:rPr>
        <w:t xml:space="preserve"> It houses a forward program of </w:t>
      </w:r>
      <w:r w:rsidRPr="00ED0350">
        <w:rPr>
          <w:rFonts w:cs="Arial"/>
          <w:bCs/>
          <w:szCs w:val="24"/>
        </w:rPr>
        <w:t xml:space="preserve">initiatives </w:t>
      </w:r>
      <w:r>
        <w:rPr>
          <w:rFonts w:cs="Arial"/>
          <w:bCs/>
          <w:szCs w:val="24"/>
        </w:rPr>
        <w:t>from</w:t>
      </w:r>
      <w:r w:rsidRPr="00ED0350">
        <w:rPr>
          <w:rFonts w:cs="Arial"/>
          <w:bCs/>
          <w:szCs w:val="24"/>
        </w:rPr>
        <w:t xml:space="preserve"> agencies including the </w:t>
      </w:r>
      <w:r w:rsidR="00864274">
        <w:rPr>
          <w:rFonts w:cs="Arial"/>
          <w:bCs/>
          <w:szCs w:val="24"/>
        </w:rPr>
        <w:t xml:space="preserve">Treasury, </w:t>
      </w:r>
      <w:r w:rsidR="00943DE3">
        <w:rPr>
          <w:rFonts w:cs="Arial"/>
          <w:bCs/>
          <w:szCs w:val="24"/>
        </w:rPr>
        <w:t xml:space="preserve">Attorney-General’s Department, </w:t>
      </w:r>
      <w:r w:rsidRPr="00ED0350">
        <w:rPr>
          <w:rFonts w:cs="Arial"/>
          <w:bCs/>
          <w:szCs w:val="24"/>
        </w:rPr>
        <w:t xml:space="preserve">Australian </w:t>
      </w:r>
      <w:proofErr w:type="gramStart"/>
      <w:r w:rsidRPr="00ED0350">
        <w:rPr>
          <w:rFonts w:cs="Arial"/>
          <w:bCs/>
          <w:szCs w:val="24"/>
        </w:rPr>
        <w:t>Securities</w:t>
      </w:r>
      <w:proofErr w:type="gramEnd"/>
      <w:r w:rsidRPr="00ED0350">
        <w:rPr>
          <w:rFonts w:cs="Arial"/>
          <w:bCs/>
          <w:szCs w:val="24"/>
        </w:rPr>
        <w:t xml:space="preserve"> and Investments Commission (ASIC), the Australian Prudential </w:t>
      </w:r>
      <w:r w:rsidR="00E807E9">
        <w:rPr>
          <w:rFonts w:cs="Arial"/>
          <w:bCs/>
          <w:szCs w:val="24"/>
        </w:rPr>
        <w:t>Regulation Authority</w:t>
      </w:r>
      <w:r w:rsidRPr="00ED0350">
        <w:rPr>
          <w:rFonts w:cs="Arial"/>
          <w:bCs/>
          <w:szCs w:val="24"/>
        </w:rPr>
        <w:t xml:space="preserve"> (APRA), the Australian Competition and Consumer Commission (ACCC), the Reserve Bank of Australia (RBA), the Australian Taxation Office (ATO)</w:t>
      </w:r>
      <w:r w:rsidR="007F28E2">
        <w:rPr>
          <w:rFonts w:cs="Arial"/>
          <w:bCs/>
          <w:szCs w:val="24"/>
        </w:rPr>
        <w:t xml:space="preserve">, the Australian Financial Security Authority (AFSA) and </w:t>
      </w:r>
      <w:r w:rsidR="003D3D91">
        <w:rPr>
          <w:rFonts w:cs="Arial"/>
          <w:bCs/>
          <w:szCs w:val="24"/>
        </w:rPr>
        <w:t>the Australian Transaction Reports and Analysis Centre (AUSTRAC)</w:t>
      </w:r>
      <w:r w:rsidRPr="00ED0350">
        <w:rPr>
          <w:rFonts w:cs="Arial"/>
          <w:bCs/>
          <w:szCs w:val="24"/>
        </w:rPr>
        <w:t>.</w:t>
      </w:r>
    </w:p>
    <w:p w14:paraId="42DE9EB2" w14:textId="69FA1DA5" w:rsidR="00E822D3" w:rsidRPr="00B07DCA" w:rsidRDefault="00E822D3" w:rsidP="00E822D3">
      <w:r>
        <w:rPr>
          <w:rFonts w:cs="Arial"/>
          <w:bCs/>
          <w:szCs w:val="24"/>
        </w:rPr>
        <w:t xml:space="preserve">The RIG complements existing transparency tools like </w:t>
      </w:r>
      <w:r w:rsidR="0081249F">
        <w:rPr>
          <w:rFonts w:cs="Arial"/>
          <w:bCs/>
          <w:szCs w:val="24"/>
        </w:rPr>
        <w:t>agency corporate plans.</w:t>
      </w:r>
      <w:r w:rsidR="00B07DCA">
        <w:t xml:space="preserve"> </w:t>
      </w:r>
    </w:p>
    <w:p w14:paraId="717ADC64" w14:textId="4D5C888D" w:rsidR="00E822D3" w:rsidRDefault="00E822D3" w:rsidP="00E822D3">
      <w:r>
        <w:rPr>
          <w:rFonts w:cs="Arial"/>
          <w:bCs/>
          <w:szCs w:val="24"/>
        </w:rPr>
        <w:t>We thank the financial sector and all stakeholders for their considered engagement in developing the RIG. Its release</w:t>
      </w:r>
      <w:r>
        <w:t xml:space="preserve"> marks an important step forward in our ongoing partnership to build a financial system that is stronger and more resilient, dynamic, competitive, and fit for the future. </w:t>
      </w:r>
    </w:p>
    <w:p w14:paraId="5C48D4CE" w14:textId="16826CC3" w:rsidR="00165A1F" w:rsidRDefault="00E822D3" w:rsidP="00541FDD">
      <w:r>
        <w:t xml:space="preserve">We look forward to continuing to engage with the sector as the RIG </w:t>
      </w:r>
      <w:r w:rsidR="00901DDD">
        <w:t>progresses</w:t>
      </w:r>
      <w:r>
        <w:t>.</w:t>
      </w:r>
    </w:p>
    <w:p w14:paraId="2CBF9E65" w14:textId="77777777" w:rsidR="00460515" w:rsidRDefault="00460515" w:rsidP="00541FDD">
      <w:pPr>
        <w:pStyle w:val="ChartGraphic"/>
        <w:spacing w:before="240"/>
      </w:pPr>
      <w:r>
        <w:drawing>
          <wp:inline distT="0" distB="0" distL="0" distR="0" wp14:anchorId="5008FA04" wp14:editId="49C01801">
            <wp:extent cx="2016125" cy="614680"/>
            <wp:effectExtent l="0" t="0" r="3175" b="0"/>
            <wp:docPr id="1949292043" name="Picture 1949292043" descr="Signature of The Hon Dr Jim Chalmers M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292043" name="Picture 1949292043" descr="Signature of The Hon Dr Jim Chalmers MP">
                      <a:extLst>
                        <a:ext uri="{C183D7F6-B498-43B3-948B-1728B52AA6E4}">
                          <adec:decorative xmlns:adec="http://schemas.microsoft.com/office/drawing/2017/decorative" val="0"/>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016125" cy="614680"/>
                    </a:xfrm>
                    <a:prstGeom prst="rect">
                      <a:avLst/>
                    </a:prstGeom>
                  </pic:spPr>
                </pic:pic>
              </a:graphicData>
            </a:graphic>
          </wp:inline>
        </w:drawing>
      </w:r>
    </w:p>
    <w:p w14:paraId="245546E7" w14:textId="2925DDED" w:rsidR="004316C4" w:rsidRPr="00710C01" w:rsidRDefault="004316C4" w:rsidP="004316C4">
      <w:pPr>
        <w:rPr>
          <w:b/>
          <w:bCs/>
        </w:rPr>
      </w:pPr>
      <w:r>
        <w:rPr>
          <w:b/>
          <w:bCs/>
        </w:rPr>
        <w:t>The Hon Dr Jim Chalmers MP</w:t>
      </w:r>
    </w:p>
    <w:p w14:paraId="36CD8935" w14:textId="22DB3D7D" w:rsidR="004316C4" w:rsidRDefault="004316C4" w:rsidP="004316C4">
      <w:r>
        <w:t xml:space="preserve">Treasurer </w:t>
      </w:r>
    </w:p>
    <w:p w14:paraId="0B633F76" w14:textId="77777777" w:rsidR="00ED5A20" w:rsidRDefault="00ED5A20" w:rsidP="00FC308B">
      <w:pPr>
        <w:pStyle w:val="Heading1Numbered"/>
        <w:numPr>
          <w:ilvl w:val="0"/>
          <w:numId w:val="0"/>
        </w:numPr>
        <w:ind w:left="360"/>
        <w:sectPr w:rsidR="00ED5A20" w:rsidSect="00E10AB3">
          <w:headerReference w:type="even" r:id="rId28"/>
          <w:headerReference w:type="default" r:id="rId29"/>
          <w:footerReference w:type="even" r:id="rId30"/>
          <w:footerReference w:type="default" r:id="rId31"/>
          <w:headerReference w:type="first" r:id="rId32"/>
          <w:footerReference w:type="first" r:id="rId33"/>
          <w:pgSz w:w="16838" w:h="11906" w:orient="landscape" w:code="9"/>
          <w:pgMar w:top="1843" w:right="1418" w:bottom="1021" w:left="1418" w:header="709" w:footer="397" w:gutter="0"/>
          <w:pgNumType w:start="1"/>
          <w:cols w:num="2" w:space="1755" w:equalWidth="0">
            <w:col w:w="3175" w:space="1755"/>
            <w:col w:w="9072"/>
          </w:cols>
          <w:docGrid w:linePitch="360"/>
        </w:sectPr>
      </w:pPr>
    </w:p>
    <w:p w14:paraId="41E3358A" w14:textId="5A497205" w:rsidR="00C11026" w:rsidRDefault="00A26577" w:rsidP="00B94425">
      <w:pPr>
        <w:pStyle w:val="Heading1"/>
        <w:spacing w:after="120"/>
      </w:pPr>
      <w:bookmarkStart w:id="7" w:name="_Toc183095603"/>
      <w:r>
        <w:lastRenderedPageBreak/>
        <w:t>Snapshot of regulatory initiatives</w:t>
      </w:r>
      <w:bookmarkEnd w:id="7"/>
      <w:r w:rsidR="000D6A8C">
        <w:t xml:space="preserve"> </w:t>
      </w:r>
    </w:p>
    <w:p w14:paraId="5FA46A13" w14:textId="0BF762A9" w:rsidR="003F0624" w:rsidRDefault="0057572B" w:rsidP="00A44755">
      <w:pPr>
        <w:pStyle w:val="ChartGraphic"/>
      </w:pPr>
      <w:r>
        <w:drawing>
          <wp:inline distT="0" distB="0" distL="0" distR="0" wp14:anchorId="2C909914" wp14:editId="66AF2556">
            <wp:extent cx="8851202" cy="5298031"/>
            <wp:effectExtent l="0" t="0" r="7620" b="0"/>
            <wp:docPr id="1306625671" name="Picture 1" descr="71 total initiatives. Initiatives by category: Policy development: 5; Development of legislation, regulations and instruments: 25; Ongoing program implementation: 30; Review and evaluation: 11. 25 Initiatives with data collection. 34 Initiatives expected to involve consultation. Consultation timing: 27 initiatives in the first half of 2025; 9 initiatives in the second half of 2025; 1 initiative in 2026. Note: some initiatives involve more than 1 consultation. What percentage of initiatives is each agency involved in? TSY: 48%; ASIC: 45%; APRA: 20%; ACCC: 14%; RBA: 10%; ATO: 11%; AGD: 8%; AFSA: 4%; AUSTRAC: 4%; Other: 4%. Note: some initiatives involve multiple agenc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625671" name="Picture 1" descr="71 total initiatives. Initiatives by category: Policy development: 5; Development of legislation, regulations and instruments: 25; Ongoing program implementation: 30; Review and evaluation: 11. 25 Initiatives with data collection. 34 Initiatives expected to involve consultation. Consultation timing: 27 initiatives in the first half of 2025; 9 initiatives in the second half of 2025; 1 initiative in 2026. Note: some initiatives involve more than 1 consultation. What percentage of initiatives is each agency involved in? TSY: 48%; ASIC: 45%; APRA: 20%; ACCC: 14%; RBA: 10%; ATO: 11%; AGD: 8%; AFSA: 4%; AUSTRAC: 4%; Other: 4%. Note: some initiatives involve multiple agencies."/>
                    <pic:cNvPicPr/>
                  </pic:nvPicPr>
                  <pic:blipFill>
                    <a:blip r:embed="rId34" cstate="print">
                      <a:extLst>
                        <a:ext uri="{28A0092B-C50C-407E-A947-70E740481C1C}">
                          <a14:useLocalDpi xmlns:a14="http://schemas.microsoft.com/office/drawing/2010/main" val="0"/>
                        </a:ext>
                      </a:extLst>
                    </a:blip>
                    <a:stretch>
                      <a:fillRect/>
                    </a:stretch>
                  </pic:blipFill>
                  <pic:spPr>
                    <a:xfrm>
                      <a:off x="0" y="0"/>
                      <a:ext cx="8851202" cy="5298031"/>
                    </a:xfrm>
                    <a:prstGeom prst="rect">
                      <a:avLst/>
                    </a:prstGeom>
                  </pic:spPr>
                </pic:pic>
              </a:graphicData>
            </a:graphic>
          </wp:inline>
        </w:drawing>
      </w:r>
    </w:p>
    <w:p w14:paraId="48A72C15" w14:textId="44A2F66D" w:rsidR="003F0624" w:rsidRDefault="006433CC" w:rsidP="00B94425">
      <w:pPr>
        <w:pStyle w:val="ChartGraphic"/>
        <w:sectPr w:rsidR="003F0624" w:rsidSect="0000027C">
          <w:headerReference w:type="even" r:id="rId35"/>
          <w:headerReference w:type="default" r:id="rId36"/>
          <w:footerReference w:type="even" r:id="rId37"/>
          <w:footerReference w:type="default" r:id="rId38"/>
          <w:headerReference w:type="first" r:id="rId39"/>
          <w:footerReference w:type="first" r:id="rId40"/>
          <w:pgSz w:w="16838" w:h="11906" w:orient="landscape" w:code="9"/>
          <w:pgMar w:top="1843" w:right="1418" w:bottom="1021" w:left="1418" w:header="709" w:footer="397" w:gutter="0"/>
          <w:cols w:space="708"/>
          <w:docGrid w:linePitch="360"/>
        </w:sectPr>
      </w:pPr>
      <w:r>
        <w:lastRenderedPageBreak/>
        <w:drawing>
          <wp:inline distT="0" distB="0" distL="0" distR="0" wp14:anchorId="3AD491C8" wp14:editId="649296C6">
            <wp:extent cx="8849929" cy="4994137"/>
            <wp:effectExtent l="0" t="0" r="0" b="0"/>
            <wp:docPr id="679286341" name="Picture 2" descr="Initiatives in each sector. Number of initiatives that only impact each sector: Banking, Credit and Lending: 15; Collective management and investment management: 2; Financial advice: 0; Financial markets: 5;  Insurance and reinsurance: 6; Payment services and digital assets: 6; Superannuation and retirement income: 4; Other: 1. Total number of initiatives by category in each sector. Sector: Banking, Credit and Lending. Initiatives by category: Policy development: 2; Development of legislation, regulations and instruments: 12; Ongoing program implementation: 12; Review and evaluation: 9. Sector: Collective management and investment management. Initiatives by category: Policy development: 2; Development of legislation, regulations and instruments: 4; Ongoing program implementation: 10; Review and evaluation: 1. Sector: Financial advice. Initiatives by category: Policy development: 1: Development of legislation, regulations and instruments: 7; Ongoing program implementation: 10; Review and evaluation: 1. Sector: Financial markets. Initiatives by category: Policy development: 2; Development of legislation, regulations and instruments: 7; Ongoing program implementation: 5; Review and evaluation: 1. Sector: Insurance and reinsurance. Initiatives by category: Policy development: 2; Development of legislation, regulations and instruments: 6; Ongoing program implementation: 10; Review and evaluation: 7. Sector: Payment services and digital assets. Initiatives by category: Policy development: 1: Development of legislation, regulations and instruments: 8; Ongoing program implementation: 4; Review and evaluation: 2. Sector: Superannuation and retirement income. Initiatives by category: Policy development: 2; Development of legislation, regulations and instruments: 8; Ongoing program implementation: 16; Review and evaluation: 4. Sector: Other. Initiatives by category: Policy development: 2; Development of legislation, regulations and instruments: 4; Ongoing program implementation: 3; Review and evaluati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286341" name="Picture 2" descr="Initiatives in each sector. Number of initiatives that only impact each sector: Banking, Credit and Lending: 15; Collective management and investment management: 2; Financial advice: 0; Financial markets: 5;  Insurance and reinsurance: 6; Payment services and digital assets: 6; Superannuation and retirement income: 4; Other: 1. Total number of initiatives by category in each sector. Sector: Banking, Credit and Lending. Initiatives by category: Policy development: 2; Development of legislation, regulations and instruments: 12; Ongoing program implementation: 12; Review and evaluation: 9. Sector: Collective management and investment management. Initiatives by category: Policy development: 2; Development of legislation, regulations and instruments: 4; Ongoing program implementation: 10; Review and evaluation: 1. Sector: Financial advice. Initiatives by category: Policy development: 1: Development of legislation, regulations and instruments: 7; Ongoing program implementation: 10; Review and evaluation: 1. Sector: Financial markets. Initiatives by category: Policy development: 2; Development of legislation, regulations and instruments: 7; Ongoing program implementation: 5; Review and evaluation: 1. Sector: Insurance and reinsurance. Initiatives by category: Policy development: 2; Development of legislation, regulations and instruments: 6; Ongoing program implementation: 10; Review and evaluation: 7. Sector: Payment services and digital assets. Initiatives by category: Policy development: 1: Development of legislation, regulations and instruments: 8; Ongoing program implementation: 4; Review and evaluation: 2. Sector: Superannuation and retirement income. Initiatives by category: Policy development: 2; Development of legislation, regulations and instruments: 8; Ongoing program implementation: 16; Review and evaluation: 4. Sector: Other. Initiatives by category: Policy development: 2; Development of legislation, regulations and instruments: 4; Ongoing program implementation: 3; Review and evaluation: 1."/>
                    <pic:cNvPicPr/>
                  </pic:nvPicPr>
                  <pic:blipFill>
                    <a:blip r:embed="rId41" cstate="print">
                      <a:extLst>
                        <a:ext uri="{28A0092B-C50C-407E-A947-70E740481C1C}">
                          <a14:useLocalDpi xmlns:a14="http://schemas.microsoft.com/office/drawing/2010/main" val="0"/>
                        </a:ext>
                      </a:extLst>
                    </a:blip>
                    <a:stretch>
                      <a:fillRect/>
                    </a:stretch>
                  </pic:blipFill>
                  <pic:spPr>
                    <a:xfrm>
                      <a:off x="0" y="0"/>
                      <a:ext cx="8849929" cy="4994137"/>
                    </a:xfrm>
                    <a:prstGeom prst="rect">
                      <a:avLst/>
                    </a:prstGeom>
                  </pic:spPr>
                </pic:pic>
              </a:graphicData>
            </a:graphic>
          </wp:inline>
        </w:drawing>
      </w:r>
      <w:r w:rsidR="008E33FD">
        <w:br w:type="page"/>
      </w:r>
    </w:p>
    <w:p w14:paraId="7C24C084" w14:textId="4288912E" w:rsidR="00FD557E" w:rsidRDefault="00FD557E" w:rsidP="00FD557E">
      <w:pPr>
        <w:pStyle w:val="Heading1"/>
      </w:pPr>
      <w:bookmarkStart w:id="8" w:name="_Toc172625999"/>
      <w:bookmarkStart w:id="9" w:name="_Toc1843991616"/>
      <w:bookmarkStart w:id="10" w:name="_Toc173243833"/>
      <w:bookmarkStart w:id="11" w:name="_Toc183095604"/>
      <w:r>
        <w:lastRenderedPageBreak/>
        <w:t>Introduction</w:t>
      </w:r>
      <w:bookmarkEnd w:id="8"/>
      <w:bookmarkEnd w:id="9"/>
      <w:bookmarkEnd w:id="10"/>
      <w:bookmarkEnd w:id="11"/>
    </w:p>
    <w:p w14:paraId="048C1644" w14:textId="77777777" w:rsidR="005E2AF9" w:rsidRDefault="005E2AF9" w:rsidP="005E2AF9">
      <w:bookmarkStart w:id="12" w:name="_Toc173243834"/>
      <w:r>
        <w:br w:type="column"/>
      </w:r>
      <w:r>
        <w:t>The Australian Government announced the introduction of a financial sector Regulatory Initiatives Grid (RIG) in March 2024. The RIG forms part of the Government’s productivity and competition agenda, to boost economic dynamism and resilience of Australia’s financial sector.</w:t>
      </w:r>
    </w:p>
    <w:p w14:paraId="071CB42B" w14:textId="79C08944" w:rsidR="001D5161" w:rsidRDefault="00E37577" w:rsidP="005946AB">
      <w:r>
        <w:t>The RIG</w:t>
      </w:r>
      <w:r w:rsidDel="00EB3021">
        <w:t xml:space="preserve"> </w:t>
      </w:r>
      <w:r w:rsidDel="00EB399F">
        <w:t xml:space="preserve">will </w:t>
      </w:r>
      <w:r w:rsidDel="004E29B3">
        <w:t xml:space="preserve">provide </w:t>
      </w:r>
      <w:r w:rsidDel="00F92240">
        <w:t>the financial sector</w:t>
      </w:r>
      <w:r w:rsidDel="00C96643">
        <w:t xml:space="preserve"> with</w:t>
      </w:r>
      <w:r w:rsidDel="00EB3021">
        <w:t xml:space="preserve"> </w:t>
      </w:r>
      <w:r w:rsidDel="009F2987">
        <w:t>greater transparency of the regulatory landscape</w:t>
      </w:r>
      <w:r w:rsidR="00EB399F">
        <w:t xml:space="preserve"> </w:t>
      </w:r>
      <w:r w:rsidR="00997705">
        <w:t xml:space="preserve">by </w:t>
      </w:r>
      <w:r w:rsidR="00F6562C">
        <w:t>list</w:t>
      </w:r>
      <w:r w:rsidR="00997705">
        <w:t>ing</w:t>
      </w:r>
      <w:r>
        <w:t xml:space="preserve"> reform priorities and initiatives that will materially affect the financial sector</w:t>
      </w:r>
      <w:r w:rsidR="003B4E3B">
        <w:t xml:space="preserve"> over the next 2</w:t>
      </w:r>
      <w:r w:rsidR="003C6C21">
        <w:t> </w:t>
      </w:r>
      <w:r w:rsidR="003B4E3B">
        <w:t>years.</w:t>
      </w:r>
      <w:r w:rsidR="00EF74E7" w:rsidDel="000247A0">
        <w:t xml:space="preserve"> </w:t>
      </w:r>
      <w:r w:rsidR="00471A63">
        <w:t>Pub</w:t>
      </w:r>
      <w:r w:rsidR="0033312E">
        <w:t>lishing</w:t>
      </w:r>
      <w:r w:rsidR="00A13596">
        <w:t xml:space="preserve"> </w:t>
      </w:r>
      <w:r>
        <w:t xml:space="preserve">these measures in a single </w:t>
      </w:r>
      <w:r w:rsidR="00CD440A">
        <w:t xml:space="preserve">source </w:t>
      </w:r>
      <w:r>
        <w:t xml:space="preserve">and in a consistent format </w:t>
      </w:r>
      <w:r w:rsidR="00426A26">
        <w:t>provide</w:t>
      </w:r>
      <w:r w:rsidR="0065382F">
        <w:t>s</w:t>
      </w:r>
      <w:r w:rsidR="00426A26">
        <w:t xml:space="preserve"> many benefits.</w:t>
      </w:r>
      <w:r>
        <w:t xml:space="preserve"> </w:t>
      </w:r>
      <w:r w:rsidR="006D1618">
        <w:t xml:space="preserve">It </w:t>
      </w:r>
      <w:r>
        <w:t>better inform</w:t>
      </w:r>
      <w:r w:rsidR="00EA4DEF">
        <w:t>s</w:t>
      </w:r>
      <w:r>
        <w:t xml:space="preserve"> </w:t>
      </w:r>
      <w:r w:rsidR="00FB4CCD">
        <w:t>sta</w:t>
      </w:r>
      <w:r w:rsidR="00B26C64">
        <w:t>keholders</w:t>
      </w:r>
      <w:r>
        <w:t xml:space="preserve"> about the strategic direction of </w:t>
      </w:r>
      <w:r w:rsidR="00B26C64">
        <w:t>regulatory</w:t>
      </w:r>
      <w:r>
        <w:t xml:space="preserve"> reform. </w:t>
      </w:r>
      <w:r w:rsidR="000572D0">
        <w:t xml:space="preserve">It </w:t>
      </w:r>
      <w:r>
        <w:t>support</w:t>
      </w:r>
      <w:r w:rsidR="00EA4DEF">
        <w:t>s</w:t>
      </w:r>
      <w:r>
        <w:t xml:space="preserve"> more effective engagement between the sector, </w:t>
      </w:r>
      <w:proofErr w:type="gramStart"/>
      <w:r w:rsidR="003B4E3B">
        <w:t>g</w:t>
      </w:r>
      <w:r>
        <w:t>overnment</w:t>
      </w:r>
      <w:proofErr w:type="gramEnd"/>
      <w:r>
        <w:t xml:space="preserve"> and regulators</w:t>
      </w:r>
      <w:r w:rsidR="004673FC">
        <w:t>.</w:t>
      </w:r>
      <w:r>
        <w:t xml:space="preserve"> </w:t>
      </w:r>
      <w:r w:rsidR="0065382F">
        <w:t xml:space="preserve">It </w:t>
      </w:r>
      <w:r>
        <w:t>make</w:t>
      </w:r>
      <w:r w:rsidR="0050642E">
        <w:t>s</w:t>
      </w:r>
      <w:r>
        <w:t xml:space="preserve"> it easier to identify common challenges and </w:t>
      </w:r>
      <w:proofErr w:type="gramStart"/>
      <w:r>
        <w:t xml:space="preserve">risks, </w:t>
      </w:r>
      <w:r w:rsidR="007215EA">
        <w:t>and</w:t>
      </w:r>
      <w:proofErr w:type="gramEnd"/>
      <w:r>
        <w:t xml:space="preserve"> collaborate on priorities</w:t>
      </w:r>
      <w:r w:rsidR="007215EA">
        <w:t>.</w:t>
      </w:r>
      <w:r w:rsidR="00666526">
        <w:t xml:space="preserve"> I</w:t>
      </w:r>
      <w:r w:rsidR="00DA32AB">
        <w:t>t</w:t>
      </w:r>
      <w:r>
        <w:t xml:space="preserve"> </w:t>
      </w:r>
      <w:r w:rsidR="00334FF9">
        <w:t>also support</w:t>
      </w:r>
      <w:r w:rsidR="00F2317B">
        <w:t>s</w:t>
      </w:r>
      <w:r>
        <w:t xml:space="preserve"> change management </w:t>
      </w:r>
      <w:r w:rsidR="0009678F">
        <w:t xml:space="preserve">in </w:t>
      </w:r>
      <w:r>
        <w:t>the financial sector</w:t>
      </w:r>
      <w:r w:rsidR="00AC3749">
        <w:t xml:space="preserve">, </w:t>
      </w:r>
      <w:r w:rsidR="00CB78F8">
        <w:t>help</w:t>
      </w:r>
      <w:r w:rsidR="00AC3749">
        <w:t>ing</w:t>
      </w:r>
      <w:r w:rsidR="00CB78F8">
        <w:t xml:space="preserve"> </w:t>
      </w:r>
      <w:r>
        <w:t xml:space="preserve">businesses </w:t>
      </w:r>
      <w:r w:rsidR="00E548A2">
        <w:t>to</w:t>
      </w:r>
      <w:r>
        <w:t xml:space="preserve"> plan</w:t>
      </w:r>
      <w:r w:rsidR="00D005F7">
        <w:t xml:space="preserve"> </w:t>
      </w:r>
      <w:r w:rsidR="007F0210">
        <w:t>and</w:t>
      </w:r>
      <w:r>
        <w:t xml:space="preserve"> reduce costs of </w:t>
      </w:r>
      <w:r w:rsidR="00013F78">
        <w:t xml:space="preserve">engaging with proposed </w:t>
      </w:r>
      <w:r>
        <w:t>reform</w:t>
      </w:r>
      <w:r w:rsidR="00013F78">
        <w:t>s</w:t>
      </w:r>
      <w:r w:rsidR="00045EE6">
        <w:t xml:space="preserve"> and regulatory efforts</w:t>
      </w:r>
      <w:r>
        <w:t xml:space="preserve">. </w:t>
      </w:r>
    </w:p>
    <w:p w14:paraId="5EB27642" w14:textId="34AF50FC" w:rsidR="00E37577" w:rsidRDefault="001539E4" w:rsidP="005946AB">
      <w:r>
        <w:t>S</w:t>
      </w:r>
      <w:r w:rsidR="002B2142">
        <w:t>takeholders</w:t>
      </w:r>
      <w:r w:rsidR="0063181D">
        <w:t xml:space="preserve"> will </w:t>
      </w:r>
      <w:r w:rsidR="00710AAC">
        <w:t>have</w:t>
      </w:r>
      <w:r w:rsidR="002B2142">
        <w:t xml:space="preserve"> </w:t>
      </w:r>
      <w:r w:rsidR="00C37AC4">
        <w:t>a</w:t>
      </w:r>
      <w:r w:rsidR="001C4E0B">
        <w:t xml:space="preserve">n opportunity </w:t>
      </w:r>
      <w:r w:rsidR="006F33FD">
        <w:t xml:space="preserve">to </w:t>
      </w:r>
      <w:r w:rsidR="002410F1">
        <w:t>have a say</w:t>
      </w:r>
      <w:r w:rsidR="00A46F65">
        <w:t xml:space="preserve"> </w:t>
      </w:r>
      <w:r w:rsidR="009B5493">
        <w:t>on</w:t>
      </w:r>
      <w:r w:rsidR="006F33FD">
        <w:t xml:space="preserve"> </w:t>
      </w:r>
      <w:r w:rsidR="00566216">
        <w:t>the</w:t>
      </w:r>
      <w:r w:rsidR="006F33FD">
        <w:t xml:space="preserve"> long</w:t>
      </w:r>
      <w:r w:rsidR="0008745D">
        <w:noBreakHyphen/>
      </w:r>
      <w:r w:rsidR="006F33FD">
        <w:t>term</w:t>
      </w:r>
      <w:r w:rsidR="00C37AC4">
        <w:t xml:space="preserve"> design </w:t>
      </w:r>
      <w:r w:rsidR="00566216">
        <w:t>of the RIG.</w:t>
      </w:r>
      <w:r w:rsidR="00E64580">
        <w:t xml:space="preserve"> It will</w:t>
      </w:r>
      <w:r w:rsidR="00E37577">
        <w:t xml:space="preserve"> be refined in response to stakeholder feedback</w:t>
      </w:r>
      <w:r w:rsidR="00582580">
        <w:t xml:space="preserve"> to ensure it </w:t>
      </w:r>
      <w:r w:rsidR="00AB3A5D">
        <w:t xml:space="preserve">remains </w:t>
      </w:r>
      <w:r w:rsidR="00591E15">
        <w:t>fit for purpose</w:t>
      </w:r>
      <w:r w:rsidR="00E37577">
        <w:t>.</w:t>
      </w:r>
    </w:p>
    <w:p w14:paraId="1853FE6F" w14:textId="77777777" w:rsidR="005F2B94" w:rsidRPr="00E90DC9" w:rsidRDefault="00FD557E" w:rsidP="005F2B94">
      <w:pPr>
        <w:pStyle w:val="Heading2"/>
      </w:pPr>
      <w:r>
        <w:br w:type="column"/>
      </w:r>
      <w:r>
        <w:lastRenderedPageBreak/>
        <w:br w:type="column"/>
      </w:r>
      <w:bookmarkStart w:id="13" w:name="_Toc176175984"/>
      <w:bookmarkStart w:id="14" w:name="_Toc183095605"/>
      <w:bookmarkStart w:id="15" w:name="_Hlk174713691"/>
      <w:bookmarkEnd w:id="12"/>
      <w:r w:rsidR="005F2B94">
        <w:t>Sectors</w:t>
      </w:r>
      <w:bookmarkEnd w:id="13"/>
      <w:bookmarkEnd w:id="14"/>
    </w:p>
    <w:p w14:paraId="6954B7BF" w14:textId="368E5511" w:rsidR="005F2B94" w:rsidRPr="00E90DC9" w:rsidRDefault="0013023B" w:rsidP="00CC277D">
      <w:r>
        <w:t>The</w:t>
      </w:r>
      <w:r w:rsidR="00506C1B">
        <w:t xml:space="preserve"> RIG</w:t>
      </w:r>
      <w:r>
        <w:t xml:space="preserve"> divides the </w:t>
      </w:r>
      <w:r w:rsidR="00030EFF">
        <w:t xml:space="preserve">financial </w:t>
      </w:r>
      <w:r w:rsidR="005B6F4A">
        <w:t>system</w:t>
      </w:r>
      <w:r w:rsidR="00D30008">
        <w:t xml:space="preserve"> into</w:t>
      </w:r>
      <w:r>
        <w:t xml:space="preserve"> 8</w:t>
      </w:r>
      <w:r w:rsidR="007C7B75">
        <w:t xml:space="preserve"> </w:t>
      </w:r>
      <w:r w:rsidR="00506C1B">
        <w:t>sectors</w:t>
      </w:r>
      <w:r w:rsidR="0062101B">
        <w:t>:</w:t>
      </w:r>
    </w:p>
    <w:p w14:paraId="4CE359A4" w14:textId="77777777" w:rsidR="001B7F28" w:rsidRPr="00E3147F" w:rsidRDefault="001B7F28" w:rsidP="00E3147F">
      <w:pPr>
        <w:pStyle w:val="Bullet"/>
      </w:pPr>
      <w:r w:rsidRPr="00E3147F">
        <w:t xml:space="preserve">Banking, </w:t>
      </w:r>
      <w:proofErr w:type="gramStart"/>
      <w:r w:rsidRPr="00E3147F">
        <w:t>credit</w:t>
      </w:r>
      <w:proofErr w:type="gramEnd"/>
      <w:r w:rsidRPr="00E3147F">
        <w:t xml:space="preserve"> and lending</w:t>
      </w:r>
    </w:p>
    <w:p w14:paraId="1628FE99" w14:textId="77777777" w:rsidR="001B7F28" w:rsidRPr="00E3147F" w:rsidRDefault="001B7F28" w:rsidP="00E3147F">
      <w:pPr>
        <w:pStyle w:val="Bullet"/>
      </w:pPr>
      <w:r w:rsidRPr="00E3147F">
        <w:t>Collective management and investment management</w:t>
      </w:r>
    </w:p>
    <w:p w14:paraId="5BC9E4E9" w14:textId="77777777" w:rsidR="001B7F28" w:rsidRPr="00E3147F" w:rsidRDefault="001B7F28" w:rsidP="00E3147F">
      <w:pPr>
        <w:pStyle w:val="Bullet"/>
      </w:pPr>
      <w:r w:rsidRPr="00E3147F">
        <w:t xml:space="preserve">Financial advice </w:t>
      </w:r>
    </w:p>
    <w:p w14:paraId="721A08E7" w14:textId="0C14195A" w:rsidR="005F2B94" w:rsidRPr="00E3147F" w:rsidRDefault="005F2B94" w:rsidP="00E3147F">
      <w:pPr>
        <w:pStyle w:val="Bullet"/>
      </w:pPr>
      <w:r w:rsidRPr="00E3147F">
        <w:t xml:space="preserve">Financial </w:t>
      </w:r>
      <w:r w:rsidR="00556855" w:rsidRPr="00E3147F">
        <w:t>m</w:t>
      </w:r>
      <w:r w:rsidRPr="00E3147F">
        <w:t>arkets</w:t>
      </w:r>
    </w:p>
    <w:p w14:paraId="3DA95AA9" w14:textId="77777777" w:rsidR="0053703B" w:rsidRPr="00E3147F" w:rsidRDefault="0053703B" w:rsidP="00E3147F">
      <w:pPr>
        <w:pStyle w:val="Bullet"/>
      </w:pPr>
      <w:r w:rsidRPr="00E3147F">
        <w:t>Insurance and reinsurance</w:t>
      </w:r>
    </w:p>
    <w:p w14:paraId="6B669EC1" w14:textId="57426A87" w:rsidR="00AF3AA5" w:rsidRPr="00E3147F" w:rsidRDefault="002D0236" w:rsidP="00E3147F">
      <w:pPr>
        <w:pStyle w:val="Bullet"/>
      </w:pPr>
      <w:r w:rsidRPr="00E3147F">
        <w:t xml:space="preserve">Payment services and </w:t>
      </w:r>
      <w:r w:rsidR="00813AB0" w:rsidRPr="00E3147F">
        <w:t>d</w:t>
      </w:r>
      <w:r w:rsidRPr="00E3147F">
        <w:t xml:space="preserve">igital </w:t>
      </w:r>
      <w:r w:rsidR="00813AB0" w:rsidRPr="00E3147F">
        <w:t>a</w:t>
      </w:r>
      <w:r w:rsidRPr="00E3147F">
        <w:t>ssets</w:t>
      </w:r>
    </w:p>
    <w:p w14:paraId="4B48D32C" w14:textId="71886A26" w:rsidR="005F2B94" w:rsidRPr="00E3147F" w:rsidRDefault="005F2B94" w:rsidP="00E3147F">
      <w:pPr>
        <w:pStyle w:val="Bullet"/>
      </w:pPr>
      <w:r w:rsidRPr="00E3147F">
        <w:t xml:space="preserve">Superannuation and </w:t>
      </w:r>
      <w:r w:rsidR="00556855" w:rsidRPr="00E3147F">
        <w:t>r</w:t>
      </w:r>
      <w:r w:rsidRPr="00E3147F">
        <w:t xml:space="preserve">etirement </w:t>
      </w:r>
      <w:r w:rsidR="00556855" w:rsidRPr="00E3147F">
        <w:t>i</w:t>
      </w:r>
      <w:r w:rsidRPr="00E3147F">
        <w:t>ncome</w:t>
      </w:r>
    </w:p>
    <w:p w14:paraId="23C2E820" w14:textId="455BE4F9" w:rsidR="005F2B94" w:rsidRPr="00E3147F" w:rsidRDefault="005F2B94" w:rsidP="00E3147F">
      <w:pPr>
        <w:pStyle w:val="Bullet"/>
      </w:pPr>
      <w:r w:rsidRPr="00E3147F">
        <w:t>Other</w:t>
      </w:r>
      <w:r w:rsidR="001159E0" w:rsidRPr="00E3147F">
        <w:t>.</w:t>
      </w:r>
    </w:p>
    <w:p w14:paraId="3CA2153B" w14:textId="76850466" w:rsidR="00437CE6" w:rsidRPr="00500284" w:rsidRDefault="00437CE6" w:rsidP="00437CE6">
      <w:pPr>
        <w:pStyle w:val="Heading2"/>
      </w:pPr>
      <w:bookmarkStart w:id="16" w:name="_Toc183095606"/>
      <w:r w:rsidRPr="00500284">
        <w:t>Categories</w:t>
      </w:r>
      <w:bookmarkEnd w:id="16"/>
    </w:p>
    <w:p w14:paraId="519F8D90" w14:textId="2703E8E5" w:rsidR="00437CE6" w:rsidRPr="00500284" w:rsidRDefault="00664D4F" w:rsidP="00CC277D">
      <w:r>
        <w:t>The RIG divides i</w:t>
      </w:r>
      <w:r w:rsidR="00041100">
        <w:t>nitiatives</w:t>
      </w:r>
      <w:r w:rsidR="008D6E32" w:rsidRPr="00500284" w:rsidDel="00664D4F">
        <w:t xml:space="preserve"> </w:t>
      </w:r>
      <w:r w:rsidR="008D6E32" w:rsidRPr="00500284">
        <w:t xml:space="preserve">into </w:t>
      </w:r>
      <w:r w:rsidR="003051A0">
        <w:t>4 </w:t>
      </w:r>
      <w:r w:rsidR="008D6E32" w:rsidRPr="00500284">
        <w:t xml:space="preserve">categories </w:t>
      </w:r>
      <w:r w:rsidR="001159E0">
        <w:t xml:space="preserve">that </w:t>
      </w:r>
      <w:r w:rsidR="005A091B">
        <w:t xml:space="preserve">reflect </w:t>
      </w:r>
      <w:r w:rsidR="008D6E32" w:rsidRPr="00500284" w:rsidDel="007C7B75">
        <w:t>policy lifecycle</w:t>
      </w:r>
      <w:r w:rsidR="001159E0">
        <w:t xml:space="preserve"> </w:t>
      </w:r>
      <w:r w:rsidR="005A091B">
        <w:t>phases</w:t>
      </w:r>
      <w:r w:rsidR="008D6E32" w:rsidRPr="00500284">
        <w:t>:</w:t>
      </w:r>
    </w:p>
    <w:p w14:paraId="12C62ACE" w14:textId="3070C7BE" w:rsidR="008D6E32" w:rsidRPr="00E3147F" w:rsidRDefault="00C4144E" w:rsidP="00BC6BE2">
      <w:pPr>
        <w:pStyle w:val="OutlineNumbered1"/>
      </w:pPr>
      <w:r w:rsidRPr="00BC6BE2">
        <w:t>Policy</w:t>
      </w:r>
      <w:r w:rsidRPr="00E3147F">
        <w:t xml:space="preserve"> </w:t>
      </w:r>
      <w:r w:rsidR="00556855" w:rsidRPr="00E3147F">
        <w:t>d</w:t>
      </w:r>
      <w:r w:rsidRPr="00E3147F">
        <w:t>evelopment</w:t>
      </w:r>
    </w:p>
    <w:p w14:paraId="17E7EA0D" w14:textId="425D444D" w:rsidR="00C4144E" w:rsidRPr="00E3147F" w:rsidRDefault="0089490A" w:rsidP="00BC6BE2">
      <w:pPr>
        <w:pStyle w:val="OutlineNumbered1"/>
      </w:pPr>
      <w:r w:rsidRPr="00E3147F">
        <w:t xml:space="preserve">Development of </w:t>
      </w:r>
      <w:r w:rsidR="00556855" w:rsidRPr="00E3147F">
        <w:t>l</w:t>
      </w:r>
      <w:r w:rsidRPr="00E3147F">
        <w:t xml:space="preserve">egislation, </w:t>
      </w:r>
      <w:proofErr w:type="gramStart"/>
      <w:r w:rsidR="00556855" w:rsidRPr="00E3147F">
        <w:t>r</w:t>
      </w:r>
      <w:r w:rsidRPr="00E3147F">
        <w:t>egulations</w:t>
      </w:r>
      <w:proofErr w:type="gramEnd"/>
      <w:r w:rsidRPr="00E3147F">
        <w:t xml:space="preserve"> and </w:t>
      </w:r>
      <w:r w:rsidR="00556855" w:rsidRPr="00E3147F">
        <w:t>i</w:t>
      </w:r>
      <w:r w:rsidRPr="00E3147F">
        <w:t>nstruments</w:t>
      </w:r>
    </w:p>
    <w:p w14:paraId="5CE8E77B" w14:textId="46925C6E" w:rsidR="00AA55A8" w:rsidRPr="00E3147F" w:rsidRDefault="00AA55A8" w:rsidP="00BC6BE2">
      <w:pPr>
        <w:pStyle w:val="OutlineNumbered1"/>
      </w:pPr>
      <w:r w:rsidRPr="00E3147F">
        <w:t xml:space="preserve">Ongoing </w:t>
      </w:r>
      <w:r w:rsidR="00556855" w:rsidRPr="00E3147F">
        <w:t>p</w:t>
      </w:r>
      <w:r w:rsidRPr="00E3147F">
        <w:t xml:space="preserve">rogram </w:t>
      </w:r>
      <w:r w:rsidR="00556855" w:rsidRPr="00E3147F">
        <w:t>i</w:t>
      </w:r>
      <w:r w:rsidRPr="00E3147F">
        <w:t>mplementation</w:t>
      </w:r>
    </w:p>
    <w:p w14:paraId="6CABEB6E" w14:textId="64EE5CD9" w:rsidR="00744912" w:rsidRPr="00CC277D" w:rsidRDefault="00744912" w:rsidP="00BC6BE2">
      <w:pPr>
        <w:pStyle w:val="OutlineNumbered1"/>
      </w:pPr>
      <w:r w:rsidRPr="00E3147F">
        <w:t xml:space="preserve">Review and </w:t>
      </w:r>
      <w:r w:rsidR="00556855" w:rsidRPr="00E3147F">
        <w:t>e</w:t>
      </w:r>
      <w:r w:rsidRPr="00E3147F">
        <w:t>valuation</w:t>
      </w:r>
      <w:r w:rsidR="004922C6">
        <w:t>.</w:t>
      </w:r>
    </w:p>
    <w:p w14:paraId="167D1596" w14:textId="48241381" w:rsidR="00E46B8C" w:rsidRDefault="00FD557E" w:rsidP="00E46B8C">
      <w:pPr>
        <w:pStyle w:val="Heading2"/>
      </w:pPr>
      <w:bookmarkStart w:id="17" w:name="_Toc173243837"/>
      <w:bookmarkStart w:id="18" w:name="_Hlk171495044"/>
      <w:bookmarkEnd w:id="15"/>
      <w:r>
        <w:br w:type="column"/>
      </w:r>
      <w:r w:rsidR="001F7943">
        <w:lastRenderedPageBreak/>
        <w:br w:type="column"/>
      </w:r>
      <w:bookmarkStart w:id="19" w:name="_Toc173760504"/>
      <w:bookmarkStart w:id="20" w:name="_Toc176175985"/>
      <w:bookmarkStart w:id="21" w:name="_Toc183095607"/>
      <w:bookmarkEnd w:id="17"/>
      <w:r w:rsidR="00BE2EEA">
        <w:t xml:space="preserve">Contributing </w:t>
      </w:r>
      <w:bookmarkEnd w:id="19"/>
      <w:bookmarkEnd w:id="20"/>
      <w:r w:rsidR="00BE2EEA">
        <w:t>agencies</w:t>
      </w:r>
      <w:bookmarkEnd w:id="21"/>
      <w:r w:rsidR="00BE2EEA">
        <w:t xml:space="preserve"> </w:t>
      </w:r>
    </w:p>
    <w:p w14:paraId="6EA3EBA4" w14:textId="697DC162" w:rsidR="00ED0739" w:rsidRDefault="000F1B18" w:rsidP="000F1B18">
      <w:pPr>
        <w:pStyle w:val="ChartGraphic"/>
      </w:pPr>
      <w:r w:rsidRPr="000F1B18">
        <w:drawing>
          <wp:inline distT="0" distB="0" distL="0" distR="0" wp14:anchorId="2712A335" wp14:editId="785AD7D8">
            <wp:extent cx="4818386" cy="3914775"/>
            <wp:effectExtent l="0" t="0" r="1270" b="0"/>
            <wp:docPr id="711952282" name="Picture 711952282" descr="Logos of: the Treasury, Attorney-General’s Department (AGD), Australian Transaction Reports and Analysis Centre (AUSTRAC), Australian Financial Security Authority (AFSA), Australian Taxation Office (ATO),  Australian Securities and Investments Commission (ASIC), Reserve Bank of Australia (RBA), Australian Prudential Regulation Authority (APRA), and Australian Competition and Consumer Commission (AC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52282" name="Picture 711952282" descr="Logos of: the Treasury, Attorney-General’s Department (AGD), Australian Transaction Reports and Analysis Centre (AUSTRAC), Australian Financial Security Authority (AFSA), Australian Taxation Office (ATO),  Australian Securities and Investments Commission (ASIC), Reserve Bank of Australia (RBA), Australian Prudential Regulation Authority (APRA), and Australian Competition and Consumer Commission (ACCC)."/>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845910" cy="3937137"/>
                    </a:xfrm>
                    <a:prstGeom prst="rect">
                      <a:avLst/>
                    </a:prstGeom>
                  </pic:spPr>
                </pic:pic>
              </a:graphicData>
            </a:graphic>
          </wp:inline>
        </w:drawing>
      </w:r>
    </w:p>
    <w:p w14:paraId="11E5D4A4" w14:textId="77777777" w:rsidR="000F1B18" w:rsidRPr="000F1B18" w:rsidRDefault="000F1B18" w:rsidP="000F1B18">
      <w:pPr>
        <w:pStyle w:val="SingleParagraph"/>
      </w:pPr>
    </w:p>
    <w:p w14:paraId="2963223C" w14:textId="3FEBF47E" w:rsidR="008F5A1D" w:rsidRPr="00E46B8C" w:rsidRDefault="008F5A1D" w:rsidP="008F5A1D">
      <w:r>
        <w:t>Attorney</w:t>
      </w:r>
      <w:r w:rsidR="0008745D">
        <w:noBreakHyphen/>
      </w:r>
      <w:r>
        <w:t>General</w:t>
      </w:r>
      <w:r w:rsidR="0008745D">
        <w:t>’</w:t>
      </w:r>
      <w:r>
        <w:t xml:space="preserve">s Department initiatives are limited to matters relating to the regulatory frameworks administered by AUSTRAC and the Australian Financial Security Authority. </w:t>
      </w:r>
    </w:p>
    <w:p w14:paraId="0CC3D2A4" w14:textId="3F08CDCB" w:rsidR="00955D94" w:rsidRDefault="00955D94" w:rsidP="00955D94">
      <w:r>
        <w:t>Australian Taxation Office initiatives are limited to matters relating to the superannuation guarantee and self</w:t>
      </w:r>
      <w:r w:rsidR="0008745D">
        <w:noBreakHyphen/>
      </w:r>
      <w:r>
        <w:t>managed superannuation funds.</w:t>
      </w:r>
    </w:p>
    <w:p w14:paraId="6BAFE5AF" w14:textId="23385AF4" w:rsidR="006C4095" w:rsidRPr="00E46B8C" w:rsidRDefault="006C4095" w:rsidP="0098521C">
      <w:r>
        <w:t>Australian Competition and Consumer Commission initiatives are limited to matters relating to the financial sector.</w:t>
      </w:r>
    </w:p>
    <w:p w14:paraId="65425E16" w14:textId="6137F628" w:rsidR="00BE2EEA" w:rsidRDefault="00B92331" w:rsidP="00F534FF">
      <w:pPr>
        <w:pStyle w:val="Heading2"/>
      </w:pPr>
      <w:r>
        <w:br w:type="column"/>
      </w:r>
      <w:r>
        <w:lastRenderedPageBreak/>
        <w:br w:type="column"/>
      </w:r>
      <w:bookmarkStart w:id="22" w:name="_Toc183095608"/>
      <w:r w:rsidR="00BE2EEA">
        <w:t>Scope</w:t>
      </w:r>
      <w:bookmarkEnd w:id="22"/>
    </w:p>
    <w:p w14:paraId="00CEFB09" w14:textId="27CBE3D4" w:rsidR="00B420A7" w:rsidRDefault="00FD557E" w:rsidP="00F53105">
      <w:r w:rsidRPr="00E90DC9">
        <w:t>The</w:t>
      </w:r>
      <w:r w:rsidR="00C07F56">
        <w:t xml:space="preserve"> scope of the</w:t>
      </w:r>
      <w:r w:rsidRPr="00E90DC9">
        <w:t xml:space="preserve"> RIG</w:t>
      </w:r>
      <w:r w:rsidR="00C07F56">
        <w:t xml:space="preserve"> is limited to</w:t>
      </w:r>
      <w:r w:rsidRPr="00E90DC9">
        <w:t xml:space="preserve"> </w:t>
      </w:r>
      <w:r w:rsidR="00495688">
        <w:t>publicly communicated</w:t>
      </w:r>
      <w:r w:rsidRPr="00E90DC9">
        <w:t xml:space="preserve"> initiatives</w:t>
      </w:r>
      <w:r w:rsidR="001326D0">
        <w:t xml:space="preserve"> and activities</w:t>
      </w:r>
      <w:r w:rsidR="000C6595">
        <w:t xml:space="preserve"> that </w:t>
      </w:r>
      <w:r w:rsidR="000A1E75">
        <w:t>will materially affect the financial sector</w:t>
      </w:r>
      <w:r w:rsidRPr="00E90DC9" w:rsidDel="00495688">
        <w:t xml:space="preserve"> </w:t>
      </w:r>
      <w:r w:rsidR="004417B6">
        <w:t xml:space="preserve">in the </w:t>
      </w:r>
      <w:r w:rsidR="00094BD7">
        <w:t>2</w:t>
      </w:r>
      <w:r w:rsidR="001826CE">
        <w:t> </w:t>
      </w:r>
      <w:r w:rsidR="00094BD7">
        <w:t xml:space="preserve">years </w:t>
      </w:r>
      <w:r w:rsidRPr="00CC277D">
        <w:t xml:space="preserve">from </w:t>
      </w:r>
      <w:r w:rsidR="00C07F56">
        <w:t>the</w:t>
      </w:r>
      <w:r w:rsidR="00FE39CB">
        <w:t xml:space="preserve"> RIG</w:t>
      </w:r>
      <w:r w:rsidR="0008745D">
        <w:t>’</w:t>
      </w:r>
      <w:r w:rsidR="00FE39CB">
        <w:t>s publication</w:t>
      </w:r>
      <w:r w:rsidR="00C07F56">
        <w:t xml:space="preserve"> </w:t>
      </w:r>
      <w:r w:rsidRPr="00CC277D">
        <w:t>date.</w:t>
      </w:r>
    </w:p>
    <w:p w14:paraId="4919C67F" w14:textId="0D9ECB5A" w:rsidR="000C0A46" w:rsidRDefault="003C2FBF" w:rsidP="00A04AA1">
      <w:r w:rsidDel="000A1E75">
        <w:t>T</w:t>
      </w:r>
      <w:r w:rsidR="00721DC3" w:rsidDel="000A1E75">
        <w:t xml:space="preserve">he RIG </w:t>
      </w:r>
      <w:r w:rsidR="008619D1" w:rsidDel="000C6595">
        <w:t xml:space="preserve">has a strategic focus and </w:t>
      </w:r>
      <w:r w:rsidR="008619D1" w:rsidDel="000A1E75">
        <w:t xml:space="preserve">only includes initiatives that will materially </w:t>
      </w:r>
      <w:r w:rsidR="0020030D" w:rsidDel="000A1E75">
        <w:t>a</w:t>
      </w:r>
      <w:r w:rsidR="008619D1" w:rsidDel="000A1E75">
        <w:t xml:space="preserve">ffect the financial sector. </w:t>
      </w:r>
      <w:r w:rsidR="008619D1">
        <w:t>The RIG is not intended to be exhaustive</w:t>
      </w:r>
      <w:r w:rsidR="00F53105">
        <w:t>. It</w:t>
      </w:r>
      <w:r w:rsidR="008619D1" w:rsidDel="00F53105">
        <w:t xml:space="preserve"> </w:t>
      </w:r>
      <w:r w:rsidR="00721DC3">
        <w:t xml:space="preserve">does not </w:t>
      </w:r>
      <w:r w:rsidR="00F53105">
        <w:t>include day</w:t>
      </w:r>
      <w:r w:rsidR="0008745D">
        <w:noBreakHyphen/>
      </w:r>
      <w:r w:rsidR="00F53105">
        <w:t>to</w:t>
      </w:r>
      <w:r w:rsidR="0008745D">
        <w:noBreakHyphen/>
      </w:r>
      <w:r w:rsidR="00F53105">
        <w:t xml:space="preserve">day </w:t>
      </w:r>
      <w:r w:rsidR="00FA28C6">
        <w:t>work</w:t>
      </w:r>
      <w:r>
        <w:t xml:space="preserve"> undertaken</w:t>
      </w:r>
      <w:r w:rsidR="00FA28C6">
        <w:t xml:space="preserve"> by regulators.</w:t>
      </w:r>
      <w:r w:rsidR="00F53105">
        <w:t xml:space="preserve"> </w:t>
      </w:r>
      <w:r w:rsidR="009E7C09">
        <w:t>T</w:t>
      </w:r>
      <w:r w:rsidR="00C678CB">
        <w:t xml:space="preserve">he </w:t>
      </w:r>
      <w:r w:rsidR="00F53105">
        <w:t>RIG does not include</w:t>
      </w:r>
      <w:r w:rsidR="00CA3ECC">
        <w:t>:</w:t>
      </w:r>
    </w:p>
    <w:p w14:paraId="124D1E9B" w14:textId="0EF8B57F" w:rsidR="00CA3ECC" w:rsidRPr="005946AB" w:rsidRDefault="00F53105" w:rsidP="005946AB">
      <w:pPr>
        <w:pStyle w:val="Bullet"/>
      </w:pPr>
      <w:r>
        <w:t>r</w:t>
      </w:r>
      <w:r w:rsidR="00CA3ECC">
        <w:t>egulatory investigations relat</w:t>
      </w:r>
      <w:r>
        <w:t>ing</w:t>
      </w:r>
      <w:r w:rsidR="00CA3ECC">
        <w:t xml:space="preserve"> to </w:t>
      </w:r>
      <w:r w:rsidR="00CA3ECC" w:rsidRPr="005946AB">
        <w:t xml:space="preserve">significant compliance or enforcement </w:t>
      </w:r>
      <w:proofErr w:type="gramStart"/>
      <w:r w:rsidR="00CA3ECC" w:rsidRPr="005946AB">
        <w:t>activities</w:t>
      </w:r>
      <w:proofErr w:type="gramEnd"/>
      <w:r w:rsidR="00CA3ECC" w:rsidRPr="005946AB">
        <w:t xml:space="preserve"> </w:t>
      </w:r>
    </w:p>
    <w:p w14:paraId="6B6C6A56" w14:textId="3C3FDA42" w:rsidR="00EA68FB" w:rsidRPr="005946AB" w:rsidRDefault="00F53105" w:rsidP="005946AB">
      <w:pPr>
        <w:pStyle w:val="Bullet"/>
      </w:pPr>
      <w:r w:rsidRPr="005946AB">
        <w:t>n</w:t>
      </w:r>
      <w:r w:rsidR="00EA68FB" w:rsidRPr="005946AB">
        <w:t>on</w:t>
      </w:r>
      <w:r w:rsidR="0008745D" w:rsidRPr="005946AB">
        <w:noBreakHyphen/>
      </w:r>
      <w:r w:rsidR="00EA68FB" w:rsidRPr="005946AB">
        <w:t>regulatory initiatives and activities (such as undertaking research, strengthening financial literacy, and engaging with the financial sector to explore opportunities to enhance existing systems)</w:t>
      </w:r>
    </w:p>
    <w:p w14:paraId="339BEC10" w14:textId="67329D65" w:rsidR="00CA3ECC" w:rsidRPr="005946AB" w:rsidRDefault="00C7376A" w:rsidP="005946AB">
      <w:pPr>
        <w:pStyle w:val="Bullet"/>
      </w:pPr>
      <w:r w:rsidRPr="005946AB">
        <w:t>m</w:t>
      </w:r>
      <w:r w:rsidR="00CA3ECC" w:rsidRPr="005946AB">
        <w:t>ulti</w:t>
      </w:r>
      <w:r w:rsidR="0008745D" w:rsidRPr="005946AB">
        <w:noBreakHyphen/>
      </w:r>
      <w:r w:rsidR="00CA3ECC" w:rsidRPr="005946AB">
        <w:t xml:space="preserve">agency simulation activities to test preparedness and crisis </w:t>
      </w:r>
      <w:proofErr w:type="gramStart"/>
      <w:r w:rsidR="00CA3ECC" w:rsidRPr="005946AB">
        <w:t>response</w:t>
      </w:r>
      <w:proofErr w:type="gramEnd"/>
    </w:p>
    <w:p w14:paraId="7FBBEDC9" w14:textId="249BF598" w:rsidR="00CA3ECC" w:rsidRPr="005946AB" w:rsidRDefault="00C7376A" w:rsidP="005946AB">
      <w:pPr>
        <w:pStyle w:val="Bullet"/>
      </w:pPr>
      <w:r w:rsidRPr="005946AB">
        <w:t>s</w:t>
      </w:r>
      <w:r w:rsidR="00CA3ECC" w:rsidRPr="005946AB">
        <w:t>tandard or long</w:t>
      </w:r>
      <w:r w:rsidR="0008745D" w:rsidRPr="005946AB">
        <w:noBreakHyphen/>
      </w:r>
      <w:r w:rsidR="00CA3ECC" w:rsidRPr="005946AB">
        <w:t xml:space="preserve">standing processes or activities that are well understood by industry </w:t>
      </w:r>
      <w:proofErr w:type="gramStart"/>
      <w:r w:rsidR="00CA3ECC" w:rsidRPr="005946AB">
        <w:t>stakeholders</w:t>
      </w:r>
      <w:proofErr w:type="gramEnd"/>
    </w:p>
    <w:p w14:paraId="79164BB9" w14:textId="0B1788D6" w:rsidR="00C678CB" w:rsidRDefault="00C7376A" w:rsidP="005946AB">
      <w:pPr>
        <w:pStyle w:val="Bullet"/>
      </w:pPr>
      <w:r w:rsidRPr="005946AB">
        <w:t>i</w:t>
      </w:r>
      <w:r w:rsidR="00C678CB" w:rsidRPr="005946AB">
        <w:t>nitiatives led by international bodies or intern</w:t>
      </w:r>
      <w:r w:rsidR="00C678CB">
        <w:t>ational organisations, unless a contributing agency is responsible for implementing measures that satisfy the inclusion criterion.</w:t>
      </w:r>
    </w:p>
    <w:p w14:paraId="7E6A5ECA" w14:textId="587A47B8" w:rsidR="00E358AF" w:rsidRDefault="00B94DBB" w:rsidP="00665FB0">
      <w:pPr>
        <w:spacing w:after="0"/>
      </w:pPr>
      <w:r>
        <w:t>This</w:t>
      </w:r>
      <w:r w:rsidR="006D5C90" w:rsidRPr="00A06307">
        <w:t xml:space="preserve"> information </w:t>
      </w:r>
      <w:r w:rsidR="000358EE">
        <w:t xml:space="preserve">is </w:t>
      </w:r>
      <w:r>
        <w:t>also</w:t>
      </w:r>
      <w:r w:rsidR="000358EE">
        <w:t xml:space="preserve"> in</w:t>
      </w:r>
      <w:r w:rsidR="00BD3549">
        <w:t xml:space="preserve"> </w:t>
      </w:r>
      <w:r w:rsidR="00BD3549" w:rsidRPr="00A06307">
        <w:t>the RIG Terms of Reference</w:t>
      </w:r>
      <w:r w:rsidR="00785A69">
        <w:t xml:space="preserve"> at </w:t>
      </w:r>
      <w:r w:rsidR="003112B8" w:rsidRPr="003112B8">
        <w:rPr>
          <w:b/>
          <w:bCs/>
        </w:rPr>
        <w:t>www.</w:t>
      </w:r>
      <w:hyperlink r:id="rId43" w:history="1">
        <w:r w:rsidR="00785A69" w:rsidRPr="00714965">
          <w:rPr>
            <w:rStyle w:val="Hyperlink"/>
            <w:color w:val="auto"/>
            <w:sz w:val="22"/>
          </w:rPr>
          <w:t>treasury.gov.au/RIG</w:t>
        </w:r>
      </w:hyperlink>
      <w:r w:rsidR="006D5C90">
        <w:t>.</w:t>
      </w:r>
    </w:p>
    <w:p w14:paraId="2441B2C0" w14:textId="357DC636" w:rsidR="00DB07DC" w:rsidRDefault="001F7943" w:rsidP="00DB07DC">
      <w:pPr>
        <w:pStyle w:val="Heading2"/>
      </w:pPr>
      <w:bookmarkStart w:id="23" w:name="_Toc173243838"/>
      <w:bookmarkEnd w:id="18"/>
      <w:r w:rsidRPr="007F61A8">
        <w:br w:type="column"/>
      </w:r>
      <w:bookmarkEnd w:id="23"/>
      <w:r>
        <w:lastRenderedPageBreak/>
        <w:br w:type="column"/>
      </w:r>
      <w:bookmarkStart w:id="24" w:name="_Toc173760505"/>
      <w:bookmarkStart w:id="25" w:name="_Toc176175986"/>
      <w:bookmarkStart w:id="26" w:name="_Toc183095609"/>
      <w:r w:rsidR="00DB07DC" w:rsidRPr="00E90DC9">
        <w:t xml:space="preserve">How to </w:t>
      </w:r>
      <w:r w:rsidR="00E345EF">
        <w:t xml:space="preserve">read the </w:t>
      </w:r>
      <w:bookmarkEnd w:id="24"/>
      <w:bookmarkEnd w:id="25"/>
      <w:r w:rsidR="00BF53D7">
        <w:t>RIG</w:t>
      </w:r>
      <w:bookmarkEnd w:id="26"/>
    </w:p>
    <w:p w14:paraId="537464F2" w14:textId="7387AB0F" w:rsidR="0047686A" w:rsidRPr="005946AB" w:rsidRDefault="0047686A" w:rsidP="001F7943">
      <w:pPr>
        <w:spacing w:after="240"/>
        <w:rPr>
          <w:rStyle w:val="Strong"/>
        </w:rPr>
      </w:pPr>
      <w:r w:rsidRPr="005946AB">
        <w:rPr>
          <w:rStyle w:val="Strong"/>
        </w:rPr>
        <w:t>Th</w:t>
      </w:r>
      <w:r w:rsidR="000D6EF8" w:rsidRPr="005946AB">
        <w:rPr>
          <w:rStyle w:val="Strong"/>
        </w:rPr>
        <w:t xml:space="preserve">e RIG Edition 1 </w:t>
      </w:r>
      <w:r w:rsidRPr="005946AB">
        <w:rPr>
          <w:rStyle w:val="Strong"/>
        </w:rPr>
        <w:t xml:space="preserve">includes initiatives </w:t>
      </w:r>
      <w:r w:rsidR="006C4350" w:rsidRPr="005946AB">
        <w:rPr>
          <w:rStyle w:val="Strong"/>
        </w:rPr>
        <w:t>publicised</w:t>
      </w:r>
      <w:r w:rsidRPr="005946AB">
        <w:rPr>
          <w:rStyle w:val="Strong"/>
        </w:rPr>
        <w:t xml:space="preserve"> </w:t>
      </w:r>
      <w:r w:rsidR="006D328A" w:rsidRPr="005946AB">
        <w:rPr>
          <w:rStyle w:val="Strong"/>
        </w:rPr>
        <w:t>prior to</w:t>
      </w:r>
      <w:r w:rsidRPr="005946AB">
        <w:rPr>
          <w:rStyle w:val="Strong"/>
        </w:rPr>
        <w:t xml:space="preserve"> </w:t>
      </w:r>
      <w:r w:rsidR="00CC282F" w:rsidRPr="005946AB">
        <w:rPr>
          <w:rStyle w:val="Strong"/>
        </w:rPr>
        <w:t>30 November</w:t>
      </w:r>
      <w:r w:rsidRPr="005946AB">
        <w:rPr>
          <w:rStyle w:val="Strong"/>
        </w:rPr>
        <w:t xml:space="preserve"> 2024. Initiatives </w:t>
      </w:r>
      <w:r w:rsidR="00A11DC5" w:rsidRPr="005946AB">
        <w:rPr>
          <w:rStyle w:val="Strong"/>
        </w:rPr>
        <w:t>publicised</w:t>
      </w:r>
      <w:r w:rsidRPr="005946AB">
        <w:rPr>
          <w:rStyle w:val="Strong"/>
        </w:rPr>
        <w:t xml:space="preserve"> after </w:t>
      </w:r>
      <w:r w:rsidR="00CC282F" w:rsidRPr="005946AB">
        <w:rPr>
          <w:rStyle w:val="Strong"/>
        </w:rPr>
        <w:t>30 November</w:t>
      </w:r>
      <w:r w:rsidRPr="005946AB">
        <w:rPr>
          <w:rStyle w:val="Strong"/>
        </w:rPr>
        <w:t xml:space="preserve"> 2024 are not included in </w:t>
      </w:r>
      <w:r w:rsidR="000D6EF8" w:rsidRPr="005946AB">
        <w:rPr>
          <w:rStyle w:val="Strong"/>
        </w:rPr>
        <w:t>E</w:t>
      </w:r>
      <w:r w:rsidR="006D328A" w:rsidRPr="005946AB">
        <w:rPr>
          <w:rStyle w:val="Strong"/>
        </w:rPr>
        <w:t>dition</w:t>
      </w:r>
      <w:r w:rsidR="000D6EF8" w:rsidRPr="005946AB">
        <w:rPr>
          <w:rStyle w:val="Strong"/>
        </w:rPr>
        <w:t xml:space="preserve"> 1</w:t>
      </w:r>
      <w:r w:rsidRPr="005946AB">
        <w:rPr>
          <w:rStyle w:val="Strong"/>
        </w:rPr>
        <w:t>.</w:t>
      </w:r>
    </w:p>
    <w:p w14:paraId="7FEBF4C3" w14:textId="7A010929" w:rsidR="001F7943" w:rsidRDefault="00A4445F" w:rsidP="005946AB">
      <w:r>
        <w:t>E</w:t>
      </w:r>
      <w:r w:rsidR="00FD557E" w:rsidRPr="00E90DC9">
        <w:t xml:space="preserve">ach </w:t>
      </w:r>
      <w:r w:rsidR="00241C45">
        <w:t xml:space="preserve">initiative </w:t>
      </w:r>
      <w:r>
        <w:t>includes</w:t>
      </w:r>
      <w:r w:rsidRPr="00E90DC9">
        <w:t xml:space="preserve"> </w:t>
      </w:r>
      <w:r w:rsidR="00603869">
        <w:t>the following information.</w:t>
      </w:r>
    </w:p>
    <w:tbl>
      <w:tblPr>
        <w:tblW w:w="14263" w:type="pct"/>
        <w:tblBorders>
          <w:top w:val="single" w:sz="4" w:space="0" w:color="90B6F0" w:themeColor="accent5"/>
          <w:insideH w:val="single" w:sz="4" w:space="0" w:color="90B6F0" w:themeColor="accent5"/>
        </w:tblBorders>
        <w:tblCellMar>
          <w:left w:w="0" w:type="dxa"/>
          <w:right w:w="0" w:type="dxa"/>
        </w:tblCellMar>
        <w:tblLook w:val="04A0" w:firstRow="1" w:lastRow="0" w:firstColumn="1" w:lastColumn="0" w:noHBand="0" w:noVBand="1"/>
      </w:tblPr>
      <w:tblGrid>
        <w:gridCol w:w="737"/>
        <w:gridCol w:w="1815"/>
        <w:gridCol w:w="6505"/>
      </w:tblGrid>
      <w:tr w:rsidR="009A5125" w14:paraId="68748F49" w14:textId="77777777" w:rsidTr="00CF7C7F">
        <w:tc>
          <w:tcPr>
            <w:tcW w:w="737" w:type="dxa"/>
          </w:tcPr>
          <w:p w14:paraId="15CF5ECC" w14:textId="77777777" w:rsidR="009A5125" w:rsidRDefault="009A5125" w:rsidP="009A5125">
            <w:bookmarkStart w:id="27" w:name="_Toc173243839"/>
            <w:r>
              <w:rPr>
                <w:noProof/>
              </w:rPr>
              <w:drawing>
                <wp:inline distT="0" distB="0" distL="0" distR="0" wp14:anchorId="70BF3C8E" wp14:editId="5AF24341">
                  <wp:extent cx="357906" cy="357906"/>
                  <wp:effectExtent l="0" t="0" r="4445" b="4445"/>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44">
                            <a:extLst>
                              <a:ext uri="{28A0092B-C50C-407E-A947-70E740481C1C}">
                                <a14:useLocalDpi xmlns:a14="http://schemas.microsoft.com/office/drawing/2010/main" val="0"/>
                              </a:ext>
                            </a:extLst>
                          </a:blip>
                          <a:stretch>
                            <a:fillRect/>
                          </a:stretch>
                        </pic:blipFill>
                        <pic:spPr>
                          <a:xfrm>
                            <a:off x="0" y="0"/>
                            <a:ext cx="357906" cy="357906"/>
                          </a:xfrm>
                          <a:prstGeom prst="rect">
                            <a:avLst/>
                          </a:prstGeom>
                        </pic:spPr>
                      </pic:pic>
                    </a:graphicData>
                  </a:graphic>
                </wp:inline>
              </w:drawing>
            </w:r>
          </w:p>
        </w:tc>
        <w:tc>
          <w:tcPr>
            <w:tcW w:w="1815" w:type="dxa"/>
          </w:tcPr>
          <w:p w14:paraId="4F746A76" w14:textId="0AE997D9" w:rsidR="009A5125" w:rsidRPr="005946AB" w:rsidRDefault="009A5125" w:rsidP="00400DF8">
            <w:pPr>
              <w:ind w:left="57"/>
              <w:rPr>
                <w:rStyle w:val="Strong"/>
              </w:rPr>
            </w:pPr>
            <w:r w:rsidRPr="005946AB">
              <w:rPr>
                <w:rStyle w:val="Strong"/>
              </w:rPr>
              <w:t>Agency</w:t>
            </w:r>
          </w:p>
        </w:tc>
        <w:tc>
          <w:tcPr>
            <w:tcW w:w="6505" w:type="dxa"/>
            <w:tcMar>
              <w:left w:w="85" w:type="dxa"/>
            </w:tcMar>
          </w:tcPr>
          <w:p w14:paraId="7B9BFE48" w14:textId="670305C9" w:rsidR="009A5125" w:rsidRDefault="009A5125" w:rsidP="00CF7C7F">
            <w:r>
              <w:t xml:space="preserve">The </w:t>
            </w:r>
            <w:r w:rsidRPr="00E90DC9">
              <w:t>agenc</w:t>
            </w:r>
            <w:r>
              <w:t>y/</w:t>
            </w:r>
            <w:proofErr w:type="spellStart"/>
            <w:r>
              <w:t>ies</w:t>
            </w:r>
            <w:proofErr w:type="spellEnd"/>
            <w:r w:rsidRPr="00E90DC9">
              <w:t xml:space="preserve"> </w:t>
            </w:r>
            <w:r>
              <w:t>responsible for progressing the initiative</w:t>
            </w:r>
            <w:r w:rsidR="00241C45">
              <w:t>.</w:t>
            </w:r>
          </w:p>
          <w:p w14:paraId="0B2FDF27" w14:textId="7EF2E79A" w:rsidR="00661E46" w:rsidRPr="007136FF" w:rsidRDefault="00661E46" w:rsidP="00CF7C7F">
            <w:pPr>
              <w:rPr>
                <w:color w:val="000000" w:themeColor="text1"/>
              </w:rPr>
            </w:pPr>
            <w:r w:rsidRPr="007136FF">
              <w:t xml:space="preserve">The </w:t>
            </w:r>
            <w:r w:rsidR="00CD48CC" w:rsidRPr="007136FF">
              <w:t xml:space="preserve">lead </w:t>
            </w:r>
            <w:r w:rsidRPr="007136FF">
              <w:t xml:space="preserve">agency </w:t>
            </w:r>
            <w:r w:rsidR="00CD48CC" w:rsidRPr="007136FF">
              <w:t xml:space="preserve">is </w:t>
            </w:r>
            <w:r w:rsidRPr="007136FF">
              <w:rPr>
                <w:color w:val="000000" w:themeColor="text1"/>
              </w:rPr>
              <w:t>listed first</w:t>
            </w:r>
            <w:r w:rsidR="00E3178E">
              <w:rPr>
                <w:color w:val="000000" w:themeColor="text1"/>
              </w:rPr>
              <w:t xml:space="preserve"> in</w:t>
            </w:r>
            <w:r w:rsidR="006E72D1">
              <w:rPr>
                <w:color w:val="000000" w:themeColor="text1"/>
              </w:rPr>
              <w:t xml:space="preserve"> </w:t>
            </w:r>
            <w:r w:rsidR="003E2F73" w:rsidRPr="00AA23F5">
              <w:rPr>
                <w:rStyle w:val="Strong"/>
              </w:rPr>
              <w:t>Bold</w:t>
            </w:r>
            <w:r w:rsidR="00CD48CC" w:rsidRPr="007136FF">
              <w:rPr>
                <w:color w:val="000000" w:themeColor="text1"/>
              </w:rPr>
              <w:t>, followed by other agencies involved</w:t>
            </w:r>
            <w:r w:rsidR="001E6F2C" w:rsidRPr="007136FF">
              <w:rPr>
                <w:color w:val="000000" w:themeColor="text1"/>
              </w:rPr>
              <w:t xml:space="preserve"> in the initiative</w:t>
            </w:r>
            <w:r w:rsidR="00291E2C">
              <w:rPr>
                <w:color w:val="000000" w:themeColor="text1"/>
              </w:rPr>
              <w:t xml:space="preserve"> listed in</w:t>
            </w:r>
            <w:r w:rsidR="009D4D47" w:rsidRPr="007136FF">
              <w:rPr>
                <w:color w:val="000000" w:themeColor="text1"/>
              </w:rPr>
              <w:t xml:space="preserve"> </w:t>
            </w:r>
            <w:r w:rsidR="003E2F73" w:rsidRPr="00AA23F5">
              <w:rPr>
                <w:rStyle w:val="Emphasis"/>
              </w:rPr>
              <w:t>Italic</w:t>
            </w:r>
            <w:r w:rsidR="00CD48CC" w:rsidRPr="007136FF">
              <w:rPr>
                <w:color w:val="000000" w:themeColor="text1"/>
              </w:rPr>
              <w:t>.</w:t>
            </w:r>
          </w:p>
          <w:p w14:paraId="40250D1B" w14:textId="6AE2CC5D" w:rsidR="00F15DEE" w:rsidRDefault="0008745D" w:rsidP="00CF7C7F">
            <w:r>
              <w:rPr>
                <w:color w:val="000000" w:themeColor="text1"/>
              </w:rPr>
              <w:t>‘</w:t>
            </w:r>
            <w:r w:rsidR="00273BC1" w:rsidRPr="007136FF">
              <w:rPr>
                <w:color w:val="000000" w:themeColor="text1"/>
              </w:rPr>
              <w:t>Other</w:t>
            </w:r>
            <w:r>
              <w:rPr>
                <w:color w:val="000000" w:themeColor="text1"/>
              </w:rPr>
              <w:t>’</w:t>
            </w:r>
            <w:r w:rsidR="00273BC1" w:rsidRPr="007136FF">
              <w:rPr>
                <w:color w:val="000000" w:themeColor="text1"/>
              </w:rPr>
              <w:t xml:space="preserve"> refers to </w:t>
            </w:r>
            <w:r w:rsidR="001E6394">
              <w:rPr>
                <w:color w:val="000000" w:themeColor="text1"/>
              </w:rPr>
              <w:t>g</w:t>
            </w:r>
            <w:r w:rsidR="00304047" w:rsidRPr="007136FF">
              <w:rPr>
                <w:color w:val="000000" w:themeColor="text1"/>
              </w:rPr>
              <w:t>overnment</w:t>
            </w:r>
            <w:r w:rsidR="00273BC1" w:rsidRPr="007136FF">
              <w:rPr>
                <w:color w:val="000000" w:themeColor="text1"/>
              </w:rPr>
              <w:t xml:space="preserve"> agenc</w:t>
            </w:r>
            <w:r w:rsidR="001E6394">
              <w:rPr>
                <w:color w:val="000000" w:themeColor="text1"/>
              </w:rPr>
              <w:t>ies</w:t>
            </w:r>
            <w:r w:rsidR="003F2867" w:rsidRPr="007136FF">
              <w:rPr>
                <w:color w:val="000000" w:themeColor="text1"/>
              </w:rPr>
              <w:t xml:space="preserve"> </w:t>
            </w:r>
            <w:r w:rsidR="003F2867">
              <w:t>involved in the initiative</w:t>
            </w:r>
            <w:r w:rsidR="002C2B5C">
              <w:t xml:space="preserve"> that </w:t>
            </w:r>
            <w:r w:rsidR="00EA5E90">
              <w:t>are</w:t>
            </w:r>
            <w:r w:rsidR="002C2B5C">
              <w:t xml:space="preserve"> not </w:t>
            </w:r>
            <w:r>
              <w:t>‘</w:t>
            </w:r>
            <w:r w:rsidR="00304047">
              <w:t xml:space="preserve">Contributing </w:t>
            </w:r>
            <w:proofErr w:type="gramStart"/>
            <w:r w:rsidR="00304047">
              <w:t>agencies</w:t>
            </w:r>
            <w:r>
              <w:t>’</w:t>
            </w:r>
            <w:proofErr w:type="gramEnd"/>
            <w:r w:rsidR="000852E9">
              <w:t>.</w:t>
            </w:r>
          </w:p>
        </w:tc>
      </w:tr>
      <w:tr w:rsidR="009A5125" w14:paraId="3C522794" w14:textId="77777777" w:rsidTr="00CF7C7F">
        <w:tc>
          <w:tcPr>
            <w:tcW w:w="737" w:type="dxa"/>
          </w:tcPr>
          <w:p w14:paraId="5AA9D27D" w14:textId="77777777" w:rsidR="009A5125" w:rsidRDefault="009A5125" w:rsidP="009A5125">
            <w:r>
              <w:rPr>
                <w:noProof/>
              </w:rPr>
              <w:drawing>
                <wp:inline distT="0" distB="0" distL="0" distR="0" wp14:anchorId="02D52996" wp14:editId="2E7C0940">
                  <wp:extent cx="357906" cy="357906"/>
                  <wp:effectExtent l="0" t="0" r="4445" b="4445"/>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45">
                            <a:extLst>
                              <a:ext uri="{28A0092B-C50C-407E-A947-70E740481C1C}">
                                <a14:useLocalDpi xmlns:a14="http://schemas.microsoft.com/office/drawing/2010/main" val="0"/>
                              </a:ext>
                            </a:extLst>
                          </a:blip>
                          <a:stretch>
                            <a:fillRect/>
                          </a:stretch>
                        </pic:blipFill>
                        <pic:spPr>
                          <a:xfrm>
                            <a:off x="0" y="0"/>
                            <a:ext cx="357906" cy="357906"/>
                          </a:xfrm>
                          <a:prstGeom prst="rect">
                            <a:avLst/>
                          </a:prstGeom>
                        </pic:spPr>
                      </pic:pic>
                    </a:graphicData>
                  </a:graphic>
                </wp:inline>
              </w:drawing>
            </w:r>
          </w:p>
        </w:tc>
        <w:tc>
          <w:tcPr>
            <w:tcW w:w="1815" w:type="dxa"/>
          </w:tcPr>
          <w:p w14:paraId="3FFCDFA0" w14:textId="77777777" w:rsidR="009A5125" w:rsidRPr="005946AB" w:rsidRDefault="009A5125" w:rsidP="00400DF8">
            <w:pPr>
              <w:ind w:left="57"/>
              <w:rPr>
                <w:rStyle w:val="Strong"/>
              </w:rPr>
            </w:pPr>
            <w:r w:rsidRPr="005946AB">
              <w:rPr>
                <w:rStyle w:val="Strong"/>
              </w:rPr>
              <w:t>Sector</w:t>
            </w:r>
          </w:p>
        </w:tc>
        <w:tc>
          <w:tcPr>
            <w:tcW w:w="6505" w:type="dxa"/>
            <w:tcMar>
              <w:left w:w="85" w:type="dxa"/>
            </w:tcMar>
          </w:tcPr>
          <w:p w14:paraId="4DE84563" w14:textId="77777777" w:rsidR="009A5125" w:rsidRDefault="009A5125" w:rsidP="00CF7C7F">
            <w:r>
              <w:t xml:space="preserve">The sector/s that </w:t>
            </w:r>
            <w:r w:rsidR="009C4C9C">
              <w:t xml:space="preserve">will be materially affected by </w:t>
            </w:r>
            <w:r>
              <w:t>the initiative</w:t>
            </w:r>
            <w:r w:rsidR="000B2E9E">
              <w:t>.</w:t>
            </w:r>
          </w:p>
          <w:p w14:paraId="631BCB46" w14:textId="7AE67212" w:rsidR="009A5125" w:rsidRDefault="00DB41A3" w:rsidP="00CF7C7F">
            <w:r>
              <w:t xml:space="preserve">Initiatives are grouped </w:t>
            </w:r>
            <w:r w:rsidR="00B90D25">
              <w:t>by</w:t>
            </w:r>
            <w:r>
              <w:t xml:space="preserve"> sectors in alphabetical order.</w:t>
            </w:r>
          </w:p>
        </w:tc>
      </w:tr>
      <w:tr w:rsidR="009A5125" w14:paraId="44909645" w14:textId="77777777" w:rsidTr="00CF7C7F">
        <w:tc>
          <w:tcPr>
            <w:tcW w:w="737" w:type="dxa"/>
          </w:tcPr>
          <w:p w14:paraId="36C528DD" w14:textId="77777777" w:rsidR="009A5125" w:rsidRDefault="009A5125" w:rsidP="009A5125">
            <w:r>
              <w:rPr>
                <w:noProof/>
              </w:rPr>
              <w:drawing>
                <wp:inline distT="0" distB="0" distL="0" distR="0" wp14:anchorId="60D0742E" wp14:editId="4CFA0702">
                  <wp:extent cx="357906" cy="357906"/>
                  <wp:effectExtent l="0" t="0" r="4445" b="4445"/>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46">
                            <a:extLst>
                              <a:ext uri="{28A0092B-C50C-407E-A947-70E740481C1C}">
                                <a14:useLocalDpi xmlns:a14="http://schemas.microsoft.com/office/drawing/2010/main" val="0"/>
                              </a:ext>
                            </a:extLst>
                          </a:blip>
                          <a:stretch>
                            <a:fillRect/>
                          </a:stretch>
                        </pic:blipFill>
                        <pic:spPr>
                          <a:xfrm>
                            <a:off x="0" y="0"/>
                            <a:ext cx="357906" cy="357906"/>
                          </a:xfrm>
                          <a:prstGeom prst="rect">
                            <a:avLst/>
                          </a:prstGeom>
                        </pic:spPr>
                      </pic:pic>
                    </a:graphicData>
                  </a:graphic>
                </wp:inline>
              </w:drawing>
            </w:r>
          </w:p>
        </w:tc>
        <w:tc>
          <w:tcPr>
            <w:tcW w:w="1815" w:type="dxa"/>
          </w:tcPr>
          <w:p w14:paraId="44BD86CB" w14:textId="77777777" w:rsidR="009A5125" w:rsidRPr="005946AB" w:rsidRDefault="009A5125" w:rsidP="00400DF8">
            <w:pPr>
              <w:ind w:left="57"/>
              <w:rPr>
                <w:rStyle w:val="Strong"/>
              </w:rPr>
            </w:pPr>
            <w:r w:rsidRPr="005946AB">
              <w:rPr>
                <w:rStyle w:val="Strong"/>
              </w:rPr>
              <w:t>Initiative</w:t>
            </w:r>
          </w:p>
        </w:tc>
        <w:tc>
          <w:tcPr>
            <w:tcW w:w="6505" w:type="dxa"/>
            <w:tcMar>
              <w:left w:w="85" w:type="dxa"/>
            </w:tcMar>
          </w:tcPr>
          <w:p w14:paraId="35E8F1CA" w14:textId="622B3040" w:rsidR="009A5125" w:rsidRPr="001F7943" w:rsidRDefault="009A5125" w:rsidP="00CF7C7F">
            <w:r>
              <w:t xml:space="preserve">The </w:t>
            </w:r>
            <w:r w:rsidR="00996D31">
              <w:t>ini</w:t>
            </w:r>
            <w:r w:rsidR="00A754E4">
              <w:t>tiative</w:t>
            </w:r>
            <w:r w:rsidR="0008745D">
              <w:t>’</w:t>
            </w:r>
            <w:r w:rsidR="00A754E4">
              <w:t xml:space="preserve">s </w:t>
            </w:r>
            <w:r>
              <w:t xml:space="preserve">name and </w:t>
            </w:r>
            <w:r w:rsidRPr="003D0975">
              <w:t>high</w:t>
            </w:r>
            <w:r w:rsidR="0008745D">
              <w:noBreakHyphen/>
            </w:r>
            <w:r w:rsidRPr="003D0975">
              <w:t>level description</w:t>
            </w:r>
            <w:r w:rsidR="00446DC6">
              <w:t xml:space="preserve">. </w:t>
            </w:r>
            <w:r w:rsidRPr="003D0975">
              <w:t xml:space="preserve">Where available, a hyperlink will be provided to </w:t>
            </w:r>
            <w:r w:rsidR="00B01FAF">
              <w:t>enable</w:t>
            </w:r>
            <w:r w:rsidR="00B01FAF" w:rsidRPr="003D0975">
              <w:t xml:space="preserve"> </w:t>
            </w:r>
            <w:r w:rsidRPr="003D0975">
              <w:t xml:space="preserve">users to </w:t>
            </w:r>
            <w:r w:rsidR="009B5663">
              <w:t xml:space="preserve">easily visit </w:t>
            </w:r>
            <w:r w:rsidRPr="003D0975">
              <w:t xml:space="preserve">the </w:t>
            </w:r>
            <w:r w:rsidR="00224384">
              <w:t>initiative</w:t>
            </w:r>
            <w:r w:rsidR="0008745D">
              <w:t>’</w:t>
            </w:r>
            <w:r w:rsidR="00224384">
              <w:t xml:space="preserve">s </w:t>
            </w:r>
            <w:r w:rsidRPr="003D0975">
              <w:t>webpage containing more information.</w:t>
            </w:r>
          </w:p>
        </w:tc>
      </w:tr>
      <w:tr w:rsidR="009A5125" w14:paraId="4078AE30" w14:textId="77777777" w:rsidTr="00CF7C7F">
        <w:tc>
          <w:tcPr>
            <w:tcW w:w="737" w:type="dxa"/>
          </w:tcPr>
          <w:p w14:paraId="79E19E45" w14:textId="77777777" w:rsidR="009A5125" w:rsidRDefault="009A5125" w:rsidP="009A5125">
            <w:r>
              <w:rPr>
                <w:noProof/>
              </w:rPr>
              <w:drawing>
                <wp:inline distT="0" distB="0" distL="0" distR="0" wp14:anchorId="54B16E51" wp14:editId="5C51F025">
                  <wp:extent cx="357906" cy="357906"/>
                  <wp:effectExtent l="0" t="0" r="4445" b="4445"/>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47">
                            <a:extLst>
                              <a:ext uri="{28A0092B-C50C-407E-A947-70E740481C1C}">
                                <a14:useLocalDpi xmlns:a14="http://schemas.microsoft.com/office/drawing/2010/main" val="0"/>
                              </a:ext>
                            </a:extLst>
                          </a:blip>
                          <a:stretch>
                            <a:fillRect/>
                          </a:stretch>
                        </pic:blipFill>
                        <pic:spPr>
                          <a:xfrm>
                            <a:off x="0" y="0"/>
                            <a:ext cx="357906" cy="357906"/>
                          </a:xfrm>
                          <a:prstGeom prst="rect">
                            <a:avLst/>
                          </a:prstGeom>
                        </pic:spPr>
                      </pic:pic>
                    </a:graphicData>
                  </a:graphic>
                </wp:inline>
              </w:drawing>
            </w:r>
          </w:p>
        </w:tc>
        <w:tc>
          <w:tcPr>
            <w:tcW w:w="1815" w:type="dxa"/>
          </w:tcPr>
          <w:p w14:paraId="5F81A8A9" w14:textId="77777777" w:rsidR="009A5125" w:rsidRPr="005946AB" w:rsidRDefault="009A5125" w:rsidP="009A5125">
            <w:pPr>
              <w:ind w:left="57"/>
              <w:rPr>
                <w:rStyle w:val="Strong"/>
              </w:rPr>
            </w:pPr>
            <w:r w:rsidRPr="005946AB">
              <w:rPr>
                <w:rStyle w:val="Strong"/>
              </w:rPr>
              <w:t>Forward calendar</w:t>
            </w:r>
          </w:p>
          <w:p w14:paraId="0C30554E" w14:textId="2286D6BB" w:rsidR="009A5125" w:rsidRPr="005946AB" w:rsidRDefault="009C4C9C" w:rsidP="009A5125">
            <w:pPr>
              <w:ind w:left="57"/>
              <w:rPr>
                <w:rStyle w:val="Strong"/>
              </w:rPr>
            </w:pPr>
            <w:r w:rsidRPr="005946AB">
              <w:rPr>
                <w:rStyle w:val="Strong"/>
              </w:rPr>
              <w:t>First year (</w:t>
            </w:r>
            <w:r w:rsidR="009A5125" w:rsidRPr="005946AB">
              <w:rPr>
                <w:rStyle w:val="Strong"/>
              </w:rPr>
              <w:t>Q1</w:t>
            </w:r>
            <w:r w:rsidR="00F84D5C">
              <w:rPr>
                <w:rStyle w:val="Strong"/>
              </w:rPr>
              <w:t>–</w:t>
            </w:r>
            <w:r w:rsidR="00B237B4" w:rsidRPr="005946AB">
              <w:rPr>
                <w:rStyle w:val="Strong"/>
              </w:rPr>
              <w:t>Q</w:t>
            </w:r>
            <w:r w:rsidR="009A5125" w:rsidRPr="005946AB">
              <w:rPr>
                <w:rStyle w:val="Strong"/>
              </w:rPr>
              <w:t>4</w:t>
            </w:r>
            <w:r w:rsidRPr="005946AB">
              <w:rPr>
                <w:rStyle w:val="Strong"/>
              </w:rPr>
              <w:t>)</w:t>
            </w:r>
            <w:r w:rsidR="009A5125" w:rsidRPr="005946AB">
              <w:rPr>
                <w:rStyle w:val="Strong"/>
              </w:rPr>
              <w:t xml:space="preserve"> and </w:t>
            </w:r>
            <w:r w:rsidR="00B237B4" w:rsidRPr="005946AB">
              <w:rPr>
                <w:rStyle w:val="Strong"/>
              </w:rPr>
              <w:t>s</w:t>
            </w:r>
            <w:r w:rsidRPr="005946AB">
              <w:rPr>
                <w:rStyle w:val="Strong"/>
              </w:rPr>
              <w:t>econd year (</w:t>
            </w:r>
            <w:r w:rsidR="009A5125" w:rsidRPr="005946AB">
              <w:rPr>
                <w:rStyle w:val="Strong"/>
              </w:rPr>
              <w:t>H1</w:t>
            </w:r>
            <w:r w:rsidR="00F84D5C">
              <w:rPr>
                <w:rStyle w:val="Strong"/>
              </w:rPr>
              <w:t>–</w:t>
            </w:r>
            <w:r w:rsidR="009A5125" w:rsidRPr="005946AB">
              <w:rPr>
                <w:rStyle w:val="Strong"/>
              </w:rPr>
              <w:t>H2</w:t>
            </w:r>
            <w:r w:rsidRPr="005946AB">
              <w:rPr>
                <w:rStyle w:val="Strong"/>
              </w:rPr>
              <w:t>)</w:t>
            </w:r>
          </w:p>
        </w:tc>
        <w:tc>
          <w:tcPr>
            <w:tcW w:w="6505" w:type="dxa"/>
            <w:tcMar>
              <w:left w:w="85" w:type="dxa"/>
            </w:tcMar>
          </w:tcPr>
          <w:p w14:paraId="41E45694" w14:textId="77777777" w:rsidR="00FD2A65" w:rsidRDefault="009A5125" w:rsidP="00CF7C7F">
            <w:r>
              <w:t>A b</w:t>
            </w:r>
            <w:r w:rsidRPr="001F7943">
              <w:t xml:space="preserve">reakdown of </w:t>
            </w:r>
            <w:r w:rsidR="00627C4D">
              <w:t>planned</w:t>
            </w:r>
            <w:r w:rsidRPr="001F7943">
              <w:t xml:space="preserve"> activities</w:t>
            </w:r>
            <w:r>
              <w:t xml:space="preserve"> </w:t>
            </w:r>
            <w:r w:rsidR="00B00661">
              <w:t>in the next</w:t>
            </w:r>
            <w:r>
              <w:t xml:space="preserve"> </w:t>
            </w:r>
            <w:r w:rsidR="003436E7">
              <w:t>2 years</w:t>
            </w:r>
            <w:r w:rsidR="005972A5">
              <w:t>. The forward calendar is presented in</w:t>
            </w:r>
            <w:r w:rsidR="00C321CD">
              <w:t xml:space="preserve"> quarter year</w:t>
            </w:r>
            <w:r w:rsidR="00B2207E">
              <w:t xml:space="preserve"> periods </w:t>
            </w:r>
            <w:r w:rsidR="005972A5">
              <w:t>for</w:t>
            </w:r>
            <w:r w:rsidR="00C321CD">
              <w:t xml:space="preserve"> year</w:t>
            </w:r>
            <w:r w:rsidR="00B2207E">
              <w:t xml:space="preserve"> 1</w:t>
            </w:r>
            <w:r w:rsidR="00677181">
              <w:t xml:space="preserve"> (Q1 – Q4)</w:t>
            </w:r>
            <w:r w:rsidR="00C321CD">
              <w:t>, and half</w:t>
            </w:r>
            <w:r w:rsidR="00B2207E">
              <w:t xml:space="preserve"> year periods </w:t>
            </w:r>
            <w:r w:rsidR="005972A5">
              <w:t>for</w:t>
            </w:r>
            <w:r w:rsidR="00B2207E">
              <w:t xml:space="preserve"> </w:t>
            </w:r>
            <w:r w:rsidR="008C1998">
              <w:t>year 2</w:t>
            </w:r>
            <w:r w:rsidR="00677181">
              <w:t xml:space="preserve"> (H1 – H2)</w:t>
            </w:r>
            <w:r>
              <w:t>.</w:t>
            </w:r>
            <w:r w:rsidRPr="001F7943">
              <w:t xml:space="preserve"> </w:t>
            </w:r>
            <w:r w:rsidR="00960D4F" w:rsidRPr="001F7943">
              <w:t xml:space="preserve">All </w:t>
            </w:r>
            <w:r w:rsidR="00960D4F">
              <w:t xml:space="preserve">activities and </w:t>
            </w:r>
            <w:r w:rsidR="00960D4F" w:rsidRPr="001F7943">
              <w:t xml:space="preserve">dates are indicative </w:t>
            </w:r>
            <w:r w:rsidR="00960D4F">
              <w:t xml:space="preserve">only </w:t>
            </w:r>
            <w:r w:rsidR="00960D4F" w:rsidRPr="001F7943">
              <w:t>and are subject to change by the agency or regulator.</w:t>
            </w:r>
          </w:p>
          <w:p w14:paraId="3545591E" w14:textId="121E89F0" w:rsidR="009A5125" w:rsidRPr="00F11117" w:rsidRDefault="003C585E" w:rsidP="00CF7C7F">
            <w:pPr>
              <w:rPr>
                <w:rStyle w:val="Strong"/>
              </w:rPr>
            </w:pPr>
            <w:r w:rsidRPr="00F11117">
              <w:rPr>
                <w:rStyle w:val="Strong"/>
              </w:rPr>
              <w:t>If an initiative has no activities in its forward calendar, it means that specific timeframes have not been publicly communicated at the time of the RIG</w:t>
            </w:r>
            <w:r w:rsidR="0008745D">
              <w:rPr>
                <w:rStyle w:val="Strong"/>
              </w:rPr>
              <w:t>’</w:t>
            </w:r>
            <w:r w:rsidRPr="00F11117">
              <w:rPr>
                <w:rStyle w:val="Strong"/>
              </w:rPr>
              <w:t>s publication.</w:t>
            </w:r>
          </w:p>
        </w:tc>
      </w:tr>
    </w:tbl>
    <w:p w14:paraId="18C3D678" w14:textId="6015DFD4" w:rsidR="008B2C40" w:rsidRDefault="00E40319" w:rsidP="005946AB">
      <w:pPr>
        <w:rPr>
          <w:rFonts w:asciiTheme="minorHAnsi" w:hAnsiTheme="minorHAnsi" w:cstheme="minorBidi"/>
        </w:rPr>
      </w:pPr>
      <w:r>
        <w:t>I</w:t>
      </w:r>
      <w:r w:rsidR="008B2C40">
        <w:t>nformation contained in the RIG</w:t>
      </w:r>
      <w:r w:rsidR="008B2C40" w:rsidRPr="004C5301">
        <w:t xml:space="preserve"> </w:t>
      </w:r>
      <w:r w:rsidR="008B2C40">
        <w:t xml:space="preserve">is subject to </w:t>
      </w:r>
      <w:r w:rsidR="008B2C40" w:rsidRPr="004C5301">
        <w:t>change</w:t>
      </w:r>
      <w:r w:rsidR="00CA1CC8">
        <w:t>.</w:t>
      </w:r>
      <w:r w:rsidR="008B2C40" w:rsidRPr="004C5301">
        <w:t xml:space="preserve"> </w:t>
      </w:r>
      <w:r w:rsidR="00CA1CC8">
        <w:t>F</w:t>
      </w:r>
      <w:r w:rsidR="008B2C40">
        <w:t>or example</w:t>
      </w:r>
      <w:r w:rsidR="008D3438">
        <w:t>,</w:t>
      </w:r>
      <w:r w:rsidR="008B2C40">
        <w:t xml:space="preserve"> </w:t>
      </w:r>
      <w:r w:rsidR="00F45B67">
        <w:t>from shifts in government</w:t>
      </w:r>
      <w:r w:rsidR="008B2C40" w:rsidDel="00F45B67">
        <w:t xml:space="preserve"> </w:t>
      </w:r>
      <w:r w:rsidR="008B2C40">
        <w:t xml:space="preserve">priorities </w:t>
      </w:r>
      <w:r w:rsidR="00F45B67">
        <w:t>or financial market conditions.</w:t>
      </w:r>
    </w:p>
    <w:bookmarkEnd w:id="27"/>
    <w:p w14:paraId="5CD7CE2B" w14:textId="1F9B9EEF" w:rsidR="00FD557E" w:rsidRPr="00E90DC9" w:rsidRDefault="00FD557E" w:rsidP="001F7943">
      <w:pPr>
        <w:pStyle w:val="Heading2"/>
      </w:pPr>
      <w:r>
        <w:br w:type="column"/>
      </w:r>
      <w:r>
        <w:lastRenderedPageBreak/>
        <w:br w:type="column"/>
      </w:r>
      <w:bookmarkStart w:id="28" w:name="_Toc173760506"/>
      <w:bookmarkStart w:id="29" w:name="_Toc176175987"/>
      <w:bookmarkStart w:id="30" w:name="_Toc183095610"/>
      <w:r w:rsidR="00C74F37">
        <w:t xml:space="preserve">RIG </w:t>
      </w:r>
      <w:bookmarkEnd w:id="28"/>
      <w:bookmarkEnd w:id="29"/>
      <w:proofErr w:type="gramStart"/>
      <w:r w:rsidR="00DB5BB7">
        <w:t>formats</w:t>
      </w:r>
      <w:bookmarkEnd w:id="30"/>
      <w:proofErr w:type="gramEnd"/>
    </w:p>
    <w:tbl>
      <w:tblPr>
        <w:tblW w:w="9072" w:type="dxa"/>
        <w:shd w:val="clear" w:color="auto" w:fill="E8F0FC" w:themeFill="accent5" w:themeFillTint="33"/>
        <w:tblCellMar>
          <w:top w:w="57" w:type="dxa"/>
          <w:left w:w="284" w:type="dxa"/>
          <w:bottom w:w="57" w:type="dxa"/>
        </w:tblCellMar>
        <w:tblLook w:val="04A0" w:firstRow="1" w:lastRow="0" w:firstColumn="1" w:lastColumn="0" w:noHBand="0" w:noVBand="1"/>
      </w:tblPr>
      <w:tblGrid>
        <w:gridCol w:w="9072"/>
      </w:tblGrid>
      <w:tr w:rsidR="001F7943" w14:paraId="3133F124" w14:textId="77777777" w:rsidTr="00657F8A">
        <w:tc>
          <w:tcPr>
            <w:tcW w:w="9072" w:type="dxa"/>
            <w:shd w:val="clear" w:color="auto" w:fill="E8F0FC" w:themeFill="accent5" w:themeFillTint="33"/>
          </w:tcPr>
          <w:p w14:paraId="38A1C5F4" w14:textId="6A4EF03A" w:rsidR="001F7943" w:rsidRPr="00D97847" w:rsidRDefault="009A5125" w:rsidP="00D97847">
            <w:pPr>
              <w:pStyle w:val="BoxText"/>
            </w:pPr>
            <w:bookmarkStart w:id="31" w:name="_Toc173243835"/>
            <w:r>
              <w:t xml:space="preserve">The RIG is </w:t>
            </w:r>
            <w:r w:rsidR="00544001">
              <w:t>available</w:t>
            </w:r>
            <w:r>
              <w:t xml:space="preserve"> on the Treasury website </w:t>
            </w:r>
            <w:r w:rsidR="00B237B4">
              <w:t xml:space="preserve">at </w:t>
            </w:r>
            <w:hyperlink r:id="rId48" w:history="1">
              <w:r w:rsidR="00B237B4" w:rsidRPr="001576CE">
                <w:rPr>
                  <w:rStyle w:val="Strong"/>
                </w:rPr>
                <w:t>treasury.gov.au/RIG</w:t>
              </w:r>
            </w:hyperlink>
            <w:r w:rsidR="00DB5BB7" w:rsidRPr="001576CE">
              <w:rPr>
                <w:rStyle w:val="Strong"/>
              </w:rPr>
              <w:t>.</w:t>
            </w:r>
            <w:r w:rsidR="00DB5BB7">
              <w:rPr>
                <w:rStyle w:val="Hyperlink"/>
                <w:color w:val="auto"/>
                <w:sz w:val="22"/>
              </w:rPr>
              <w:t xml:space="preserve"> </w:t>
            </w:r>
            <w:r w:rsidR="00BB75E7">
              <w:t>The RIG is available in 3</w:t>
            </w:r>
            <w:r w:rsidR="00DE49AC">
              <w:t> </w:t>
            </w:r>
            <w:r w:rsidR="00BB75E7">
              <w:t xml:space="preserve">formats: a static report, </w:t>
            </w:r>
            <w:r>
              <w:t xml:space="preserve">an </w:t>
            </w:r>
            <w:r w:rsidR="001E5530">
              <w:t xml:space="preserve">interactive </w:t>
            </w:r>
            <w:proofErr w:type="gramStart"/>
            <w:r>
              <w:t>dashboard</w:t>
            </w:r>
            <w:proofErr w:type="gramEnd"/>
            <w:r>
              <w:t xml:space="preserve"> and a </w:t>
            </w:r>
            <w:r w:rsidR="00BB75E7">
              <w:t>Microsoft Excel Workbook.</w:t>
            </w:r>
            <w:r>
              <w:t xml:space="preserve"> </w:t>
            </w:r>
          </w:p>
        </w:tc>
      </w:tr>
    </w:tbl>
    <w:p w14:paraId="3D8686F7" w14:textId="47ADAB38" w:rsidR="00FD557E" w:rsidRPr="00E90DC9" w:rsidRDefault="00FD557E" w:rsidP="001F7943">
      <w:pPr>
        <w:pStyle w:val="Heading2"/>
      </w:pPr>
      <w:bookmarkStart w:id="32" w:name="_Toc173760507"/>
      <w:bookmarkStart w:id="33" w:name="_Toc176175988"/>
      <w:bookmarkStart w:id="34" w:name="_Toc183095611"/>
      <w:r w:rsidRPr="00E90DC9">
        <w:t>Feedback</w:t>
      </w:r>
      <w:bookmarkEnd w:id="31"/>
      <w:bookmarkEnd w:id="32"/>
      <w:bookmarkEnd w:id="33"/>
      <w:bookmarkEnd w:id="34"/>
    </w:p>
    <w:p w14:paraId="507DEF86" w14:textId="6E4EF1D1" w:rsidR="002E2F43" w:rsidRDefault="00F558A4" w:rsidP="00532C61">
      <w:r w:rsidRPr="00E90DC9">
        <w:t xml:space="preserve">Stakeholder feedback </w:t>
      </w:r>
      <w:r>
        <w:t>on the RIG</w:t>
      </w:r>
      <w:r w:rsidR="0008745D">
        <w:t>’</w:t>
      </w:r>
      <w:r>
        <w:t>s design is welcome</w:t>
      </w:r>
      <w:r w:rsidR="002E2F43">
        <w:t>.</w:t>
      </w:r>
      <w:r>
        <w:t xml:space="preserve"> </w:t>
      </w:r>
      <w:r w:rsidR="002E2F43">
        <w:t>P</w:t>
      </w:r>
      <w:r w:rsidR="000351FD">
        <w:t xml:space="preserve">lease send your </w:t>
      </w:r>
      <w:r w:rsidR="00C049E5">
        <w:t>feedback to</w:t>
      </w:r>
      <w:r w:rsidR="006976FD">
        <w:t xml:space="preserve"> </w:t>
      </w:r>
      <w:r w:rsidR="006976FD" w:rsidRPr="00BF69D8">
        <w:rPr>
          <w:rStyle w:val="Strong"/>
        </w:rPr>
        <w:t>RIG@Treasury.gov.au.</w:t>
      </w:r>
      <w:r w:rsidRPr="00E90DC9">
        <w:t xml:space="preserve"> </w:t>
      </w:r>
    </w:p>
    <w:p w14:paraId="61294CC4" w14:textId="0A87C9A4" w:rsidR="00F558A4" w:rsidRPr="005946AB" w:rsidRDefault="00F558A4" w:rsidP="005946AB">
      <w:r w:rsidRPr="005946AB">
        <w:t xml:space="preserve">Please indicate in </w:t>
      </w:r>
      <w:r w:rsidR="00C049E5" w:rsidRPr="005946AB">
        <w:t xml:space="preserve">your </w:t>
      </w:r>
      <w:r w:rsidRPr="005946AB">
        <w:t>response whether you agree/do not agree to shar</w:t>
      </w:r>
      <w:r w:rsidR="002E2F43" w:rsidRPr="005946AB">
        <w:t xml:space="preserve">e the </w:t>
      </w:r>
      <w:r w:rsidRPr="005946AB">
        <w:t>personal data contained in your response</w:t>
      </w:r>
      <w:r w:rsidR="002E2F43" w:rsidRPr="005946AB">
        <w:t xml:space="preserve"> (</w:t>
      </w:r>
      <w:r w:rsidR="007B62A5" w:rsidRPr="005946AB">
        <w:t>for example,</w:t>
      </w:r>
      <w:r w:rsidRPr="005946AB">
        <w:t xml:space="preserve"> </w:t>
      </w:r>
      <w:r w:rsidR="00860EC5" w:rsidRPr="005946AB">
        <w:t xml:space="preserve">your </w:t>
      </w:r>
      <w:r w:rsidRPr="005946AB">
        <w:t>name</w:t>
      </w:r>
      <w:r w:rsidR="002E2F43" w:rsidRPr="005946AB">
        <w:t xml:space="preserve"> and </w:t>
      </w:r>
      <w:r w:rsidRPr="005946AB">
        <w:t>email address</w:t>
      </w:r>
      <w:r w:rsidR="002E2F43" w:rsidRPr="005946AB">
        <w:t>)</w:t>
      </w:r>
      <w:r w:rsidRPr="005946AB">
        <w:t xml:space="preserve"> with contributing</w:t>
      </w:r>
      <w:r w:rsidR="00474247" w:rsidRPr="005946AB">
        <w:t> </w:t>
      </w:r>
      <w:r w:rsidRPr="005946AB">
        <w:t>agencies.</w:t>
      </w:r>
    </w:p>
    <w:p w14:paraId="2CBBAA18" w14:textId="757F2781" w:rsidR="00716944" w:rsidRDefault="008B68AC" w:rsidP="00532C61">
      <w:r>
        <w:t>Treasury intends to use stakeholder</w:t>
      </w:r>
      <w:r w:rsidR="00716944">
        <w:t xml:space="preserve"> feedback </w:t>
      </w:r>
      <w:r>
        <w:t>to</w:t>
      </w:r>
      <w:r w:rsidR="00716944">
        <w:t xml:space="preserve"> inform the </w:t>
      </w:r>
      <w:r>
        <w:t>RIG</w:t>
      </w:r>
      <w:r w:rsidR="0008745D">
        <w:t>’</w:t>
      </w:r>
      <w:r>
        <w:t xml:space="preserve">s </w:t>
      </w:r>
      <w:r w:rsidR="00716944">
        <w:t>ongoing design and administration.</w:t>
      </w:r>
    </w:p>
    <w:p w14:paraId="5FA78180" w14:textId="1E6328AA" w:rsidR="001E5530" w:rsidRDefault="001E5530" w:rsidP="00F534FF">
      <w:pPr>
        <w:pStyle w:val="Heading2"/>
      </w:pPr>
      <w:bookmarkStart w:id="35" w:name="_Toc183095612"/>
      <w:r>
        <w:t>F</w:t>
      </w:r>
      <w:r w:rsidRPr="00E90DC9">
        <w:t>uture updates</w:t>
      </w:r>
      <w:bookmarkEnd w:id="35"/>
    </w:p>
    <w:p w14:paraId="477E515F" w14:textId="313E7AEE" w:rsidR="00F87639" w:rsidRDefault="00E9184E" w:rsidP="005946AB">
      <w:r>
        <w:t>Treasury</w:t>
      </w:r>
      <w:r w:rsidR="00F87639">
        <w:t xml:space="preserve"> intend</w:t>
      </w:r>
      <w:r>
        <w:t>s</w:t>
      </w:r>
      <w:r w:rsidR="00F87639" w:rsidDel="00E425BD">
        <w:t xml:space="preserve"> to </w:t>
      </w:r>
      <w:r w:rsidR="00F87639">
        <w:t>continu</w:t>
      </w:r>
      <w:r w:rsidR="005619B7">
        <w:t>ously</w:t>
      </w:r>
      <w:r w:rsidR="00791E96">
        <w:t xml:space="preserve"> refin</w:t>
      </w:r>
      <w:r w:rsidR="005619B7">
        <w:t>e</w:t>
      </w:r>
      <w:r w:rsidR="00F87639">
        <w:t xml:space="preserve"> the RIG in response to stakeholder feedback</w:t>
      </w:r>
      <w:r w:rsidR="00791E96">
        <w:t>.</w:t>
      </w:r>
      <w:r w:rsidR="002B41AA">
        <w:t xml:space="preserve"> </w:t>
      </w:r>
      <w:r w:rsidR="00791E96">
        <w:t>This will help</w:t>
      </w:r>
      <w:r w:rsidR="00F87639" w:rsidDel="00791E96">
        <w:t xml:space="preserve"> </w:t>
      </w:r>
      <w:r w:rsidR="00F87639">
        <w:t>ensure it remains</w:t>
      </w:r>
      <w:r w:rsidR="00F87639" w:rsidDel="004D0ED4">
        <w:t xml:space="preserve"> </w:t>
      </w:r>
      <w:r w:rsidR="00591E15">
        <w:t>fit for purpose</w:t>
      </w:r>
      <w:r w:rsidR="00F87639" w:rsidDel="004D0ED4">
        <w:t>.</w:t>
      </w:r>
    </w:p>
    <w:p w14:paraId="4676BBC4" w14:textId="5C5F4EA6" w:rsidR="001E7B2E" w:rsidRDefault="003E3C0D" w:rsidP="00FD557E">
      <w:pPr>
        <w:sectPr w:rsidR="001E7B2E" w:rsidSect="003640EC">
          <w:pgSz w:w="16838" w:h="11906" w:orient="landscape" w:code="9"/>
          <w:pgMar w:top="1843" w:right="1418" w:bottom="1021" w:left="1418" w:header="709" w:footer="397" w:gutter="0"/>
          <w:cols w:num="2" w:space="1755" w:equalWidth="0">
            <w:col w:w="3175" w:space="1755"/>
            <w:col w:w="9072"/>
          </w:cols>
          <w:docGrid w:linePitch="360"/>
        </w:sectPr>
      </w:pPr>
      <w:r>
        <w:t>Treasury plans to publish t</w:t>
      </w:r>
      <w:r w:rsidR="0054110B" w:rsidRPr="0054110B">
        <w:t xml:space="preserve">he first </w:t>
      </w:r>
      <w:r>
        <w:t xml:space="preserve">RIG </w:t>
      </w:r>
      <w:r w:rsidR="0054110B" w:rsidRPr="0054110B">
        <w:t>update in September</w:t>
      </w:r>
      <w:r w:rsidR="007C541F">
        <w:t> </w:t>
      </w:r>
      <w:r w:rsidR="0054110B" w:rsidRPr="0054110B">
        <w:t>2025</w:t>
      </w:r>
      <w:r w:rsidR="0054110B" w:rsidRPr="0054110B" w:rsidDel="003E3C0D">
        <w:t xml:space="preserve">. </w:t>
      </w:r>
      <w:r w:rsidR="0099196E">
        <w:t xml:space="preserve">After this, </w:t>
      </w:r>
      <w:r w:rsidR="0054110B" w:rsidRPr="0054110B">
        <w:t xml:space="preserve">the RIG will be published </w:t>
      </w:r>
      <w:r w:rsidR="0099196E">
        <w:t>twice a year (</w:t>
      </w:r>
      <w:r w:rsidR="0054110B" w:rsidRPr="0054110B">
        <w:t>March and September</w:t>
      </w:r>
      <w:r w:rsidR="0099196E">
        <w:t>)</w:t>
      </w:r>
      <w:r w:rsidR="0054110B" w:rsidRPr="0054110B">
        <w:t>.</w:t>
      </w:r>
    </w:p>
    <w:p w14:paraId="15090192" w14:textId="37B59832" w:rsidR="00B54CF6" w:rsidRPr="0072626A" w:rsidRDefault="00B54CF6" w:rsidP="00FC308B">
      <w:pPr>
        <w:pStyle w:val="Heading1Numbered"/>
      </w:pPr>
      <w:bookmarkStart w:id="36" w:name="_Toc183095613"/>
      <w:r>
        <w:lastRenderedPageBreak/>
        <w:t xml:space="preserve">Policy </w:t>
      </w:r>
      <w:r w:rsidR="00DA6D3F">
        <w:t>d</w:t>
      </w:r>
      <w:r>
        <w:t>evelopment</w:t>
      </w:r>
      <w:bookmarkEnd w:id="36"/>
    </w:p>
    <w:p w14:paraId="0D56EB52" w14:textId="18649453" w:rsidR="00133217" w:rsidRPr="00464DE7" w:rsidRDefault="009A5125" w:rsidP="009A5125">
      <w:pPr>
        <w:rPr>
          <w:rFonts w:cs="Calibri Light"/>
          <w:szCs w:val="22"/>
        </w:rPr>
      </w:pPr>
      <w:r w:rsidRPr="00464DE7">
        <w:rPr>
          <w:rFonts w:cs="Calibri Light"/>
          <w:szCs w:val="22"/>
        </w:rPr>
        <w:t>This</w:t>
      </w:r>
      <w:r w:rsidRPr="00464DE7" w:rsidDel="007A415C">
        <w:rPr>
          <w:rFonts w:cs="Calibri Light"/>
          <w:szCs w:val="22"/>
        </w:rPr>
        <w:t xml:space="preserve"> </w:t>
      </w:r>
      <w:r w:rsidR="00C734E8" w:rsidRPr="009A41CA">
        <w:t>category</w:t>
      </w:r>
      <w:r w:rsidRPr="009A41CA">
        <w:t xml:space="preserve"> includes</w:t>
      </w:r>
      <w:r w:rsidRPr="00464DE7">
        <w:rPr>
          <w:rFonts w:cs="Calibri Light"/>
          <w:szCs w:val="22"/>
        </w:rPr>
        <w:t xml:space="preserve"> </w:t>
      </w:r>
      <w:r w:rsidR="00DB110A" w:rsidRPr="001576CE">
        <w:rPr>
          <w:rStyle w:val="Strong"/>
        </w:rPr>
        <w:t>5</w:t>
      </w:r>
      <w:r w:rsidRPr="00464DE7">
        <w:rPr>
          <w:rFonts w:cs="Calibri Light"/>
          <w:szCs w:val="22"/>
        </w:rPr>
        <w:t xml:space="preserve"> </w:t>
      </w:r>
      <w:r w:rsidR="006837E9">
        <w:rPr>
          <w:rFonts w:cs="Calibri Light"/>
          <w:szCs w:val="22"/>
        </w:rPr>
        <w:t>policy</w:t>
      </w:r>
      <w:r w:rsidR="00D06782">
        <w:rPr>
          <w:rFonts w:cs="Calibri Light"/>
          <w:szCs w:val="22"/>
        </w:rPr>
        <w:t xml:space="preserve"> </w:t>
      </w:r>
      <w:r w:rsidR="006837E9">
        <w:rPr>
          <w:rFonts w:cs="Calibri Light"/>
          <w:szCs w:val="22"/>
        </w:rPr>
        <w:t xml:space="preserve">development </w:t>
      </w:r>
      <w:r w:rsidRPr="00464DE7">
        <w:rPr>
          <w:rFonts w:cs="Calibri Light"/>
          <w:szCs w:val="22"/>
        </w:rPr>
        <w:t>initiatives.</w:t>
      </w:r>
      <w:r w:rsidR="00D06782">
        <w:rPr>
          <w:rFonts w:cs="Calibri Light"/>
          <w:szCs w:val="22"/>
        </w:rPr>
        <w:t xml:space="preserve"> </w:t>
      </w:r>
      <w:r w:rsidR="004D127F">
        <w:t>Examples of p</w:t>
      </w:r>
      <w:r w:rsidR="00D06782" w:rsidRPr="009A41CA">
        <w:t>olicy development activit</w:t>
      </w:r>
      <w:r w:rsidR="004D127F">
        <w:t>y</w:t>
      </w:r>
      <w:r w:rsidR="004D19BC">
        <w:t xml:space="preserve"> </w:t>
      </w:r>
      <w:proofErr w:type="gramStart"/>
      <w:r w:rsidR="000872CC" w:rsidRPr="009A41CA">
        <w:t>includ</w:t>
      </w:r>
      <w:r w:rsidR="004D19BC">
        <w:t>e:</w:t>
      </w:r>
      <w:proofErr w:type="gramEnd"/>
      <w:r w:rsidR="000872CC" w:rsidRPr="009A41CA">
        <w:t xml:space="preserve"> </w:t>
      </w:r>
      <w:r w:rsidR="00D06782" w:rsidRPr="009A41CA">
        <w:t xml:space="preserve">seeking stakeholder feedback on </w:t>
      </w:r>
      <w:r w:rsidR="006837E9">
        <w:t xml:space="preserve">a </w:t>
      </w:r>
      <w:r w:rsidR="00D06782" w:rsidRPr="009A41CA">
        <w:t>proposed policy and formulating policy statements.</w:t>
      </w:r>
      <w:r w:rsidR="00EC1DC1" w:rsidRPr="009A41CA">
        <w:t xml:space="preserve"> </w:t>
      </w:r>
      <w:r w:rsidR="003E6451">
        <w:t>In</w:t>
      </w:r>
      <w:r w:rsidR="0040148A">
        <w:t>itiative</w:t>
      </w:r>
      <w:r w:rsidR="00647357">
        <w:t>s</w:t>
      </w:r>
      <w:r w:rsidR="0040148A">
        <w:t xml:space="preserve"> </w:t>
      </w:r>
      <w:r w:rsidR="003E6451">
        <w:t xml:space="preserve">that </w:t>
      </w:r>
      <w:r w:rsidR="000D4D44" w:rsidRPr="009A41CA">
        <w:t xml:space="preserve">include </w:t>
      </w:r>
      <w:r w:rsidR="00163D34">
        <w:t xml:space="preserve">both </w:t>
      </w:r>
      <w:r w:rsidR="000D4D44" w:rsidRPr="009A41CA">
        <w:t>p</w:t>
      </w:r>
      <w:r w:rsidR="00EC1DC1" w:rsidRPr="009A41CA">
        <w:t>olicy</w:t>
      </w:r>
      <w:r w:rsidR="003E6451">
        <w:t xml:space="preserve"> </w:t>
      </w:r>
      <w:r w:rsidR="00EC1DC1" w:rsidRPr="009A41CA">
        <w:t>development</w:t>
      </w:r>
      <w:r w:rsidR="000D4D44" w:rsidRPr="009A41CA">
        <w:t xml:space="preserve"> </w:t>
      </w:r>
      <w:r w:rsidR="003E6451">
        <w:t xml:space="preserve">and </w:t>
      </w:r>
      <w:r w:rsidR="00EC1DC1" w:rsidRPr="009A41CA">
        <w:t xml:space="preserve">developing legislation, regulations </w:t>
      </w:r>
      <w:r w:rsidR="00641197">
        <w:t>or</w:t>
      </w:r>
      <w:r w:rsidR="00EC1DC1" w:rsidRPr="009A41CA">
        <w:t xml:space="preserve"> instruments</w:t>
      </w:r>
      <w:r w:rsidR="003E6451">
        <w:t xml:space="preserve"> are </w:t>
      </w:r>
      <w:r w:rsidR="000D4D44" w:rsidRPr="009A41CA">
        <w:t xml:space="preserve">included </w:t>
      </w:r>
      <w:r w:rsidR="00483385" w:rsidRPr="009A41CA">
        <w:t xml:space="preserve">in the </w:t>
      </w:r>
      <w:r w:rsidR="0008745D">
        <w:t>‘</w:t>
      </w:r>
      <w:r w:rsidR="003E6451">
        <w:t xml:space="preserve">Developing legislation, </w:t>
      </w:r>
      <w:proofErr w:type="gramStart"/>
      <w:r w:rsidR="003E6451">
        <w:t>regulation</w:t>
      </w:r>
      <w:r w:rsidR="00163D34">
        <w:t>s</w:t>
      </w:r>
      <w:proofErr w:type="gramEnd"/>
      <w:r w:rsidR="003E6451">
        <w:t xml:space="preserve"> and instruments</w:t>
      </w:r>
      <w:r w:rsidR="0008745D">
        <w:t>’</w:t>
      </w:r>
      <w:r w:rsidR="003E6451">
        <w:t xml:space="preserve"> </w:t>
      </w:r>
      <w:r w:rsidR="00AC65B6">
        <w:t>category</w:t>
      </w:r>
      <w:r w:rsidR="00483385" w:rsidRPr="009A41CA">
        <w:t>.</w:t>
      </w:r>
      <w:r w:rsidR="00D06782">
        <w:rPr>
          <w:rFonts w:cs="Calibri Light"/>
          <w:szCs w:val="22"/>
        </w:rPr>
        <w:t xml:space="preserve"> </w:t>
      </w:r>
    </w:p>
    <w:p w14:paraId="720D7D84" w14:textId="66314BD0" w:rsidR="00D670CC" w:rsidRPr="0098521C" w:rsidRDefault="00D670CC" w:rsidP="009A5125">
      <w:pPr>
        <w:rPr>
          <w:rStyle w:val="Strong"/>
        </w:rPr>
      </w:pPr>
      <w:r w:rsidRPr="0098521C">
        <w:rPr>
          <w:rStyle w:val="Strong"/>
        </w:rPr>
        <w:t>Forward calendar</w:t>
      </w:r>
    </w:p>
    <w:tbl>
      <w:tblPr>
        <w:tblW w:w="5000" w:type="pct"/>
        <w:tblInd w:w="-1" w:type="dxa"/>
        <w:tblBorders>
          <w:bottom w:val="single" w:sz="4" w:space="0" w:color="90B6F0"/>
          <w:insideH w:val="single" w:sz="4" w:space="0" w:color="90B6F0"/>
          <w:insideV w:val="single" w:sz="4" w:space="0" w:color="FFFFFF" w:themeColor="background1"/>
        </w:tblBorders>
        <w:tblLayout w:type="fixed"/>
        <w:tblCellMar>
          <w:left w:w="85" w:type="dxa"/>
          <w:right w:w="85" w:type="dxa"/>
        </w:tblCellMar>
        <w:tblLook w:val="04A0" w:firstRow="1" w:lastRow="0" w:firstColumn="1" w:lastColumn="0" w:noHBand="0" w:noVBand="1"/>
      </w:tblPr>
      <w:tblGrid>
        <w:gridCol w:w="851"/>
        <w:gridCol w:w="1246"/>
        <w:gridCol w:w="4285"/>
        <w:gridCol w:w="1270"/>
        <w:gridCol w:w="1270"/>
        <w:gridCol w:w="1270"/>
        <w:gridCol w:w="1270"/>
        <w:gridCol w:w="1270"/>
        <w:gridCol w:w="1270"/>
      </w:tblGrid>
      <w:tr w:rsidR="00442EED" w:rsidRPr="0088394A" w14:paraId="75AEDF65" w14:textId="77777777" w:rsidTr="4D670C11">
        <w:trPr>
          <w:cantSplit/>
          <w:trHeight w:val="20"/>
          <w:tblHeader/>
        </w:trPr>
        <w:tc>
          <w:tcPr>
            <w:tcW w:w="851" w:type="dxa"/>
            <w:tcBorders>
              <w:bottom w:val="single" w:sz="4" w:space="0" w:color="90B6F0" w:themeColor="accent5"/>
            </w:tcBorders>
            <w:shd w:val="clear" w:color="auto" w:fill="BCD2F6" w:themeFill="accent5" w:themeFillTint="99"/>
            <w:tcMar>
              <w:left w:w="85" w:type="dxa"/>
              <w:right w:w="85" w:type="dxa"/>
            </w:tcMar>
            <w:hideMark/>
          </w:tcPr>
          <w:p w14:paraId="05373B6F" w14:textId="746C1518" w:rsidR="00FC390D" w:rsidRPr="0088394A" w:rsidRDefault="00FC390D" w:rsidP="0088394A">
            <w:pPr>
              <w:pStyle w:val="TableColumnHeadingLeft"/>
            </w:pPr>
            <w:r w:rsidRPr="0088394A">
              <w:t>Agency</w:t>
            </w:r>
          </w:p>
        </w:tc>
        <w:tc>
          <w:tcPr>
            <w:tcW w:w="1246" w:type="dxa"/>
            <w:shd w:val="clear" w:color="auto" w:fill="BCD2F6" w:themeFill="accent5" w:themeFillTint="99"/>
            <w:tcMar>
              <w:left w:w="85" w:type="dxa"/>
              <w:right w:w="85" w:type="dxa"/>
            </w:tcMar>
          </w:tcPr>
          <w:p w14:paraId="32EFC8FF" w14:textId="77777777" w:rsidR="00FC390D" w:rsidRPr="0088394A" w:rsidRDefault="00FC390D" w:rsidP="0088394A">
            <w:pPr>
              <w:pStyle w:val="TableColumnHeadingLeft"/>
            </w:pPr>
            <w:r w:rsidRPr="0088394A">
              <w:t>Sector</w:t>
            </w:r>
          </w:p>
        </w:tc>
        <w:tc>
          <w:tcPr>
            <w:tcW w:w="4285" w:type="dxa"/>
            <w:shd w:val="clear" w:color="auto" w:fill="BCD2F6" w:themeFill="accent5" w:themeFillTint="99"/>
            <w:tcMar>
              <w:left w:w="85" w:type="dxa"/>
              <w:right w:w="85" w:type="dxa"/>
            </w:tcMar>
          </w:tcPr>
          <w:p w14:paraId="4DBB94B5" w14:textId="077BCE44" w:rsidR="00FC390D" w:rsidRPr="0088394A" w:rsidRDefault="00FC390D" w:rsidP="0088394A">
            <w:pPr>
              <w:pStyle w:val="TableColumnHeadingLeft"/>
            </w:pPr>
            <w:r w:rsidRPr="0088394A">
              <w:t>Initiative </w:t>
            </w:r>
          </w:p>
        </w:tc>
        <w:tc>
          <w:tcPr>
            <w:tcW w:w="1270" w:type="dxa"/>
            <w:shd w:val="clear" w:color="auto" w:fill="BCD2F6" w:themeFill="accent5" w:themeFillTint="99"/>
            <w:tcMar>
              <w:left w:w="85" w:type="dxa"/>
              <w:right w:w="85" w:type="dxa"/>
            </w:tcMar>
            <w:hideMark/>
          </w:tcPr>
          <w:p w14:paraId="3044C6F6" w14:textId="7B15D559" w:rsidR="00FC390D" w:rsidRPr="0088394A" w:rsidRDefault="00FC390D" w:rsidP="0088394A">
            <w:pPr>
              <w:pStyle w:val="TableColumnHeadingLeft"/>
            </w:pPr>
            <w:r w:rsidRPr="0088394A">
              <w:t>Q1 2025</w:t>
            </w:r>
            <w:r w:rsidR="00D670CC">
              <w:t xml:space="preserve"> activity</w:t>
            </w:r>
          </w:p>
        </w:tc>
        <w:tc>
          <w:tcPr>
            <w:tcW w:w="1270" w:type="dxa"/>
            <w:shd w:val="clear" w:color="auto" w:fill="BCD2F6" w:themeFill="accent5" w:themeFillTint="99"/>
            <w:tcMar>
              <w:left w:w="85" w:type="dxa"/>
              <w:right w:w="85" w:type="dxa"/>
            </w:tcMar>
          </w:tcPr>
          <w:p w14:paraId="599191B9" w14:textId="287A9C3E" w:rsidR="00FC390D" w:rsidRPr="0088394A" w:rsidRDefault="00FC390D" w:rsidP="0088394A">
            <w:pPr>
              <w:pStyle w:val="TableColumnHeadingLeft"/>
            </w:pPr>
            <w:r w:rsidRPr="0088394A">
              <w:t>Q2 2025</w:t>
            </w:r>
            <w:r w:rsidR="00D670CC">
              <w:t xml:space="preserve"> activity</w:t>
            </w:r>
          </w:p>
        </w:tc>
        <w:tc>
          <w:tcPr>
            <w:tcW w:w="1270" w:type="dxa"/>
            <w:shd w:val="clear" w:color="auto" w:fill="BCD2F6" w:themeFill="accent5" w:themeFillTint="99"/>
            <w:tcMar>
              <w:left w:w="85" w:type="dxa"/>
              <w:right w:w="85" w:type="dxa"/>
            </w:tcMar>
          </w:tcPr>
          <w:p w14:paraId="4090558D" w14:textId="4E1A9AF1" w:rsidR="00FC390D" w:rsidRPr="0088394A" w:rsidRDefault="00FC390D" w:rsidP="0088394A">
            <w:pPr>
              <w:pStyle w:val="TableColumnHeadingLeft"/>
            </w:pPr>
            <w:r w:rsidRPr="0088394A">
              <w:t>Q3 2025</w:t>
            </w:r>
            <w:r w:rsidR="00D670CC">
              <w:t xml:space="preserve"> activity</w:t>
            </w:r>
          </w:p>
        </w:tc>
        <w:tc>
          <w:tcPr>
            <w:tcW w:w="1270" w:type="dxa"/>
            <w:shd w:val="clear" w:color="auto" w:fill="BCD2F6" w:themeFill="accent5" w:themeFillTint="99"/>
            <w:tcMar>
              <w:left w:w="85" w:type="dxa"/>
              <w:right w:w="85" w:type="dxa"/>
            </w:tcMar>
          </w:tcPr>
          <w:p w14:paraId="7C2ED8E9" w14:textId="738E9970" w:rsidR="00FC390D" w:rsidRPr="0088394A" w:rsidRDefault="00FC390D" w:rsidP="0088394A">
            <w:pPr>
              <w:pStyle w:val="TableColumnHeadingLeft"/>
            </w:pPr>
            <w:r w:rsidRPr="0088394A">
              <w:t>Q4 2025</w:t>
            </w:r>
            <w:r w:rsidR="00D670CC">
              <w:t xml:space="preserve"> activity</w:t>
            </w:r>
          </w:p>
        </w:tc>
        <w:tc>
          <w:tcPr>
            <w:tcW w:w="1270" w:type="dxa"/>
            <w:shd w:val="clear" w:color="auto" w:fill="BCD2F6" w:themeFill="accent5" w:themeFillTint="99"/>
            <w:tcMar>
              <w:left w:w="85" w:type="dxa"/>
              <w:right w:w="85" w:type="dxa"/>
            </w:tcMar>
          </w:tcPr>
          <w:p w14:paraId="2C4468EB" w14:textId="52AC677E" w:rsidR="00FC390D" w:rsidRPr="0088394A" w:rsidRDefault="00FC390D" w:rsidP="0088394A">
            <w:pPr>
              <w:pStyle w:val="TableColumnHeadingLeft"/>
            </w:pPr>
            <w:r w:rsidRPr="0088394A">
              <w:t>H1 2026</w:t>
            </w:r>
            <w:r w:rsidR="00D670CC">
              <w:t xml:space="preserve"> activity</w:t>
            </w:r>
          </w:p>
        </w:tc>
        <w:tc>
          <w:tcPr>
            <w:tcW w:w="1270" w:type="dxa"/>
            <w:shd w:val="clear" w:color="auto" w:fill="BCD2F6" w:themeFill="accent5" w:themeFillTint="99"/>
            <w:tcMar>
              <w:left w:w="85" w:type="dxa"/>
              <w:right w:w="85" w:type="dxa"/>
            </w:tcMar>
          </w:tcPr>
          <w:p w14:paraId="5779C607" w14:textId="48A1BFD7" w:rsidR="00FC390D" w:rsidRPr="0088394A" w:rsidRDefault="00FC390D" w:rsidP="0088394A">
            <w:pPr>
              <w:pStyle w:val="TableColumnHeadingLeft"/>
            </w:pPr>
            <w:r w:rsidRPr="0088394A">
              <w:t>H2 2026</w:t>
            </w:r>
            <w:r w:rsidR="00D670CC">
              <w:t xml:space="preserve"> activity</w:t>
            </w:r>
          </w:p>
        </w:tc>
      </w:tr>
      <w:tr w:rsidR="00442EED" w:rsidRPr="00AF43B7" w14:paraId="4CDDC143" w14:textId="77777777" w:rsidTr="4D670C11">
        <w:trPr>
          <w:cantSplit/>
          <w:trHeight w:val="20"/>
        </w:trPr>
        <w:tc>
          <w:tcPr>
            <w:tcW w:w="851" w:type="dxa"/>
            <w:tcBorders>
              <w:top w:val="single" w:sz="4" w:space="0" w:color="90B6F0" w:themeColor="accent5"/>
              <w:bottom w:val="single" w:sz="4" w:space="0" w:color="BCE4CF"/>
            </w:tcBorders>
            <w:shd w:val="clear" w:color="auto" w:fill="auto"/>
            <w:tcMar>
              <w:left w:w="85" w:type="dxa"/>
              <w:right w:w="85" w:type="dxa"/>
            </w:tcMar>
          </w:tcPr>
          <w:p w14:paraId="50BD1243" w14:textId="0AC22DF6" w:rsidR="00FC390D" w:rsidRPr="009C4097" w:rsidRDefault="00FC390D" w:rsidP="00791A91">
            <w:pPr>
              <w:pStyle w:val="TableLeadAgency"/>
            </w:pPr>
            <w:r w:rsidRPr="009C4097">
              <w:t>TSY</w:t>
            </w:r>
          </w:p>
        </w:tc>
        <w:tc>
          <w:tcPr>
            <w:tcW w:w="1246" w:type="dxa"/>
            <w:tcMar>
              <w:top w:w="0" w:type="dxa"/>
              <w:left w:w="85" w:type="dxa"/>
              <w:bottom w:w="0" w:type="dxa"/>
              <w:right w:w="85" w:type="dxa"/>
            </w:tcMar>
          </w:tcPr>
          <w:p w14:paraId="007275D3" w14:textId="77777777" w:rsidR="00FC390D" w:rsidRPr="00976B89" w:rsidRDefault="00FC390D" w:rsidP="00976B89">
            <w:pPr>
              <w:pStyle w:val="TableTextLeft"/>
            </w:pPr>
            <w:r w:rsidRPr="00976B89">
              <w:t>All</w:t>
            </w:r>
          </w:p>
        </w:tc>
        <w:tc>
          <w:tcPr>
            <w:tcW w:w="4285" w:type="dxa"/>
            <w:tcMar>
              <w:left w:w="85" w:type="dxa"/>
              <w:right w:w="85" w:type="dxa"/>
            </w:tcMar>
          </w:tcPr>
          <w:p w14:paraId="64094D18" w14:textId="6FB27522" w:rsidR="009A5125" w:rsidRPr="00F80402" w:rsidRDefault="001D4D7F" w:rsidP="009A5125">
            <w:pPr>
              <w:pStyle w:val="TableTextLeft"/>
              <w:rPr>
                <w:rStyle w:val="Hyperlink"/>
                <w:u w:val="single"/>
              </w:rPr>
            </w:pPr>
            <w:hyperlink r:id="rId49" w:history="1">
              <w:r w:rsidR="009A5125" w:rsidRPr="00F80402">
                <w:rPr>
                  <w:rStyle w:val="Hyperlink"/>
                  <w:u w:val="single"/>
                </w:rPr>
                <w:t>Reforms to streamline and strengthen Australia</w:t>
              </w:r>
              <w:r w:rsidR="0008745D">
                <w:rPr>
                  <w:rStyle w:val="Hyperlink"/>
                  <w:u w:val="single"/>
                </w:rPr>
                <w:t>’</w:t>
              </w:r>
              <w:r w:rsidR="009A5125" w:rsidRPr="00F80402">
                <w:rPr>
                  <w:rStyle w:val="Hyperlink"/>
                  <w:u w:val="single"/>
                </w:rPr>
                <w:t>s foreign investment framework</w:t>
              </w:r>
            </w:hyperlink>
          </w:p>
          <w:p w14:paraId="6D2436D9" w14:textId="77777777" w:rsidR="00CD45A2" w:rsidRDefault="009A5125" w:rsidP="00301F93">
            <w:pPr>
              <w:pStyle w:val="TableTextLeft"/>
            </w:pPr>
            <w:r w:rsidRPr="009A3724">
              <w:t>On 1</w:t>
            </w:r>
            <w:r w:rsidR="002E1FCC">
              <w:t> </w:t>
            </w:r>
            <w:r w:rsidRPr="009A3724">
              <w:t>May</w:t>
            </w:r>
            <w:r w:rsidR="002E1FCC">
              <w:t> </w:t>
            </w:r>
            <w:r w:rsidRPr="009A3724">
              <w:t xml:space="preserve">2024, the Government announced reforms to </w:t>
            </w:r>
            <w:r w:rsidR="00A33D30" w:rsidRPr="00932103">
              <w:t xml:space="preserve">streamline </w:t>
            </w:r>
            <w:r w:rsidR="00A33D30" w:rsidRPr="00301F93">
              <w:t>and</w:t>
            </w:r>
            <w:r w:rsidR="00A33D30" w:rsidRPr="00932103">
              <w:t xml:space="preserve"> </w:t>
            </w:r>
            <w:r w:rsidRPr="009A3724">
              <w:t xml:space="preserve">strengthen </w:t>
            </w:r>
            <w:r w:rsidR="00A33D30" w:rsidRPr="00932103">
              <w:t>Australia</w:t>
            </w:r>
            <w:r w:rsidR="0008745D">
              <w:t>’</w:t>
            </w:r>
            <w:r w:rsidR="00A33D30" w:rsidRPr="00932103">
              <w:t>s</w:t>
            </w:r>
            <w:r w:rsidRPr="009A3724">
              <w:t xml:space="preserve"> foreign investment framework.</w:t>
            </w:r>
            <w:r w:rsidR="00EC73B3">
              <w:t xml:space="preserve"> </w:t>
            </w:r>
            <w:r w:rsidR="00ED0C89">
              <w:t>The</w:t>
            </w:r>
            <w:r w:rsidR="00EC73B3" w:rsidRPr="0093562C">
              <w:t xml:space="preserve"> reforms apply greater scrutiny to high</w:t>
            </w:r>
            <w:r w:rsidR="0008745D">
              <w:noBreakHyphen/>
            </w:r>
            <w:r w:rsidR="00EC73B3" w:rsidRPr="0093562C">
              <w:t>risk investments</w:t>
            </w:r>
            <w:r w:rsidR="0006542B">
              <w:t xml:space="preserve"> </w:t>
            </w:r>
            <w:r w:rsidR="00EC73B3" w:rsidRPr="0093562C">
              <w:t>to protect the national interest while streamlining assessment of low</w:t>
            </w:r>
            <w:r w:rsidR="0008745D">
              <w:noBreakHyphen/>
            </w:r>
            <w:r w:rsidR="00EC73B3" w:rsidRPr="0093562C">
              <w:t>risk investments.</w:t>
            </w:r>
            <w:r w:rsidR="001B25C0">
              <w:t xml:space="preserve"> </w:t>
            </w:r>
          </w:p>
          <w:p w14:paraId="356535D7" w14:textId="0DEB93C1" w:rsidR="00510501" w:rsidRPr="00956FC4" w:rsidRDefault="00ED0C89" w:rsidP="00481D02">
            <w:pPr>
              <w:pStyle w:val="TableTextLeft"/>
            </w:pPr>
            <w:r>
              <w:t>The Government has commenced i</w:t>
            </w:r>
            <w:r w:rsidR="00F456DF" w:rsidRPr="00F456DF">
              <w:t>mplementation</w:t>
            </w:r>
            <w:r>
              <w:t>,</w:t>
            </w:r>
            <w:r w:rsidR="00F456DF" w:rsidRPr="00F456DF">
              <w:t xml:space="preserve"> </w:t>
            </w:r>
            <w:r>
              <w:t>which</w:t>
            </w:r>
            <w:r w:rsidR="00F456DF" w:rsidRPr="00F456DF">
              <w:t xml:space="preserve"> will continue in 2025</w:t>
            </w:r>
            <w:r w:rsidR="0008745D">
              <w:t>.</w:t>
            </w:r>
          </w:p>
        </w:tc>
        <w:tc>
          <w:tcPr>
            <w:tcW w:w="1270" w:type="dxa"/>
            <w:shd w:val="clear" w:color="auto" w:fill="E8F0FC" w:themeFill="accent5" w:themeFillTint="33"/>
            <w:tcMar>
              <w:left w:w="85" w:type="dxa"/>
              <w:right w:w="85" w:type="dxa"/>
            </w:tcMar>
          </w:tcPr>
          <w:p w14:paraId="06CF52A6" w14:textId="77777777" w:rsidR="00FC390D" w:rsidRPr="00956FC4" w:rsidRDefault="00FC390D" w:rsidP="00A56D83">
            <w:pPr>
              <w:pStyle w:val="TableTextLeft"/>
            </w:pPr>
          </w:p>
        </w:tc>
        <w:tc>
          <w:tcPr>
            <w:tcW w:w="1270" w:type="dxa"/>
            <w:shd w:val="clear" w:color="auto" w:fill="E8F0FC" w:themeFill="accent5" w:themeFillTint="33"/>
            <w:tcMar>
              <w:left w:w="85" w:type="dxa"/>
              <w:right w:w="85" w:type="dxa"/>
            </w:tcMar>
          </w:tcPr>
          <w:p w14:paraId="5AA2601A" w14:textId="77777777" w:rsidR="00FC390D" w:rsidRPr="00956FC4" w:rsidRDefault="00FC390D" w:rsidP="00A56D83">
            <w:pPr>
              <w:pStyle w:val="TableTextLeft"/>
            </w:pPr>
          </w:p>
        </w:tc>
        <w:tc>
          <w:tcPr>
            <w:tcW w:w="1270" w:type="dxa"/>
            <w:shd w:val="clear" w:color="auto" w:fill="E8F0FC" w:themeFill="accent5" w:themeFillTint="33"/>
            <w:tcMar>
              <w:left w:w="85" w:type="dxa"/>
              <w:right w:w="85" w:type="dxa"/>
            </w:tcMar>
          </w:tcPr>
          <w:p w14:paraId="224DAF52" w14:textId="77777777" w:rsidR="00FC390D" w:rsidRPr="00956FC4" w:rsidRDefault="00FC390D" w:rsidP="00A56D83">
            <w:pPr>
              <w:pStyle w:val="TableTextLeft"/>
            </w:pPr>
          </w:p>
        </w:tc>
        <w:tc>
          <w:tcPr>
            <w:tcW w:w="1270" w:type="dxa"/>
            <w:shd w:val="clear" w:color="auto" w:fill="E8F0FC" w:themeFill="accent5" w:themeFillTint="33"/>
            <w:tcMar>
              <w:left w:w="85" w:type="dxa"/>
              <w:right w:w="85" w:type="dxa"/>
            </w:tcMar>
          </w:tcPr>
          <w:p w14:paraId="194BA985" w14:textId="77777777" w:rsidR="00FC390D" w:rsidRPr="00956FC4" w:rsidRDefault="00FC390D" w:rsidP="00A56D83">
            <w:pPr>
              <w:pStyle w:val="TableTextLeft"/>
            </w:pPr>
          </w:p>
        </w:tc>
        <w:tc>
          <w:tcPr>
            <w:tcW w:w="1270" w:type="dxa"/>
            <w:shd w:val="clear" w:color="auto" w:fill="F4F8FE"/>
            <w:tcMar>
              <w:left w:w="85" w:type="dxa"/>
              <w:right w:w="85" w:type="dxa"/>
            </w:tcMar>
          </w:tcPr>
          <w:p w14:paraId="06B306CC" w14:textId="77777777" w:rsidR="00FC390D" w:rsidRPr="00956FC4" w:rsidRDefault="00FC390D" w:rsidP="00A56D83">
            <w:pPr>
              <w:pStyle w:val="TableTextLeft"/>
            </w:pPr>
          </w:p>
        </w:tc>
        <w:tc>
          <w:tcPr>
            <w:tcW w:w="1270" w:type="dxa"/>
            <w:shd w:val="clear" w:color="auto" w:fill="F4F8FE"/>
            <w:tcMar>
              <w:left w:w="85" w:type="dxa"/>
              <w:right w:w="85" w:type="dxa"/>
            </w:tcMar>
          </w:tcPr>
          <w:p w14:paraId="1D186B6C" w14:textId="77777777" w:rsidR="00FC390D" w:rsidRPr="00956FC4" w:rsidRDefault="00FC390D" w:rsidP="00A56D83">
            <w:pPr>
              <w:pStyle w:val="TableTextLeft"/>
            </w:pPr>
          </w:p>
        </w:tc>
      </w:tr>
      <w:tr w:rsidR="00442EED" w:rsidRPr="00AF43B7" w14:paraId="7DC6AAC4" w14:textId="77777777" w:rsidTr="4D670C11">
        <w:trPr>
          <w:cantSplit/>
          <w:trHeight w:val="20"/>
        </w:trPr>
        <w:tc>
          <w:tcPr>
            <w:tcW w:w="851" w:type="dxa"/>
            <w:shd w:val="clear" w:color="auto" w:fill="auto"/>
            <w:tcMar>
              <w:left w:w="85" w:type="dxa"/>
              <w:right w:w="85" w:type="dxa"/>
            </w:tcMar>
          </w:tcPr>
          <w:p w14:paraId="6BC74464" w14:textId="77777777" w:rsidR="009A5125" w:rsidRPr="009C4097" w:rsidRDefault="009A5125" w:rsidP="009A5125">
            <w:pPr>
              <w:pStyle w:val="TableTextLeft"/>
              <w:rPr>
                <w:b/>
                <w:bCs/>
                <w:color w:val="000000" w:themeColor="text1"/>
              </w:rPr>
            </w:pPr>
            <w:r w:rsidRPr="009C4097">
              <w:rPr>
                <w:b/>
                <w:bCs/>
                <w:color w:val="000000" w:themeColor="text1"/>
              </w:rPr>
              <w:t xml:space="preserve">AGD </w:t>
            </w:r>
          </w:p>
          <w:p w14:paraId="5AD444BC" w14:textId="6F63C8F8" w:rsidR="00FC390D" w:rsidRPr="009C4097" w:rsidRDefault="009A5125" w:rsidP="00791A91">
            <w:pPr>
              <w:pStyle w:val="TableSecondaryAgency"/>
            </w:pPr>
            <w:r w:rsidRPr="009C4097">
              <w:t>AFSA</w:t>
            </w:r>
          </w:p>
        </w:tc>
        <w:tc>
          <w:tcPr>
            <w:tcW w:w="1246" w:type="dxa"/>
            <w:tcMar>
              <w:left w:w="85" w:type="dxa"/>
              <w:right w:w="85" w:type="dxa"/>
            </w:tcMar>
          </w:tcPr>
          <w:p w14:paraId="2D82F0AF" w14:textId="77777777" w:rsidR="009A5125" w:rsidRPr="00976B89" w:rsidRDefault="009A5125" w:rsidP="00976B89">
            <w:pPr>
              <w:pStyle w:val="TableTextLeft"/>
            </w:pPr>
            <w:r w:rsidRPr="00976B89">
              <w:t xml:space="preserve">Banking, </w:t>
            </w:r>
            <w:proofErr w:type="gramStart"/>
            <w:r w:rsidRPr="00976B89">
              <w:t>credit</w:t>
            </w:r>
            <w:proofErr w:type="gramEnd"/>
            <w:r w:rsidRPr="00976B89">
              <w:t xml:space="preserve"> and lending</w:t>
            </w:r>
          </w:p>
          <w:p w14:paraId="1C5DD1E4" w14:textId="5348EBC0" w:rsidR="00FC390D" w:rsidRPr="00976B89" w:rsidRDefault="00FC390D" w:rsidP="00976B89">
            <w:pPr>
              <w:pStyle w:val="TableTextLeft"/>
            </w:pPr>
          </w:p>
        </w:tc>
        <w:tc>
          <w:tcPr>
            <w:tcW w:w="4285" w:type="dxa"/>
            <w:tcMar>
              <w:left w:w="85" w:type="dxa"/>
              <w:right w:w="85" w:type="dxa"/>
            </w:tcMar>
          </w:tcPr>
          <w:p w14:paraId="2AA6704D" w14:textId="04AE4241" w:rsidR="009A5125" w:rsidRPr="000A4B96" w:rsidRDefault="001D4D7F" w:rsidP="009A5125">
            <w:pPr>
              <w:pStyle w:val="TableTextLeft"/>
              <w:rPr>
                <w:b/>
                <w:bCs/>
                <w:u w:val="single"/>
              </w:rPr>
            </w:pPr>
            <w:hyperlink r:id="rId50" w:history="1">
              <w:r w:rsidR="009A5125" w:rsidRPr="000A4B96">
                <w:rPr>
                  <w:rStyle w:val="Hyperlink"/>
                  <w:u w:val="single"/>
                </w:rPr>
                <w:t xml:space="preserve">Minimal </w:t>
              </w:r>
              <w:r w:rsidR="00C861D5" w:rsidRPr="000A4B96">
                <w:rPr>
                  <w:rStyle w:val="Hyperlink"/>
                  <w:u w:val="single"/>
                </w:rPr>
                <w:t>a</w:t>
              </w:r>
              <w:r w:rsidR="009A5125" w:rsidRPr="000A4B96">
                <w:rPr>
                  <w:rStyle w:val="Hyperlink"/>
                  <w:u w:val="single"/>
                </w:rPr>
                <w:t xml:space="preserve">sset </w:t>
              </w:r>
              <w:r w:rsidR="00C861D5" w:rsidRPr="000A4B96">
                <w:rPr>
                  <w:rStyle w:val="Hyperlink"/>
                  <w:u w:val="single"/>
                </w:rPr>
                <w:t>p</w:t>
              </w:r>
              <w:r w:rsidR="009A5125" w:rsidRPr="000A4B96">
                <w:rPr>
                  <w:rStyle w:val="Hyperlink"/>
                  <w:u w:val="single"/>
                </w:rPr>
                <w:t>rocedure consultation</w:t>
              </w:r>
            </w:hyperlink>
          </w:p>
          <w:p w14:paraId="3C08CB5D" w14:textId="5A02BA0B" w:rsidR="003612E9" w:rsidRDefault="009A5125" w:rsidP="00301F93">
            <w:pPr>
              <w:pStyle w:val="TableTextLeft"/>
            </w:pPr>
            <w:r w:rsidRPr="009A3724">
              <w:t xml:space="preserve">AGD </w:t>
            </w:r>
            <w:r w:rsidRPr="009A3724" w:rsidDel="0099571B">
              <w:t>consul</w:t>
            </w:r>
            <w:r w:rsidRPr="009A3724" w:rsidDel="00401EEE">
              <w:t>t</w:t>
            </w:r>
            <w:r w:rsidR="000C67AE">
              <w:t>ed</w:t>
            </w:r>
            <w:r w:rsidRPr="009A3724">
              <w:t xml:space="preserve"> </w:t>
            </w:r>
            <w:r w:rsidRPr="009A3724" w:rsidDel="006869B4">
              <w:t>in 2024</w:t>
            </w:r>
            <w:r w:rsidR="00FD3C53">
              <w:t xml:space="preserve"> on</w:t>
            </w:r>
            <w:r w:rsidRPr="009A3724">
              <w:t xml:space="preserve"> </w:t>
            </w:r>
            <w:r w:rsidR="00FD3C53">
              <w:t>a</w:t>
            </w:r>
            <w:r w:rsidRPr="009A3724">
              <w:t xml:space="preserve"> potential new personal </w:t>
            </w:r>
            <w:r w:rsidRPr="00301F93">
              <w:t>insolvency</w:t>
            </w:r>
            <w:r w:rsidRPr="009A3724">
              <w:t xml:space="preserve"> option proposed for </w:t>
            </w:r>
            <w:r w:rsidR="00C07269">
              <w:t>individuals</w:t>
            </w:r>
            <w:r w:rsidR="00C07269" w:rsidRPr="009A3724">
              <w:t xml:space="preserve"> </w:t>
            </w:r>
            <w:r w:rsidRPr="009A3724">
              <w:t>with less than $50,000 in debts and minimal realisable assets to pay those debts. Th</w:t>
            </w:r>
            <w:r w:rsidRPr="009A3724" w:rsidDel="003612E9">
              <w:t>is</w:t>
            </w:r>
            <w:r w:rsidRPr="009A3724">
              <w:t xml:space="preserve"> is intended to </w:t>
            </w:r>
            <w:r w:rsidRPr="009A3724" w:rsidDel="001C67E6">
              <w:t>allow</w:t>
            </w:r>
            <w:r w:rsidRPr="009A3724">
              <w:t xml:space="preserve"> a person access to a fresh start sooner than a bankruptcy, where that person has no other way to pay, and without leaving creditors worse off. </w:t>
            </w:r>
          </w:p>
          <w:p w14:paraId="6A25A8B1" w14:textId="512623B4" w:rsidR="0098791D" w:rsidRPr="00414F79" w:rsidRDefault="006A3A6E" w:rsidP="0098791D">
            <w:pPr>
              <w:pStyle w:val="TableTextLeft"/>
            </w:pPr>
            <w:r>
              <w:t>T</w:t>
            </w:r>
            <w:r w:rsidRPr="009A3724">
              <w:t xml:space="preserve">iming of </w:t>
            </w:r>
            <w:r w:rsidR="009C076D">
              <w:t xml:space="preserve">any </w:t>
            </w:r>
            <w:r w:rsidRPr="009A3724">
              <w:t xml:space="preserve">further work </w:t>
            </w:r>
            <w:r w:rsidR="009C076D">
              <w:t>will</w:t>
            </w:r>
            <w:r w:rsidRPr="009A3724">
              <w:t xml:space="preserve"> be announced</w:t>
            </w:r>
            <w:r w:rsidR="009C076D">
              <w:t xml:space="preserve"> in due course</w:t>
            </w:r>
            <w:r>
              <w:t>.</w:t>
            </w:r>
          </w:p>
        </w:tc>
        <w:tc>
          <w:tcPr>
            <w:tcW w:w="1270" w:type="dxa"/>
            <w:shd w:val="clear" w:color="auto" w:fill="E8F0FC" w:themeFill="accent5" w:themeFillTint="33"/>
            <w:tcMar>
              <w:left w:w="85" w:type="dxa"/>
              <w:right w:w="85" w:type="dxa"/>
            </w:tcMar>
          </w:tcPr>
          <w:p w14:paraId="41C58690" w14:textId="77777777" w:rsidR="00FC390D" w:rsidRPr="00956FC4" w:rsidRDefault="00FC390D" w:rsidP="00A56D83">
            <w:pPr>
              <w:pStyle w:val="TableTextLeft"/>
            </w:pPr>
          </w:p>
        </w:tc>
        <w:tc>
          <w:tcPr>
            <w:tcW w:w="1270" w:type="dxa"/>
            <w:shd w:val="clear" w:color="auto" w:fill="E8F0FC" w:themeFill="accent5" w:themeFillTint="33"/>
            <w:tcMar>
              <w:left w:w="85" w:type="dxa"/>
              <w:right w:w="85" w:type="dxa"/>
            </w:tcMar>
          </w:tcPr>
          <w:p w14:paraId="51C80A3E" w14:textId="65A1A752" w:rsidR="00FC390D" w:rsidRPr="00956FC4" w:rsidRDefault="00FC390D" w:rsidP="00A56D83">
            <w:pPr>
              <w:pStyle w:val="TableTextLeft"/>
            </w:pPr>
          </w:p>
        </w:tc>
        <w:tc>
          <w:tcPr>
            <w:tcW w:w="1270" w:type="dxa"/>
            <w:shd w:val="clear" w:color="auto" w:fill="E8F0FC" w:themeFill="accent5" w:themeFillTint="33"/>
            <w:tcMar>
              <w:left w:w="85" w:type="dxa"/>
              <w:right w:w="85" w:type="dxa"/>
            </w:tcMar>
          </w:tcPr>
          <w:p w14:paraId="023DD4C1" w14:textId="77777777" w:rsidR="00FC390D" w:rsidRPr="00956FC4" w:rsidRDefault="00FC390D" w:rsidP="00A56D83">
            <w:pPr>
              <w:pStyle w:val="TableTextLeft"/>
            </w:pPr>
          </w:p>
        </w:tc>
        <w:tc>
          <w:tcPr>
            <w:tcW w:w="1270" w:type="dxa"/>
            <w:shd w:val="clear" w:color="auto" w:fill="E8F0FC" w:themeFill="accent5" w:themeFillTint="33"/>
            <w:tcMar>
              <w:left w:w="85" w:type="dxa"/>
              <w:right w:w="85" w:type="dxa"/>
            </w:tcMar>
          </w:tcPr>
          <w:p w14:paraId="191796A1" w14:textId="77777777" w:rsidR="00FC390D" w:rsidRPr="00956FC4" w:rsidRDefault="00FC390D" w:rsidP="00A56D83">
            <w:pPr>
              <w:pStyle w:val="TableTextLeft"/>
            </w:pPr>
          </w:p>
        </w:tc>
        <w:tc>
          <w:tcPr>
            <w:tcW w:w="1270" w:type="dxa"/>
            <w:shd w:val="clear" w:color="auto" w:fill="F4F8FE"/>
            <w:tcMar>
              <w:left w:w="85" w:type="dxa"/>
              <w:right w:w="85" w:type="dxa"/>
            </w:tcMar>
          </w:tcPr>
          <w:p w14:paraId="38FA5FE7" w14:textId="77777777" w:rsidR="00FC390D" w:rsidRPr="00956FC4" w:rsidRDefault="00FC390D" w:rsidP="00A56D83">
            <w:pPr>
              <w:pStyle w:val="TableTextLeft"/>
            </w:pPr>
          </w:p>
        </w:tc>
        <w:tc>
          <w:tcPr>
            <w:tcW w:w="1270" w:type="dxa"/>
            <w:shd w:val="clear" w:color="auto" w:fill="F4F8FE"/>
            <w:tcMar>
              <w:left w:w="85" w:type="dxa"/>
              <w:right w:w="85" w:type="dxa"/>
            </w:tcMar>
          </w:tcPr>
          <w:p w14:paraId="783E0159" w14:textId="77777777" w:rsidR="00FC390D" w:rsidRPr="00956FC4" w:rsidRDefault="00FC390D" w:rsidP="00A56D83">
            <w:pPr>
              <w:pStyle w:val="TableTextLeft"/>
            </w:pPr>
          </w:p>
        </w:tc>
      </w:tr>
      <w:tr w:rsidR="00442EED" w:rsidRPr="00AF43B7" w14:paraId="6D8E7584" w14:textId="77777777" w:rsidTr="4D670C11">
        <w:trPr>
          <w:cantSplit/>
          <w:trHeight w:val="20"/>
        </w:trPr>
        <w:tc>
          <w:tcPr>
            <w:tcW w:w="851" w:type="dxa"/>
            <w:shd w:val="clear" w:color="auto" w:fill="auto"/>
            <w:tcMar>
              <w:left w:w="85" w:type="dxa"/>
              <w:right w:w="85" w:type="dxa"/>
            </w:tcMar>
          </w:tcPr>
          <w:p w14:paraId="4889750B" w14:textId="77777777" w:rsidR="009A5125" w:rsidRPr="009C4097" w:rsidRDefault="009A5125" w:rsidP="00791A91">
            <w:pPr>
              <w:pStyle w:val="TableLeadAgency"/>
            </w:pPr>
            <w:r w:rsidRPr="009C4097">
              <w:t xml:space="preserve">RBA </w:t>
            </w:r>
          </w:p>
          <w:p w14:paraId="5C5C1584" w14:textId="77777777" w:rsidR="009A5125" w:rsidRPr="009C4097" w:rsidRDefault="009A5125" w:rsidP="00791A91">
            <w:pPr>
              <w:pStyle w:val="TableSecondaryAgency"/>
            </w:pPr>
            <w:r w:rsidRPr="009C4097">
              <w:t xml:space="preserve">ASIC </w:t>
            </w:r>
          </w:p>
          <w:p w14:paraId="49920FB9" w14:textId="059CE4A9" w:rsidR="00FC390D" w:rsidRPr="009C4097" w:rsidRDefault="009A5125" w:rsidP="00791A91">
            <w:pPr>
              <w:pStyle w:val="TableSecondaryAgency"/>
              <w:rPr>
                <w:b/>
              </w:rPr>
            </w:pPr>
            <w:r w:rsidRPr="009C4097">
              <w:t>TSY</w:t>
            </w:r>
          </w:p>
        </w:tc>
        <w:tc>
          <w:tcPr>
            <w:tcW w:w="1246" w:type="dxa"/>
            <w:tcMar>
              <w:left w:w="85" w:type="dxa"/>
              <w:right w:w="85" w:type="dxa"/>
            </w:tcMar>
          </w:tcPr>
          <w:p w14:paraId="7B1DC2E4" w14:textId="77777777" w:rsidR="009A5125" w:rsidRPr="00301F93" w:rsidRDefault="009A5125" w:rsidP="00301F93">
            <w:pPr>
              <w:pStyle w:val="TableTextLeft"/>
            </w:pPr>
            <w:r w:rsidRPr="00301F93">
              <w:t>Financial markets</w:t>
            </w:r>
          </w:p>
          <w:p w14:paraId="0372030E" w14:textId="6EFCE223" w:rsidR="00FC390D" w:rsidRPr="00301F93" w:rsidRDefault="009A5125" w:rsidP="00301F93">
            <w:pPr>
              <w:pStyle w:val="TableTextLeft"/>
            </w:pPr>
            <w:r w:rsidRPr="00301F93">
              <w:t>Other</w:t>
            </w:r>
          </w:p>
        </w:tc>
        <w:tc>
          <w:tcPr>
            <w:tcW w:w="4285" w:type="dxa"/>
            <w:tcMar>
              <w:left w:w="85" w:type="dxa"/>
              <w:right w:w="85" w:type="dxa"/>
            </w:tcMar>
          </w:tcPr>
          <w:p w14:paraId="531D5103" w14:textId="77777777" w:rsidR="009A5125" w:rsidRPr="009A5125" w:rsidRDefault="009A5125" w:rsidP="009A5125">
            <w:pPr>
              <w:pStyle w:val="TableTextLeft"/>
              <w:rPr>
                <w:b/>
                <w:bCs/>
              </w:rPr>
            </w:pPr>
            <w:r w:rsidRPr="009A5125">
              <w:rPr>
                <w:b/>
                <w:bCs/>
              </w:rPr>
              <w:t xml:space="preserve">Bonds and repo clearing </w:t>
            </w:r>
            <w:proofErr w:type="gramStart"/>
            <w:r w:rsidRPr="009A5125">
              <w:rPr>
                <w:b/>
                <w:bCs/>
              </w:rPr>
              <w:t>consultation</w:t>
            </w:r>
            <w:proofErr w:type="gramEnd"/>
          </w:p>
          <w:p w14:paraId="3CC59CAB" w14:textId="660D6B16" w:rsidR="00DC3266" w:rsidRPr="00956FC4" w:rsidRDefault="009A5125" w:rsidP="00DC3266">
            <w:pPr>
              <w:pStyle w:val="TableTextLeft"/>
            </w:pPr>
            <w:r w:rsidRPr="00301F93">
              <w:t>The</w:t>
            </w:r>
            <w:r w:rsidRPr="009A3724">
              <w:t xml:space="preserve"> Council of Financial Regulators (CFR) is consulting on the costs and benefits from the introduction of a central counterparty (CCP) in the Australian bond and repurchase agreement (repo) markets</w:t>
            </w:r>
            <w:r w:rsidR="006B5B20">
              <w:t>.</w:t>
            </w:r>
            <w:r w:rsidRPr="009A3724">
              <w:t xml:space="preserve"> </w:t>
            </w:r>
            <w:r w:rsidR="00832FD5">
              <w:t xml:space="preserve">The consultation </w:t>
            </w:r>
            <w:r w:rsidR="00D92F7B">
              <w:t>will</w:t>
            </w:r>
            <w:r w:rsidR="00832FD5">
              <w:t xml:space="preserve"> </w:t>
            </w:r>
            <w:r w:rsidR="00D92F7B">
              <w:t>consider</w:t>
            </w:r>
            <w:r w:rsidRPr="009A3724">
              <w:t xml:space="preserve"> circumstances under which a bond and repo CCP could be operated safely and efficiently by an overseas operator.</w:t>
            </w:r>
            <w:r w:rsidR="00BB74F3">
              <w:rPr>
                <w:color w:val="00B050"/>
              </w:rPr>
              <w:t xml:space="preserve"> </w:t>
            </w:r>
          </w:p>
        </w:tc>
        <w:tc>
          <w:tcPr>
            <w:tcW w:w="1270" w:type="dxa"/>
            <w:shd w:val="clear" w:color="auto" w:fill="E8F0FC" w:themeFill="accent5" w:themeFillTint="33"/>
            <w:tcMar>
              <w:left w:w="85" w:type="dxa"/>
              <w:right w:w="85" w:type="dxa"/>
            </w:tcMar>
          </w:tcPr>
          <w:p w14:paraId="041831BA" w14:textId="12225859" w:rsidR="00FC390D" w:rsidRPr="00956FC4" w:rsidRDefault="00FC390D" w:rsidP="005946AB">
            <w:pPr>
              <w:pStyle w:val="TableTextLeft"/>
            </w:pPr>
          </w:p>
        </w:tc>
        <w:tc>
          <w:tcPr>
            <w:tcW w:w="1270" w:type="dxa"/>
            <w:shd w:val="clear" w:color="auto" w:fill="E8F0FC" w:themeFill="accent5" w:themeFillTint="33"/>
            <w:tcMar>
              <w:left w:w="85" w:type="dxa"/>
              <w:right w:w="85" w:type="dxa"/>
            </w:tcMar>
          </w:tcPr>
          <w:p w14:paraId="2F386BBC" w14:textId="258BB75A" w:rsidR="00FC390D" w:rsidRPr="00956FC4" w:rsidRDefault="00304C2E" w:rsidP="005946AB">
            <w:pPr>
              <w:pStyle w:val="TableTextLeft"/>
            </w:pPr>
            <w:r>
              <w:t>Response to consultation to be published</w:t>
            </w:r>
          </w:p>
        </w:tc>
        <w:tc>
          <w:tcPr>
            <w:tcW w:w="1270" w:type="dxa"/>
            <w:shd w:val="clear" w:color="auto" w:fill="E8F0FC" w:themeFill="accent5" w:themeFillTint="33"/>
            <w:tcMar>
              <w:left w:w="85" w:type="dxa"/>
              <w:right w:w="85" w:type="dxa"/>
            </w:tcMar>
          </w:tcPr>
          <w:p w14:paraId="2289E9DC" w14:textId="77777777" w:rsidR="00FC390D" w:rsidRPr="00956FC4" w:rsidRDefault="00FC390D" w:rsidP="00A56D83">
            <w:pPr>
              <w:pStyle w:val="TableTextLeft"/>
            </w:pPr>
          </w:p>
        </w:tc>
        <w:tc>
          <w:tcPr>
            <w:tcW w:w="1270" w:type="dxa"/>
            <w:shd w:val="clear" w:color="auto" w:fill="E8F0FC" w:themeFill="accent5" w:themeFillTint="33"/>
            <w:tcMar>
              <w:left w:w="85" w:type="dxa"/>
              <w:right w:w="85" w:type="dxa"/>
            </w:tcMar>
          </w:tcPr>
          <w:p w14:paraId="1FDD593E" w14:textId="77777777" w:rsidR="00FC390D" w:rsidRPr="00956FC4" w:rsidRDefault="00FC390D" w:rsidP="00A56D83">
            <w:pPr>
              <w:pStyle w:val="TableTextLeft"/>
            </w:pPr>
          </w:p>
        </w:tc>
        <w:tc>
          <w:tcPr>
            <w:tcW w:w="1270" w:type="dxa"/>
            <w:shd w:val="clear" w:color="auto" w:fill="F4F8FE"/>
            <w:tcMar>
              <w:left w:w="85" w:type="dxa"/>
              <w:right w:w="85" w:type="dxa"/>
            </w:tcMar>
          </w:tcPr>
          <w:p w14:paraId="09B55B78" w14:textId="77777777" w:rsidR="00FC390D" w:rsidRPr="00956FC4" w:rsidRDefault="00FC390D" w:rsidP="00A56D83">
            <w:pPr>
              <w:pStyle w:val="TableTextLeft"/>
            </w:pPr>
          </w:p>
        </w:tc>
        <w:tc>
          <w:tcPr>
            <w:tcW w:w="1270" w:type="dxa"/>
            <w:shd w:val="clear" w:color="auto" w:fill="F4F8FE"/>
            <w:tcMar>
              <w:left w:w="85" w:type="dxa"/>
              <w:right w:w="85" w:type="dxa"/>
            </w:tcMar>
          </w:tcPr>
          <w:p w14:paraId="0D82CA10" w14:textId="77777777" w:rsidR="00FC390D" w:rsidRPr="00956FC4" w:rsidRDefault="00FC390D" w:rsidP="00A56D83">
            <w:pPr>
              <w:pStyle w:val="TableTextLeft"/>
            </w:pPr>
          </w:p>
        </w:tc>
      </w:tr>
      <w:tr w:rsidR="00442EED" w:rsidRPr="00AF43B7" w14:paraId="4CDF7FFC" w14:textId="77777777" w:rsidTr="4D670C11">
        <w:trPr>
          <w:cantSplit/>
          <w:trHeight w:val="20"/>
        </w:trPr>
        <w:tc>
          <w:tcPr>
            <w:tcW w:w="851" w:type="dxa"/>
            <w:shd w:val="clear" w:color="auto" w:fill="auto"/>
            <w:tcMar>
              <w:left w:w="85" w:type="dxa"/>
              <w:right w:w="85" w:type="dxa"/>
            </w:tcMar>
          </w:tcPr>
          <w:p w14:paraId="0D3F4184" w14:textId="62B09283" w:rsidR="00FC390D" w:rsidRPr="009C4097" w:rsidRDefault="00FC390D" w:rsidP="00791A91">
            <w:pPr>
              <w:pStyle w:val="TableLeadAgency"/>
            </w:pPr>
            <w:r w:rsidRPr="009C4097">
              <w:lastRenderedPageBreak/>
              <w:t>TSY</w:t>
            </w:r>
          </w:p>
        </w:tc>
        <w:tc>
          <w:tcPr>
            <w:tcW w:w="1246" w:type="dxa"/>
            <w:tcMar>
              <w:left w:w="85" w:type="dxa"/>
              <w:right w:w="85" w:type="dxa"/>
            </w:tcMar>
          </w:tcPr>
          <w:p w14:paraId="4EC12278" w14:textId="2AF1A81F" w:rsidR="00FC390D" w:rsidRPr="00301F93" w:rsidRDefault="009A5125" w:rsidP="00301F93">
            <w:pPr>
              <w:pStyle w:val="TableTextLeft"/>
            </w:pPr>
            <w:r w:rsidRPr="00301F93">
              <w:t>Insurance and reinsurance</w:t>
            </w:r>
          </w:p>
        </w:tc>
        <w:tc>
          <w:tcPr>
            <w:tcW w:w="4285" w:type="dxa"/>
            <w:tcMar>
              <w:left w:w="85" w:type="dxa"/>
              <w:right w:w="85" w:type="dxa"/>
            </w:tcMar>
          </w:tcPr>
          <w:p w14:paraId="1EB97214" w14:textId="34E3F275" w:rsidR="009A5125" w:rsidRPr="000A4B96" w:rsidRDefault="001D4D7F" w:rsidP="009A5125">
            <w:pPr>
              <w:pStyle w:val="TableTextLeft"/>
              <w:rPr>
                <w:b/>
                <w:bCs/>
                <w:u w:val="single"/>
              </w:rPr>
            </w:pPr>
            <w:hyperlink r:id="rId51" w:history="1">
              <w:r w:rsidR="009A5125" w:rsidRPr="000A4B96">
                <w:rPr>
                  <w:rStyle w:val="Hyperlink"/>
                  <w:u w:val="single"/>
                </w:rPr>
                <w:t>Insurance standard cover and standard term reforms</w:t>
              </w:r>
            </w:hyperlink>
          </w:p>
          <w:p w14:paraId="69D95F12" w14:textId="27E8F160" w:rsidR="00B10F2B" w:rsidRDefault="004C111F" w:rsidP="00301F93">
            <w:pPr>
              <w:pStyle w:val="TableTextLeft"/>
            </w:pPr>
            <w:r>
              <w:t>Treasury consulted</w:t>
            </w:r>
            <w:r w:rsidR="009A5125" w:rsidRPr="009A3724">
              <w:t xml:space="preserve"> </w:t>
            </w:r>
            <w:r w:rsidR="00747184">
              <w:t>on</w:t>
            </w:r>
            <w:r w:rsidR="009A5125" w:rsidRPr="009A3724">
              <w:t xml:space="preserve"> changes to the standard cover regime and/or implementing standard definitions for several claim</w:t>
            </w:r>
            <w:r w:rsidR="0008745D">
              <w:noBreakHyphen/>
            </w:r>
            <w:r w:rsidR="009A5125" w:rsidRPr="009A3724">
              <w:t xml:space="preserve">related terms in insurance contracts </w:t>
            </w:r>
            <w:r w:rsidR="00504030">
              <w:t xml:space="preserve">to </w:t>
            </w:r>
            <w:r w:rsidR="009A5125" w:rsidRPr="00EE0C5D">
              <w:t>improve understanding and limit unintentional underinsurance.</w:t>
            </w:r>
            <w:r w:rsidR="00B10F2B" w:rsidRPr="00EE0C5D">
              <w:t xml:space="preserve"> </w:t>
            </w:r>
            <w:r w:rsidR="004C5CEC" w:rsidRPr="004C5CEC">
              <w:t>Consultation on options was completed in April</w:t>
            </w:r>
            <w:r w:rsidR="00976B89">
              <w:t> </w:t>
            </w:r>
            <w:r w:rsidR="004C5CEC" w:rsidRPr="004C5CEC">
              <w:t xml:space="preserve">2024 and options are being considered. </w:t>
            </w:r>
          </w:p>
          <w:p w14:paraId="3FA4A0EB" w14:textId="1A5E4AC9" w:rsidR="00A57869" w:rsidRPr="00E174D0" w:rsidRDefault="00D24FC9" w:rsidP="00A57869">
            <w:pPr>
              <w:pStyle w:val="TableTextLeft"/>
            </w:pPr>
            <w:r>
              <w:t>T</w:t>
            </w:r>
            <w:r w:rsidRPr="009A3724">
              <w:t xml:space="preserve">iming of </w:t>
            </w:r>
            <w:r>
              <w:t>any further work will be announced in due course</w:t>
            </w:r>
            <w:r w:rsidR="00CC6D52">
              <w:t>.</w:t>
            </w:r>
          </w:p>
        </w:tc>
        <w:tc>
          <w:tcPr>
            <w:tcW w:w="1270" w:type="dxa"/>
            <w:shd w:val="clear" w:color="auto" w:fill="E8F0FC" w:themeFill="accent5" w:themeFillTint="33"/>
            <w:tcMar>
              <w:left w:w="85" w:type="dxa"/>
              <w:right w:w="85" w:type="dxa"/>
            </w:tcMar>
          </w:tcPr>
          <w:p w14:paraId="29BE3DF3" w14:textId="77777777" w:rsidR="00FC390D" w:rsidRPr="00E174D0" w:rsidRDefault="00FC390D" w:rsidP="005946AB">
            <w:pPr>
              <w:pStyle w:val="TableTextLeft"/>
            </w:pPr>
          </w:p>
        </w:tc>
        <w:tc>
          <w:tcPr>
            <w:tcW w:w="1270" w:type="dxa"/>
            <w:shd w:val="clear" w:color="auto" w:fill="E8F0FC" w:themeFill="accent5" w:themeFillTint="33"/>
            <w:tcMar>
              <w:left w:w="85" w:type="dxa"/>
              <w:right w:w="85" w:type="dxa"/>
            </w:tcMar>
          </w:tcPr>
          <w:p w14:paraId="025B604F" w14:textId="77777777" w:rsidR="00FC390D" w:rsidRPr="00E174D0" w:rsidRDefault="00FC390D" w:rsidP="005946AB">
            <w:pPr>
              <w:pStyle w:val="TableTextLeft"/>
            </w:pPr>
          </w:p>
        </w:tc>
        <w:tc>
          <w:tcPr>
            <w:tcW w:w="1270" w:type="dxa"/>
            <w:shd w:val="clear" w:color="auto" w:fill="E8F0FC" w:themeFill="accent5" w:themeFillTint="33"/>
            <w:tcMar>
              <w:left w:w="85" w:type="dxa"/>
              <w:right w:w="85" w:type="dxa"/>
            </w:tcMar>
          </w:tcPr>
          <w:p w14:paraId="068A5FB0" w14:textId="77777777" w:rsidR="00FC390D" w:rsidRPr="00E174D0" w:rsidRDefault="00FC390D" w:rsidP="00A56D83">
            <w:pPr>
              <w:pStyle w:val="TableTextLeft"/>
            </w:pPr>
          </w:p>
        </w:tc>
        <w:tc>
          <w:tcPr>
            <w:tcW w:w="1270" w:type="dxa"/>
            <w:shd w:val="clear" w:color="auto" w:fill="E8F0FC" w:themeFill="accent5" w:themeFillTint="33"/>
            <w:tcMar>
              <w:left w:w="85" w:type="dxa"/>
              <w:right w:w="85" w:type="dxa"/>
            </w:tcMar>
          </w:tcPr>
          <w:p w14:paraId="0585A422" w14:textId="16102BC2" w:rsidR="00FC390D" w:rsidRPr="00E174D0" w:rsidRDefault="00FC390D" w:rsidP="00A56D83">
            <w:pPr>
              <w:pStyle w:val="TableTextLeft"/>
            </w:pPr>
          </w:p>
        </w:tc>
        <w:tc>
          <w:tcPr>
            <w:tcW w:w="1270" w:type="dxa"/>
            <w:shd w:val="clear" w:color="auto" w:fill="F4F8FE"/>
            <w:tcMar>
              <w:left w:w="85" w:type="dxa"/>
              <w:right w:w="85" w:type="dxa"/>
            </w:tcMar>
          </w:tcPr>
          <w:p w14:paraId="72F65181" w14:textId="77777777" w:rsidR="00FC390D" w:rsidRPr="00E174D0" w:rsidRDefault="00FC390D" w:rsidP="00A56D83">
            <w:pPr>
              <w:pStyle w:val="TableTextLeft"/>
            </w:pPr>
          </w:p>
        </w:tc>
        <w:tc>
          <w:tcPr>
            <w:tcW w:w="1270" w:type="dxa"/>
            <w:shd w:val="clear" w:color="auto" w:fill="F4F8FE"/>
            <w:tcMar>
              <w:left w:w="85" w:type="dxa"/>
              <w:right w:w="85" w:type="dxa"/>
            </w:tcMar>
          </w:tcPr>
          <w:p w14:paraId="6EA1B667" w14:textId="77777777" w:rsidR="00FC390D" w:rsidRPr="00E174D0" w:rsidRDefault="00FC390D" w:rsidP="00A56D83">
            <w:pPr>
              <w:pStyle w:val="TableTextLeft"/>
            </w:pPr>
          </w:p>
        </w:tc>
      </w:tr>
      <w:tr w:rsidR="00442EED" w:rsidRPr="00AF43B7" w14:paraId="2F5E7520" w14:textId="77777777" w:rsidTr="4D670C11">
        <w:trPr>
          <w:cantSplit/>
          <w:trHeight w:val="20"/>
        </w:trPr>
        <w:tc>
          <w:tcPr>
            <w:tcW w:w="851" w:type="dxa"/>
            <w:tcBorders>
              <w:top w:val="single" w:sz="4" w:space="0" w:color="90B6F0" w:themeColor="accent5"/>
              <w:left w:val="nil"/>
              <w:bottom w:val="single" w:sz="4" w:space="0" w:color="90B6F0" w:themeColor="accent5"/>
              <w:right w:val="nil"/>
            </w:tcBorders>
            <w:shd w:val="clear" w:color="auto" w:fill="auto"/>
            <w:tcMar>
              <w:left w:w="85" w:type="dxa"/>
              <w:right w:w="85" w:type="dxa"/>
            </w:tcMar>
          </w:tcPr>
          <w:p w14:paraId="18AEA461" w14:textId="56D189AF" w:rsidR="009A5125" w:rsidRPr="009C4097" w:rsidRDefault="009A5125" w:rsidP="00791A91">
            <w:pPr>
              <w:pStyle w:val="TableLeadAgency"/>
            </w:pPr>
            <w:r w:rsidRPr="4D670C11">
              <w:t xml:space="preserve">TSY </w:t>
            </w:r>
          </w:p>
          <w:p w14:paraId="38AF20C6" w14:textId="7AA66466" w:rsidR="009A5125" w:rsidRPr="009C4097" w:rsidRDefault="009A5125" w:rsidP="00791A91">
            <w:pPr>
              <w:pStyle w:val="TableSecondaryAgency"/>
            </w:pPr>
            <w:r w:rsidRPr="009C4097">
              <w:t>ASIC</w:t>
            </w:r>
          </w:p>
        </w:tc>
        <w:tc>
          <w:tcPr>
            <w:tcW w:w="1246" w:type="dxa"/>
            <w:tcBorders>
              <w:top w:val="single" w:sz="4" w:space="0" w:color="90B6F0" w:themeColor="accent5"/>
              <w:left w:val="nil"/>
              <w:bottom w:val="single" w:sz="4" w:space="0" w:color="90B6F0" w:themeColor="accent5"/>
              <w:right w:val="nil"/>
            </w:tcBorders>
            <w:tcMar>
              <w:left w:w="85" w:type="dxa"/>
              <w:right w:w="85" w:type="dxa"/>
            </w:tcMar>
          </w:tcPr>
          <w:p w14:paraId="401EEF36" w14:textId="77777777" w:rsidR="009A5125" w:rsidRPr="00301F93" w:rsidRDefault="009A5125" w:rsidP="00301F93">
            <w:pPr>
              <w:pStyle w:val="TableTextLeft"/>
            </w:pPr>
            <w:r w:rsidRPr="00301F93">
              <w:t>Superannuation and retirement income</w:t>
            </w:r>
          </w:p>
          <w:p w14:paraId="31891A9B" w14:textId="2670F083" w:rsidR="009A5125" w:rsidRPr="00301F93" w:rsidRDefault="009A5125" w:rsidP="00301F93">
            <w:pPr>
              <w:pStyle w:val="TableTextLeft"/>
            </w:pPr>
            <w:r w:rsidRPr="00301F93">
              <w:t xml:space="preserve">Collective </w:t>
            </w:r>
            <w:r w:rsidR="00111C74" w:rsidRPr="00301F93">
              <w:t>m</w:t>
            </w:r>
            <w:r w:rsidRPr="00301F93">
              <w:t xml:space="preserve">anagement and </w:t>
            </w:r>
            <w:r w:rsidR="00111C74" w:rsidRPr="00301F93">
              <w:t>i</w:t>
            </w:r>
            <w:r w:rsidRPr="00301F93">
              <w:t xml:space="preserve">nvestment </w:t>
            </w:r>
            <w:r w:rsidR="00111C74" w:rsidRPr="00301F93">
              <w:t>m</w:t>
            </w:r>
            <w:r w:rsidRPr="00301F93">
              <w:t xml:space="preserve">anagement </w:t>
            </w:r>
          </w:p>
        </w:tc>
        <w:tc>
          <w:tcPr>
            <w:tcW w:w="4285" w:type="dxa"/>
            <w:tcBorders>
              <w:top w:val="single" w:sz="4" w:space="0" w:color="90B6F0" w:themeColor="accent5"/>
              <w:left w:val="nil"/>
              <w:bottom w:val="single" w:sz="4" w:space="0" w:color="90B6F0" w:themeColor="accent5"/>
              <w:right w:val="nil"/>
            </w:tcBorders>
            <w:tcMar>
              <w:left w:w="85" w:type="dxa"/>
              <w:right w:w="85" w:type="dxa"/>
            </w:tcMar>
          </w:tcPr>
          <w:p w14:paraId="144D1642" w14:textId="77777777" w:rsidR="009A5125" w:rsidRPr="000A4B96" w:rsidRDefault="001D4D7F" w:rsidP="00FD3484">
            <w:pPr>
              <w:pStyle w:val="TableLink"/>
              <w:rPr>
                <w:b w:val="0"/>
                <w:bCs/>
                <w:u w:val="single"/>
              </w:rPr>
            </w:pPr>
            <w:hyperlink r:id="rId52" w:history="1">
              <w:r w:rsidR="009A5125" w:rsidRPr="000A4B96">
                <w:rPr>
                  <w:rStyle w:val="Hyperlink"/>
                  <w:b/>
                  <w:bCs/>
                  <w:u w:val="single"/>
                </w:rPr>
                <w:t>Sustainable investment product labels</w:t>
              </w:r>
            </w:hyperlink>
          </w:p>
          <w:p w14:paraId="536503D7" w14:textId="5194B2C8" w:rsidR="006C1E6D" w:rsidRPr="009F555B" w:rsidRDefault="009A5125" w:rsidP="006C1E6D">
            <w:pPr>
              <w:pStyle w:val="TableTextLeft"/>
            </w:pPr>
            <w:r w:rsidRPr="009A3724">
              <w:t xml:space="preserve">The Government will establish consistent labels and disclosure </w:t>
            </w:r>
            <w:r w:rsidRPr="00301F93">
              <w:t>requirements</w:t>
            </w:r>
            <w:r w:rsidRPr="009A3724">
              <w:t xml:space="preserve"> for investment products marketed as </w:t>
            </w:r>
            <w:r w:rsidR="001F0718">
              <w:t>‘</w:t>
            </w:r>
            <w:r w:rsidRPr="009A3724">
              <w:t>sustainable</w:t>
            </w:r>
            <w:r w:rsidR="001F0718">
              <w:t>’</w:t>
            </w:r>
            <w:r w:rsidRPr="009A3724">
              <w:t xml:space="preserve"> or similar, including for managed funds and within the superannuation system. The Government is targeting</w:t>
            </w:r>
            <w:r w:rsidR="00976B89">
              <w:t> </w:t>
            </w:r>
            <w:r w:rsidRPr="009A3724">
              <w:t>2027 for regime commencement, subject to final policy decisions.</w:t>
            </w:r>
          </w:p>
        </w:tc>
        <w:tc>
          <w:tcPr>
            <w:tcW w:w="1270" w:type="dxa"/>
            <w:shd w:val="clear" w:color="auto" w:fill="E8F0FC" w:themeFill="accent5" w:themeFillTint="33"/>
            <w:tcMar>
              <w:left w:w="85" w:type="dxa"/>
              <w:right w:w="85" w:type="dxa"/>
            </w:tcMar>
          </w:tcPr>
          <w:p w14:paraId="6551323C" w14:textId="07B37F85" w:rsidR="009A5125" w:rsidRPr="00956FC4" w:rsidRDefault="009A5125" w:rsidP="005946AB">
            <w:pPr>
              <w:pStyle w:val="TableTextLeft"/>
            </w:pPr>
            <w:r w:rsidRPr="009A5125">
              <w:t>Consultation</w:t>
            </w:r>
          </w:p>
        </w:tc>
        <w:tc>
          <w:tcPr>
            <w:tcW w:w="1270" w:type="dxa"/>
            <w:shd w:val="clear" w:color="auto" w:fill="E8F0FC" w:themeFill="accent5" w:themeFillTint="33"/>
            <w:tcMar>
              <w:left w:w="85" w:type="dxa"/>
              <w:right w:w="85" w:type="dxa"/>
            </w:tcMar>
          </w:tcPr>
          <w:p w14:paraId="77010D8C" w14:textId="77777777" w:rsidR="009A5125" w:rsidRPr="00956FC4" w:rsidRDefault="009A5125" w:rsidP="005946AB">
            <w:pPr>
              <w:pStyle w:val="TableTextLeft"/>
              <w:rPr>
                <w:rFonts w:ascii="Calibri" w:hAnsi="Calibri" w:cs="Calibri"/>
                <w:sz w:val="14"/>
                <w:szCs w:val="14"/>
              </w:rPr>
            </w:pPr>
          </w:p>
        </w:tc>
        <w:tc>
          <w:tcPr>
            <w:tcW w:w="1270" w:type="dxa"/>
            <w:shd w:val="clear" w:color="auto" w:fill="E8F0FC" w:themeFill="accent5" w:themeFillTint="33"/>
            <w:tcMar>
              <w:left w:w="85" w:type="dxa"/>
              <w:right w:w="85" w:type="dxa"/>
            </w:tcMar>
          </w:tcPr>
          <w:p w14:paraId="7E71A752" w14:textId="77777777" w:rsidR="009A5125" w:rsidRPr="00956FC4" w:rsidRDefault="009A5125" w:rsidP="009A5125">
            <w:pPr>
              <w:spacing w:before="60" w:after="60"/>
              <w:rPr>
                <w:rFonts w:ascii="Calibri" w:hAnsi="Calibri" w:cs="Calibri"/>
                <w:color w:val="000000"/>
                <w:sz w:val="14"/>
                <w:szCs w:val="14"/>
              </w:rPr>
            </w:pPr>
          </w:p>
        </w:tc>
        <w:tc>
          <w:tcPr>
            <w:tcW w:w="1270" w:type="dxa"/>
            <w:shd w:val="clear" w:color="auto" w:fill="E8F0FC" w:themeFill="accent5" w:themeFillTint="33"/>
            <w:tcMar>
              <w:left w:w="85" w:type="dxa"/>
              <w:right w:w="85" w:type="dxa"/>
            </w:tcMar>
          </w:tcPr>
          <w:p w14:paraId="692CF18B" w14:textId="77777777" w:rsidR="009A5125" w:rsidRPr="00956FC4" w:rsidRDefault="009A5125" w:rsidP="009A5125">
            <w:pPr>
              <w:spacing w:before="60" w:after="60"/>
              <w:rPr>
                <w:rFonts w:ascii="Calibri" w:hAnsi="Calibri" w:cs="Calibri"/>
                <w:color w:val="000000"/>
                <w:sz w:val="14"/>
                <w:szCs w:val="14"/>
              </w:rPr>
            </w:pPr>
          </w:p>
        </w:tc>
        <w:tc>
          <w:tcPr>
            <w:tcW w:w="1270" w:type="dxa"/>
            <w:shd w:val="clear" w:color="auto" w:fill="F4F8FE"/>
            <w:tcMar>
              <w:left w:w="85" w:type="dxa"/>
              <w:right w:w="85" w:type="dxa"/>
            </w:tcMar>
          </w:tcPr>
          <w:p w14:paraId="7C3B4BF7" w14:textId="77777777" w:rsidR="009A5125" w:rsidRPr="00956FC4" w:rsidRDefault="009A5125" w:rsidP="009A5125">
            <w:pPr>
              <w:spacing w:before="60" w:after="60"/>
              <w:rPr>
                <w:rFonts w:ascii="Calibri" w:hAnsi="Calibri" w:cs="Calibri"/>
                <w:color w:val="000000"/>
                <w:sz w:val="14"/>
                <w:szCs w:val="14"/>
              </w:rPr>
            </w:pPr>
          </w:p>
        </w:tc>
        <w:tc>
          <w:tcPr>
            <w:tcW w:w="1270" w:type="dxa"/>
            <w:shd w:val="clear" w:color="auto" w:fill="F4F8FE"/>
            <w:tcMar>
              <w:left w:w="85" w:type="dxa"/>
              <w:right w:w="85" w:type="dxa"/>
            </w:tcMar>
          </w:tcPr>
          <w:p w14:paraId="09DE4735" w14:textId="77777777" w:rsidR="009A5125" w:rsidRPr="00956FC4" w:rsidRDefault="009A5125" w:rsidP="009A5125">
            <w:pPr>
              <w:spacing w:before="60" w:after="60"/>
              <w:rPr>
                <w:rFonts w:ascii="Calibri" w:hAnsi="Calibri" w:cs="Calibri"/>
                <w:color w:val="000000"/>
                <w:sz w:val="14"/>
                <w:szCs w:val="14"/>
              </w:rPr>
            </w:pPr>
          </w:p>
        </w:tc>
      </w:tr>
    </w:tbl>
    <w:p w14:paraId="622F19ED" w14:textId="77777777" w:rsidR="00363B10" w:rsidRPr="0088394A" w:rsidRDefault="00363B10" w:rsidP="0088394A"/>
    <w:p w14:paraId="30E2C61D" w14:textId="77777777" w:rsidR="00363B10" w:rsidRPr="0088394A" w:rsidRDefault="00363B10" w:rsidP="0088394A">
      <w:r>
        <w:rPr>
          <w:rFonts w:cs="Calibri"/>
          <w:bCs/>
        </w:rPr>
        <w:br w:type="page"/>
      </w:r>
    </w:p>
    <w:p w14:paraId="459A9BFB" w14:textId="0CB5DC2B" w:rsidR="00B54CF6" w:rsidRDefault="00B54CF6" w:rsidP="00FC308B">
      <w:pPr>
        <w:pStyle w:val="Heading1Numbered"/>
      </w:pPr>
      <w:bookmarkStart w:id="37" w:name="_Toc183095614"/>
      <w:r w:rsidRPr="001A09DB">
        <w:lastRenderedPageBreak/>
        <w:t>Development</w:t>
      </w:r>
      <w:r w:rsidRPr="00D61A55">
        <w:t xml:space="preserve"> of </w:t>
      </w:r>
      <w:r w:rsidR="00140E23">
        <w:t>l</w:t>
      </w:r>
      <w:r w:rsidRPr="00D61A55">
        <w:t xml:space="preserve">egislation, </w:t>
      </w:r>
      <w:proofErr w:type="gramStart"/>
      <w:r w:rsidR="00140E23">
        <w:t>r</w:t>
      </w:r>
      <w:r w:rsidRPr="00D61A55">
        <w:t>egulations</w:t>
      </w:r>
      <w:proofErr w:type="gramEnd"/>
      <w:r w:rsidRPr="00D61A55">
        <w:t xml:space="preserve"> and </w:t>
      </w:r>
      <w:r w:rsidR="00140E23">
        <w:t>i</w:t>
      </w:r>
      <w:r w:rsidRPr="00D61A55">
        <w:t>nstruments</w:t>
      </w:r>
      <w:bookmarkEnd w:id="37"/>
    </w:p>
    <w:p w14:paraId="575EBE3B" w14:textId="21FF8395" w:rsidR="00B54CF6" w:rsidRDefault="00B54CF6" w:rsidP="00B54CF6">
      <w:pPr>
        <w:rPr>
          <w:rFonts w:cs="Calibri Light"/>
          <w:szCs w:val="22"/>
        </w:rPr>
      </w:pPr>
      <w:bookmarkStart w:id="38" w:name="_Hlk175051218"/>
      <w:r w:rsidRPr="00464DE7">
        <w:rPr>
          <w:rFonts w:cs="Calibri Light"/>
          <w:szCs w:val="22"/>
        </w:rPr>
        <w:t xml:space="preserve">This </w:t>
      </w:r>
      <w:r w:rsidR="00C734E8">
        <w:rPr>
          <w:rFonts w:cs="Calibri Light"/>
          <w:szCs w:val="22"/>
        </w:rPr>
        <w:t>category</w:t>
      </w:r>
      <w:r w:rsidR="00C734E8" w:rsidRPr="00464DE7">
        <w:rPr>
          <w:rFonts w:cs="Calibri Light"/>
          <w:szCs w:val="22"/>
        </w:rPr>
        <w:t xml:space="preserve"> </w:t>
      </w:r>
      <w:r>
        <w:rPr>
          <w:rFonts w:cs="Calibri Light"/>
          <w:szCs w:val="22"/>
        </w:rPr>
        <w:t>includes</w:t>
      </w:r>
      <w:r w:rsidRPr="00464DE7">
        <w:rPr>
          <w:rFonts w:cs="Calibri Light"/>
          <w:szCs w:val="22"/>
        </w:rPr>
        <w:t xml:space="preserve"> </w:t>
      </w:r>
      <w:r w:rsidR="00A013A2" w:rsidRPr="001576CE">
        <w:rPr>
          <w:rStyle w:val="Strong"/>
        </w:rPr>
        <w:t>2</w:t>
      </w:r>
      <w:r w:rsidR="00126870">
        <w:rPr>
          <w:rStyle w:val="Strong"/>
        </w:rPr>
        <w:t>5</w:t>
      </w:r>
      <w:r w:rsidR="00A013A2" w:rsidRPr="00464DE7">
        <w:rPr>
          <w:rFonts w:cs="Calibri Light"/>
          <w:szCs w:val="22"/>
        </w:rPr>
        <w:t xml:space="preserve"> </w:t>
      </w:r>
      <w:r w:rsidRPr="00464DE7">
        <w:rPr>
          <w:rFonts w:cs="Calibri Light"/>
          <w:szCs w:val="22"/>
        </w:rPr>
        <w:t xml:space="preserve">initiatives. The </w:t>
      </w:r>
      <w:r w:rsidRPr="00532C61">
        <w:t xml:space="preserve">initiatives in this section cover </w:t>
      </w:r>
      <w:r w:rsidRPr="00532C61" w:rsidDel="003363F0">
        <w:t>the</w:t>
      </w:r>
      <w:r w:rsidRPr="00532C61">
        <w:t xml:space="preserve"> development </w:t>
      </w:r>
      <w:r w:rsidRPr="00532C61" w:rsidDel="0071183C">
        <w:t>of</w:t>
      </w:r>
      <w:r w:rsidRPr="00532C61">
        <w:t xml:space="preserve"> primary and subordinate legislation, amendments to existing laws and regulations, the development of industry codes and the notification</w:t>
      </w:r>
      <w:r w:rsidRPr="0011666C">
        <w:rPr>
          <w:rFonts w:cs="Calibri Light"/>
          <w:szCs w:val="22"/>
        </w:rPr>
        <w:t xml:space="preserve"> of tax determinations</w:t>
      </w:r>
      <w:r>
        <w:rPr>
          <w:rFonts w:cs="Calibri Light"/>
          <w:szCs w:val="22"/>
        </w:rPr>
        <w:t>.</w:t>
      </w:r>
      <w:r w:rsidR="008C63FB">
        <w:rPr>
          <w:rFonts w:cs="Calibri Light"/>
          <w:szCs w:val="22"/>
        </w:rPr>
        <w:t xml:space="preserve"> Initiatives that </w:t>
      </w:r>
      <w:r w:rsidR="00F05778">
        <w:rPr>
          <w:rFonts w:cs="Calibri Light"/>
          <w:szCs w:val="22"/>
        </w:rPr>
        <w:t xml:space="preserve">involve </w:t>
      </w:r>
      <w:r w:rsidR="00825570">
        <w:rPr>
          <w:rFonts w:cs="Calibri Light"/>
          <w:szCs w:val="22"/>
        </w:rPr>
        <w:t xml:space="preserve">policy development related to </w:t>
      </w:r>
      <w:r w:rsidR="008C63FB">
        <w:rPr>
          <w:rFonts w:cs="Calibri Light"/>
          <w:szCs w:val="22"/>
        </w:rPr>
        <w:t xml:space="preserve">developing legislation, regulations and instruments </w:t>
      </w:r>
      <w:r w:rsidR="00825570">
        <w:rPr>
          <w:rFonts w:cs="Calibri Light"/>
          <w:szCs w:val="22"/>
        </w:rPr>
        <w:t xml:space="preserve">are also included </w:t>
      </w:r>
      <w:r w:rsidR="00C734E8">
        <w:rPr>
          <w:rFonts w:cs="Calibri Light"/>
          <w:szCs w:val="22"/>
        </w:rPr>
        <w:t>in this section.</w:t>
      </w:r>
    </w:p>
    <w:bookmarkEnd w:id="38"/>
    <w:p w14:paraId="37A7FDC4" w14:textId="1E7C3770" w:rsidR="00D723F0" w:rsidRPr="005946AB" w:rsidRDefault="00835C7A" w:rsidP="00B54CF6">
      <w:pPr>
        <w:rPr>
          <w:rStyle w:val="Strong"/>
        </w:rPr>
      </w:pPr>
      <w:r w:rsidRPr="005946AB">
        <w:rPr>
          <w:rStyle w:val="Strong"/>
        </w:rPr>
        <w:t>The t</w:t>
      </w:r>
      <w:r w:rsidR="00CE33B4" w:rsidRPr="005946AB">
        <w:rPr>
          <w:rStyle w:val="Strong"/>
        </w:rPr>
        <w:t xml:space="preserve">iming </w:t>
      </w:r>
      <w:r w:rsidR="007A1AF9" w:rsidRPr="005946AB">
        <w:rPr>
          <w:rStyle w:val="Strong"/>
        </w:rPr>
        <w:t xml:space="preserve">of </w:t>
      </w:r>
      <w:r w:rsidR="00602FA2" w:rsidRPr="005946AB">
        <w:rPr>
          <w:rStyle w:val="Strong"/>
        </w:rPr>
        <w:t>activities</w:t>
      </w:r>
      <w:r w:rsidR="00086FC7" w:rsidRPr="005946AB">
        <w:rPr>
          <w:rStyle w:val="Strong"/>
        </w:rPr>
        <w:t xml:space="preserve"> that would support the initial implementation of legislative measures</w:t>
      </w:r>
      <w:r w:rsidR="0084123C" w:rsidRPr="005946AB">
        <w:rPr>
          <w:rStyle w:val="Strong"/>
        </w:rPr>
        <w:t>,</w:t>
      </w:r>
      <w:r w:rsidR="00602FA2" w:rsidRPr="005946AB">
        <w:rPr>
          <w:rStyle w:val="Strong"/>
        </w:rPr>
        <w:t xml:space="preserve"> such as the development of </w:t>
      </w:r>
      <w:r w:rsidR="000B52B8" w:rsidRPr="005946AB">
        <w:rPr>
          <w:rStyle w:val="Strong"/>
        </w:rPr>
        <w:t xml:space="preserve">relevant regulations, legislative instruments and/or </w:t>
      </w:r>
      <w:r w:rsidR="00602FA2" w:rsidRPr="005946AB">
        <w:rPr>
          <w:rStyle w:val="Strong"/>
        </w:rPr>
        <w:t>regulatory guidance</w:t>
      </w:r>
      <w:r w:rsidR="0084123C" w:rsidRPr="005946AB">
        <w:rPr>
          <w:rStyle w:val="Strong"/>
        </w:rPr>
        <w:t>,</w:t>
      </w:r>
      <w:r w:rsidRPr="005946AB">
        <w:rPr>
          <w:rStyle w:val="Strong"/>
        </w:rPr>
        <w:t xml:space="preserve"> </w:t>
      </w:r>
      <w:r w:rsidR="0053207F" w:rsidRPr="005946AB">
        <w:rPr>
          <w:rStyle w:val="Strong"/>
        </w:rPr>
        <w:t xml:space="preserve">are </w:t>
      </w:r>
      <w:r w:rsidR="00602FA2" w:rsidRPr="005946AB">
        <w:rPr>
          <w:rStyle w:val="Strong"/>
        </w:rPr>
        <w:t xml:space="preserve">subject to </w:t>
      </w:r>
      <w:r w:rsidR="0053207F" w:rsidRPr="005946AB">
        <w:rPr>
          <w:rStyle w:val="Strong"/>
        </w:rPr>
        <w:t xml:space="preserve">the </w:t>
      </w:r>
      <w:r w:rsidR="00602FA2" w:rsidRPr="005946AB">
        <w:rPr>
          <w:rStyle w:val="Strong"/>
        </w:rPr>
        <w:t>passage of</w:t>
      </w:r>
      <w:r w:rsidR="000F1B45" w:rsidRPr="005946AB">
        <w:rPr>
          <w:rStyle w:val="Strong"/>
        </w:rPr>
        <w:t xml:space="preserve"> </w:t>
      </w:r>
      <w:r w:rsidR="0059728F" w:rsidRPr="005946AB">
        <w:rPr>
          <w:rStyle w:val="Strong"/>
        </w:rPr>
        <w:t xml:space="preserve">the relevant </w:t>
      </w:r>
      <w:r w:rsidR="00602FA2" w:rsidRPr="005946AB">
        <w:rPr>
          <w:rStyle w:val="Strong"/>
        </w:rPr>
        <w:t>legislation</w:t>
      </w:r>
      <w:r w:rsidR="0053207F" w:rsidRPr="005946AB">
        <w:rPr>
          <w:rStyle w:val="Strong"/>
        </w:rPr>
        <w:t xml:space="preserve"> and ongoing Government and regulator consideration</w:t>
      </w:r>
      <w:r w:rsidR="00602FA2" w:rsidRPr="005946AB">
        <w:rPr>
          <w:rStyle w:val="Strong"/>
        </w:rPr>
        <w:t>.</w:t>
      </w:r>
      <w:r w:rsidR="009C6F98" w:rsidRPr="005946AB">
        <w:rPr>
          <w:rStyle w:val="Strong"/>
        </w:rPr>
        <w:t xml:space="preserve"> Where </w:t>
      </w:r>
      <w:r w:rsidR="001777E2" w:rsidRPr="005946AB">
        <w:rPr>
          <w:rStyle w:val="Strong"/>
        </w:rPr>
        <w:t xml:space="preserve">there is sufficient certainty that certain </w:t>
      </w:r>
      <w:r w:rsidR="005D5089" w:rsidRPr="005946AB">
        <w:rPr>
          <w:rStyle w:val="Strong"/>
        </w:rPr>
        <w:t>activities will be undertaken</w:t>
      </w:r>
      <w:r w:rsidR="001777E2" w:rsidRPr="005946AB">
        <w:rPr>
          <w:rStyle w:val="Strong"/>
        </w:rPr>
        <w:t xml:space="preserve"> to support implementation</w:t>
      </w:r>
      <w:r w:rsidR="005D5089" w:rsidRPr="005946AB">
        <w:rPr>
          <w:rStyle w:val="Strong"/>
        </w:rPr>
        <w:t xml:space="preserve">, </w:t>
      </w:r>
      <w:r w:rsidR="008D1F43" w:rsidRPr="005946AB">
        <w:rPr>
          <w:rStyle w:val="Strong"/>
        </w:rPr>
        <w:t xml:space="preserve">activities have been </w:t>
      </w:r>
      <w:r w:rsidR="005D5089" w:rsidRPr="005946AB">
        <w:rPr>
          <w:rStyle w:val="Strong"/>
        </w:rPr>
        <w:t>identified.</w:t>
      </w:r>
      <w:r w:rsidR="005A6290" w:rsidRPr="005946AB">
        <w:rPr>
          <w:rStyle w:val="Strong"/>
        </w:rPr>
        <w:t xml:space="preserve"> </w:t>
      </w:r>
    </w:p>
    <w:p w14:paraId="625D2AF3" w14:textId="07D2B484" w:rsidR="00ED40F9" w:rsidRPr="005946AB" w:rsidRDefault="00ED40F9" w:rsidP="00B54CF6">
      <w:pPr>
        <w:rPr>
          <w:rStyle w:val="Strong"/>
        </w:rPr>
      </w:pPr>
      <w:r>
        <w:rPr>
          <w:rStyle w:val="Strong"/>
        </w:rPr>
        <w:t>Forward calendar</w:t>
      </w:r>
    </w:p>
    <w:tbl>
      <w:tblPr>
        <w:tblStyle w:val="GridTable1Light-Accent2"/>
        <w:tblW w:w="5000" w:type="pct"/>
        <w:tblBorders>
          <w:top w:val="none" w:sz="0" w:space="0" w:color="auto"/>
          <w:left w:val="none" w:sz="0" w:space="0" w:color="auto"/>
          <w:bottom w:val="none" w:sz="0" w:space="0" w:color="auto"/>
          <w:right w:val="none" w:sz="0" w:space="0" w:color="auto"/>
          <w:insideH w:val="single" w:sz="4" w:space="0" w:color="B1F0CF" w:themeColor="accent4"/>
          <w:insideV w:val="single" w:sz="4" w:space="0" w:color="FFFFFF" w:themeColor="background1"/>
        </w:tblBorders>
        <w:tblLayout w:type="fixed"/>
        <w:tblCellMar>
          <w:left w:w="85" w:type="dxa"/>
          <w:right w:w="85" w:type="dxa"/>
        </w:tblCellMar>
        <w:tblLook w:val="04A0" w:firstRow="1" w:lastRow="0" w:firstColumn="1" w:lastColumn="0" w:noHBand="0" w:noVBand="1"/>
      </w:tblPr>
      <w:tblGrid>
        <w:gridCol w:w="834"/>
        <w:gridCol w:w="1222"/>
        <w:gridCol w:w="4468"/>
        <w:gridCol w:w="1246"/>
        <w:gridCol w:w="1246"/>
        <w:gridCol w:w="1246"/>
        <w:gridCol w:w="1247"/>
        <w:gridCol w:w="1246"/>
        <w:gridCol w:w="1247"/>
      </w:tblGrid>
      <w:tr w:rsidR="00516550" w:rsidRPr="0088394A" w14:paraId="588C0CA7" w14:textId="77777777" w:rsidTr="1E3961DD">
        <w:trPr>
          <w:cnfStyle w:val="100000000000" w:firstRow="1" w:lastRow="0" w:firstColumn="0" w:lastColumn="0" w:oddVBand="0" w:evenVBand="0" w:oddHBand="0" w:evenHBand="0" w:firstRowFirstColumn="0" w:firstRowLastColumn="0" w:lastRowFirstColumn="0" w:lastRowLastColumn="0"/>
          <w:cantSplit/>
          <w:trHeight w:val="42"/>
          <w:tblHeader/>
        </w:trPr>
        <w:tc>
          <w:tcPr>
            <w:cnfStyle w:val="001000000000" w:firstRow="0" w:lastRow="0" w:firstColumn="1" w:lastColumn="0" w:oddVBand="0" w:evenVBand="0" w:oddHBand="0" w:evenHBand="0" w:firstRowFirstColumn="0" w:firstRowLastColumn="0" w:lastRowFirstColumn="0" w:lastRowLastColumn="0"/>
            <w:tcW w:w="834" w:type="dxa"/>
            <w:tcBorders>
              <w:top w:val="nil"/>
              <w:bottom w:val="single" w:sz="4" w:space="0" w:color="BCE4CF"/>
            </w:tcBorders>
            <w:shd w:val="clear" w:color="auto" w:fill="C5E8D6"/>
            <w:hideMark/>
          </w:tcPr>
          <w:p w14:paraId="774F70F4" w14:textId="77777777" w:rsidR="009225E6" w:rsidRPr="009C4097" w:rsidRDefault="009225E6" w:rsidP="0088394A">
            <w:pPr>
              <w:pStyle w:val="TableColumnHeadingLeft"/>
              <w:rPr>
                <w:b/>
                <w:bCs w:val="0"/>
              </w:rPr>
            </w:pPr>
            <w:r w:rsidRPr="009C4097">
              <w:rPr>
                <w:b/>
                <w:bCs w:val="0"/>
              </w:rPr>
              <w:t>Agency </w:t>
            </w:r>
          </w:p>
        </w:tc>
        <w:tc>
          <w:tcPr>
            <w:tcW w:w="1222" w:type="dxa"/>
            <w:tcBorders>
              <w:top w:val="nil"/>
              <w:bottom w:val="single" w:sz="4" w:space="0" w:color="BCE4CF"/>
            </w:tcBorders>
            <w:shd w:val="clear" w:color="auto" w:fill="C5E8D6"/>
          </w:tcPr>
          <w:p w14:paraId="3DAD34A1" w14:textId="77777777" w:rsidR="009225E6" w:rsidRPr="0088394A" w:rsidRDefault="009225E6" w:rsidP="0088394A">
            <w:pPr>
              <w:pStyle w:val="TableColumnHeadingLeft"/>
              <w:cnfStyle w:val="100000000000" w:firstRow="1" w:lastRow="0" w:firstColumn="0" w:lastColumn="0" w:oddVBand="0" w:evenVBand="0" w:oddHBand="0" w:evenHBand="0" w:firstRowFirstColumn="0" w:firstRowLastColumn="0" w:lastRowFirstColumn="0" w:lastRowLastColumn="0"/>
              <w:rPr>
                <w:b/>
                <w:bCs w:val="0"/>
              </w:rPr>
            </w:pPr>
            <w:r w:rsidRPr="0088394A">
              <w:rPr>
                <w:b/>
                <w:bCs w:val="0"/>
              </w:rPr>
              <w:t>Sector</w:t>
            </w:r>
          </w:p>
        </w:tc>
        <w:tc>
          <w:tcPr>
            <w:tcW w:w="4468" w:type="dxa"/>
            <w:tcBorders>
              <w:top w:val="nil"/>
              <w:bottom w:val="single" w:sz="4" w:space="0" w:color="BCE4CF"/>
            </w:tcBorders>
            <w:shd w:val="clear" w:color="auto" w:fill="C5E8D6"/>
          </w:tcPr>
          <w:p w14:paraId="0E0E824B" w14:textId="7DE599DD" w:rsidR="009225E6" w:rsidRPr="0088394A" w:rsidRDefault="009225E6" w:rsidP="0088394A">
            <w:pPr>
              <w:pStyle w:val="TableColumnHeadingLeft"/>
              <w:cnfStyle w:val="100000000000" w:firstRow="1" w:lastRow="0" w:firstColumn="0" w:lastColumn="0" w:oddVBand="0" w:evenVBand="0" w:oddHBand="0" w:evenHBand="0" w:firstRowFirstColumn="0" w:firstRowLastColumn="0" w:lastRowFirstColumn="0" w:lastRowLastColumn="0"/>
              <w:rPr>
                <w:b/>
                <w:bCs w:val="0"/>
              </w:rPr>
            </w:pPr>
            <w:r w:rsidRPr="0088394A">
              <w:rPr>
                <w:b/>
                <w:bCs w:val="0"/>
              </w:rPr>
              <w:t>Initiative </w:t>
            </w:r>
          </w:p>
        </w:tc>
        <w:tc>
          <w:tcPr>
            <w:tcW w:w="1246" w:type="dxa"/>
            <w:tcBorders>
              <w:top w:val="nil"/>
              <w:bottom w:val="single" w:sz="4" w:space="0" w:color="BCE4CF"/>
            </w:tcBorders>
            <w:shd w:val="clear" w:color="auto" w:fill="C5E8D6"/>
            <w:hideMark/>
          </w:tcPr>
          <w:p w14:paraId="5DA92EC4" w14:textId="45A0FB66" w:rsidR="009225E6" w:rsidRPr="0088394A" w:rsidRDefault="009225E6" w:rsidP="0088394A">
            <w:pPr>
              <w:pStyle w:val="TableColumnHeadingLeft"/>
              <w:cnfStyle w:val="100000000000" w:firstRow="1" w:lastRow="0" w:firstColumn="0" w:lastColumn="0" w:oddVBand="0" w:evenVBand="0" w:oddHBand="0" w:evenHBand="0" w:firstRowFirstColumn="0" w:firstRowLastColumn="0" w:lastRowFirstColumn="0" w:lastRowLastColumn="0"/>
              <w:rPr>
                <w:b/>
                <w:bCs w:val="0"/>
              </w:rPr>
            </w:pPr>
            <w:r w:rsidRPr="0088394A">
              <w:rPr>
                <w:b/>
                <w:bCs w:val="0"/>
              </w:rPr>
              <w:t>Q1 2025</w:t>
            </w:r>
            <w:r w:rsidR="00ED40F9">
              <w:rPr>
                <w:b/>
                <w:bCs w:val="0"/>
              </w:rPr>
              <w:t xml:space="preserve"> activity</w:t>
            </w:r>
          </w:p>
        </w:tc>
        <w:tc>
          <w:tcPr>
            <w:tcW w:w="1246" w:type="dxa"/>
            <w:tcBorders>
              <w:top w:val="nil"/>
              <w:bottom w:val="single" w:sz="4" w:space="0" w:color="BCE4CF"/>
            </w:tcBorders>
            <w:shd w:val="clear" w:color="auto" w:fill="C5E8D6"/>
          </w:tcPr>
          <w:p w14:paraId="3E7405E5" w14:textId="708EB928" w:rsidR="009225E6" w:rsidRPr="0088394A" w:rsidRDefault="009225E6" w:rsidP="0088394A">
            <w:pPr>
              <w:pStyle w:val="TableColumnHeadingLeft"/>
              <w:cnfStyle w:val="100000000000" w:firstRow="1" w:lastRow="0" w:firstColumn="0" w:lastColumn="0" w:oddVBand="0" w:evenVBand="0" w:oddHBand="0" w:evenHBand="0" w:firstRowFirstColumn="0" w:firstRowLastColumn="0" w:lastRowFirstColumn="0" w:lastRowLastColumn="0"/>
              <w:rPr>
                <w:b/>
                <w:bCs w:val="0"/>
              </w:rPr>
            </w:pPr>
            <w:r w:rsidRPr="0088394A">
              <w:rPr>
                <w:b/>
                <w:bCs w:val="0"/>
              </w:rPr>
              <w:t>Q2 2025</w:t>
            </w:r>
            <w:r w:rsidR="00ED40F9">
              <w:rPr>
                <w:b/>
                <w:bCs w:val="0"/>
              </w:rPr>
              <w:t xml:space="preserve"> activity</w:t>
            </w:r>
          </w:p>
        </w:tc>
        <w:tc>
          <w:tcPr>
            <w:tcW w:w="1246" w:type="dxa"/>
            <w:tcBorders>
              <w:top w:val="nil"/>
              <w:bottom w:val="single" w:sz="4" w:space="0" w:color="BCE4CF"/>
            </w:tcBorders>
            <w:shd w:val="clear" w:color="auto" w:fill="C5E8D6"/>
          </w:tcPr>
          <w:p w14:paraId="0413033A" w14:textId="4845E2D8" w:rsidR="009225E6" w:rsidRPr="0088394A" w:rsidRDefault="009225E6" w:rsidP="0088394A">
            <w:pPr>
              <w:pStyle w:val="TableColumnHeadingLeft"/>
              <w:cnfStyle w:val="100000000000" w:firstRow="1" w:lastRow="0" w:firstColumn="0" w:lastColumn="0" w:oddVBand="0" w:evenVBand="0" w:oddHBand="0" w:evenHBand="0" w:firstRowFirstColumn="0" w:firstRowLastColumn="0" w:lastRowFirstColumn="0" w:lastRowLastColumn="0"/>
              <w:rPr>
                <w:b/>
                <w:bCs w:val="0"/>
              </w:rPr>
            </w:pPr>
            <w:r w:rsidRPr="0088394A">
              <w:rPr>
                <w:b/>
                <w:bCs w:val="0"/>
              </w:rPr>
              <w:t>Q3 2025</w:t>
            </w:r>
            <w:r w:rsidR="00ED40F9">
              <w:rPr>
                <w:b/>
                <w:bCs w:val="0"/>
              </w:rPr>
              <w:t xml:space="preserve"> activity</w:t>
            </w:r>
          </w:p>
        </w:tc>
        <w:tc>
          <w:tcPr>
            <w:tcW w:w="1247" w:type="dxa"/>
            <w:tcBorders>
              <w:top w:val="nil"/>
              <w:bottom w:val="single" w:sz="4" w:space="0" w:color="BCE4CF"/>
            </w:tcBorders>
            <w:shd w:val="clear" w:color="auto" w:fill="C5E8D6"/>
          </w:tcPr>
          <w:p w14:paraId="686F8429" w14:textId="4AFE9867" w:rsidR="009225E6" w:rsidRPr="0088394A" w:rsidRDefault="009225E6" w:rsidP="0088394A">
            <w:pPr>
              <w:pStyle w:val="TableColumnHeadingLeft"/>
              <w:cnfStyle w:val="100000000000" w:firstRow="1" w:lastRow="0" w:firstColumn="0" w:lastColumn="0" w:oddVBand="0" w:evenVBand="0" w:oddHBand="0" w:evenHBand="0" w:firstRowFirstColumn="0" w:firstRowLastColumn="0" w:lastRowFirstColumn="0" w:lastRowLastColumn="0"/>
              <w:rPr>
                <w:b/>
                <w:bCs w:val="0"/>
              </w:rPr>
            </w:pPr>
            <w:r w:rsidRPr="0088394A">
              <w:rPr>
                <w:b/>
                <w:bCs w:val="0"/>
              </w:rPr>
              <w:t>Q4 2025</w:t>
            </w:r>
            <w:r w:rsidR="00ED40F9">
              <w:rPr>
                <w:b/>
                <w:bCs w:val="0"/>
              </w:rPr>
              <w:t xml:space="preserve"> activity</w:t>
            </w:r>
          </w:p>
        </w:tc>
        <w:tc>
          <w:tcPr>
            <w:tcW w:w="1246" w:type="dxa"/>
            <w:tcBorders>
              <w:top w:val="nil"/>
              <w:bottom w:val="single" w:sz="4" w:space="0" w:color="BCE4CF"/>
            </w:tcBorders>
            <w:shd w:val="clear" w:color="auto" w:fill="C5E8D6"/>
          </w:tcPr>
          <w:p w14:paraId="192E0CA9" w14:textId="2398291C" w:rsidR="009225E6" w:rsidRPr="0088394A" w:rsidRDefault="009225E6" w:rsidP="0088394A">
            <w:pPr>
              <w:pStyle w:val="TableColumnHeadingLeft"/>
              <w:cnfStyle w:val="100000000000" w:firstRow="1" w:lastRow="0" w:firstColumn="0" w:lastColumn="0" w:oddVBand="0" w:evenVBand="0" w:oddHBand="0" w:evenHBand="0" w:firstRowFirstColumn="0" w:firstRowLastColumn="0" w:lastRowFirstColumn="0" w:lastRowLastColumn="0"/>
              <w:rPr>
                <w:b/>
                <w:bCs w:val="0"/>
              </w:rPr>
            </w:pPr>
            <w:r w:rsidRPr="0088394A">
              <w:rPr>
                <w:b/>
                <w:bCs w:val="0"/>
              </w:rPr>
              <w:t>H1 2026</w:t>
            </w:r>
            <w:r w:rsidR="00ED40F9">
              <w:rPr>
                <w:b/>
                <w:bCs w:val="0"/>
              </w:rPr>
              <w:t xml:space="preserve"> activity</w:t>
            </w:r>
          </w:p>
        </w:tc>
        <w:tc>
          <w:tcPr>
            <w:tcW w:w="1247" w:type="dxa"/>
            <w:tcBorders>
              <w:top w:val="nil"/>
              <w:bottom w:val="single" w:sz="4" w:space="0" w:color="BCE4CF"/>
            </w:tcBorders>
            <w:shd w:val="clear" w:color="auto" w:fill="C5E8D6"/>
          </w:tcPr>
          <w:p w14:paraId="16A87B3A" w14:textId="2AFF1FAF" w:rsidR="009225E6" w:rsidRPr="0088394A" w:rsidRDefault="009225E6" w:rsidP="0088394A">
            <w:pPr>
              <w:pStyle w:val="TableColumnHeadingLeft"/>
              <w:cnfStyle w:val="100000000000" w:firstRow="1" w:lastRow="0" w:firstColumn="0" w:lastColumn="0" w:oddVBand="0" w:evenVBand="0" w:oddHBand="0" w:evenHBand="0" w:firstRowFirstColumn="0" w:firstRowLastColumn="0" w:lastRowFirstColumn="0" w:lastRowLastColumn="0"/>
              <w:rPr>
                <w:b/>
                <w:bCs w:val="0"/>
              </w:rPr>
            </w:pPr>
            <w:r w:rsidRPr="0088394A">
              <w:rPr>
                <w:b/>
                <w:bCs w:val="0"/>
              </w:rPr>
              <w:t>H2 2026</w:t>
            </w:r>
            <w:r w:rsidR="00ED40F9">
              <w:rPr>
                <w:b/>
                <w:bCs w:val="0"/>
              </w:rPr>
              <w:t xml:space="preserve"> activity</w:t>
            </w:r>
          </w:p>
        </w:tc>
      </w:tr>
      <w:tr w:rsidR="005F3B35" w:rsidRPr="00AF43B7" w14:paraId="6D852151" w14:textId="77777777" w:rsidTr="1E3961DD">
        <w:trPr>
          <w:cantSplit/>
          <w:trHeight w:val="410"/>
        </w:trPr>
        <w:tc>
          <w:tcPr>
            <w:cnfStyle w:val="001000000000" w:firstRow="0" w:lastRow="0" w:firstColumn="1" w:lastColumn="0" w:oddVBand="0" w:evenVBand="0" w:oddHBand="0" w:evenHBand="0" w:firstRowFirstColumn="0" w:firstRowLastColumn="0" w:lastRowFirstColumn="0" w:lastRowLastColumn="0"/>
            <w:tcW w:w="834" w:type="dxa"/>
            <w:tcBorders>
              <w:top w:val="single" w:sz="4" w:space="0" w:color="BCE4CF"/>
              <w:bottom w:val="single" w:sz="4" w:space="0" w:color="BCE4CF"/>
            </w:tcBorders>
          </w:tcPr>
          <w:p w14:paraId="429D35AB" w14:textId="77777777" w:rsidR="005F3B35" w:rsidRPr="00AD71F3" w:rsidRDefault="005F3B35" w:rsidP="00AD71F3">
            <w:pPr>
              <w:pStyle w:val="TableLeadAgency"/>
              <w:rPr>
                <w:b/>
                <w:i/>
                <w:iCs/>
              </w:rPr>
            </w:pPr>
            <w:r w:rsidRPr="00AD71F3">
              <w:rPr>
                <w:b/>
                <w:bCs/>
              </w:rPr>
              <w:t>TSY</w:t>
            </w:r>
            <w:r w:rsidRPr="00AD71F3">
              <w:rPr>
                <w:b/>
                <w:i/>
                <w:iCs/>
              </w:rPr>
              <w:t xml:space="preserve"> </w:t>
            </w:r>
          </w:p>
          <w:p w14:paraId="0673400A" w14:textId="2420BDCF" w:rsidR="005F3B35" w:rsidRPr="00AD71F3" w:rsidRDefault="005F3B35" w:rsidP="00C336A2">
            <w:pPr>
              <w:pStyle w:val="TableSecondaryAgency"/>
              <w:rPr>
                <w:b w:val="0"/>
                <w:bCs/>
              </w:rPr>
            </w:pPr>
            <w:r w:rsidRPr="00AD71F3">
              <w:rPr>
                <w:b w:val="0"/>
                <w:bCs/>
              </w:rPr>
              <w:t>ACCC</w:t>
            </w:r>
          </w:p>
        </w:tc>
        <w:tc>
          <w:tcPr>
            <w:tcW w:w="1222" w:type="dxa"/>
            <w:tcBorders>
              <w:top w:val="single" w:sz="4" w:space="0" w:color="BCE4CF"/>
              <w:bottom w:val="single" w:sz="4" w:space="0" w:color="BCE4CF"/>
            </w:tcBorders>
          </w:tcPr>
          <w:p w14:paraId="0E6C64F3" w14:textId="171E7C21" w:rsidR="005F3B35" w:rsidRPr="009A41CA" w:rsidRDefault="005F3B35" w:rsidP="00301F93">
            <w:pPr>
              <w:pStyle w:val="TableTextLeft"/>
              <w:cnfStyle w:val="000000000000" w:firstRow="0" w:lastRow="0" w:firstColumn="0" w:lastColumn="0" w:oddVBand="0" w:evenVBand="0" w:oddHBand="0" w:evenHBand="0" w:firstRowFirstColumn="0" w:firstRowLastColumn="0" w:lastRowFirstColumn="0" w:lastRowLastColumn="0"/>
            </w:pPr>
            <w:r w:rsidRPr="00301F93">
              <w:t>All</w:t>
            </w:r>
          </w:p>
        </w:tc>
        <w:tc>
          <w:tcPr>
            <w:tcW w:w="4468" w:type="dxa"/>
            <w:tcBorders>
              <w:top w:val="single" w:sz="4" w:space="0" w:color="BCE4CF"/>
              <w:bottom w:val="single" w:sz="4" w:space="0" w:color="BCE4CF"/>
            </w:tcBorders>
          </w:tcPr>
          <w:p w14:paraId="078CADDF" w14:textId="77777777" w:rsidR="005F3B35" w:rsidRPr="000A4B96" w:rsidRDefault="001D4D7F" w:rsidP="005F3B35">
            <w:pPr>
              <w:pStyle w:val="TableLink"/>
              <w:cnfStyle w:val="000000000000" w:firstRow="0" w:lastRow="0" w:firstColumn="0" w:lastColumn="0" w:oddVBand="0" w:evenVBand="0" w:oddHBand="0" w:evenHBand="0" w:firstRowFirstColumn="0" w:firstRowLastColumn="0" w:lastRowFirstColumn="0" w:lastRowLastColumn="0"/>
              <w:rPr>
                <w:b w:val="0"/>
                <w:bCs/>
                <w:u w:val="single"/>
              </w:rPr>
            </w:pPr>
            <w:hyperlink r:id="rId53" w:history="1">
              <w:r w:rsidR="005F3B35" w:rsidRPr="000A4B96">
                <w:rPr>
                  <w:rStyle w:val="Hyperlink"/>
                  <w:b/>
                  <w:bCs/>
                  <w:u w:val="single"/>
                </w:rPr>
                <w:t>Merger reform</w:t>
              </w:r>
            </w:hyperlink>
          </w:p>
          <w:p w14:paraId="39CFB024" w14:textId="1E92341E" w:rsidR="005F3B35" w:rsidRPr="00D2100B" w:rsidRDefault="005F3B35" w:rsidP="005F3B35">
            <w:pPr>
              <w:pStyle w:val="TableTextLeft"/>
              <w:cnfStyle w:val="000000000000" w:firstRow="0" w:lastRow="0" w:firstColumn="0" w:lastColumn="0" w:oddVBand="0" w:evenVBand="0" w:oddHBand="0" w:evenHBand="0" w:firstRowFirstColumn="0" w:firstRowLastColumn="0" w:lastRowFirstColumn="0" w:lastRowLastColumn="0"/>
              <w:rPr>
                <w:rFonts w:cs="Calibri Light"/>
                <w:b/>
                <w:color w:val="auto"/>
              </w:rPr>
            </w:pPr>
            <w:r w:rsidRPr="00D2100B">
              <w:rPr>
                <w:rFonts w:cs="Calibri Light"/>
                <w:color w:val="auto"/>
              </w:rPr>
              <w:t>In April 2024, the Government announced reforms to Australia</w:t>
            </w:r>
            <w:r w:rsidR="0008745D" w:rsidRPr="00D2100B">
              <w:rPr>
                <w:rFonts w:cs="Calibri Light"/>
                <w:color w:val="auto"/>
              </w:rPr>
              <w:t>’</w:t>
            </w:r>
            <w:r w:rsidRPr="00D2100B">
              <w:rPr>
                <w:rFonts w:cs="Calibri Light"/>
                <w:color w:val="auto"/>
              </w:rPr>
              <w:t xml:space="preserve">s merger rules to promote competition, protect consumers and provide greater certainty by streamlining merger and acquisition approval processes. </w:t>
            </w:r>
          </w:p>
          <w:p w14:paraId="6FA518A9" w14:textId="47AA1AE8" w:rsidR="005F3B35" w:rsidRPr="00D2100B" w:rsidRDefault="005F3B35" w:rsidP="005F3B35">
            <w:pPr>
              <w:pStyle w:val="TableTextLeft"/>
              <w:cnfStyle w:val="000000000000" w:firstRow="0" w:lastRow="0" w:firstColumn="0" w:lastColumn="0" w:oddVBand="0" w:evenVBand="0" w:oddHBand="0" w:evenHBand="0" w:firstRowFirstColumn="0" w:firstRowLastColumn="0" w:lastRowFirstColumn="0" w:lastRowLastColumn="0"/>
              <w:rPr>
                <w:rFonts w:cs="Calibri Light"/>
                <w:color w:val="auto"/>
              </w:rPr>
            </w:pPr>
            <w:r w:rsidRPr="00D2100B">
              <w:rPr>
                <w:rFonts w:cs="Calibri Light"/>
                <w:color w:val="auto"/>
              </w:rPr>
              <w:t>The Treasury Laws Amendment (Mergers and Acquisitions Reform) Bill</w:t>
            </w:r>
            <w:r w:rsidR="00B13E4D" w:rsidRPr="00D2100B">
              <w:rPr>
                <w:rFonts w:cs="Calibri Light"/>
                <w:color w:val="auto"/>
              </w:rPr>
              <w:t> </w:t>
            </w:r>
            <w:r w:rsidRPr="00D2100B">
              <w:rPr>
                <w:rFonts w:cs="Calibri Light"/>
                <w:color w:val="auto"/>
              </w:rPr>
              <w:t xml:space="preserve">2024 passed on </w:t>
            </w:r>
            <w:r w:rsidR="00AA2B71" w:rsidRPr="00D2100B">
              <w:rPr>
                <w:rFonts w:cs="Calibri Light"/>
                <w:color w:val="auto"/>
              </w:rPr>
              <w:t>2</w:t>
            </w:r>
            <w:r w:rsidR="00601168">
              <w:rPr>
                <w:rFonts w:cs="Calibri Light"/>
                <w:color w:val="auto"/>
              </w:rPr>
              <w:t>8</w:t>
            </w:r>
            <w:r w:rsidRPr="00D2100B">
              <w:rPr>
                <w:rFonts w:cs="Calibri Light"/>
                <w:color w:val="auto"/>
              </w:rPr>
              <w:t xml:space="preserve"> November 2024 to give effect to these reforms through amendments to the </w:t>
            </w:r>
            <w:r w:rsidRPr="00D2100B">
              <w:rPr>
                <w:rFonts w:cs="Calibri Light"/>
                <w:i/>
                <w:color w:val="auto"/>
              </w:rPr>
              <w:t>Competition and Consumer Act 2010</w:t>
            </w:r>
            <w:r w:rsidRPr="00D2100B">
              <w:rPr>
                <w:rFonts w:cs="Calibri Light"/>
                <w:color w:val="auto"/>
              </w:rPr>
              <w:t xml:space="preserve"> (and associated subordinate legislation). </w:t>
            </w:r>
          </w:p>
          <w:p w14:paraId="6F698349" w14:textId="7B832C63" w:rsidR="005F3B35" w:rsidRPr="00311002" w:rsidRDefault="005F3B35" w:rsidP="00311002">
            <w:pPr>
              <w:pStyle w:val="TableTextLeft"/>
              <w:cnfStyle w:val="000000000000" w:firstRow="0" w:lastRow="0" w:firstColumn="0" w:lastColumn="0" w:oddVBand="0" w:evenVBand="0" w:oddHBand="0" w:evenHBand="0" w:firstRowFirstColumn="0" w:firstRowLastColumn="0" w:lastRowFirstColumn="0" w:lastRowLastColumn="0"/>
              <w:rPr>
                <w:rFonts w:cs="Calibri Light"/>
                <w:color w:val="auto"/>
              </w:rPr>
            </w:pPr>
            <w:r w:rsidRPr="00D2100B">
              <w:rPr>
                <w:rFonts w:cs="Calibri Light"/>
                <w:color w:val="auto"/>
              </w:rPr>
              <w:t>The new merger control system will commence from 1 January 2026, and will apply on a voluntary basis from 1</w:t>
            </w:r>
            <w:r w:rsidR="00DC0A25" w:rsidRPr="00D2100B">
              <w:rPr>
                <w:rFonts w:cs="Calibri Light"/>
                <w:color w:val="auto"/>
              </w:rPr>
              <w:t> </w:t>
            </w:r>
            <w:r w:rsidRPr="00D2100B">
              <w:rPr>
                <w:rFonts w:cs="Calibri Light"/>
                <w:color w:val="auto"/>
              </w:rPr>
              <w:t>July</w:t>
            </w:r>
            <w:r w:rsidR="00DC0A25" w:rsidRPr="00D2100B">
              <w:rPr>
                <w:rFonts w:cs="Calibri Light"/>
                <w:color w:val="auto"/>
              </w:rPr>
              <w:t> </w:t>
            </w:r>
            <w:r w:rsidRPr="00D2100B">
              <w:rPr>
                <w:rFonts w:cs="Calibri Light"/>
                <w:color w:val="auto"/>
              </w:rPr>
              <w:t>2025.</w:t>
            </w:r>
            <w:r w:rsidRPr="001E382B">
              <w:rPr>
                <w:b/>
                <w:color w:val="00B050"/>
              </w:rPr>
              <w:t xml:space="preserve"> </w:t>
            </w:r>
          </w:p>
        </w:tc>
        <w:tc>
          <w:tcPr>
            <w:tcW w:w="1246" w:type="dxa"/>
            <w:tcBorders>
              <w:top w:val="single" w:sz="4" w:space="0" w:color="BCE4CF"/>
              <w:bottom w:val="single" w:sz="4" w:space="0" w:color="BCE4CF"/>
            </w:tcBorders>
            <w:shd w:val="clear" w:color="auto" w:fill="ECF7F1"/>
          </w:tcPr>
          <w:p w14:paraId="3DDE6C86" w14:textId="06747C89" w:rsidR="005F3B35" w:rsidRPr="00740424" w:rsidRDefault="005F3B35" w:rsidP="005F3B35">
            <w:pPr>
              <w:pStyle w:val="TableTextLeft"/>
              <w:cnfStyle w:val="000000000000" w:firstRow="0" w:lastRow="0" w:firstColumn="0" w:lastColumn="0" w:oddVBand="0" w:evenVBand="0" w:oddHBand="0" w:evenHBand="0" w:firstRowFirstColumn="0" w:firstRowLastColumn="0" w:lastRowFirstColumn="0" w:lastRowLastColumn="0"/>
            </w:pPr>
            <w:r w:rsidRPr="76620CDD">
              <w:rPr>
                <w:rFonts w:cs="Calibri Light"/>
                <w:lang w:val="en-AU"/>
              </w:rPr>
              <w:t xml:space="preserve">Consultation on subordinate legislation </w:t>
            </w:r>
          </w:p>
        </w:tc>
        <w:tc>
          <w:tcPr>
            <w:tcW w:w="1246" w:type="dxa"/>
            <w:tcBorders>
              <w:top w:val="single" w:sz="4" w:space="0" w:color="BCE4CF"/>
              <w:bottom w:val="single" w:sz="4" w:space="0" w:color="BCE4CF"/>
            </w:tcBorders>
            <w:shd w:val="clear" w:color="auto" w:fill="ECF7F1"/>
          </w:tcPr>
          <w:p w14:paraId="18F624D4" w14:textId="77777777" w:rsidR="005F3B35" w:rsidRPr="00DC7DEB" w:rsidRDefault="005F3B35" w:rsidP="005F3B35">
            <w:pPr>
              <w:pStyle w:val="TableTextLeft"/>
              <w:cnfStyle w:val="000000000000" w:firstRow="0" w:lastRow="0" w:firstColumn="0" w:lastColumn="0" w:oddVBand="0" w:evenVBand="0" w:oddHBand="0" w:evenHBand="0" w:firstRowFirstColumn="0" w:firstRowLastColumn="0" w:lastRowFirstColumn="0" w:lastRowLastColumn="0"/>
            </w:pPr>
          </w:p>
        </w:tc>
        <w:tc>
          <w:tcPr>
            <w:tcW w:w="1246" w:type="dxa"/>
            <w:tcBorders>
              <w:top w:val="single" w:sz="4" w:space="0" w:color="BCE4CF"/>
              <w:bottom w:val="single" w:sz="4" w:space="0" w:color="BCE4CF"/>
            </w:tcBorders>
            <w:shd w:val="clear" w:color="auto" w:fill="ECF7F1"/>
          </w:tcPr>
          <w:p w14:paraId="35EF8BD1" w14:textId="6351B936" w:rsidR="005F3B35" w:rsidRPr="00DC7DEB" w:rsidRDefault="005F3B35" w:rsidP="005F3B35">
            <w:pPr>
              <w:pStyle w:val="TableTextLeft"/>
              <w:cnfStyle w:val="000000000000" w:firstRow="0" w:lastRow="0" w:firstColumn="0" w:lastColumn="0" w:oddVBand="0" w:evenVBand="0" w:oddHBand="0" w:evenHBand="0" w:firstRowFirstColumn="0" w:firstRowLastColumn="0" w:lastRowFirstColumn="0" w:lastRowLastColumn="0"/>
            </w:pPr>
            <w:r w:rsidRPr="0EA40FF9">
              <w:rPr>
                <w:rFonts w:cs="Calibri Light"/>
              </w:rPr>
              <w:t>Commences on a voluntary basis from 1</w:t>
            </w:r>
            <w:r w:rsidR="00B13E4D">
              <w:rPr>
                <w:rFonts w:cs="Calibri Light"/>
              </w:rPr>
              <w:t> </w:t>
            </w:r>
            <w:r w:rsidRPr="0EA40FF9">
              <w:rPr>
                <w:rFonts w:cs="Calibri Light"/>
              </w:rPr>
              <w:t>July</w:t>
            </w:r>
            <w:r w:rsidR="00B13E4D">
              <w:rPr>
                <w:rFonts w:cs="Calibri Light"/>
              </w:rPr>
              <w:t> </w:t>
            </w:r>
            <w:r w:rsidRPr="0EA40FF9">
              <w:rPr>
                <w:rFonts w:cs="Calibri Light"/>
              </w:rPr>
              <w:t xml:space="preserve">2025 </w:t>
            </w:r>
          </w:p>
        </w:tc>
        <w:tc>
          <w:tcPr>
            <w:tcW w:w="1247" w:type="dxa"/>
            <w:tcBorders>
              <w:top w:val="single" w:sz="4" w:space="0" w:color="BCE4CF"/>
              <w:bottom w:val="single" w:sz="4" w:space="0" w:color="BCE4CF"/>
            </w:tcBorders>
            <w:shd w:val="clear" w:color="auto" w:fill="ECF7F1"/>
          </w:tcPr>
          <w:p w14:paraId="41D3B09C" w14:textId="77777777" w:rsidR="005F3B35" w:rsidRPr="00DC7DEB" w:rsidRDefault="005F3B35" w:rsidP="005F3B35">
            <w:pPr>
              <w:pStyle w:val="TableTextLeft"/>
              <w:cnfStyle w:val="000000000000" w:firstRow="0" w:lastRow="0" w:firstColumn="0" w:lastColumn="0" w:oddVBand="0" w:evenVBand="0" w:oddHBand="0" w:evenHBand="0" w:firstRowFirstColumn="0" w:firstRowLastColumn="0" w:lastRowFirstColumn="0" w:lastRowLastColumn="0"/>
            </w:pPr>
          </w:p>
        </w:tc>
        <w:tc>
          <w:tcPr>
            <w:tcW w:w="1246" w:type="dxa"/>
            <w:tcBorders>
              <w:top w:val="single" w:sz="4" w:space="0" w:color="BCE4CF"/>
              <w:bottom w:val="single" w:sz="4" w:space="0" w:color="BCE4CF"/>
            </w:tcBorders>
            <w:shd w:val="clear" w:color="auto" w:fill="F5FBF8"/>
          </w:tcPr>
          <w:p w14:paraId="712B28C9" w14:textId="26D7F490" w:rsidR="005F3B35" w:rsidRPr="00717471" w:rsidDel="00F45C7D" w:rsidRDefault="005F3B35" w:rsidP="005F3B35">
            <w:pPr>
              <w:pStyle w:val="TableTextLeft"/>
              <w:cnfStyle w:val="000000000000" w:firstRow="0" w:lastRow="0" w:firstColumn="0" w:lastColumn="0" w:oddVBand="0" w:evenVBand="0" w:oddHBand="0" w:evenHBand="0" w:firstRowFirstColumn="0" w:firstRowLastColumn="0" w:lastRowFirstColumn="0" w:lastRowLastColumn="0"/>
            </w:pPr>
            <w:r w:rsidRPr="005C4A12">
              <w:rPr>
                <w:rFonts w:cs="Calibri Light"/>
                <w:szCs w:val="16"/>
              </w:rPr>
              <w:t xml:space="preserve">Commences </w:t>
            </w:r>
            <w:r w:rsidRPr="54D4838A">
              <w:rPr>
                <w:rFonts w:cs="Calibri Light"/>
              </w:rPr>
              <w:t>1</w:t>
            </w:r>
            <w:r>
              <w:rPr>
                <w:rFonts w:cs="Calibri Light"/>
              </w:rPr>
              <w:t> </w:t>
            </w:r>
            <w:r w:rsidRPr="54D4838A">
              <w:rPr>
                <w:rFonts w:cs="Calibri Light"/>
              </w:rPr>
              <w:t xml:space="preserve">January 2026 </w:t>
            </w:r>
            <w:r>
              <w:rPr>
                <w:rFonts w:cs="Calibri Light"/>
              </w:rPr>
              <w:t xml:space="preserve">for mandatory notification </w:t>
            </w:r>
          </w:p>
        </w:tc>
        <w:tc>
          <w:tcPr>
            <w:tcW w:w="1247" w:type="dxa"/>
            <w:tcBorders>
              <w:top w:val="single" w:sz="4" w:space="0" w:color="BCE4CF"/>
              <w:bottom w:val="single" w:sz="4" w:space="0" w:color="BCE4CF"/>
            </w:tcBorders>
            <w:shd w:val="clear" w:color="auto" w:fill="F5FBF8"/>
          </w:tcPr>
          <w:p w14:paraId="1FC8983D" w14:textId="77777777" w:rsidR="005F3B35" w:rsidRPr="00721A94" w:rsidRDefault="005F3B35" w:rsidP="005F3B35">
            <w:pPr>
              <w:pStyle w:val="TableTextLeft"/>
              <w:cnfStyle w:val="000000000000" w:firstRow="0" w:lastRow="0" w:firstColumn="0" w:lastColumn="0" w:oddVBand="0" w:evenVBand="0" w:oddHBand="0" w:evenHBand="0" w:firstRowFirstColumn="0" w:firstRowLastColumn="0" w:lastRowFirstColumn="0" w:lastRowLastColumn="0"/>
            </w:pPr>
          </w:p>
        </w:tc>
      </w:tr>
      <w:tr w:rsidR="00516550" w:rsidRPr="00AF43B7" w14:paraId="46FC555D" w14:textId="77777777" w:rsidTr="1E3961DD">
        <w:trPr>
          <w:cantSplit/>
          <w:trHeight w:val="410"/>
        </w:trPr>
        <w:tc>
          <w:tcPr>
            <w:cnfStyle w:val="001000000000" w:firstRow="0" w:lastRow="0" w:firstColumn="1" w:lastColumn="0" w:oddVBand="0" w:evenVBand="0" w:oddHBand="0" w:evenHBand="0" w:firstRowFirstColumn="0" w:firstRowLastColumn="0" w:lastRowFirstColumn="0" w:lastRowLastColumn="0"/>
            <w:tcW w:w="834" w:type="dxa"/>
            <w:tcBorders>
              <w:top w:val="single" w:sz="4" w:space="0" w:color="BCE4CF"/>
              <w:bottom w:val="single" w:sz="4" w:space="0" w:color="BCE4CF"/>
            </w:tcBorders>
          </w:tcPr>
          <w:p w14:paraId="45D5ABB5" w14:textId="77777777" w:rsidR="003B3A3A" w:rsidRPr="00AD71F3" w:rsidRDefault="003B3A3A" w:rsidP="00FA2B7F">
            <w:pPr>
              <w:pStyle w:val="TableLeadAgency"/>
              <w:rPr>
                <w:b/>
                <w:bCs/>
              </w:rPr>
            </w:pPr>
            <w:r w:rsidRPr="00AD71F3">
              <w:rPr>
                <w:b/>
                <w:bCs/>
              </w:rPr>
              <w:t>AGD</w:t>
            </w:r>
          </w:p>
          <w:p w14:paraId="1C68DED7" w14:textId="6CE21912" w:rsidR="003B3A3A" w:rsidRPr="00AD71F3" w:rsidRDefault="003B3A3A" w:rsidP="00FA2B7F">
            <w:pPr>
              <w:pStyle w:val="TableSecondaryAgency"/>
              <w:rPr>
                <w:rFonts w:cs="Calibri Light"/>
                <w:b w:val="0"/>
                <w:bCs/>
                <w:lang w:val="en-AU"/>
              </w:rPr>
            </w:pPr>
            <w:r w:rsidRPr="00AD71F3">
              <w:rPr>
                <w:b w:val="0"/>
                <w:bCs/>
              </w:rPr>
              <w:t>AUSTRAC</w:t>
            </w:r>
          </w:p>
        </w:tc>
        <w:tc>
          <w:tcPr>
            <w:tcW w:w="1222" w:type="dxa"/>
            <w:tcBorders>
              <w:top w:val="single" w:sz="4" w:space="0" w:color="BCE4CF"/>
              <w:bottom w:val="single" w:sz="4" w:space="0" w:color="BCE4CF"/>
            </w:tcBorders>
          </w:tcPr>
          <w:p w14:paraId="7E39A2E3" w14:textId="53291E85" w:rsidR="003B3A3A" w:rsidRPr="00301F93" w:rsidRDefault="003B3A3A" w:rsidP="00301F93">
            <w:pPr>
              <w:pStyle w:val="TableTextLeft"/>
              <w:cnfStyle w:val="000000000000" w:firstRow="0" w:lastRow="0" w:firstColumn="0" w:lastColumn="0" w:oddVBand="0" w:evenVBand="0" w:oddHBand="0" w:evenHBand="0" w:firstRowFirstColumn="0" w:firstRowLastColumn="0" w:lastRowFirstColumn="0" w:lastRowLastColumn="0"/>
            </w:pPr>
            <w:r w:rsidRPr="009A41CA">
              <w:t>All</w:t>
            </w:r>
          </w:p>
        </w:tc>
        <w:tc>
          <w:tcPr>
            <w:tcW w:w="4468" w:type="dxa"/>
            <w:tcBorders>
              <w:top w:val="single" w:sz="4" w:space="0" w:color="BCE4CF"/>
              <w:bottom w:val="single" w:sz="4" w:space="0" w:color="BCE4CF"/>
            </w:tcBorders>
          </w:tcPr>
          <w:p w14:paraId="6404A73B" w14:textId="442D1EDC" w:rsidR="003B3A3A" w:rsidRPr="000A4B96" w:rsidRDefault="001D4D7F" w:rsidP="006A3EFB">
            <w:pPr>
              <w:pStyle w:val="TableLink"/>
              <w:cnfStyle w:val="000000000000" w:firstRow="0" w:lastRow="0" w:firstColumn="0" w:lastColumn="0" w:oddVBand="0" w:evenVBand="0" w:oddHBand="0" w:evenHBand="0" w:firstRowFirstColumn="0" w:firstRowLastColumn="0" w:lastRowFirstColumn="0" w:lastRowLastColumn="0"/>
              <w:rPr>
                <w:b w:val="0"/>
                <w:bCs/>
                <w:u w:val="single"/>
              </w:rPr>
            </w:pPr>
            <w:hyperlink r:id="rId54" w:history="1">
              <w:r w:rsidR="003B3A3A" w:rsidRPr="000A4B96">
                <w:rPr>
                  <w:rStyle w:val="Hyperlink"/>
                  <w:b/>
                  <w:bCs/>
                  <w:u w:val="single"/>
                </w:rPr>
                <w:t xml:space="preserve">Reforms to the </w:t>
              </w:r>
              <w:r w:rsidR="003B3A3A" w:rsidRPr="000A4B96">
                <w:rPr>
                  <w:rStyle w:val="Hyperlink"/>
                  <w:b/>
                  <w:bCs/>
                  <w:i/>
                  <w:iCs/>
                  <w:u w:val="single"/>
                </w:rPr>
                <w:t>Anti</w:t>
              </w:r>
              <w:r w:rsidR="0008745D">
                <w:rPr>
                  <w:rStyle w:val="Hyperlink"/>
                  <w:b/>
                  <w:bCs/>
                  <w:i/>
                  <w:iCs/>
                  <w:u w:val="single"/>
                </w:rPr>
                <w:noBreakHyphen/>
              </w:r>
              <w:r w:rsidR="003B3A3A" w:rsidRPr="000A4B96">
                <w:rPr>
                  <w:rStyle w:val="Hyperlink"/>
                  <w:b/>
                  <w:bCs/>
                  <w:i/>
                  <w:iCs/>
                  <w:u w:val="single"/>
                </w:rPr>
                <w:t>Money Laundering and Counter</w:t>
              </w:r>
              <w:r w:rsidR="0008745D">
                <w:rPr>
                  <w:rStyle w:val="Hyperlink"/>
                  <w:b/>
                  <w:bCs/>
                  <w:i/>
                  <w:iCs/>
                  <w:u w:val="single"/>
                </w:rPr>
                <w:noBreakHyphen/>
              </w:r>
              <w:r w:rsidR="003B3A3A" w:rsidRPr="000A4B96">
                <w:rPr>
                  <w:rStyle w:val="Hyperlink"/>
                  <w:b/>
                  <w:bCs/>
                  <w:i/>
                  <w:iCs/>
                  <w:u w:val="single"/>
                </w:rPr>
                <w:t>Terrorism Financing Act 2006</w:t>
              </w:r>
            </w:hyperlink>
          </w:p>
          <w:p w14:paraId="7DA9E0E6" w14:textId="30E62ECC" w:rsidR="00182D06" w:rsidRPr="00311002" w:rsidRDefault="002750CF" w:rsidP="00953014">
            <w:pPr>
              <w:pStyle w:val="TableTextLeft"/>
              <w:cnfStyle w:val="000000000000" w:firstRow="0" w:lastRow="0" w:firstColumn="0" w:lastColumn="0" w:oddVBand="0" w:evenVBand="0" w:oddHBand="0" w:evenHBand="0" w:firstRowFirstColumn="0" w:firstRowLastColumn="0" w:lastRowFirstColumn="0" w:lastRowLastColumn="0"/>
              <w:rPr>
                <w:color w:val="auto"/>
              </w:rPr>
            </w:pPr>
            <w:r w:rsidRPr="00645F00">
              <w:rPr>
                <w:color w:val="auto"/>
              </w:rPr>
              <w:t>The Anti</w:t>
            </w:r>
            <w:r w:rsidRPr="00645F00">
              <w:rPr>
                <w:color w:val="auto"/>
              </w:rPr>
              <w:noBreakHyphen/>
              <w:t>Money Laundering and Counter</w:t>
            </w:r>
            <w:r w:rsidRPr="00645F00">
              <w:rPr>
                <w:color w:val="auto"/>
              </w:rPr>
              <w:noBreakHyphen/>
              <w:t>Terrorism Financing Amendment Bill 2024</w:t>
            </w:r>
            <w:r>
              <w:rPr>
                <w:color w:val="auto"/>
              </w:rPr>
              <w:t xml:space="preserve"> </w:t>
            </w:r>
            <w:r w:rsidRPr="00645F00">
              <w:rPr>
                <w:color w:val="auto"/>
              </w:rPr>
              <w:t xml:space="preserve">passed </w:t>
            </w:r>
            <w:r>
              <w:rPr>
                <w:color w:val="auto"/>
              </w:rPr>
              <w:t xml:space="preserve">the Parliament </w:t>
            </w:r>
            <w:r w:rsidRPr="00645F00">
              <w:rPr>
                <w:color w:val="auto"/>
              </w:rPr>
              <w:t>on 2</w:t>
            </w:r>
            <w:r>
              <w:rPr>
                <w:color w:val="auto"/>
              </w:rPr>
              <w:t>9 </w:t>
            </w:r>
            <w:r w:rsidRPr="00645F00">
              <w:rPr>
                <w:color w:val="auto"/>
              </w:rPr>
              <w:t>November 2024</w:t>
            </w:r>
            <w:r>
              <w:rPr>
                <w:color w:val="auto"/>
              </w:rPr>
              <w:t>. The Bill reforms Australia’s anti-money laundering and counter-terrorism financing (AML/CTF) regime</w:t>
            </w:r>
            <w:r w:rsidRPr="00645F00">
              <w:rPr>
                <w:color w:val="auto"/>
              </w:rPr>
              <w:t xml:space="preserve">. It amends some obligations that currently apply to the financial sector, such as the travel rule and International Funds Transfer </w:t>
            </w:r>
            <w:r>
              <w:rPr>
                <w:color w:val="auto"/>
              </w:rPr>
              <w:t xml:space="preserve">Instruction </w:t>
            </w:r>
            <w:r w:rsidRPr="00645F00">
              <w:rPr>
                <w:color w:val="auto"/>
              </w:rPr>
              <w:t>(IFTI) reporting</w:t>
            </w:r>
            <w:r>
              <w:rPr>
                <w:color w:val="auto"/>
              </w:rPr>
              <w:t xml:space="preserve">. The Bill also </w:t>
            </w:r>
            <w:r w:rsidRPr="00645F00">
              <w:rPr>
                <w:color w:val="auto"/>
              </w:rPr>
              <w:t>simplif</w:t>
            </w:r>
            <w:r>
              <w:rPr>
                <w:color w:val="auto"/>
              </w:rPr>
              <w:t>ies and clarifies</w:t>
            </w:r>
            <w:r w:rsidRPr="00645F00">
              <w:rPr>
                <w:color w:val="auto"/>
              </w:rPr>
              <w:t xml:space="preserve"> </w:t>
            </w:r>
            <w:r>
              <w:rPr>
                <w:color w:val="auto"/>
              </w:rPr>
              <w:t>core</w:t>
            </w:r>
            <w:r w:rsidRPr="00645F00">
              <w:rPr>
                <w:color w:val="auto"/>
              </w:rPr>
              <w:t xml:space="preserve"> AML/CTF obligations including the requirement to have an AML/CTF program and undertake customer due diligence.</w:t>
            </w:r>
          </w:p>
        </w:tc>
        <w:tc>
          <w:tcPr>
            <w:tcW w:w="1246" w:type="dxa"/>
            <w:tcBorders>
              <w:top w:val="single" w:sz="4" w:space="0" w:color="BCE4CF"/>
              <w:bottom w:val="single" w:sz="4" w:space="0" w:color="BCE4CF"/>
            </w:tcBorders>
            <w:shd w:val="clear" w:color="auto" w:fill="ECF7F1"/>
          </w:tcPr>
          <w:p w14:paraId="0B30FDDE" w14:textId="77777777" w:rsidR="00D309BD" w:rsidRDefault="00740424" w:rsidP="009A41CA">
            <w:pPr>
              <w:pStyle w:val="TableTextLeft"/>
              <w:cnfStyle w:val="000000000000" w:firstRow="0" w:lastRow="0" w:firstColumn="0" w:lastColumn="0" w:oddVBand="0" w:evenVBand="0" w:oddHBand="0" w:evenHBand="0" w:firstRowFirstColumn="0" w:firstRowLastColumn="0" w:lastRowFirstColumn="0" w:lastRowLastColumn="0"/>
              <w:rPr>
                <w:lang w:val="en-AU"/>
              </w:rPr>
            </w:pPr>
            <w:r w:rsidRPr="00740424">
              <w:rPr>
                <w:lang w:val="en-AU"/>
              </w:rPr>
              <w:t>Changes to AUSTRAC powers and penalties commence 28</w:t>
            </w:r>
            <w:r w:rsidR="00155AFB">
              <w:rPr>
                <w:lang w:val="en-AU"/>
              </w:rPr>
              <w:t> </w:t>
            </w:r>
            <w:r w:rsidRPr="00740424">
              <w:rPr>
                <w:lang w:val="en-AU"/>
              </w:rPr>
              <w:t>days after Royal Assent</w:t>
            </w:r>
            <w:r w:rsidR="00046A52">
              <w:rPr>
                <w:lang w:val="en-AU"/>
              </w:rPr>
              <w:t>.</w:t>
            </w:r>
          </w:p>
          <w:p w14:paraId="7925D6C8" w14:textId="5BB31941" w:rsidR="003B3A3A" w:rsidRPr="00DC7DEB" w:rsidRDefault="00A5697F" w:rsidP="009A41CA">
            <w:pPr>
              <w:pStyle w:val="TableTextLeft"/>
              <w:cnfStyle w:val="000000000000" w:firstRow="0" w:lastRow="0" w:firstColumn="0" w:lastColumn="0" w:oddVBand="0" w:evenVBand="0" w:oddHBand="0" w:evenHBand="0" w:firstRowFirstColumn="0" w:firstRowLastColumn="0" w:lastRowFirstColumn="0" w:lastRowLastColumn="0"/>
              <w:rPr>
                <w:lang w:val="en-AU"/>
              </w:rPr>
            </w:pPr>
            <w:r>
              <w:rPr>
                <w:lang w:val="en-AU"/>
              </w:rPr>
              <w:t>New</w:t>
            </w:r>
            <w:r w:rsidR="00046A52">
              <w:rPr>
                <w:lang w:val="en-AU"/>
              </w:rPr>
              <w:t xml:space="preserve"> tipping off offence commences </w:t>
            </w:r>
            <w:r>
              <w:rPr>
                <w:lang w:val="en-AU"/>
              </w:rPr>
              <w:t>31</w:t>
            </w:r>
            <w:r w:rsidR="00046A52">
              <w:rPr>
                <w:lang w:val="en-AU"/>
              </w:rPr>
              <w:t> March 2025</w:t>
            </w:r>
          </w:p>
        </w:tc>
        <w:tc>
          <w:tcPr>
            <w:tcW w:w="1246" w:type="dxa"/>
            <w:tcBorders>
              <w:top w:val="single" w:sz="4" w:space="0" w:color="BCE4CF"/>
              <w:bottom w:val="single" w:sz="4" w:space="0" w:color="BCE4CF"/>
            </w:tcBorders>
            <w:shd w:val="clear" w:color="auto" w:fill="ECF7F1"/>
          </w:tcPr>
          <w:p w14:paraId="3BADA0FB" w14:textId="47990832" w:rsidR="003B3A3A" w:rsidRPr="00DC7DEB" w:rsidRDefault="003B3A3A" w:rsidP="009A41CA">
            <w:pPr>
              <w:pStyle w:val="TableTextLeft"/>
              <w:cnfStyle w:val="000000000000" w:firstRow="0" w:lastRow="0" w:firstColumn="0" w:lastColumn="0" w:oddVBand="0" w:evenVBand="0" w:oddHBand="0" w:evenHBand="0" w:firstRowFirstColumn="0" w:firstRowLastColumn="0" w:lastRowFirstColumn="0" w:lastRowLastColumn="0"/>
              <w:rPr>
                <w:lang w:val="en-AU"/>
              </w:rPr>
            </w:pPr>
          </w:p>
        </w:tc>
        <w:tc>
          <w:tcPr>
            <w:tcW w:w="1246" w:type="dxa"/>
            <w:tcBorders>
              <w:top w:val="single" w:sz="4" w:space="0" w:color="BCE4CF"/>
              <w:bottom w:val="single" w:sz="4" w:space="0" w:color="BCE4CF"/>
            </w:tcBorders>
            <w:shd w:val="clear" w:color="auto" w:fill="ECF7F1"/>
          </w:tcPr>
          <w:p w14:paraId="0F058D6F" w14:textId="77777777" w:rsidR="003B3A3A" w:rsidRPr="00DC7DEB" w:rsidRDefault="003B3A3A" w:rsidP="009A41CA">
            <w:pPr>
              <w:pStyle w:val="TableTextLeft"/>
              <w:cnfStyle w:val="000000000000" w:firstRow="0" w:lastRow="0" w:firstColumn="0" w:lastColumn="0" w:oddVBand="0" w:evenVBand="0" w:oddHBand="0" w:evenHBand="0" w:firstRowFirstColumn="0" w:firstRowLastColumn="0" w:lastRowFirstColumn="0" w:lastRowLastColumn="0"/>
              <w:rPr>
                <w:lang w:val="en-AU"/>
              </w:rPr>
            </w:pPr>
          </w:p>
        </w:tc>
        <w:tc>
          <w:tcPr>
            <w:tcW w:w="1247" w:type="dxa"/>
            <w:tcBorders>
              <w:top w:val="single" w:sz="4" w:space="0" w:color="BCE4CF"/>
              <w:bottom w:val="single" w:sz="4" w:space="0" w:color="BCE4CF"/>
            </w:tcBorders>
            <w:shd w:val="clear" w:color="auto" w:fill="ECF7F1"/>
          </w:tcPr>
          <w:p w14:paraId="630FA367" w14:textId="77777777" w:rsidR="003B3A3A" w:rsidRPr="00DC7DEB" w:rsidRDefault="003B3A3A" w:rsidP="009A41CA">
            <w:pPr>
              <w:pStyle w:val="TableTextLeft"/>
              <w:cnfStyle w:val="000000000000" w:firstRow="0" w:lastRow="0" w:firstColumn="0" w:lastColumn="0" w:oddVBand="0" w:evenVBand="0" w:oddHBand="0" w:evenHBand="0" w:firstRowFirstColumn="0" w:firstRowLastColumn="0" w:lastRowFirstColumn="0" w:lastRowLastColumn="0"/>
              <w:rPr>
                <w:lang w:val="en-AU"/>
              </w:rPr>
            </w:pPr>
          </w:p>
        </w:tc>
        <w:tc>
          <w:tcPr>
            <w:tcW w:w="1246" w:type="dxa"/>
            <w:tcBorders>
              <w:top w:val="single" w:sz="4" w:space="0" w:color="BCE4CF"/>
              <w:bottom w:val="single" w:sz="4" w:space="0" w:color="BCE4CF"/>
            </w:tcBorders>
            <w:shd w:val="clear" w:color="auto" w:fill="F5FBF8"/>
          </w:tcPr>
          <w:p w14:paraId="69FC9C94" w14:textId="795664A0" w:rsidR="003B3A3A" w:rsidRPr="00DC7DEB" w:rsidRDefault="00717471" w:rsidP="009A41CA">
            <w:pPr>
              <w:pStyle w:val="TableTextLeft"/>
              <w:cnfStyle w:val="000000000000" w:firstRow="0" w:lastRow="0" w:firstColumn="0" w:lastColumn="0" w:oddVBand="0" w:evenVBand="0" w:oddHBand="0" w:evenHBand="0" w:firstRowFirstColumn="0" w:firstRowLastColumn="0" w:lastRowFirstColumn="0" w:lastRowLastColumn="0"/>
              <w:rPr>
                <w:lang w:val="en-AU"/>
              </w:rPr>
            </w:pPr>
            <w:r w:rsidRPr="00717471">
              <w:rPr>
                <w:lang w:val="en-AU"/>
              </w:rPr>
              <w:t>AML/CTF programs</w:t>
            </w:r>
            <w:r w:rsidR="00F45C7D">
              <w:rPr>
                <w:lang w:val="en-AU"/>
              </w:rPr>
              <w:t>,</w:t>
            </w:r>
            <w:r w:rsidRPr="00717471">
              <w:rPr>
                <w:lang w:val="en-AU"/>
              </w:rPr>
              <w:t xml:space="preserve"> customer due diligence, travel rule and value transfer provisions, </w:t>
            </w:r>
            <w:r w:rsidR="00655ECB">
              <w:rPr>
                <w:lang w:val="en-AU"/>
              </w:rPr>
              <w:t xml:space="preserve">and </w:t>
            </w:r>
            <w:r w:rsidRPr="00717471">
              <w:rPr>
                <w:lang w:val="en-AU"/>
              </w:rPr>
              <w:t>amended exemptions commence 31</w:t>
            </w:r>
            <w:r w:rsidR="00EF6DB4">
              <w:rPr>
                <w:lang w:val="en-AU"/>
              </w:rPr>
              <w:t> </w:t>
            </w:r>
            <w:r w:rsidRPr="00717471">
              <w:rPr>
                <w:lang w:val="en-AU"/>
              </w:rPr>
              <w:t>March</w:t>
            </w:r>
            <w:r w:rsidR="00EF6DB4">
              <w:rPr>
                <w:lang w:val="en-AU"/>
              </w:rPr>
              <w:t> </w:t>
            </w:r>
            <w:r w:rsidRPr="00717471">
              <w:rPr>
                <w:lang w:val="en-AU"/>
              </w:rPr>
              <w:t>2026</w:t>
            </w:r>
          </w:p>
        </w:tc>
        <w:tc>
          <w:tcPr>
            <w:tcW w:w="1247" w:type="dxa"/>
            <w:tcBorders>
              <w:top w:val="single" w:sz="4" w:space="0" w:color="BCE4CF"/>
              <w:bottom w:val="single" w:sz="4" w:space="0" w:color="BCE4CF"/>
            </w:tcBorders>
            <w:shd w:val="clear" w:color="auto" w:fill="F5FBF8"/>
          </w:tcPr>
          <w:p w14:paraId="5329229B" w14:textId="0CF64F14" w:rsidR="00D309BD" w:rsidRDefault="00D309BD" w:rsidP="00D309BD">
            <w:pPr>
              <w:pStyle w:val="TableTextLeft"/>
              <w:cnfStyle w:val="000000000000" w:firstRow="0" w:lastRow="0" w:firstColumn="0" w:lastColumn="0" w:oddVBand="0" w:evenVBand="0" w:oddHBand="0" w:evenHBand="0" w:firstRowFirstColumn="0" w:firstRowLastColumn="0" w:lastRowFirstColumn="0" w:lastRowLastColumn="0"/>
            </w:pPr>
            <w:r>
              <w:t>New obligations for tranche two entities commence 1 July 2026</w:t>
            </w:r>
            <w:r w:rsidR="0069061F">
              <w:t>.</w:t>
            </w:r>
          </w:p>
          <w:p w14:paraId="1B0FC4C4" w14:textId="01363646" w:rsidR="003B3A3A" w:rsidRPr="00DC7DEB" w:rsidRDefault="00721A94" w:rsidP="00311002">
            <w:pPr>
              <w:pStyle w:val="TableTextLeft"/>
              <w:cnfStyle w:val="000000000000" w:firstRow="0" w:lastRow="0" w:firstColumn="0" w:lastColumn="0" w:oddVBand="0" w:evenVBand="0" w:oddHBand="0" w:evenHBand="0" w:firstRowFirstColumn="0" w:firstRowLastColumn="0" w:lastRowFirstColumn="0" w:lastRowLastColumn="0"/>
              <w:rPr>
                <w:lang w:val="en-AU"/>
              </w:rPr>
            </w:pPr>
            <w:r w:rsidRPr="00721A94">
              <w:t>Changes to bearer negotiable instruments commence 1</w:t>
            </w:r>
            <w:r w:rsidR="00621073">
              <w:t> </w:t>
            </w:r>
            <w:r w:rsidRPr="00721A94">
              <w:t>July</w:t>
            </w:r>
            <w:r w:rsidR="00621073">
              <w:t> </w:t>
            </w:r>
            <w:r w:rsidRPr="00721A94">
              <w:t>2026</w:t>
            </w:r>
          </w:p>
        </w:tc>
      </w:tr>
      <w:tr w:rsidR="00516550" w:rsidRPr="00AF43B7" w14:paraId="5C2D3609" w14:textId="77777777" w:rsidTr="1E3961DD">
        <w:trPr>
          <w:cantSplit/>
          <w:trHeight w:val="410"/>
        </w:trPr>
        <w:tc>
          <w:tcPr>
            <w:cnfStyle w:val="001000000000" w:firstRow="0" w:lastRow="0" w:firstColumn="1" w:lastColumn="0" w:oddVBand="0" w:evenVBand="0" w:oddHBand="0" w:evenHBand="0" w:firstRowFirstColumn="0" w:firstRowLastColumn="0" w:lastRowFirstColumn="0" w:lastRowLastColumn="0"/>
            <w:tcW w:w="834" w:type="dxa"/>
            <w:tcBorders>
              <w:top w:val="single" w:sz="4" w:space="0" w:color="BCE4CF"/>
              <w:bottom w:val="single" w:sz="4" w:space="0" w:color="BCE4CF"/>
            </w:tcBorders>
          </w:tcPr>
          <w:p w14:paraId="16156962" w14:textId="77777777" w:rsidR="00D10DAD" w:rsidRPr="00AD71F3" w:rsidRDefault="00D10DAD" w:rsidP="00FA2B7F">
            <w:pPr>
              <w:pStyle w:val="TableLeadAgency"/>
              <w:rPr>
                <w:b/>
                <w:bCs/>
              </w:rPr>
            </w:pPr>
            <w:r w:rsidRPr="00AD71F3">
              <w:rPr>
                <w:b/>
                <w:bCs/>
              </w:rPr>
              <w:lastRenderedPageBreak/>
              <w:t>AUSTRAC</w:t>
            </w:r>
          </w:p>
          <w:p w14:paraId="339044BB" w14:textId="4E78A17A" w:rsidR="00D10DAD" w:rsidRPr="00AD71F3" w:rsidDel="007D4EEB" w:rsidRDefault="00D10DAD" w:rsidP="00FA2B7F">
            <w:pPr>
              <w:pStyle w:val="TableSecondaryAgency"/>
              <w:rPr>
                <w:rFonts w:cs="Calibri Light"/>
                <w:b w:val="0"/>
                <w:bCs/>
              </w:rPr>
            </w:pPr>
            <w:r w:rsidRPr="00AD71F3">
              <w:rPr>
                <w:b w:val="0"/>
                <w:bCs/>
              </w:rPr>
              <w:t>AGD</w:t>
            </w:r>
          </w:p>
        </w:tc>
        <w:tc>
          <w:tcPr>
            <w:tcW w:w="1222" w:type="dxa"/>
            <w:tcBorders>
              <w:top w:val="single" w:sz="4" w:space="0" w:color="BCE4CF"/>
              <w:bottom w:val="single" w:sz="4" w:space="0" w:color="BCE4CF"/>
            </w:tcBorders>
          </w:tcPr>
          <w:p w14:paraId="40A97C05" w14:textId="04D7AD1A" w:rsidR="00D10DAD" w:rsidRPr="00D10DAD" w:rsidDel="007D4EEB" w:rsidRDefault="00D10DAD" w:rsidP="00301F93">
            <w:pPr>
              <w:pStyle w:val="TableTextLeft"/>
              <w:cnfStyle w:val="000000000000" w:firstRow="0" w:lastRow="0" w:firstColumn="0" w:lastColumn="0" w:oddVBand="0" w:evenVBand="0" w:oddHBand="0" w:evenHBand="0" w:firstRowFirstColumn="0" w:firstRowLastColumn="0" w:lastRowFirstColumn="0" w:lastRowLastColumn="0"/>
              <w:rPr>
                <w:rFonts w:cs="Calibri Light"/>
              </w:rPr>
            </w:pPr>
            <w:r w:rsidRPr="00301F93">
              <w:t>All</w:t>
            </w:r>
          </w:p>
        </w:tc>
        <w:tc>
          <w:tcPr>
            <w:tcW w:w="4468" w:type="dxa"/>
            <w:tcBorders>
              <w:top w:val="single" w:sz="4" w:space="0" w:color="BCE4CF"/>
              <w:bottom w:val="single" w:sz="4" w:space="0" w:color="BCE4CF"/>
            </w:tcBorders>
          </w:tcPr>
          <w:p w14:paraId="61186183" w14:textId="6DAA680B" w:rsidR="00D10DAD" w:rsidRPr="000A4B96" w:rsidRDefault="001D4D7F" w:rsidP="006A3EFB">
            <w:pPr>
              <w:pStyle w:val="TableLink"/>
              <w:cnfStyle w:val="000000000000" w:firstRow="0" w:lastRow="0" w:firstColumn="0" w:lastColumn="0" w:oddVBand="0" w:evenVBand="0" w:oddHBand="0" w:evenHBand="0" w:firstRowFirstColumn="0" w:firstRowLastColumn="0" w:lastRowFirstColumn="0" w:lastRowLastColumn="0"/>
              <w:rPr>
                <w:b w:val="0"/>
                <w:bCs/>
                <w:u w:val="single"/>
              </w:rPr>
            </w:pPr>
            <w:hyperlink r:id="rId55" w:history="1">
              <w:r w:rsidR="00D10DAD" w:rsidRPr="000A4B96">
                <w:rPr>
                  <w:rStyle w:val="Hyperlink"/>
                  <w:b/>
                  <w:bCs/>
                  <w:u w:val="single"/>
                </w:rPr>
                <w:t>Anti</w:t>
              </w:r>
              <w:r w:rsidR="0008745D">
                <w:rPr>
                  <w:rStyle w:val="Hyperlink"/>
                  <w:b/>
                  <w:bCs/>
                  <w:u w:val="single"/>
                </w:rPr>
                <w:noBreakHyphen/>
              </w:r>
              <w:r w:rsidR="00D10DAD" w:rsidRPr="000A4B96">
                <w:rPr>
                  <w:rStyle w:val="Hyperlink"/>
                  <w:b/>
                  <w:bCs/>
                  <w:u w:val="single"/>
                </w:rPr>
                <w:t>Money Laundering and Counter</w:t>
              </w:r>
              <w:r w:rsidR="0008745D">
                <w:rPr>
                  <w:rStyle w:val="Hyperlink"/>
                  <w:b/>
                  <w:bCs/>
                  <w:u w:val="single"/>
                </w:rPr>
                <w:noBreakHyphen/>
              </w:r>
              <w:r w:rsidR="00D10DAD" w:rsidRPr="000A4B96">
                <w:rPr>
                  <w:rStyle w:val="Hyperlink"/>
                  <w:b/>
                  <w:bCs/>
                  <w:u w:val="single"/>
                </w:rPr>
                <w:t>Terrorism Financing Rules</w:t>
              </w:r>
            </w:hyperlink>
          </w:p>
          <w:p w14:paraId="4107AD99" w14:textId="0748ABB8" w:rsidR="007C7C46" w:rsidRPr="009A41CA" w:rsidDel="007D4EEB" w:rsidRDefault="007C0733" w:rsidP="007C7C46">
            <w:pPr>
              <w:pStyle w:val="TableTextLeft"/>
              <w:cnfStyle w:val="000000000000" w:firstRow="0" w:lastRow="0" w:firstColumn="0" w:lastColumn="0" w:oddVBand="0" w:evenVBand="0" w:oddHBand="0" w:evenHBand="0" w:firstRowFirstColumn="0" w:firstRowLastColumn="0" w:lastRowFirstColumn="0" w:lastRowLastColumn="0"/>
            </w:pPr>
            <w:r>
              <w:t xml:space="preserve">As part of the reforms to the </w:t>
            </w:r>
            <w:r>
              <w:rPr>
                <w:i/>
              </w:rPr>
              <w:t>Anti-Money Laundering and Counter</w:t>
            </w:r>
            <w:r>
              <w:rPr>
                <w:i/>
              </w:rPr>
              <w:noBreakHyphen/>
              <w:t>Terrorism Financing Act 2006</w:t>
            </w:r>
            <w:r>
              <w:t>, d</w:t>
            </w:r>
            <w:r w:rsidR="00D10DAD" w:rsidRPr="00301F93">
              <w:t>evelopment</w:t>
            </w:r>
            <w:r w:rsidR="00D10DAD" w:rsidRPr="00DC0A25">
              <w:t xml:space="preserve"> of Anti</w:t>
            </w:r>
            <w:r w:rsidR="0008745D" w:rsidRPr="00DC0A25">
              <w:noBreakHyphen/>
            </w:r>
            <w:r w:rsidR="00D10DAD" w:rsidRPr="00DC0A25">
              <w:t>Money Laundering and Counter</w:t>
            </w:r>
            <w:r w:rsidR="0008745D" w:rsidRPr="00DC0A25">
              <w:noBreakHyphen/>
            </w:r>
            <w:r w:rsidR="00D10DAD" w:rsidRPr="00DC0A25">
              <w:t xml:space="preserve">Terrorism Financing (AML/CTF) Rules </w:t>
            </w:r>
            <w:r w:rsidR="002B0CB3" w:rsidRPr="00DC0A25">
              <w:t xml:space="preserve">will </w:t>
            </w:r>
            <w:r w:rsidR="00D10DAD" w:rsidRPr="00DC0A25">
              <w:t xml:space="preserve">improve the effectiveness of the AML/CTF regime by simplifying and clarifying the existing regime to make it easier for businesses to meet their </w:t>
            </w:r>
            <w:proofErr w:type="gramStart"/>
            <w:r w:rsidR="00D10DAD" w:rsidRPr="00DC0A25">
              <w:t>obligations, and</w:t>
            </w:r>
            <w:proofErr w:type="gramEnd"/>
            <w:r w:rsidR="00D10DAD" w:rsidRPr="00DC0A25">
              <w:t xml:space="preserve"> </w:t>
            </w:r>
            <w:r w:rsidR="00D30F00" w:rsidRPr="00DC0A25">
              <w:t xml:space="preserve">will </w:t>
            </w:r>
            <w:proofErr w:type="spellStart"/>
            <w:r w:rsidR="00D10DAD" w:rsidRPr="00DC0A25">
              <w:t>modernis</w:t>
            </w:r>
            <w:r w:rsidR="00D30F00" w:rsidRPr="00DC0A25">
              <w:t>e</w:t>
            </w:r>
            <w:proofErr w:type="spellEnd"/>
            <w:r w:rsidR="00D10DAD" w:rsidRPr="00DC0A25">
              <w:t xml:space="preserve"> the regime to reflect changing business structures and technologies across the economy</w:t>
            </w:r>
            <w:r w:rsidR="00D10DAD" w:rsidRPr="009A41CA">
              <w:t>.</w:t>
            </w:r>
            <w:r w:rsidR="00550AFE">
              <w:t xml:space="preserve"> </w:t>
            </w:r>
          </w:p>
        </w:tc>
        <w:tc>
          <w:tcPr>
            <w:tcW w:w="1246" w:type="dxa"/>
            <w:tcBorders>
              <w:top w:val="single" w:sz="4" w:space="0" w:color="BCE4CF"/>
              <w:bottom w:val="single" w:sz="4" w:space="0" w:color="BCE4CF"/>
            </w:tcBorders>
            <w:shd w:val="clear" w:color="auto" w:fill="ECF7F1"/>
          </w:tcPr>
          <w:p w14:paraId="5E9BA1FE" w14:textId="5FFEC276" w:rsidR="00D10DAD" w:rsidRPr="00DC7DEB" w:rsidDel="007D4EEB" w:rsidRDefault="00A4476E" w:rsidP="00D10DAD">
            <w:pPr>
              <w:pStyle w:val="TableTextLeft"/>
              <w:cnfStyle w:val="000000000000" w:firstRow="0" w:lastRow="0" w:firstColumn="0" w:lastColumn="0" w:oddVBand="0" w:evenVBand="0" w:oddHBand="0" w:evenHBand="0" w:firstRowFirstColumn="0" w:firstRowLastColumn="0" w:lastRowFirstColumn="0" w:lastRowLastColumn="0"/>
              <w:rPr>
                <w:rFonts w:cs="Calibri Light"/>
                <w:szCs w:val="16"/>
              </w:rPr>
            </w:pPr>
            <w:r w:rsidRPr="00A4476E">
              <w:rPr>
                <w:rFonts w:cs="Calibri Light"/>
                <w:szCs w:val="16"/>
              </w:rPr>
              <w:t>Consultation on draft Rules</w:t>
            </w:r>
            <w:r w:rsidR="00417892">
              <w:rPr>
                <w:rFonts w:cs="Calibri Light"/>
                <w:szCs w:val="16"/>
              </w:rPr>
              <w:t xml:space="preserve"> </w:t>
            </w:r>
          </w:p>
        </w:tc>
        <w:tc>
          <w:tcPr>
            <w:tcW w:w="1246" w:type="dxa"/>
            <w:tcBorders>
              <w:top w:val="single" w:sz="4" w:space="0" w:color="BCE4CF"/>
              <w:bottom w:val="single" w:sz="4" w:space="0" w:color="BCE4CF"/>
            </w:tcBorders>
            <w:shd w:val="clear" w:color="auto" w:fill="ECF7F1"/>
          </w:tcPr>
          <w:p w14:paraId="13A27E32" w14:textId="1649CA1B" w:rsidR="00D10DAD" w:rsidRPr="00DC7DEB" w:rsidRDefault="0038662E" w:rsidP="00D10DAD">
            <w:pPr>
              <w:pStyle w:val="TableTextLeft"/>
              <w:cnfStyle w:val="000000000000" w:firstRow="0" w:lastRow="0" w:firstColumn="0" w:lastColumn="0" w:oddVBand="0" w:evenVBand="0" w:oddHBand="0" w:evenHBand="0" w:firstRowFirstColumn="0" w:firstRowLastColumn="0" w:lastRowFirstColumn="0" w:lastRowLastColumn="0"/>
              <w:rPr>
                <w:rFonts w:cs="Calibri Light"/>
                <w:szCs w:val="16"/>
              </w:rPr>
            </w:pPr>
            <w:r w:rsidRPr="0038662E">
              <w:rPr>
                <w:rFonts w:cs="Calibri Light"/>
                <w:szCs w:val="16"/>
              </w:rPr>
              <w:t>Rules made</w:t>
            </w:r>
            <w:r w:rsidR="00EE6719">
              <w:rPr>
                <w:rFonts w:cs="Calibri Light"/>
                <w:szCs w:val="16"/>
              </w:rPr>
              <w:t xml:space="preserve"> </w:t>
            </w:r>
          </w:p>
        </w:tc>
        <w:tc>
          <w:tcPr>
            <w:tcW w:w="1246" w:type="dxa"/>
            <w:tcBorders>
              <w:top w:val="single" w:sz="4" w:space="0" w:color="BCE4CF"/>
              <w:bottom w:val="single" w:sz="4" w:space="0" w:color="BCE4CF"/>
            </w:tcBorders>
            <w:shd w:val="clear" w:color="auto" w:fill="ECF7F1"/>
          </w:tcPr>
          <w:p w14:paraId="5BCFED60" w14:textId="77777777" w:rsidR="00D10DAD" w:rsidRPr="00DC7DEB" w:rsidRDefault="00D10DAD" w:rsidP="00D10DAD">
            <w:pPr>
              <w:pStyle w:val="TableTextLeft"/>
              <w:cnfStyle w:val="000000000000" w:firstRow="0" w:lastRow="0" w:firstColumn="0" w:lastColumn="0" w:oddVBand="0" w:evenVBand="0" w:oddHBand="0" w:evenHBand="0" w:firstRowFirstColumn="0" w:firstRowLastColumn="0" w:lastRowFirstColumn="0" w:lastRowLastColumn="0"/>
              <w:rPr>
                <w:rFonts w:cs="Calibri Light"/>
                <w:szCs w:val="16"/>
              </w:rPr>
            </w:pPr>
          </w:p>
        </w:tc>
        <w:tc>
          <w:tcPr>
            <w:tcW w:w="1247" w:type="dxa"/>
            <w:tcBorders>
              <w:top w:val="single" w:sz="4" w:space="0" w:color="BCE4CF"/>
              <w:bottom w:val="single" w:sz="4" w:space="0" w:color="BCE4CF"/>
            </w:tcBorders>
            <w:shd w:val="clear" w:color="auto" w:fill="ECF7F1"/>
          </w:tcPr>
          <w:p w14:paraId="52D251F7" w14:textId="77777777" w:rsidR="00D10DAD" w:rsidRPr="00DC7DEB" w:rsidRDefault="00D10DAD" w:rsidP="00D10DAD">
            <w:pPr>
              <w:pStyle w:val="TableTextLeft"/>
              <w:cnfStyle w:val="000000000000" w:firstRow="0" w:lastRow="0" w:firstColumn="0" w:lastColumn="0" w:oddVBand="0" w:evenVBand="0" w:oddHBand="0" w:evenHBand="0" w:firstRowFirstColumn="0" w:firstRowLastColumn="0" w:lastRowFirstColumn="0" w:lastRowLastColumn="0"/>
              <w:rPr>
                <w:rFonts w:cs="Calibri Light"/>
                <w:szCs w:val="16"/>
              </w:rPr>
            </w:pPr>
          </w:p>
        </w:tc>
        <w:tc>
          <w:tcPr>
            <w:tcW w:w="1246" w:type="dxa"/>
            <w:tcBorders>
              <w:top w:val="single" w:sz="4" w:space="0" w:color="BCE4CF"/>
              <w:bottom w:val="single" w:sz="4" w:space="0" w:color="BCE4CF"/>
            </w:tcBorders>
            <w:shd w:val="clear" w:color="auto" w:fill="F5FBF8"/>
          </w:tcPr>
          <w:p w14:paraId="699F659E" w14:textId="77777777" w:rsidR="00D10DAD" w:rsidRPr="00DC7DEB" w:rsidRDefault="00D10DAD" w:rsidP="00D10DAD">
            <w:pPr>
              <w:pStyle w:val="TableTextLeft"/>
              <w:cnfStyle w:val="000000000000" w:firstRow="0" w:lastRow="0" w:firstColumn="0" w:lastColumn="0" w:oddVBand="0" w:evenVBand="0" w:oddHBand="0" w:evenHBand="0" w:firstRowFirstColumn="0" w:firstRowLastColumn="0" w:lastRowFirstColumn="0" w:lastRowLastColumn="0"/>
              <w:rPr>
                <w:rFonts w:cs="Calibri Light"/>
                <w:szCs w:val="16"/>
              </w:rPr>
            </w:pPr>
          </w:p>
        </w:tc>
        <w:tc>
          <w:tcPr>
            <w:tcW w:w="1247" w:type="dxa"/>
            <w:tcBorders>
              <w:top w:val="single" w:sz="4" w:space="0" w:color="BCE4CF"/>
              <w:bottom w:val="single" w:sz="4" w:space="0" w:color="BCE4CF"/>
            </w:tcBorders>
            <w:shd w:val="clear" w:color="auto" w:fill="F5FBF8"/>
          </w:tcPr>
          <w:p w14:paraId="230A4607" w14:textId="77777777" w:rsidR="00D10DAD" w:rsidRPr="00DC7DEB" w:rsidRDefault="00D10DAD" w:rsidP="00D10DAD">
            <w:pPr>
              <w:pStyle w:val="TableTextLeft"/>
              <w:cnfStyle w:val="000000000000" w:firstRow="0" w:lastRow="0" w:firstColumn="0" w:lastColumn="0" w:oddVBand="0" w:evenVBand="0" w:oddHBand="0" w:evenHBand="0" w:firstRowFirstColumn="0" w:firstRowLastColumn="0" w:lastRowFirstColumn="0" w:lastRowLastColumn="0"/>
              <w:rPr>
                <w:rFonts w:cs="Calibri Light"/>
                <w:szCs w:val="16"/>
              </w:rPr>
            </w:pPr>
          </w:p>
        </w:tc>
      </w:tr>
      <w:tr w:rsidR="00516550" w:rsidRPr="00AF43B7" w14:paraId="50052E0D" w14:textId="77777777" w:rsidTr="1E3961DD">
        <w:trPr>
          <w:cantSplit/>
          <w:trHeight w:val="410"/>
        </w:trPr>
        <w:tc>
          <w:tcPr>
            <w:cnfStyle w:val="001000000000" w:firstRow="0" w:lastRow="0" w:firstColumn="1" w:lastColumn="0" w:oddVBand="0" w:evenVBand="0" w:oddHBand="0" w:evenHBand="0" w:firstRowFirstColumn="0" w:firstRowLastColumn="0" w:lastRowFirstColumn="0" w:lastRowLastColumn="0"/>
            <w:tcW w:w="834" w:type="dxa"/>
            <w:tcBorders>
              <w:top w:val="single" w:sz="4" w:space="0" w:color="BCE4CF"/>
              <w:bottom w:val="single" w:sz="4" w:space="0" w:color="BCE4CF"/>
            </w:tcBorders>
          </w:tcPr>
          <w:p w14:paraId="11950235" w14:textId="77777777" w:rsidR="002E6878" w:rsidRPr="00AD71F3" w:rsidRDefault="002E6878" w:rsidP="00FA2B7F">
            <w:pPr>
              <w:pStyle w:val="TableLeadAgency"/>
              <w:rPr>
                <w:b/>
                <w:bCs/>
              </w:rPr>
            </w:pPr>
            <w:r w:rsidRPr="00AD71F3">
              <w:rPr>
                <w:b/>
                <w:bCs/>
              </w:rPr>
              <w:t>TSY</w:t>
            </w:r>
          </w:p>
          <w:p w14:paraId="5963B989" w14:textId="105114BB" w:rsidR="0072645F" w:rsidRPr="00AD71F3" w:rsidRDefault="0072645F" w:rsidP="00FA2B7F">
            <w:pPr>
              <w:pStyle w:val="TableSecondaryAgency"/>
              <w:rPr>
                <w:b w:val="0"/>
                <w:bCs/>
                <w:lang w:val="en-AU"/>
              </w:rPr>
            </w:pPr>
            <w:r w:rsidRPr="00AD71F3">
              <w:rPr>
                <w:b w:val="0"/>
                <w:bCs/>
              </w:rPr>
              <w:t>ASIC</w:t>
            </w:r>
          </w:p>
        </w:tc>
        <w:tc>
          <w:tcPr>
            <w:tcW w:w="1222" w:type="dxa"/>
            <w:tcBorders>
              <w:top w:val="single" w:sz="4" w:space="0" w:color="BCE4CF"/>
              <w:bottom w:val="single" w:sz="4" w:space="0" w:color="BCE4CF"/>
            </w:tcBorders>
          </w:tcPr>
          <w:p w14:paraId="61D1940F" w14:textId="3DB9B03E" w:rsidR="0072645F" w:rsidRPr="00DC0A25" w:rsidRDefault="0072645F" w:rsidP="00301F93">
            <w:pPr>
              <w:pStyle w:val="TableTextLeft"/>
              <w:cnfStyle w:val="000000000000" w:firstRow="0" w:lastRow="0" w:firstColumn="0" w:lastColumn="0" w:oddVBand="0" w:evenVBand="0" w:oddHBand="0" w:evenHBand="0" w:firstRowFirstColumn="0" w:firstRowLastColumn="0" w:lastRowFirstColumn="0" w:lastRowLastColumn="0"/>
            </w:pPr>
            <w:r w:rsidRPr="00DC0A25">
              <w:t xml:space="preserve">Banking, </w:t>
            </w:r>
            <w:proofErr w:type="gramStart"/>
            <w:r w:rsidRPr="00DC0A25">
              <w:t>credit</w:t>
            </w:r>
            <w:proofErr w:type="gramEnd"/>
            <w:r w:rsidRPr="00DC0A25">
              <w:t xml:space="preserve"> and </w:t>
            </w:r>
            <w:r w:rsidRPr="00301F93">
              <w:t>lending</w:t>
            </w:r>
          </w:p>
        </w:tc>
        <w:tc>
          <w:tcPr>
            <w:tcW w:w="4468" w:type="dxa"/>
            <w:tcBorders>
              <w:top w:val="single" w:sz="4" w:space="0" w:color="BCE4CF"/>
              <w:bottom w:val="single" w:sz="4" w:space="0" w:color="BCE4CF"/>
            </w:tcBorders>
          </w:tcPr>
          <w:p w14:paraId="7B4D529D" w14:textId="04C7983D" w:rsidR="0072645F" w:rsidRPr="000A4B96" w:rsidRDefault="001D4D7F" w:rsidP="006A3EFB">
            <w:pPr>
              <w:pStyle w:val="TableLink"/>
              <w:cnfStyle w:val="000000000000" w:firstRow="0" w:lastRow="0" w:firstColumn="0" w:lastColumn="0" w:oddVBand="0" w:evenVBand="0" w:oddHBand="0" w:evenHBand="0" w:firstRowFirstColumn="0" w:firstRowLastColumn="0" w:lastRowFirstColumn="0" w:lastRowLastColumn="0"/>
              <w:rPr>
                <w:rFonts w:cs="Calibri Light"/>
                <w:b w:val="0"/>
                <w:color w:val="000000"/>
                <w:u w:val="single"/>
                <w:lang w:val="en-AU"/>
              </w:rPr>
            </w:pPr>
            <w:hyperlink r:id="rId56">
              <w:r w:rsidR="0072645F" w:rsidRPr="3B555256">
                <w:rPr>
                  <w:rStyle w:val="Hyperlink"/>
                  <w:rFonts w:cs="Calibri Light"/>
                  <w:b/>
                  <w:bCs/>
                  <w:u w:val="single"/>
                </w:rPr>
                <w:t>Buy Now, Pay Late</w:t>
              </w:r>
              <w:r w:rsidR="00457AEC">
                <w:rPr>
                  <w:rStyle w:val="Hyperlink"/>
                  <w:rFonts w:cs="Calibri Light"/>
                  <w:b/>
                  <w:bCs/>
                  <w:u w:val="single"/>
                </w:rPr>
                <w:t>r reforms</w:t>
              </w:r>
            </w:hyperlink>
          </w:p>
          <w:p w14:paraId="5B343257" w14:textId="3740C10A" w:rsidR="00431D0D" w:rsidRDefault="000F6245" w:rsidP="00830CEA">
            <w:pPr>
              <w:spacing w:before="60" w:after="60"/>
              <w:cnfStyle w:val="000000000000" w:firstRow="0" w:lastRow="0" w:firstColumn="0" w:lastColumn="0" w:oddVBand="0" w:evenVBand="0" w:oddHBand="0" w:evenHBand="0" w:firstRowFirstColumn="0" w:firstRowLastColumn="0" w:lastRowFirstColumn="0" w:lastRowLastColumn="0"/>
              <w:rPr>
                <w:rFonts w:cs="Calibri Light"/>
                <w:sz w:val="16"/>
                <w:szCs w:val="16"/>
              </w:rPr>
            </w:pPr>
            <w:r w:rsidRPr="006B3261">
              <w:rPr>
                <w:rFonts w:cs="Calibri Light"/>
                <w:sz w:val="16"/>
                <w:szCs w:val="16"/>
              </w:rPr>
              <w:t xml:space="preserve">The Treasury Laws Amendment (Responsible Buy Now Pay Later and Other Measures) Bill 2024 passed on </w:t>
            </w:r>
            <w:r w:rsidR="5CD0080E" w:rsidRPr="006B3261">
              <w:rPr>
                <w:rFonts w:cs="Calibri Light"/>
                <w:sz w:val="16"/>
                <w:szCs w:val="16"/>
              </w:rPr>
              <w:t>28</w:t>
            </w:r>
            <w:r w:rsidRPr="006B3261">
              <w:rPr>
                <w:rFonts w:cs="Calibri Light"/>
                <w:sz w:val="16"/>
                <w:szCs w:val="16"/>
              </w:rPr>
              <w:t xml:space="preserve"> November 2024.</w:t>
            </w:r>
            <w:r w:rsidR="00866B3C" w:rsidRPr="006B3261">
              <w:rPr>
                <w:rFonts w:cs="Calibri Light"/>
                <w:sz w:val="16"/>
                <w:szCs w:val="16"/>
              </w:rPr>
              <w:t xml:space="preserve"> It amended the </w:t>
            </w:r>
            <w:r w:rsidR="00866B3C" w:rsidRPr="006B3261">
              <w:rPr>
                <w:rFonts w:cs="Calibri Light"/>
                <w:i/>
                <w:sz w:val="16"/>
                <w:szCs w:val="16"/>
              </w:rPr>
              <w:t>National Consumer Credit Protection Act 2009</w:t>
            </w:r>
            <w:r w:rsidR="00866B3C" w:rsidRPr="006B3261">
              <w:rPr>
                <w:rFonts w:cs="Calibri Light"/>
                <w:sz w:val="16"/>
                <w:szCs w:val="16"/>
              </w:rPr>
              <w:t xml:space="preserve"> to regulate Buy Now, Pay Later </w:t>
            </w:r>
            <w:r w:rsidR="45702DD7" w:rsidRPr="59E174D7">
              <w:rPr>
                <w:rFonts w:cs="Calibri Light"/>
                <w:sz w:val="16"/>
                <w:szCs w:val="16"/>
              </w:rPr>
              <w:t>(</w:t>
            </w:r>
            <w:r w:rsidR="45702DD7" w:rsidRPr="40482E85">
              <w:rPr>
                <w:rFonts w:cs="Calibri Light"/>
                <w:sz w:val="16"/>
                <w:szCs w:val="16"/>
              </w:rPr>
              <w:t xml:space="preserve">BNPL) </w:t>
            </w:r>
            <w:r w:rsidR="00866B3C" w:rsidRPr="006B3261">
              <w:rPr>
                <w:rFonts w:cs="Calibri Light"/>
                <w:sz w:val="16"/>
                <w:szCs w:val="16"/>
              </w:rPr>
              <w:t xml:space="preserve">products as a form of consumer credit. </w:t>
            </w:r>
            <w:r w:rsidR="5004135A" w:rsidRPr="5E486794">
              <w:rPr>
                <w:rFonts w:cs="Calibri Light"/>
                <w:sz w:val="16"/>
                <w:szCs w:val="16"/>
              </w:rPr>
              <w:t xml:space="preserve">In the first half of </w:t>
            </w:r>
            <w:r w:rsidR="5004135A" w:rsidRPr="57ADA469">
              <w:rPr>
                <w:rFonts w:cs="Calibri Light"/>
                <w:sz w:val="16"/>
                <w:szCs w:val="16"/>
              </w:rPr>
              <w:t xml:space="preserve">2025 </w:t>
            </w:r>
            <w:r w:rsidR="690DE0DE" w:rsidRPr="57ADA469">
              <w:rPr>
                <w:rFonts w:cs="Calibri Light"/>
                <w:sz w:val="16"/>
                <w:szCs w:val="16"/>
              </w:rPr>
              <w:t>Treasury</w:t>
            </w:r>
            <w:r w:rsidR="690DE0DE" w:rsidRPr="6F14047D">
              <w:rPr>
                <w:rFonts w:cs="Calibri Light"/>
                <w:sz w:val="16"/>
                <w:szCs w:val="16"/>
              </w:rPr>
              <w:t xml:space="preserve"> will </w:t>
            </w:r>
            <w:proofErr w:type="spellStart"/>
            <w:r w:rsidR="000A488C">
              <w:rPr>
                <w:rFonts w:cs="Calibri Light"/>
                <w:sz w:val="16"/>
                <w:szCs w:val="16"/>
              </w:rPr>
              <w:t>finalise</w:t>
            </w:r>
            <w:proofErr w:type="spellEnd"/>
            <w:r w:rsidR="690DE0DE" w:rsidRPr="6F14047D">
              <w:rPr>
                <w:rFonts w:cs="Calibri Light"/>
                <w:sz w:val="16"/>
                <w:szCs w:val="16"/>
              </w:rPr>
              <w:t xml:space="preserve"> the </w:t>
            </w:r>
            <w:r w:rsidR="41D63B2F" w:rsidRPr="3F3E832F">
              <w:rPr>
                <w:rFonts w:cs="Calibri Light"/>
                <w:sz w:val="16"/>
                <w:szCs w:val="16"/>
              </w:rPr>
              <w:t xml:space="preserve">related </w:t>
            </w:r>
            <w:r w:rsidR="41D63B2F" w:rsidRPr="6A8BE2EC">
              <w:rPr>
                <w:rFonts w:cs="Calibri Light"/>
                <w:sz w:val="16"/>
                <w:szCs w:val="16"/>
              </w:rPr>
              <w:t xml:space="preserve">BNPL </w:t>
            </w:r>
            <w:r w:rsidR="690DE0DE" w:rsidRPr="6F14047D">
              <w:rPr>
                <w:rFonts w:cs="Calibri Light"/>
                <w:sz w:val="16"/>
                <w:szCs w:val="16"/>
              </w:rPr>
              <w:t>Regulations</w:t>
            </w:r>
            <w:r w:rsidR="53556C57" w:rsidRPr="57ADA469">
              <w:rPr>
                <w:rFonts w:cs="Calibri Light"/>
                <w:sz w:val="16"/>
                <w:szCs w:val="16"/>
              </w:rPr>
              <w:t>.</w:t>
            </w:r>
            <w:r w:rsidR="690DE0DE" w:rsidRPr="1776530F">
              <w:rPr>
                <w:rFonts w:cs="Calibri Light"/>
                <w:sz w:val="16"/>
                <w:szCs w:val="16"/>
              </w:rPr>
              <w:t xml:space="preserve"> </w:t>
            </w:r>
          </w:p>
          <w:p w14:paraId="249EE914" w14:textId="74C2A4E8" w:rsidR="00927C38" w:rsidRPr="000F0890" w:rsidRDefault="00FD11F3" w:rsidP="000F0890">
            <w:pPr>
              <w:spacing w:before="60" w:after="60"/>
              <w:cnfStyle w:val="000000000000" w:firstRow="0" w:lastRow="0" w:firstColumn="0" w:lastColumn="0" w:oddVBand="0" w:evenVBand="0" w:oddHBand="0" w:evenHBand="0" w:firstRowFirstColumn="0" w:firstRowLastColumn="0" w:lastRowFirstColumn="0" w:lastRowLastColumn="0"/>
              <w:rPr>
                <w:rFonts w:cs="Calibri Light"/>
                <w:sz w:val="16"/>
                <w:szCs w:val="16"/>
              </w:rPr>
            </w:pPr>
            <w:r w:rsidRPr="006B3261">
              <w:rPr>
                <w:rFonts w:cs="Calibri Light"/>
                <w:sz w:val="16"/>
                <w:szCs w:val="16"/>
              </w:rPr>
              <w:t>ASIC intends to issue regulatory guidance to assist the implementation of the legislation.</w:t>
            </w:r>
          </w:p>
        </w:tc>
        <w:tc>
          <w:tcPr>
            <w:tcW w:w="1246" w:type="dxa"/>
            <w:tcBorders>
              <w:top w:val="single" w:sz="4" w:space="0" w:color="BCE4CF"/>
              <w:bottom w:val="single" w:sz="4" w:space="0" w:color="BCE4CF"/>
            </w:tcBorders>
            <w:shd w:val="clear" w:color="auto" w:fill="ECF7F1"/>
          </w:tcPr>
          <w:p w14:paraId="7F6065C0" w14:textId="5E134E1A" w:rsidR="0072645F" w:rsidRPr="00AF43B7" w:rsidRDefault="005A4B05" w:rsidP="0072645F">
            <w:pPr>
              <w:pStyle w:val="TableTextLeft"/>
              <w:cnfStyle w:val="000000000000" w:firstRow="0" w:lastRow="0" w:firstColumn="0" w:lastColumn="0" w:oddVBand="0" w:evenVBand="0" w:oddHBand="0" w:evenHBand="0" w:firstRowFirstColumn="0" w:firstRowLastColumn="0" w:lastRowFirstColumn="0" w:lastRowLastColumn="0"/>
              <w:rPr>
                <w:szCs w:val="14"/>
                <w:lang w:val="en-AU"/>
              </w:rPr>
            </w:pPr>
            <w:r w:rsidRPr="000F20C4">
              <w:t>Consultation by ASIC on guidance</w:t>
            </w:r>
          </w:p>
        </w:tc>
        <w:tc>
          <w:tcPr>
            <w:tcW w:w="1246" w:type="dxa"/>
            <w:tcBorders>
              <w:top w:val="single" w:sz="4" w:space="0" w:color="BCE4CF"/>
              <w:bottom w:val="single" w:sz="4" w:space="0" w:color="BCE4CF"/>
            </w:tcBorders>
            <w:shd w:val="clear" w:color="auto" w:fill="ECF7F1"/>
          </w:tcPr>
          <w:p w14:paraId="302C6D83" w14:textId="4849F140" w:rsidR="0072645F" w:rsidRPr="00AF43B7" w:rsidRDefault="006A674D" w:rsidP="0072645F">
            <w:pPr>
              <w:pStyle w:val="TableTextLeft"/>
              <w:cnfStyle w:val="000000000000" w:firstRow="0" w:lastRow="0" w:firstColumn="0" w:lastColumn="0" w:oddVBand="0" w:evenVBand="0" w:oddHBand="0" w:evenHBand="0" w:firstRowFirstColumn="0" w:firstRowLastColumn="0" w:lastRowFirstColumn="0" w:lastRowLastColumn="0"/>
              <w:rPr>
                <w:szCs w:val="14"/>
                <w:lang w:val="en-AU"/>
              </w:rPr>
            </w:pPr>
            <w:r>
              <w:rPr>
                <w:szCs w:val="14"/>
                <w:lang w:val="en-AU"/>
              </w:rPr>
              <w:t>Regime will commence</w:t>
            </w:r>
          </w:p>
        </w:tc>
        <w:tc>
          <w:tcPr>
            <w:tcW w:w="1246" w:type="dxa"/>
            <w:tcBorders>
              <w:top w:val="single" w:sz="4" w:space="0" w:color="BCE4CF"/>
              <w:bottom w:val="single" w:sz="4" w:space="0" w:color="BCE4CF"/>
            </w:tcBorders>
            <w:shd w:val="clear" w:color="auto" w:fill="ECF7F1"/>
          </w:tcPr>
          <w:p w14:paraId="337210AF" w14:textId="77777777" w:rsidR="0072645F" w:rsidRPr="00AF43B7" w:rsidRDefault="0072645F" w:rsidP="0072645F">
            <w:pPr>
              <w:pStyle w:val="TableTextLeft"/>
              <w:cnfStyle w:val="000000000000" w:firstRow="0" w:lastRow="0" w:firstColumn="0" w:lastColumn="0" w:oddVBand="0" w:evenVBand="0" w:oddHBand="0" w:evenHBand="0" w:firstRowFirstColumn="0" w:firstRowLastColumn="0" w:lastRowFirstColumn="0" w:lastRowLastColumn="0"/>
              <w:rPr>
                <w:szCs w:val="14"/>
                <w:lang w:val="en-AU"/>
              </w:rPr>
            </w:pPr>
          </w:p>
        </w:tc>
        <w:tc>
          <w:tcPr>
            <w:tcW w:w="1247" w:type="dxa"/>
            <w:tcBorders>
              <w:top w:val="single" w:sz="4" w:space="0" w:color="BCE4CF"/>
              <w:bottom w:val="single" w:sz="4" w:space="0" w:color="BCE4CF"/>
            </w:tcBorders>
            <w:shd w:val="clear" w:color="auto" w:fill="ECF7F1"/>
          </w:tcPr>
          <w:p w14:paraId="39F6D81A" w14:textId="77777777" w:rsidR="0072645F" w:rsidRPr="00AF43B7" w:rsidRDefault="0072645F" w:rsidP="0072645F">
            <w:pPr>
              <w:pStyle w:val="TableTextLeft"/>
              <w:cnfStyle w:val="000000000000" w:firstRow="0" w:lastRow="0" w:firstColumn="0" w:lastColumn="0" w:oddVBand="0" w:evenVBand="0" w:oddHBand="0" w:evenHBand="0" w:firstRowFirstColumn="0" w:firstRowLastColumn="0" w:lastRowFirstColumn="0" w:lastRowLastColumn="0"/>
              <w:rPr>
                <w:szCs w:val="14"/>
                <w:lang w:val="en-AU"/>
              </w:rPr>
            </w:pPr>
          </w:p>
        </w:tc>
        <w:tc>
          <w:tcPr>
            <w:tcW w:w="1246" w:type="dxa"/>
            <w:tcBorders>
              <w:top w:val="single" w:sz="4" w:space="0" w:color="BCE4CF"/>
              <w:bottom w:val="single" w:sz="4" w:space="0" w:color="BCE4CF"/>
            </w:tcBorders>
            <w:shd w:val="clear" w:color="auto" w:fill="F5FBF8"/>
          </w:tcPr>
          <w:p w14:paraId="4DCD1EB5" w14:textId="77777777" w:rsidR="0072645F" w:rsidRPr="00AF43B7" w:rsidRDefault="0072645F" w:rsidP="0072645F">
            <w:pPr>
              <w:pStyle w:val="TableTextLeft"/>
              <w:cnfStyle w:val="000000000000" w:firstRow="0" w:lastRow="0" w:firstColumn="0" w:lastColumn="0" w:oddVBand="0" w:evenVBand="0" w:oddHBand="0" w:evenHBand="0" w:firstRowFirstColumn="0" w:firstRowLastColumn="0" w:lastRowFirstColumn="0" w:lastRowLastColumn="0"/>
              <w:rPr>
                <w:szCs w:val="14"/>
                <w:lang w:val="en-AU"/>
              </w:rPr>
            </w:pPr>
          </w:p>
        </w:tc>
        <w:tc>
          <w:tcPr>
            <w:tcW w:w="1247" w:type="dxa"/>
            <w:tcBorders>
              <w:top w:val="single" w:sz="4" w:space="0" w:color="BCE4CF"/>
              <w:bottom w:val="single" w:sz="4" w:space="0" w:color="BCE4CF"/>
            </w:tcBorders>
            <w:shd w:val="clear" w:color="auto" w:fill="F5FBF8"/>
          </w:tcPr>
          <w:p w14:paraId="511FE79C" w14:textId="77777777" w:rsidR="0072645F" w:rsidRPr="00AF43B7" w:rsidRDefault="0072645F" w:rsidP="0072645F">
            <w:pPr>
              <w:pStyle w:val="TableTextLeft"/>
              <w:cnfStyle w:val="000000000000" w:firstRow="0" w:lastRow="0" w:firstColumn="0" w:lastColumn="0" w:oddVBand="0" w:evenVBand="0" w:oddHBand="0" w:evenHBand="0" w:firstRowFirstColumn="0" w:firstRowLastColumn="0" w:lastRowFirstColumn="0" w:lastRowLastColumn="0"/>
              <w:rPr>
                <w:szCs w:val="14"/>
                <w:lang w:val="en-AU"/>
              </w:rPr>
            </w:pPr>
          </w:p>
        </w:tc>
      </w:tr>
      <w:tr w:rsidR="00516550" w:rsidRPr="00AF43B7" w14:paraId="4F066CA9" w14:textId="77777777" w:rsidTr="1E3961DD">
        <w:trPr>
          <w:cantSplit/>
          <w:trHeight w:val="410"/>
        </w:trPr>
        <w:tc>
          <w:tcPr>
            <w:cnfStyle w:val="001000000000" w:firstRow="0" w:lastRow="0" w:firstColumn="1" w:lastColumn="0" w:oddVBand="0" w:evenVBand="0" w:oddHBand="0" w:evenHBand="0" w:firstRowFirstColumn="0" w:firstRowLastColumn="0" w:lastRowFirstColumn="0" w:lastRowLastColumn="0"/>
            <w:tcW w:w="834" w:type="dxa"/>
            <w:tcBorders>
              <w:top w:val="single" w:sz="4" w:space="0" w:color="BCE4CF"/>
              <w:bottom w:val="single" w:sz="4" w:space="0" w:color="BCE4CF"/>
            </w:tcBorders>
          </w:tcPr>
          <w:p w14:paraId="42E88486" w14:textId="77777777" w:rsidR="00B60F68" w:rsidRPr="00AD71F3" w:rsidRDefault="00B60F68" w:rsidP="00FA2B7F">
            <w:pPr>
              <w:pStyle w:val="TableLeadAgency"/>
              <w:rPr>
                <w:b/>
                <w:bCs/>
                <w:lang w:val="en-AU"/>
              </w:rPr>
            </w:pPr>
            <w:r w:rsidRPr="00AD71F3">
              <w:rPr>
                <w:b/>
                <w:bCs/>
              </w:rPr>
              <w:t xml:space="preserve">TSY </w:t>
            </w:r>
          </w:p>
          <w:p w14:paraId="677D25C0" w14:textId="0740BADA" w:rsidR="00B60F68" w:rsidRPr="00AD71F3" w:rsidRDefault="00B60F68" w:rsidP="00FA2B7F">
            <w:pPr>
              <w:pStyle w:val="TableSecondaryAgency"/>
              <w:rPr>
                <w:b w:val="0"/>
                <w:bCs/>
                <w:lang w:val="en-AU"/>
              </w:rPr>
            </w:pPr>
            <w:r w:rsidRPr="00AD71F3">
              <w:rPr>
                <w:b w:val="0"/>
                <w:bCs/>
              </w:rPr>
              <w:t>ACCC</w:t>
            </w:r>
          </w:p>
        </w:tc>
        <w:tc>
          <w:tcPr>
            <w:tcW w:w="1222" w:type="dxa"/>
            <w:tcBorders>
              <w:top w:val="single" w:sz="4" w:space="0" w:color="BCE4CF"/>
              <w:bottom w:val="single" w:sz="4" w:space="0" w:color="BCE4CF"/>
            </w:tcBorders>
          </w:tcPr>
          <w:p w14:paraId="471E34DB" w14:textId="2349A381" w:rsidR="00B60F68" w:rsidRPr="00DC0A25" w:rsidRDefault="00B60F68" w:rsidP="00301F93">
            <w:pPr>
              <w:pStyle w:val="TableTextLeft"/>
              <w:cnfStyle w:val="000000000000" w:firstRow="0" w:lastRow="0" w:firstColumn="0" w:lastColumn="0" w:oddVBand="0" w:evenVBand="0" w:oddHBand="0" w:evenHBand="0" w:firstRowFirstColumn="0" w:firstRowLastColumn="0" w:lastRowFirstColumn="0" w:lastRowLastColumn="0"/>
            </w:pPr>
            <w:r w:rsidRPr="00301F93">
              <w:t>Banking</w:t>
            </w:r>
            <w:r w:rsidRPr="00DC0A25">
              <w:t xml:space="preserve">, </w:t>
            </w:r>
            <w:proofErr w:type="gramStart"/>
            <w:r w:rsidRPr="00DC0A25">
              <w:t>credit</w:t>
            </w:r>
            <w:proofErr w:type="gramEnd"/>
            <w:r w:rsidRPr="00DC0A25">
              <w:t xml:space="preserve"> and lending</w:t>
            </w:r>
          </w:p>
        </w:tc>
        <w:tc>
          <w:tcPr>
            <w:tcW w:w="4468" w:type="dxa"/>
            <w:tcBorders>
              <w:top w:val="single" w:sz="4" w:space="0" w:color="BCE4CF"/>
              <w:bottom w:val="single" w:sz="4" w:space="0" w:color="BCE4CF"/>
            </w:tcBorders>
          </w:tcPr>
          <w:p w14:paraId="32C670C5" w14:textId="70C9A38A" w:rsidR="00B60F68" w:rsidRPr="000A4B96" w:rsidRDefault="001D4D7F" w:rsidP="006A3EFB">
            <w:pPr>
              <w:pStyle w:val="TableLink"/>
              <w:cnfStyle w:val="000000000000" w:firstRow="0" w:lastRow="0" w:firstColumn="0" w:lastColumn="0" w:oddVBand="0" w:evenVBand="0" w:oddHBand="0" w:evenHBand="0" w:firstRowFirstColumn="0" w:firstRowLastColumn="0" w:lastRowFirstColumn="0" w:lastRowLastColumn="0"/>
              <w:rPr>
                <w:rFonts w:cs="Calibri Light"/>
                <w:b w:val="0"/>
                <w:bCs/>
                <w:szCs w:val="16"/>
                <w:u w:val="single"/>
              </w:rPr>
            </w:pPr>
            <w:hyperlink r:id="rId57" w:history="1">
              <w:r w:rsidR="00B60F68" w:rsidRPr="000A4B96">
                <w:rPr>
                  <w:rStyle w:val="Hyperlink"/>
                  <w:rFonts w:cs="Calibri Light"/>
                  <w:b/>
                  <w:bCs/>
                  <w:szCs w:val="16"/>
                  <w:u w:val="single"/>
                </w:rPr>
                <w:t>Consumer Data Right</w:t>
              </w:r>
              <w:r w:rsidR="00626CE4" w:rsidRPr="000A4B96">
                <w:rPr>
                  <w:rStyle w:val="Hyperlink"/>
                  <w:rFonts w:cs="Calibri Light"/>
                  <w:b/>
                  <w:bCs/>
                  <w:szCs w:val="16"/>
                  <w:u w:val="single"/>
                </w:rPr>
                <w:t xml:space="preserve"> (CDR)</w:t>
              </w:r>
              <w:r w:rsidR="00B60F68" w:rsidRPr="000A4B96">
                <w:rPr>
                  <w:rStyle w:val="Hyperlink"/>
                  <w:rFonts w:cs="Calibri Light"/>
                  <w:b/>
                  <w:bCs/>
                  <w:szCs w:val="16"/>
                  <w:u w:val="single"/>
                </w:rPr>
                <w:t xml:space="preserve"> Rules v8 (Non</w:t>
              </w:r>
              <w:r w:rsidR="0008745D">
                <w:rPr>
                  <w:rStyle w:val="Hyperlink"/>
                  <w:rFonts w:cs="Calibri Light"/>
                  <w:b/>
                  <w:bCs/>
                  <w:szCs w:val="16"/>
                  <w:u w:val="single"/>
                </w:rPr>
                <w:noBreakHyphen/>
              </w:r>
              <w:r w:rsidR="00B60F68" w:rsidRPr="000A4B96">
                <w:rPr>
                  <w:rStyle w:val="Hyperlink"/>
                  <w:rFonts w:cs="Calibri Light"/>
                  <w:b/>
                  <w:bCs/>
                  <w:szCs w:val="16"/>
                  <w:u w:val="single"/>
                </w:rPr>
                <w:t>bank lending Rules and operational enhancements)</w:t>
              </w:r>
            </w:hyperlink>
          </w:p>
          <w:p w14:paraId="2F784184" w14:textId="6AB43056" w:rsidR="00656ADB" w:rsidRPr="000F0890" w:rsidRDefault="00B60F68" w:rsidP="00656ADB">
            <w:pPr>
              <w:pStyle w:val="TableTextLeft"/>
              <w:cnfStyle w:val="000000000000" w:firstRow="0" w:lastRow="0" w:firstColumn="0" w:lastColumn="0" w:oddVBand="0" w:evenVBand="0" w:oddHBand="0" w:evenHBand="0" w:firstRowFirstColumn="0" w:firstRowLastColumn="0" w:lastRowFirstColumn="0" w:lastRowLastColumn="0"/>
              <w:rPr>
                <w:rFonts w:cs="Calibri Light"/>
              </w:rPr>
            </w:pPr>
            <w:r w:rsidRPr="57F86FDA">
              <w:rPr>
                <w:rFonts w:cs="Calibri Light"/>
              </w:rPr>
              <w:t xml:space="preserve">Changes to the CDR Rules and standards (through the Data </w:t>
            </w:r>
            <w:r w:rsidRPr="00DC0A25">
              <w:t xml:space="preserve">Standards Body) </w:t>
            </w:r>
            <w:r w:rsidR="00B83E11" w:rsidRPr="00DC0A25">
              <w:t xml:space="preserve">will </w:t>
            </w:r>
            <w:r w:rsidRPr="00DC0A25">
              <w:t>implement mandatory non</w:t>
            </w:r>
            <w:r w:rsidR="0008745D" w:rsidRPr="00DC0A25">
              <w:noBreakHyphen/>
            </w:r>
            <w:r w:rsidRPr="00DC0A25">
              <w:t>bank lending sector participation, address industry costs and support key use cases. The Government has announced that amendments to the CDR Rules will be made in early 2025 and CDR obligations for non</w:t>
            </w:r>
            <w:r w:rsidR="0008745D" w:rsidRPr="00DC0A25">
              <w:noBreakHyphen/>
            </w:r>
            <w:r w:rsidRPr="00DC0A25">
              <w:t>bank lenders will commence from mid</w:t>
            </w:r>
            <w:r w:rsidR="0008745D" w:rsidRPr="00DC0A25">
              <w:noBreakHyphen/>
            </w:r>
            <w:r w:rsidRPr="00DC0A25">
              <w:t>2026.</w:t>
            </w:r>
          </w:p>
        </w:tc>
        <w:tc>
          <w:tcPr>
            <w:tcW w:w="1246" w:type="dxa"/>
            <w:tcBorders>
              <w:top w:val="single" w:sz="4" w:space="0" w:color="BCE4CF"/>
              <w:bottom w:val="single" w:sz="4" w:space="0" w:color="BCE4CF"/>
            </w:tcBorders>
            <w:shd w:val="clear" w:color="auto" w:fill="ECF7F1"/>
          </w:tcPr>
          <w:p w14:paraId="337628C4" w14:textId="7CE47564" w:rsidR="00B60F68" w:rsidRPr="00AF43B7" w:rsidRDefault="0076485A" w:rsidP="0076485A">
            <w:pPr>
              <w:pStyle w:val="TableTextLeft"/>
              <w:cnfStyle w:val="000000000000" w:firstRow="0" w:lastRow="0" w:firstColumn="0" w:lastColumn="0" w:oddVBand="0" w:evenVBand="0" w:oddHBand="0" w:evenHBand="0" w:firstRowFirstColumn="0" w:firstRowLastColumn="0" w:lastRowFirstColumn="0" w:lastRowLastColumn="0"/>
              <w:rPr>
                <w:szCs w:val="14"/>
                <w:lang w:val="en-AU"/>
              </w:rPr>
            </w:pPr>
            <w:r w:rsidRPr="0076485A">
              <w:rPr>
                <w:szCs w:val="14"/>
                <w:lang w:val="en-AU"/>
              </w:rPr>
              <w:t>Amendments to CDR Rules commence</w:t>
            </w:r>
          </w:p>
        </w:tc>
        <w:tc>
          <w:tcPr>
            <w:tcW w:w="1246" w:type="dxa"/>
            <w:tcBorders>
              <w:top w:val="single" w:sz="4" w:space="0" w:color="BCE4CF"/>
              <w:bottom w:val="single" w:sz="4" w:space="0" w:color="BCE4CF"/>
            </w:tcBorders>
            <w:shd w:val="clear" w:color="auto" w:fill="ECF7F1"/>
          </w:tcPr>
          <w:p w14:paraId="5706A970" w14:textId="77777777" w:rsidR="00B60F68" w:rsidRPr="00AF43B7" w:rsidRDefault="00B60F68" w:rsidP="00B60F68">
            <w:pPr>
              <w:pStyle w:val="TableTextLeft"/>
              <w:cnfStyle w:val="000000000000" w:firstRow="0" w:lastRow="0" w:firstColumn="0" w:lastColumn="0" w:oddVBand="0" w:evenVBand="0" w:oddHBand="0" w:evenHBand="0" w:firstRowFirstColumn="0" w:firstRowLastColumn="0" w:lastRowFirstColumn="0" w:lastRowLastColumn="0"/>
              <w:rPr>
                <w:szCs w:val="14"/>
                <w:lang w:val="en-AU"/>
              </w:rPr>
            </w:pPr>
          </w:p>
        </w:tc>
        <w:tc>
          <w:tcPr>
            <w:tcW w:w="1246" w:type="dxa"/>
            <w:tcBorders>
              <w:top w:val="single" w:sz="4" w:space="0" w:color="BCE4CF"/>
              <w:bottom w:val="single" w:sz="4" w:space="0" w:color="BCE4CF"/>
            </w:tcBorders>
            <w:shd w:val="clear" w:color="auto" w:fill="ECF7F1"/>
          </w:tcPr>
          <w:p w14:paraId="359F1D68" w14:textId="77777777" w:rsidR="00B60F68" w:rsidRPr="00AF43B7" w:rsidRDefault="00B60F68" w:rsidP="00B60F68">
            <w:pPr>
              <w:pStyle w:val="TableTextLeft"/>
              <w:cnfStyle w:val="000000000000" w:firstRow="0" w:lastRow="0" w:firstColumn="0" w:lastColumn="0" w:oddVBand="0" w:evenVBand="0" w:oddHBand="0" w:evenHBand="0" w:firstRowFirstColumn="0" w:firstRowLastColumn="0" w:lastRowFirstColumn="0" w:lastRowLastColumn="0"/>
              <w:rPr>
                <w:szCs w:val="14"/>
                <w:lang w:val="en-AU"/>
              </w:rPr>
            </w:pPr>
          </w:p>
        </w:tc>
        <w:tc>
          <w:tcPr>
            <w:tcW w:w="1247" w:type="dxa"/>
            <w:tcBorders>
              <w:top w:val="single" w:sz="4" w:space="0" w:color="BCE4CF"/>
              <w:bottom w:val="single" w:sz="4" w:space="0" w:color="BCE4CF"/>
            </w:tcBorders>
            <w:shd w:val="clear" w:color="auto" w:fill="ECF7F1"/>
          </w:tcPr>
          <w:p w14:paraId="3437F1F4" w14:textId="77777777" w:rsidR="00B60F68" w:rsidRPr="00AF43B7" w:rsidRDefault="00B60F68" w:rsidP="00B60F68">
            <w:pPr>
              <w:pStyle w:val="TableTextLeft"/>
              <w:cnfStyle w:val="000000000000" w:firstRow="0" w:lastRow="0" w:firstColumn="0" w:lastColumn="0" w:oddVBand="0" w:evenVBand="0" w:oddHBand="0" w:evenHBand="0" w:firstRowFirstColumn="0" w:firstRowLastColumn="0" w:lastRowFirstColumn="0" w:lastRowLastColumn="0"/>
              <w:rPr>
                <w:szCs w:val="14"/>
                <w:lang w:val="en-AU"/>
              </w:rPr>
            </w:pPr>
          </w:p>
        </w:tc>
        <w:tc>
          <w:tcPr>
            <w:tcW w:w="1246" w:type="dxa"/>
            <w:tcBorders>
              <w:top w:val="single" w:sz="4" w:space="0" w:color="BCE4CF"/>
              <w:bottom w:val="single" w:sz="4" w:space="0" w:color="BCE4CF"/>
            </w:tcBorders>
            <w:shd w:val="clear" w:color="auto" w:fill="F5FBF8"/>
          </w:tcPr>
          <w:p w14:paraId="6149E8F1" w14:textId="50417147" w:rsidR="00B60F68" w:rsidRPr="00AF43B7" w:rsidRDefault="00B60F68" w:rsidP="00B60F68">
            <w:pPr>
              <w:pStyle w:val="TableTextLeft"/>
              <w:cnfStyle w:val="000000000000" w:firstRow="0" w:lastRow="0" w:firstColumn="0" w:lastColumn="0" w:oddVBand="0" w:evenVBand="0" w:oddHBand="0" w:evenHBand="0" w:firstRowFirstColumn="0" w:firstRowLastColumn="0" w:lastRowFirstColumn="0" w:lastRowLastColumn="0"/>
              <w:rPr>
                <w:szCs w:val="14"/>
                <w:lang w:val="en-AU"/>
              </w:rPr>
            </w:pPr>
          </w:p>
        </w:tc>
        <w:tc>
          <w:tcPr>
            <w:tcW w:w="1247" w:type="dxa"/>
            <w:tcBorders>
              <w:top w:val="single" w:sz="4" w:space="0" w:color="BCE4CF"/>
              <w:bottom w:val="single" w:sz="4" w:space="0" w:color="BCE4CF"/>
            </w:tcBorders>
            <w:shd w:val="clear" w:color="auto" w:fill="F5FBF8"/>
          </w:tcPr>
          <w:p w14:paraId="6B7A5471" w14:textId="59018204" w:rsidR="00B60F68" w:rsidRPr="00AF43B7" w:rsidRDefault="176716E4" w:rsidP="00B60F68">
            <w:pPr>
              <w:pStyle w:val="TableTextLeft"/>
              <w:cnfStyle w:val="000000000000" w:firstRow="0" w:lastRow="0" w:firstColumn="0" w:lastColumn="0" w:oddVBand="0" w:evenVBand="0" w:oddHBand="0" w:evenHBand="0" w:firstRowFirstColumn="0" w:firstRowLastColumn="0" w:lastRowFirstColumn="0" w:lastRowLastColumn="0"/>
              <w:rPr>
                <w:lang w:val="en-AU"/>
              </w:rPr>
            </w:pPr>
            <w:r w:rsidRPr="27463E2B">
              <w:rPr>
                <w:lang w:val="en-AU"/>
              </w:rPr>
              <w:t xml:space="preserve">Phased </w:t>
            </w:r>
            <w:r w:rsidR="00E33A7E">
              <w:rPr>
                <w:lang w:val="en-AU"/>
              </w:rPr>
              <w:t>o</w:t>
            </w:r>
            <w:r w:rsidR="00344B79" w:rsidRPr="27463E2B">
              <w:rPr>
                <w:lang w:val="en-AU"/>
              </w:rPr>
              <w:t>bligations for non</w:t>
            </w:r>
            <w:r w:rsidR="0008745D">
              <w:rPr>
                <w:lang w:val="en-AU"/>
              </w:rPr>
              <w:noBreakHyphen/>
            </w:r>
            <w:r w:rsidR="00344B79" w:rsidRPr="27463E2B">
              <w:rPr>
                <w:lang w:val="en-AU"/>
              </w:rPr>
              <w:t>bank lenders commence (subject to CDR Rules being amended)</w:t>
            </w:r>
          </w:p>
        </w:tc>
      </w:tr>
      <w:tr w:rsidR="00516550" w:rsidRPr="00AF43B7" w14:paraId="563CDF3E" w14:textId="77777777" w:rsidTr="1E3961DD">
        <w:trPr>
          <w:cantSplit/>
          <w:trHeight w:val="410"/>
        </w:trPr>
        <w:tc>
          <w:tcPr>
            <w:cnfStyle w:val="001000000000" w:firstRow="0" w:lastRow="0" w:firstColumn="1" w:lastColumn="0" w:oddVBand="0" w:evenVBand="0" w:oddHBand="0" w:evenHBand="0" w:firstRowFirstColumn="0" w:firstRowLastColumn="0" w:lastRowFirstColumn="0" w:lastRowLastColumn="0"/>
            <w:tcW w:w="834" w:type="dxa"/>
            <w:tcBorders>
              <w:top w:val="single" w:sz="4" w:space="0" w:color="BCE4CF"/>
              <w:bottom w:val="single" w:sz="4" w:space="0" w:color="BCE4CF"/>
            </w:tcBorders>
          </w:tcPr>
          <w:p w14:paraId="448361BE" w14:textId="46560B8C" w:rsidR="00EF4F24" w:rsidRPr="00AD71F3" w:rsidRDefault="00EF4F24" w:rsidP="005C71C9">
            <w:pPr>
              <w:pStyle w:val="TableLeadAgency"/>
              <w:rPr>
                <w:b/>
                <w:bCs/>
                <w:lang w:val="en-AU"/>
              </w:rPr>
            </w:pPr>
            <w:r w:rsidRPr="00AD71F3">
              <w:rPr>
                <w:b/>
                <w:bCs/>
              </w:rPr>
              <w:t>TSY</w:t>
            </w:r>
          </w:p>
        </w:tc>
        <w:tc>
          <w:tcPr>
            <w:tcW w:w="1222" w:type="dxa"/>
            <w:tcBorders>
              <w:top w:val="single" w:sz="4" w:space="0" w:color="BCE4CF"/>
              <w:bottom w:val="single" w:sz="4" w:space="0" w:color="BCE4CF"/>
            </w:tcBorders>
          </w:tcPr>
          <w:p w14:paraId="7F498166" w14:textId="10AE525F" w:rsidR="00EF4F24" w:rsidRPr="00EF4F24" w:rsidRDefault="00EF4F24" w:rsidP="00301F93">
            <w:pPr>
              <w:pStyle w:val="TableTextLeft"/>
              <w:cnfStyle w:val="000000000000" w:firstRow="0" w:lastRow="0" w:firstColumn="0" w:lastColumn="0" w:oddVBand="0" w:evenVBand="0" w:oddHBand="0" w:evenHBand="0" w:firstRowFirstColumn="0" w:firstRowLastColumn="0" w:lastRowFirstColumn="0" w:lastRowLastColumn="0"/>
              <w:rPr>
                <w:lang w:val="en-AU"/>
              </w:rPr>
            </w:pPr>
            <w:r w:rsidRPr="00301F93">
              <w:t>Banking</w:t>
            </w:r>
            <w:r w:rsidRPr="00F534FF">
              <w:t xml:space="preserve">, </w:t>
            </w:r>
            <w:proofErr w:type="gramStart"/>
            <w:r w:rsidRPr="00F534FF">
              <w:t>credit</w:t>
            </w:r>
            <w:proofErr w:type="gramEnd"/>
            <w:r w:rsidRPr="00F534FF">
              <w:t xml:space="preserve"> and lending</w:t>
            </w:r>
          </w:p>
        </w:tc>
        <w:tc>
          <w:tcPr>
            <w:tcW w:w="4468" w:type="dxa"/>
            <w:tcBorders>
              <w:top w:val="single" w:sz="4" w:space="0" w:color="BCE4CF"/>
              <w:bottom w:val="single" w:sz="4" w:space="0" w:color="BCE4CF"/>
            </w:tcBorders>
          </w:tcPr>
          <w:p w14:paraId="5A4B4001" w14:textId="38CEC7C7" w:rsidR="00EF4F24" w:rsidRPr="000A4B96" w:rsidRDefault="001D4D7F" w:rsidP="006A3EFB">
            <w:pPr>
              <w:pStyle w:val="TableLink"/>
              <w:cnfStyle w:val="000000000000" w:firstRow="0" w:lastRow="0" w:firstColumn="0" w:lastColumn="0" w:oddVBand="0" w:evenVBand="0" w:oddHBand="0" w:evenHBand="0" w:firstRowFirstColumn="0" w:firstRowLastColumn="0" w:lastRowFirstColumn="0" w:lastRowLastColumn="0"/>
              <w:rPr>
                <w:rFonts w:cs="Calibri Light"/>
                <w:b w:val="0"/>
                <w:bCs/>
                <w:color w:val="000000"/>
                <w:szCs w:val="16"/>
                <w:u w:val="single"/>
                <w:lang w:val="en-AU"/>
              </w:rPr>
            </w:pPr>
            <w:hyperlink r:id="rId58" w:history="1">
              <w:r w:rsidR="00EF4F24" w:rsidRPr="000A4B96">
                <w:rPr>
                  <w:rStyle w:val="Hyperlink"/>
                  <w:rFonts w:cs="Calibri Light"/>
                  <w:b/>
                  <w:bCs/>
                  <w:szCs w:val="16"/>
                  <w:u w:val="single"/>
                </w:rPr>
                <w:t>Government</w:t>
              </w:r>
              <w:r w:rsidR="0008745D">
                <w:rPr>
                  <w:rStyle w:val="Hyperlink"/>
                  <w:rFonts w:cs="Calibri Light"/>
                  <w:b/>
                  <w:bCs/>
                  <w:szCs w:val="16"/>
                  <w:u w:val="single"/>
                </w:rPr>
                <w:t>’</w:t>
              </w:r>
              <w:r w:rsidR="00EF4F24" w:rsidRPr="000A4B96">
                <w:rPr>
                  <w:rStyle w:val="Hyperlink"/>
                  <w:rFonts w:cs="Calibri Light"/>
                  <w:b/>
                  <w:bCs/>
                  <w:szCs w:val="16"/>
                  <w:u w:val="single"/>
                </w:rPr>
                <w:t>s response to the Retail Deposit and Home Loan Price inquiries</w:t>
              </w:r>
            </w:hyperlink>
          </w:p>
          <w:p w14:paraId="26905479" w14:textId="70187F40" w:rsidR="008E6E65" w:rsidRDefault="00EF4F24" w:rsidP="00301F93">
            <w:pPr>
              <w:pStyle w:val="TableTextLeft"/>
              <w:cnfStyle w:val="000000000000" w:firstRow="0" w:lastRow="0" w:firstColumn="0" w:lastColumn="0" w:oddVBand="0" w:evenVBand="0" w:oddHBand="0" w:evenHBand="0" w:firstRowFirstColumn="0" w:firstRowLastColumn="0" w:lastRowFirstColumn="0" w:lastRowLastColumn="0"/>
            </w:pPr>
            <w:r w:rsidRPr="00301F93">
              <w:t>The</w:t>
            </w:r>
            <w:r w:rsidRPr="00F534FF">
              <w:t xml:space="preserve"> Government </w:t>
            </w:r>
            <w:r w:rsidR="00A74011">
              <w:t xml:space="preserve">announced </w:t>
            </w:r>
            <w:r w:rsidR="003E70B3">
              <w:t>in</w:t>
            </w:r>
            <w:r w:rsidR="00A74011">
              <w:t xml:space="preserve"> June</w:t>
            </w:r>
            <w:r w:rsidR="003F0D08">
              <w:t> </w:t>
            </w:r>
            <w:r w:rsidR="00A74011">
              <w:t xml:space="preserve">2024 </w:t>
            </w:r>
            <w:r w:rsidR="00E1375E">
              <w:t xml:space="preserve">that </w:t>
            </w:r>
            <w:r w:rsidR="00A74011">
              <w:t xml:space="preserve">it </w:t>
            </w:r>
            <w:r w:rsidRPr="00F534FF">
              <w:t xml:space="preserve">will help Australians </w:t>
            </w:r>
            <w:r w:rsidRPr="00F534FF">
              <w:rPr>
                <w:rStyle w:val="Hyperlink"/>
                <w:rFonts w:cs="Calibri Light"/>
                <w:b w:val="0"/>
                <w:color w:val="auto"/>
                <w:szCs w:val="16"/>
              </w:rPr>
              <w:t>find and switch to better mortgage deals</w:t>
            </w:r>
            <w:r w:rsidRPr="00F534FF">
              <w:t xml:space="preserve"> and get better interest rates on their savings accounts through a range of measures. </w:t>
            </w:r>
            <w:r w:rsidR="005C60C8" w:rsidRPr="00790EE3">
              <w:t xml:space="preserve">Measures </w:t>
            </w:r>
            <w:proofErr w:type="gramStart"/>
            <w:r w:rsidR="005C60C8" w:rsidRPr="00790EE3">
              <w:t>include:</w:t>
            </w:r>
            <w:proofErr w:type="gramEnd"/>
            <w:r w:rsidR="005C60C8" w:rsidRPr="00790EE3">
              <w:t xml:space="preserve"> improving banks</w:t>
            </w:r>
            <w:r w:rsidR="0008745D">
              <w:t>’</w:t>
            </w:r>
            <w:r w:rsidR="005C60C8" w:rsidRPr="00790EE3">
              <w:t xml:space="preserve"> communications around interest rates on transaction or savings accounts, strengthening financial product comparison website disclosures, streamlining access to mortgage discharge forms, and investigating the prompting of consumers.</w:t>
            </w:r>
            <w:r w:rsidR="005C60C8">
              <w:t xml:space="preserve"> </w:t>
            </w:r>
          </w:p>
          <w:p w14:paraId="3DA31BA7" w14:textId="562586EE" w:rsidR="00EC5604" w:rsidRPr="000F0890" w:rsidRDefault="00F96617" w:rsidP="00EC5604">
            <w:pPr>
              <w:pStyle w:val="TableTextLeft"/>
              <w:cnfStyle w:val="000000000000" w:firstRow="0" w:lastRow="0" w:firstColumn="0" w:lastColumn="0" w:oddVBand="0" w:evenVBand="0" w:oddHBand="0" w:evenHBand="0" w:firstRowFirstColumn="0" w:firstRowLastColumn="0" w:lastRowFirstColumn="0" w:lastRowLastColumn="0"/>
            </w:pPr>
            <w:r>
              <w:t>T</w:t>
            </w:r>
            <w:r w:rsidRPr="009A3724">
              <w:t xml:space="preserve">iming of </w:t>
            </w:r>
            <w:r>
              <w:t xml:space="preserve">further </w:t>
            </w:r>
            <w:r w:rsidR="000C08A3">
              <w:t xml:space="preserve">legislative </w:t>
            </w:r>
            <w:r>
              <w:t>work will be announced in due course.</w:t>
            </w:r>
          </w:p>
        </w:tc>
        <w:tc>
          <w:tcPr>
            <w:tcW w:w="1246" w:type="dxa"/>
            <w:tcBorders>
              <w:top w:val="single" w:sz="4" w:space="0" w:color="BCE4CF"/>
              <w:bottom w:val="single" w:sz="4" w:space="0" w:color="BCE4CF"/>
            </w:tcBorders>
            <w:shd w:val="clear" w:color="auto" w:fill="ECF7F1"/>
          </w:tcPr>
          <w:p w14:paraId="3568B8CD" w14:textId="77777777" w:rsidR="00EF4F24" w:rsidRPr="00AF43B7" w:rsidRDefault="00EF4F24" w:rsidP="00EF4F24">
            <w:pPr>
              <w:pStyle w:val="TableTextLeft"/>
              <w:cnfStyle w:val="000000000000" w:firstRow="0" w:lastRow="0" w:firstColumn="0" w:lastColumn="0" w:oddVBand="0" w:evenVBand="0" w:oddHBand="0" w:evenHBand="0" w:firstRowFirstColumn="0" w:firstRowLastColumn="0" w:lastRowFirstColumn="0" w:lastRowLastColumn="0"/>
              <w:rPr>
                <w:szCs w:val="14"/>
                <w:lang w:val="en-AU"/>
              </w:rPr>
            </w:pPr>
          </w:p>
        </w:tc>
        <w:tc>
          <w:tcPr>
            <w:tcW w:w="1246" w:type="dxa"/>
            <w:tcBorders>
              <w:top w:val="single" w:sz="4" w:space="0" w:color="BCE4CF"/>
              <w:bottom w:val="single" w:sz="4" w:space="0" w:color="BCE4CF"/>
            </w:tcBorders>
            <w:shd w:val="clear" w:color="auto" w:fill="ECF7F1"/>
          </w:tcPr>
          <w:p w14:paraId="0D864FDE" w14:textId="77777777" w:rsidR="00EF4F24" w:rsidRPr="00AF43B7" w:rsidRDefault="00EF4F24" w:rsidP="00EF4F24">
            <w:pPr>
              <w:pStyle w:val="TableTextLeft"/>
              <w:cnfStyle w:val="000000000000" w:firstRow="0" w:lastRow="0" w:firstColumn="0" w:lastColumn="0" w:oddVBand="0" w:evenVBand="0" w:oddHBand="0" w:evenHBand="0" w:firstRowFirstColumn="0" w:firstRowLastColumn="0" w:lastRowFirstColumn="0" w:lastRowLastColumn="0"/>
              <w:rPr>
                <w:szCs w:val="14"/>
                <w:lang w:val="en-AU"/>
              </w:rPr>
            </w:pPr>
          </w:p>
        </w:tc>
        <w:tc>
          <w:tcPr>
            <w:tcW w:w="1246" w:type="dxa"/>
            <w:tcBorders>
              <w:top w:val="single" w:sz="4" w:space="0" w:color="BCE4CF"/>
              <w:bottom w:val="single" w:sz="4" w:space="0" w:color="BCE4CF"/>
            </w:tcBorders>
            <w:shd w:val="clear" w:color="auto" w:fill="ECF7F1"/>
          </w:tcPr>
          <w:p w14:paraId="74B29E62" w14:textId="77777777" w:rsidR="00EF4F24" w:rsidRPr="00AF43B7" w:rsidRDefault="00EF4F24" w:rsidP="00EF4F24">
            <w:pPr>
              <w:pStyle w:val="TableTextLeft"/>
              <w:cnfStyle w:val="000000000000" w:firstRow="0" w:lastRow="0" w:firstColumn="0" w:lastColumn="0" w:oddVBand="0" w:evenVBand="0" w:oddHBand="0" w:evenHBand="0" w:firstRowFirstColumn="0" w:firstRowLastColumn="0" w:lastRowFirstColumn="0" w:lastRowLastColumn="0"/>
              <w:rPr>
                <w:szCs w:val="14"/>
                <w:lang w:val="en-AU"/>
              </w:rPr>
            </w:pPr>
          </w:p>
        </w:tc>
        <w:tc>
          <w:tcPr>
            <w:tcW w:w="1247" w:type="dxa"/>
            <w:tcBorders>
              <w:top w:val="single" w:sz="4" w:space="0" w:color="BCE4CF"/>
              <w:bottom w:val="single" w:sz="4" w:space="0" w:color="BCE4CF"/>
            </w:tcBorders>
            <w:shd w:val="clear" w:color="auto" w:fill="ECF7F1"/>
          </w:tcPr>
          <w:p w14:paraId="03731249" w14:textId="77777777" w:rsidR="00EF4F24" w:rsidRPr="00AF43B7" w:rsidRDefault="00EF4F24" w:rsidP="00EF4F24">
            <w:pPr>
              <w:pStyle w:val="TableTextLeft"/>
              <w:cnfStyle w:val="000000000000" w:firstRow="0" w:lastRow="0" w:firstColumn="0" w:lastColumn="0" w:oddVBand="0" w:evenVBand="0" w:oddHBand="0" w:evenHBand="0" w:firstRowFirstColumn="0" w:firstRowLastColumn="0" w:lastRowFirstColumn="0" w:lastRowLastColumn="0"/>
              <w:rPr>
                <w:szCs w:val="14"/>
                <w:lang w:val="en-AU"/>
              </w:rPr>
            </w:pPr>
          </w:p>
        </w:tc>
        <w:tc>
          <w:tcPr>
            <w:tcW w:w="1246" w:type="dxa"/>
            <w:tcBorders>
              <w:top w:val="single" w:sz="4" w:space="0" w:color="BCE4CF"/>
              <w:bottom w:val="single" w:sz="4" w:space="0" w:color="BCE4CF"/>
            </w:tcBorders>
            <w:shd w:val="clear" w:color="auto" w:fill="F5FBF8"/>
          </w:tcPr>
          <w:p w14:paraId="70913795" w14:textId="77777777" w:rsidR="00EF4F24" w:rsidRPr="00AF43B7" w:rsidRDefault="00EF4F24" w:rsidP="00EF4F24">
            <w:pPr>
              <w:pStyle w:val="TableTextLeft"/>
              <w:cnfStyle w:val="000000000000" w:firstRow="0" w:lastRow="0" w:firstColumn="0" w:lastColumn="0" w:oddVBand="0" w:evenVBand="0" w:oddHBand="0" w:evenHBand="0" w:firstRowFirstColumn="0" w:firstRowLastColumn="0" w:lastRowFirstColumn="0" w:lastRowLastColumn="0"/>
              <w:rPr>
                <w:szCs w:val="14"/>
                <w:lang w:val="en-AU"/>
              </w:rPr>
            </w:pPr>
          </w:p>
        </w:tc>
        <w:tc>
          <w:tcPr>
            <w:tcW w:w="1247" w:type="dxa"/>
            <w:tcBorders>
              <w:top w:val="single" w:sz="4" w:space="0" w:color="BCE4CF"/>
              <w:bottom w:val="single" w:sz="4" w:space="0" w:color="BCE4CF"/>
            </w:tcBorders>
            <w:shd w:val="clear" w:color="auto" w:fill="F5FBF8"/>
          </w:tcPr>
          <w:p w14:paraId="0E0E50C2" w14:textId="77777777" w:rsidR="00EF4F24" w:rsidRPr="00AF43B7" w:rsidRDefault="00EF4F24" w:rsidP="00EF4F24">
            <w:pPr>
              <w:pStyle w:val="TableTextLeft"/>
              <w:cnfStyle w:val="000000000000" w:firstRow="0" w:lastRow="0" w:firstColumn="0" w:lastColumn="0" w:oddVBand="0" w:evenVBand="0" w:oddHBand="0" w:evenHBand="0" w:firstRowFirstColumn="0" w:firstRowLastColumn="0" w:lastRowFirstColumn="0" w:lastRowLastColumn="0"/>
              <w:rPr>
                <w:szCs w:val="14"/>
                <w:lang w:val="en-AU"/>
              </w:rPr>
            </w:pPr>
          </w:p>
        </w:tc>
      </w:tr>
      <w:tr w:rsidR="00516550" w:rsidRPr="00AF43B7" w14:paraId="3C1EFBC2" w14:textId="77777777" w:rsidTr="1E3961DD">
        <w:trPr>
          <w:cantSplit/>
          <w:trHeight w:val="410"/>
        </w:trPr>
        <w:tc>
          <w:tcPr>
            <w:cnfStyle w:val="001000000000" w:firstRow="0" w:lastRow="0" w:firstColumn="1" w:lastColumn="0" w:oddVBand="0" w:evenVBand="0" w:oddHBand="0" w:evenHBand="0" w:firstRowFirstColumn="0" w:firstRowLastColumn="0" w:lastRowFirstColumn="0" w:lastRowLastColumn="0"/>
            <w:tcW w:w="834" w:type="dxa"/>
            <w:tcBorders>
              <w:top w:val="single" w:sz="4" w:space="0" w:color="BCE4CF"/>
              <w:bottom w:val="single" w:sz="4" w:space="0" w:color="BCE4CF"/>
            </w:tcBorders>
          </w:tcPr>
          <w:p w14:paraId="36EEC66A" w14:textId="77777777" w:rsidR="002656B0" w:rsidRPr="00AD71F3" w:rsidRDefault="002656B0" w:rsidP="005C71C9">
            <w:pPr>
              <w:pStyle w:val="TableLeadAgency"/>
              <w:rPr>
                <w:b/>
                <w:bCs/>
                <w:lang w:val="en-AU"/>
              </w:rPr>
            </w:pPr>
            <w:r w:rsidRPr="00AD71F3">
              <w:rPr>
                <w:b/>
                <w:bCs/>
              </w:rPr>
              <w:lastRenderedPageBreak/>
              <w:t xml:space="preserve">AGD </w:t>
            </w:r>
          </w:p>
          <w:p w14:paraId="784D3346" w14:textId="7AB253C9" w:rsidR="002656B0" w:rsidRPr="00AD71F3" w:rsidRDefault="002656B0" w:rsidP="005C71C9">
            <w:pPr>
              <w:pStyle w:val="TableSecondaryAgency"/>
              <w:rPr>
                <w:b w:val="0"/>
                <w:bCs/>
                <w:lang w:val="en-AU"/>
              </w:rPr>
            </w:pPr>
            <w:r w:rsidRPr="00AD71F3">
              <w:rPr>
                <w:b w:val="0"/>
                <w:bCs/>
              </w:rPr>
              <w:t>AFSA</w:t>
            </w:r>
          </w:p>
        </w:tc>
        <w:tc>
          <w:tcPr>
            <w:tcW w:w="1222" w:type="dxa"/>
            <w:tcBorders>
              <w:top w:val="single" w:sz="4" w:space="0" w:color="BCE4CF"/>
              <w:bottom w:val="single" w:sz="4" w:space="0" w:color="BCE4CF"/>
            </w:tcBorders>
          </w:tcPr>
          <w:p w14:paraId="44B4F7E5" w14:textId="2A58BC05" w:rsidR="002656B0" w:rsidRPr="00AF43B7" w:rsidRDefault="002656B0" w:rsidP="00DC0A25">
            <w:pPr>
              <w:pStyle w:val="TableTextLeft"/>
              <w:cnfStyle w:val="000000000000" w:firstRow="0" w:lastRow="0" w:firstColumn="0" w:lastColumn="0" w:oddVBand="0" w:evenVBand="0" w:oddHBand="0" w:evenHBand="0" w:firstRowFirstColumn="0" w:firstRowLastColumn="0" w:lastRowFirstColumn="0" w:lastRowLastColumn="0"/>
              <w:rPr>
                <w:lang w:val="en-AU"/>
              </w:rPr>
            </w:pPr>
            <w:r w:rsidRPr="00F534FF">
              <w:t xml:space="preserve">Banking, </w:t>
            </w:r>
            <w:proofErr w:type="gramStart"/>
            <w:r w:rsidRPr="00F534FF">
              <w:t>credit</w:t>
            </w:r>
            <w:proofErr w:type="gramEnd"/>
            <w:r w:rsidRPr="00F534FF">
              <w:t xml:space="preserve"> and lending</w:t>
            </w:r>
          </w:p>
        </w:tc>
        <w:tc>
          <w:tcPr>
            <w:tcW w:w="4468" w:type="dxa"/>
            <w:tcBorders>
              <w:top w:val="single" w:sz="4" w:space="0" w:color="BCE4CF"/>
              <w:bottom w:val="single" w:sz="4" w:space="0" w:color="BCE4CF"/>
            </w:tcBorders>
          </w:tcPr>
          <w:p w14:paraId="4D813B6D" w14:textId="77777777" w:rsidR="002656B0" w:rsidRPr="000A4B96" w:rsidRDefault="001D4D7F" w:rsidP="006A3EFB">
            <w:pPr>
              <w:pStyle w:val="TableLink"/>
              <w:cnfStyle w:val="000000000000" w:firstRow="0" w:lastRow="0" w:firstColumn="0" w:lastColumn="0" w:oddVBand="0" w:evenVBand="0" w:oddHBand="0" w:evenHBand="0" w:firstRowFirstColumn="0" w:firstRowLastColumn="0" w:lastRowFirstColumn="0" w:lastRowLastColumn="0"/>
              <w:rPr>
                <w:rFonts w:cs="Calibri Light"/>
                <w:b w:val="0"/>
                <w:bCs/>
                <w:szCs w:val="16"/>
                <w:u w:val="single"/>
              </w:rPr>
            </w:pPr>
            <w:hyperlink r:id="rId59" w:history="1">
              <w:r w:rsidR="002656B0" w:rsidRPr="000A4B96">
                <w:rPr>
                  <w:rStyle w:val="Hyperlink"/>
                  <w:rFonts w:cs="Calibri Light"/>
                  <w:b/>
                  <w:bCs/>
                  <w:szCs w:val="16"/>
                  <w:u w:val="single"/>
                </w:rPr>
                <w:t>Personal insolvency reforms</w:t>
              </w:r>
            </w:hyperlink>
          </w:p>
          <w:p w14:paraId="25C1B80F" w14:textId="77777777" w:rsidR="00B333F8" w:rsidRDefault="002656B0" w:rsidP="00301F93">
            <w:pPr>
              <w:pStyle w:val="TableTextLeft"/>
              <w:cnfStyle w:val="000000000000" w:firstRow="0" w:lastRow="0" w:firstColumn="0" w:lastColumn="0" w:oddVBand="0" w:evenVBand="0" w:oddHBand="0" w:evenHBand="0" w:firstRowFirstColumn="0" w:firstRowLastColumn="0" w:lastRowFirstColumn="0" w:lastRowLastColumn="0"/>
            </w:pPr>
            <w:r w:rsidRPr="00F534FF">
              <w:t xml:space="preserve">Reforms to improve the personal insolvency system will ensure a fairer outcome for debtors in the personal insolvency system and reduce the stigma currently associated with </w:t>
            </w:r>
            <w:proofErr w:type="gramStart"/>
            <w:r w:rsidRPr="00F534FF">
              <w:t>entering into</w:t>
            </w:r>
            <w:proofErr w:type="gramEnd"/>
            <w:r w:rsidRPr="00F534FF">
              <w:t xml:space="preserve"> bankruptcy.</w:t>
            </w:r>
            <w:r w:rsidR="00055907">
              <w:t xml:space="preserve"> </w:t>
            </w:r>
          </w:p>
          <w:p w14:paraId="507F5887" w14:textId="59B1D514" w:rsidR="00382FFD" w:rsidRPr="002C4DB9" w:rsidRDefault="00007BDC" w:rsidP="00382FFD">
            <w:pPr>
              <w:pStyle w:val="TableTextLeft"/>
              <w:cnfStyle w:val="000000000000" w:firstRow="0" w:lastRow="0" w:firstColumn="0" w:lastColumn="0" w:oddVBand="0" w:evenVBand="0" w:oddHBand="0" w:evenHBand="0" w:firstRowFirstColumn="0" w:firstRowLastColumn="0" w:lastRowFirstColumn="0" w:lastRowLastColumn="0"/>
              <w:rPr>
                <w:rFonts w:cs="Calibri Light"/>
                <w:szCs w:val="16"/>
              </w:rPr>
            </w:pPr>
            <w:r>
              <w:t>T</w:t>
            </w:r>
            <w:r w:rsidRPr="009A3724">
              <w:t xml:space="preserve">iming of </w:t>
            </w:r>
            <w:r>
              <w:t>any further work will be announced in due course.</w:t>
            </w:r>
          </w:p>
        </w:tc>
        <w:tc>
          <w:tcPr>
            <w:tcW w:w="1246" w:type="dxa"/>
            <w:tcBorders>
              <w:top w:val="single" w:sz="4" w:space="0" w:color="BCE4CF"/>
              <w:bottom w:val="single" w:sz="4" w:space="0" w:color="BCE4CF"/>
            </w:tcBorders>
            <w:shd w:val="clear" w:color="auto" w:fill="ECF7F1"/>
          </w:tcPr>
          <w:p w14:paraId="40740A2F" w14:textId="77777777" w:rsidR="002656B0" w:rsidRPr="00AF43B7" w:rsidRDefault="002656B0" w:rsidP="002656B0">
            <w:pPr>
              <w:pStyle w:val="TableTextLeft"/>
              <w:cnfStyle w:val="000000000000" w:firstRow="0" w:lastRow="0" w:firstColumn="0" w:lastColumn="0" w:oddVBand="0" w:evenVBand="0" w:oddHBand="0" w:evenHBand="0" w:firstRowFirstColumn="0" w:firstRowLastColumn="0" w:lastRowFirstColumn="0" w:lastRowLastColumn="0"/>
              <w:rPr>
                <w:szCs w:val="14"/>
                <w:lang w:val="en-AU"/>
              </w:rPr>
            </w:pPr>
          </w:p>
        </w:tc>
        <w:tc>
          <w:tcPr>
            <w:tcW w:w="1246" w:type="dxa"/>
            <w:tcBorders>
              <w:top w:val="single" w:sz="4" w:space="0" w:color="BCE4CF"/>
              <w:bottom w:val="single" w:sz="4" w:space="0" w:color="BCE4CF"/>
            </w:tcBorders>
            <w:shd w:val="clear" w:color="auto" w:fill="ECF7F1"/>
          </w:tcPr>
          <w:p w14:paraId="3EB7906E" w14:textId="77777777" w:rsidR="002656B0" w:rsidRPr="00AF43B7" w:rsidRDefault="002656B0" w:rsidP="002656B0">
            <w:pPr>
              <w:pStyle w:val="TableTextLeft"/>
              <w:cnfStyle w:val="000000000000" w:firstRow="0" w:lastRow="0" w:firstColumn="0" w:lastColumn="0" w:oddVBand="0" w:evenVBand="0" w:oddHBand="0" w:evenHBand="0" w:firstRowFirstColumn="0" w:firstRowLastColumn="0" w:lastRowFirstColumn="0" w:lastRowLastColumn="0"/>
              <w:rPr>
                <w:szCs w:val="14"/>
                <w:lang w:val="en-AU"/>
              </w:rPr>
            </w:pPr>
          </w:p>
        </w:tc>
        <w:tc>
          <w:tcPr>
            <w:tcW w:w="1246" w:type="dxa"/>
            <w:tcBorders>
              <w:top w:val="single" w:sz="4" w:space="0" w:color="BCE4CF"/>
              <w:bottom w:val="single" w:sz="4" w:space="0" w:color="BCE4CF"/>
            </w:tcBorders>
            <w:shd w:val="clear" w:color="auto" w:fill="ECF7F1"/>
          </w:tcPr>
          <w:p w14:paraId="232CA042" w14:textId="77777777" w:rsidR="002656B0" w:rsidRPr="00AF43B7" w:rsidRDefault="002656B0" w:rsidP="002656B0">
            <w:pPr>
              <w:pStyle w:val="TableTextLeft"/>
              <w:cnfStyle w:val="000000000000" w:firstRow="0" w:lastRow="0" w:firstColumn="0" w:lastColumn="0" w:oddVBand="0" w:evenVBand="0" w:oddHBand="0" w:evenHBand="0" w:firstRowFirstColumn="0" w:firstRowLastColumn="0" w:lastRowFirstColumn="0" w:lastRowLastColumn="0"/>
              <w:rPr>
                <w:szCs w:val="14"/>
                <w:lang w:val="en-AU"/>
              </w:rPr>
            </w:pPr>
          </w:p>
        </w:tc>
        <w:tc>
          <w:tcPr>
            <w:tcW w:w="1247" w:type="dxa"/>
            <w:tcBorders>
              <w:top w:val="single" w:sz="4" w:space="0" w:color="BCE4CF"/>
              <w:bottom w:val="single" w:sz="4" w:space="0" w:color="BCE4CF"/>
            </w:tcBorders>
            <w:shd w:val="clear" w:color="auto" w:fill="ECF7F1"/>
          </w:tcPr>
          <w:p w14:paraId="020CC4B8" w14:textId="77777777" w:rsidR="002656B0" w:rsidRPr="00AF43B7" w:rsidRDefault="002656B0" w:rsidP="002656B0">
            <w:pPr>
              <w:pStyle w:val="TableTextLeft"/>
              <w:cnfStyle w:val="000000000000" w:firstRow="0" w:lastRow="0" w:firstColumn="0" w:lastColumn="0" w:oddVBand="0" w:evenVBand="0" w:oddHBand="0" w:evenHBand="0" w:firstRowFirstColumn="0" w:firstRowLastColumn="0" w:lastRowFirstColumn="0" w:lastRowLastColumn="0"/>
              <w:rPr>
                <w:szCs w:val="14"/>
                <w:lang w:val="en-AU"/>
              </w:rPr>
            </w:pPr>
          </w:p>
        </w:tc>
        <w:tc>
          <w:tcPr>
            <w:tcW w:w="1246" w:type="dxa"/>
            <w:tcBorders>
              <w:top w:val="single" w:sz="4" w:space="0" w:color="BCE4CF"/>
              <w:bottom w:val="single" w:sz="4" w:space="0" w:color="BCE4CF"/>
            </w:tcBorders>
            <w:shd w:val="clear" w:color="auto" w:fill="F5FBF8"/>
          </w:tcPr>
          <w:p w14:paraId="3EE377EC" w14:textId="77777777" w:rsidR="002656B0" w:rsidRPr="00AF43B7" w:rsidRDefault="002656B0" w:rsidP="002656B0">
            <w:pPr>
              <w:pStyle w:val="TableTextLeft"/>
              <w:cnfStyle w:val="000000000000" w:firstRow="0" w:lastRow="0" w:firstColumn="0" w:lastColumn="0" w:oddVBand="0" w:evenVBand="0" w:oddHBand="0" w:evenHBand="0" w:firstRowFirstColumn="0" w:firstRowLastColumn="0" w:lastRowFirstColumn="0" w:lastRowLastColumn="0"/>
              <w:rPr>
                <w:szCs w:val="14"/>
                <w:lang w:val="en-AU"/>
              </w:rPr>
            </w:pPr>
          </w:p>
        </w:tc>
        <w:tc>
          <w:tcPr>
            <w:tcW w:w="1247" w:type="dxa"/>
            <w:tcBorders>
              <w:top w:val="single" w:sz="4" w:space="0" w:color="BCE4CF"/>
              <w:bottom w:val="single" w:sz="4" w:space="0" w:color="BCE4CF"/>
            </w:tcBorders>
            <w:shd w:val="clear" w:color="auto" w:fill="F5FBF8"/>
          </w:tcPr>
          <w:p w14:paraId="377C719A" w14:textId="77777777" w:rsidR="002656B0" w:rsidRPr="00AF43B7" w:rsidRDefault="002656B0" w:rsidP="002656B0">
            <w:pPr>
              <w:pStyle w:val="TableTextLeft"/>
              <w:cnfStyle w:val="000000000000" w:firstRow="0" w:lastRow="0" w:firstColumn="0" w:lastColumn="0" w:oddVBand="0" w:evenVBand="0" w:oddHBand="0" w:evenHBand="0" w:firstRowFirstColumn="0" w:firstRowLastColumn="0" w:lastRowFirstColumn="0" w:lastRowLastColumn="0"/>
              <w:rPr>
                <w:szCs w:val="14"/>
                <w:lang w:val="en-AU"/>
              </w:rPr>
            </w:pPr>
          </w:p>
        </w:tc>
      </w:tr>
      <w:tr w:rsidR="00516550" w:rsidRPr="00AF43B7" w14:paraId="1E728A25" w14:textId="77777777" w:rsidTr="1E3961DD">
        <w:trPr>
          <w:cantSplit/>
          <w:trHeight w:val="410"/>
        </w:trPr>
        <w:tc>
          <w:tcPr>
            <w:cnfStyle w:val="001000000000" w:firstRow="0" w:lastRow="0" w:firstColumn="1" w:lastColumn="0" w:oddVBand="0" w:evenVBand="0" w:oddHBand="0" w:evenHBand="0" w:firstRowFirstColumn="0" w:firstRowLastColumn="0" w:lastRowFirstColumn="0" w:lastRowLastColumn="0"/>
            <w:tcW w:w="834" w:type="dxa"/>
            <w:tcBorders>
              <w:top w:val="single" w:sz="4" w:space="0" w:color="BCE4CF"/>
              <w:bottom w:val="single" w:sz="4" w:space="0" w:color="BCE4CF"/>
            </w:tcBorders>
          </w:tcPr>
          <w:p w14:paraId="35ACB2AC" w14:textId="77777777" w:rsidR="0007607B" w:rsidRPr="00AD71F3" w:rsidRDefault="0007607B" w:rsidP="00874816">
            <w:pPr>
              <w:pStyle w:val="TableLeadAgency"/>
              <w:rPr>
                <w:b/>
                <w:bCs/>
              </w:rPr>
            </w:pPr>
            <w:r w:rsidRPr="00AD71F3">
              <w:rPr>
                <w:b/>
                <w:bCs/>
              </w:rPr>
              <w:t xml:space="preserve">TSY </w:t>
            </w:r>
          </w:p>
          <w:p w14:paraId="3D4F3784" w14:textId="77777777" w:rsidR="0007607B" w:rsidRPr="00AD71F3" w:rsidRDefault="0007607B" w:rsidP="00874816">
            <w:pPr>
              <w:pStyle w:val="TableSecondaryAgency"/>
              <w:rPr>
                <w:b w:val="0"/>
                <w:bCs/>
              </w:rPr>
            </w:pPr>
            <w:r w:rsidRPr="00AD71F3">
              <w:rPr>
                <w:b w:val="0"/>
                <w:bCs/>
              </w:rPr>
              <w:t xml:space="preserve">ACCC </w:t>
            </w:r>
          </w:p>
          <w:p w14:paraId="710A7C1E" w14:textId="46B6BBF0" w:rsidR="0007607B" w:rsidRPr="00B04882" w:rsidRDefault="0007607B" w:rsidP="00874816">
            <w:pPr>
              <w:pStyle w:val="TableSecondaryAgency"/>
              <w:rPr>
                <w:color w:val="auto"/>
              </w:rPr>
            </w:pPr>
            <w:r w:rsidRPr="00AD71F3">
              <w:rPr>
                <w:b w:val="0"/>
                <w:bCs/>
              </w:rPr>
              <w:t>ASIC</w:t>
            </w:r>
          </w:p>
        </w:tc>
        <w:tc>
          <w:tcPr>
            <w:tcW w:w="1222" w:type="dxa"/>
            <w:tcBorders>
              <w:top w:val="single" w:sz="4" w:space="0" w:color="BCE4CF"/>
              <w:bottom w:val="single" w:sz="4" w:space="0" w:color="BCE4CF"/>
            </w:tcBorders>
          </w:tcPr>
          <w:p w14:paraId="3A4880E9" w14:textId="6B54B47C" w:rsidR="0007607B" w:rsidRPr="009E1613" w:rsidRDefault="0007607B" w:rsidP="00301F93">
            <w:pPr>
              <w:pStyle w:val="TableTextLeft"/>
              <w:cnfStyle w:val="000000000000" w:firstRow="0" w:lastRow="0" w:firstColumn="0" w:lastColumn="0" w:oddVBand="0" w:evenVBand="0" w:oddHBand="0" w:evenHBand="0" w:firstRowFirstColumn="0" w:firstRowLastColumn="0" w:lastRowFirstColumn="0" w:lastRowLastColumn="0"/>
            </w:pPr>
            <w:r w:rsidRPr="009E1613">
              <w:t xml:space="preserve">Banking, </w:t>
            </w:r>
            <w:proofErr w:type="gramStart"/>
            <w:r w:rsidRPr="009E1613">
              <w:t>credit</w:t>
            </w:r>
            <w:proofErr w:type="gramEnd"/>
            <w:r w:rsidRPr="009E1613">
              <w:t xml:space="preserve"> and lending</w:t>
            </w:r>
          </w:p>
        </w:tc>
        <w:tc>
          <w:tcPr>
            <w:tcW w:w="4468" w:type="dxa"/>
            <w:tcBorders>
              <w:top w:val="single" w:sz="4" w:space="0" w:color="BCE4CF"/>
              <w:bottom w:val="single" w:sz="4" w:space="0" w:color="BCE4CF"/>
            </w:tcBorders>
          </w:tcPr>
          <w:p w14:paraId="1A1AA354" w14:textId="77777777" w:rsidR="0007607B" w:rsidRPr="00B04882" w:rsidRDefault="001D4D7F" w:rsidP="006A3EFB">
            <w:pPr>
              <w:pStyle w:val="TableLink"/>
              <w:cnfStyle w:val="000000000000" w:firstRow="0" w:lastRow="0" w:firstColumn="0" w:lastColumn="0" w:oddVBand="0" w:evenVBand="0" w:oddHBand="0" w:evenHBand="0" w:firstRowFirstColumn="0" w:firstRowLastColumn="0" w:lastRowFirstColumn="0" w:lastRowLastColumn="0"/>
              <w:rPr>
                <w:b w:val="0"/>
                <w:bCs/>
                <w:u w:val="single"/>
              </w:rPr>
            </w:pPr>
            <w:hyperlink r:id="rId60" w:history="1">
              <w:r w:rsidR="0007607B" w:rsidRPr="00B04882">
                <w:rPr>
                  <w:rStyle w:val="Hyperlink"/>
                  <w:b/>
                  <w:bCs/>
                  <w:u w:val="single"/>
                </w:rPr>
                <w:t>Scams Prevention Framework</w:t>
              </w:r>
            </w:hyperlink>
          </w:p>
          <w:p w14:paraId="326E116C" w14:textId="79CCA453" w:rsidR="006D2EA2" w:rsidRPr="00B04882" w:rsidRDefault="00D117CF" w:rsidP="006D2EA2">
            <w:pPr>
              <w:pStyle w:val="TableTextLeft"/>
              <w:cnfStyle w:val="000000000000" w:firstRow="0" w:lastRow="0" w:firstColumn="0" w:lastColumn="0" w:oddVBand="0" w:evenVBand="0" w:oddHBand="0" w:evenHBand="0" w:firstRowFirstColumn="0" w:firstRowLastColumn="0" w:lastRowFirstColumn="0" w:lastRowLastColumn="0"/>
            </w:pPr>
            <w:r w:rsidRPr="00301F93">
              <w:t>The</w:t>
            </w:r>
            <w:r w:rsidRPr="66439E9C">
              <w:t xml:space="preserve"> Scams Prevention Framework Bill 2024 was introduced into the </w:t>
            </w:r>
            <w:r w:rsidRPr="3304C893">
              <w:t xml:space="preserve">Parliament on </w:t>
            </w:r>
            <w:r w:rsidRPr="4AE927C6">
              <w:t>7</w:t>
            </w:r>
            <w:r w:rsidR="00DD14D8">
              <w:t> </w:t>
            </w:r>
            <w:r w:rsidRPr="4AE927C6">
              <w:t>November</w:t>
            </w:r>
            <w:r w:rsidR="00DD14D8">
              <w:t> </w:t>
            </w:r>
            <w:r w:rsidRPr="4AE927C6">
              <w:t>2024</w:t>
            </w:r>
            <w:r w:rsidRPr="46A73299">
              <w:t xml:space="preserve"> </w:t>
            </w:r>
            <w:r w:rsidRPr="6B188F0A">
              <w:t xml:space="preserve">and is currently before the </w:t>
            </w:r>
            <w:r w:rsidR="003A3A6D">
              <w:t>House of Representatives</w:t>
            </w:r>
            <w:r w:rsidRPr="6B188F0A">
              <w:t>. The Bill</w:t>
            </w:r>
            <w:r w:rsidRPr="46A73299">
              <w:t xml:space="preserve"> </w:t>
            </w:r>
            <w:r w:rsidRPr="0431BB2F">
              <w:t>provides a framework for preventing and responding to scams</w:t>
            </w:r>
            <w:r w:rsidRPr="6B188F0A">
              <w:t xml:space="preserve"> and</w:t>
            </w:r>
            <w:r w:rsidR="000E5354">
              <w:t>,</w:t>
            </w:r>
            <w:r w:rsidRPr="6B188F0A">
              <w:t xml:space="preserve"> </w:t>
            </w:r>
            <w:r w:rsidRPr="067B6326">
              <w:t>subject to passage</w:t>
            </w:r>
            <w:r w:rsidR="001437CA">
              <w:t>, would among other things</w:t>
            </w:r>
            <w:r w:rsidR="005252C7" w:rsidRPr="41DCC3CA">
              <w:t xml:space="preserve"> </w:t>
            </w:r>
            <w:r w:rsidR="0007607B" w:rsidRPr="41DCC3CA">
              <w:t>establish principles</w:t>
            </w:r>
            <w:r w:rsidR="0008745D">
              <w:noBreakHyphen/>
            </w:r>
            <w:r w:rsidR="0007607B" w:rsidRPr="41DCC3CA">
              <w:t xml:space="preserve">based obligations in relation to preventing, detecting, reporting, disrupting, and responding to scam activity. </w:t>
            </w:r>
            <w:r w:rsidR="007A034A">
              <w:rPr>
                <w:color w:val="00B050"/>
              </w:rPr>
              <w:t xml:space="preserve"> </w:t>
            </w:r>
          </w:p>
        </w:tc>
        <w:tc>
          <w:tcPr>
            <w:tcW w:w="1246" w:type="dxa"/>
            <w:tcBorders>
              <w:top w:val="single" w:sz="4" w:space="0" w:color="BCE4CF"/>
              <w:bottom w:val="single" w:sz="4" w:space="0" w:color="BCE4CF"/>
            </w:tcBorders>
            <w:shd w:val="clear" w:color="auto" w:fill="ECF7F1"/>
          </w:tcPr>
          <w:p w14:paraId="439F3AF2" w14:textId="656B6F61" w:rsidR="0007607B" w:rsidRPr="00B04882" w:rsidRDefault="0007607B" w:rsidP="00CF7C7F">
            <w:pPr>
              <w:pStyle w:val="TableTextLeft"/>
              <w:cnfStyle w:val="000000000000" w:firstRow="0" w:lastRow="0" w:firstColumn="0" w:lastColumn="0" w:oddVBand="0" w:evenVBand="0" w:oddHBand="0" w:evenHBand="0" w:firstRowFirstColumn="0" w:firstRowLastColumn="0" w:lastRowFirstColumn="0" w:lastRowLastColumn="0"/>
            </w:pPr>
          </w:p>
        </w:tc>
        <w:tc>
          <w:tcPr>
            <w:tcW w:w="1246" w:type="dxa"/>
            <w:tcBorders>
              <w:top w:val="single" w:sz="4" w:space="0" w:color="BCE4CF"/>
              <w:bottom w:val="single" w:sz="4" w:space="0" w:color="BCE4CF"/>
            </w:tcBorders>
            <w:shd w:val="clear" w:color="auto" w:fill="ECF7F1"/>
          </w:tcPr>
          <w:p w14:paraId="4EA5202B" w14:textId="77777777" w:rsidR="0007607B" w:rsidRPr="00B04882" w:rsidRDefault="0007607B" w:rsidP="00CF7C7F">
            <w:pPr>
              <w:pStyle w:val="TableTextLeft"/>
              <w:cnfStyle w:val="000000000000" w:firstRow="0" w:lastRow="0" w:firstColumn="0" w:lastColumn="0" w:oddVBand="0" w:evenVBand="0" w:oddHBand="0" w:evenHBand="0" w:firstRowFirstColumn="0" w:firstRowLastColumn="0" w:lastRowFirstColumn="0" w:lastRowLastColumn="0"/>
              <w:rPr>
                <w:highlight w:val="yellow"/>
              </w:rPr>
            </w:pPr>
          </w:p>
        </w:tc>
        <w:tc>
          <w:tcPr>
            <w:tcW w:w="1246" w:type="dxa"/>
            <w:tcBorders>
              <w:top w:val="single" w:sz="4" w:space="0" w:color="BCE4CF"/>
              <w:bottom w:val="single" w:sz="4" w:space="0" w:color="BCE4CF"/>
            </w:tcBorders>
            <w:shd w:val="clear" w:color="auto" w:fill="ECF7F1"/>
          </w:tcPr>
          <w:p w14:paraId="2FCFEBB0" w14:textId="081F4963" w:rsidR="0007607B" w:rsidRPr="00B04882" w:rsidRDefault="00EF0A52" w:rsidP="00CF7C7F">
            <w:pPr>
              <w:pStyle w:val="TableTextLeft"/>
              <w:cnfStyle w:val="000000000000" w:firstRow="0" w:lastRow="0" w:firstColumn="0" w:lastColumn="0" w:oddVBand="0" w:evenVBand="0" w:oddHBand="0" w:evenHBand="0" w:firstRowFirstColumn="0" w:firstRowLastColumn="0" w:lastRowFirstColumn="0" w:lastRowLastColumn="0"/>
              <w:rPr>
                <w:highlight w:val="yellow"/>
              </w:rPr>
            </w:pPr>
            <w:r w:rsidRPr="00B04882">
              <w:t xml:space="preserve">Commences </w:t>
            </w:r>
            <w:r w:rsidR="00F956A7">
              <w:br/>
            </w:r>
            <w:r w:rsidRPr="00B04882">
              <w:t>(subject to passage)</w:t>
            </w:r>
          </w:p>
        </w:tc>
        <w:tc>
          <w:tcPr>
            <w:tcW w:w="1247" w:type="dxa"/>
            <w:tcBorders>
              <w:top w:val="single" w:sz="4" w:space="0" w:color="BCE4CF"/>
              <w:bottom w:val="single" w:sz="4" w:space="0" w:color="BCE4CF"/>
            </w:tcBorders>
            <w:shd w:val="clear" w:color="auto" w:fill="ECF7F1"/>
          </w:tcPr>
          <w:p w14:paraId="56917F26" w14:textId="77777777" w:rsidR="0007607B" w:rsidRPr="00B04882" w:rsidRDefault="0007607B" w:rsidP="00CF7C7F">
            <w:pPr>
              <w:pStyle w:val="TableTextLeft"/>
              <w:cnfStyle w:val="000000000000" w:firstRow="0" w:lastRow="0" w:firstColumn="0" w:lastColumn="0" w:oddVBand="0" w:evenVBand="0" w:oddHBand="0" w:evenHBand="0" w:firstRowFirstColumn="0" w:firstRowLastColumn="0" w:lastRowFirstColumn="0" w:lastRowLastColumn="0"/>
              <w:rPr>
                <w:highlight w:val="yellow"/>
              </w:rPr>
            </w:pPr>
          </w:p>
        </w:tc>
        <w:tc>
          <w:tcPr>
            <w:tcW w:w="1246" w:type="dxa"/>
            <w:tcBorders>
              <w:top w:val="single" w:sz="4" w:space="0" w:color="BCE4CF"/>
              <w:bottom w:val="single" w:sz="4" w:space="0" w:color="BCE4CF"/>
            </w:tcBorders>
            <w:shd w:val="clear" w:color="auto" w:fill="F5FBF8"/>
          </w:tcPr>
          <w:p w14:paraId="26C7C832" w14:textId="77777777" w:rsidR="0007607B" w:rsidRPr="00B04882" w:rsidRDefault="0007607B" w:rsidP="00CF7C7F">
            <w:pPr>
              <w:pStyle w:val="TableTextLeft"/>
              <w:cnfStyle w:val="000000000000" w:firstRow="0" w:lastRow="0" w:firstColumn="0" w:lastColumn="0" w:oddVBand="0" w:evenVBand="0" w:oddHBand="0" w:evenHBand="0" w:firstRowFirstColumn="0" w:firstRowLastColumn="0" w:lastRowFirstColumn="0" w:lastRowLastColumn="0"/>
              <w:rPr>
                <w:highlight w:val="yellow"/>
              </w:rPr>
            </w:pPr>
          </w:p>
        </w:tc>
        <w:tc>
          <w:tcPr>
            <w:tcW w:w="1247" w:type="dxa"/>
            <w:tcBorders>
              <w:top w:val="single" w:sz="4" w:space="0" w:color="BCE4CF"/>
              <w:bottom w:val="single" w:sz="4" w:space="0" w:color="BCE4CF"/>
            </w:tcBorders>
            <w:shd w:val="clear" w:color="auto" w:fill="F5FBF8"/>
          </w:tcPr>
          <w:p w14:paraId="5957F583" w14:textId="77777777" w:rsidR="0007607B" w:rsidRPr="00B04882" w:rsidRDefault="0007607B" w:rsidP="00CF7C7F">
            <w:pPr>
              <w:pStyle w:val="TableTextLeft"/>
              <w:cnfStyle w:val="000000000000" w:firstRow="0" w:lastRow="0" w:firstColumn="0" w:lastColumn="0" w:oddVBand="0" w:evenVBand="0" w:oddHBand="0" w:evenHBand="0" w:firstRowFirstColumn="0" w:firstRowLastColumn="0" w:lastRowFirstColumn="0" w:lastRowLastColumn="0"/>
              <w:rPr>
                <w:highlight w:val="yellow"/>
              </w:rPr>
            </w:pPr>
          </w:p>
        </w:tc>
      </w:tr>
      <w:tr w:rsidR="00516550" w:rsidRPr="00AF43B7" w14:paraId="7201B9F8" w14:textId="77777777" w:rsidTr="1E3961DD">
        <w:trPr>
          <w:cantSplit/>
          <w:trHeight w:val="410"/>
        </w:trPr>
        <w:tc>
          <w:tcPr>
            <w:cnfStyle w:val="001000000000" w:firstRow="0" w:lastRow="0" w:firstColumn="1" w:lastColumn="0" w:oddVBand="0" w:evenVBand="0" w:oddHBand="0" w:evenHBand="0" w:firstRowFirstColumn="0" w:firstRowLastColumn="0" w:lastRowFirstColumn="0" w:lastRowLastColumn="0"/>
            <w:tcW w:w="834" w:type="dxa"/>
            <w:tcBorders>
              <w:top w:val="single" w:sz="4" w:space="0" w:color="BCE4CF"/>
              <w:bottom w:val="single" w:sz="4" w:space="0" w:color="BCE4CF"/>
            </w:tcBorders>
          </w:tcPr>
          <w:p w14:paraId="50C11708" w14:textId="77777777" w:rsidR="00DC3176" w:rsidRPr="00AD71F3" w:rsidRDefault="00DC3176" w:rsidP="00874816">
            <w:pPr>
              <w:pStyle w:val="TableLeadAgency"/>
              <w:rPr>
                <w:b/>
                <w:bCs/>
                <w:lang w:val="en-AU"/>
              </w:rPr>
            </w:pPr>
            <w:r w:rsidRPr="00AD71F3">
              <w:rPr>
                <w:b/>
                <w:bCs/>
              </w:rPr>
              <w:t xml:space="preserve">TSY </w:t>
            </w:r>
          </w:p>
          <w:p w14:paraId="1A9D808D" w14:textId="77777777" w:rsidR="00DC3176" w:rsidRPr="00AD71F3" w:rsidRDefault="00DC3176" w:rsidP="00874816">
            <w:pPr>
              <w:pStyle w:val="TableSecondaryAgency"/>
              <w:rPr>
                <w:b w:val="0"/>
                <w:bCs/>
                <w:lang w:val="en-AU"/>
              </w:rPr>
            </w:pPr>
            <w:r w:rsidRPr="00AD71F3">
              <w:rPr>
                <w:b w:val="0"/>
                <w:bCs/>
              </w:rPr>
              <w:t xml:space="preserve">ACCC </w:t>
            </w:r>
          </w:p>
          <w:p w14:paraId="2B2A61F8" w14:textId="44F127C3" w:rsidR="00DC3176" w:rsidRPr="009C4097" w:rsidRDefault="00DC3176" w:rsidP="00874816">
            <w:pPr>
              <w:pStyle w:val="TableSecondaryAgency"/>
            </w:pPr>
            <w:r w:rsidRPr="00AD71F3">
              <w:rPr>
                <w:b w:val="0"/>
                <w:bCs/>
              </w:rPr>
              <w:t>ASIC</w:t>
            </w:r>
          </w:p>
        </w:tc>
        <w:tc>
          <w:tcPr>
            <w:tcW w:w="1222" w:type="dxa"/>
            <w:tcBorders>
              <w:top w:val="single" w:sz="4" w:space="0" w:color="BCE4CF"/>
              <w:bottom w:val="single" w:sz="4" w:space="0" w:color="BCE4CF"/>
            </w:tcBorders>
          </w:tcPr>
          <w:p w14:paraId="13FD273C" w14:textId="728F3E80" w:rsidR="00DC3176" w:rsidRPr="009E1613" w:rsidRDefault="00DC3176" w:rsidP="009E1613">
            <w:pPr>
              <w:pStyle w:val="TableTextLeft"/>
              <w:cnfStyle w:val="000000000000" w:firstRow="0" w:lastRow="0" w:firstColumn="0" w:lastColumn="0" w:oddVBand="0" w:evenVBand="0" w:oddHBand="0" w:evenHBand="0" w:firstRowFirstColumn="0" w:firstRowLastColumn="0" w:lastRowFirstColumn="0" w:lastRowLastColumn="0"/>
            </w:pPr>
            <w:r w:rsidRPr="009E1613">
              <w:t xml:space="preserve">Banking, </w:t>
            </w:r>
            <w:proofErr w:type="gramStart"/>
            <w:r w:rsidRPr="009E1613">
              <w:t>credit</w:t>
            </w:r>
            <w:proofErr w:type="gramEnd"/>
            <w:r w:rsidRPr="009E1613">
              <w:t xml:space="preserve"> and lending</w:t>
            </w:r>
          </w:p>
        </w:tc>
        <w:tc>
          <w:tcPr>
            <w:tcW w:w="4468" w:type="dxa"/>
            <w:tcBorders>
              <w:top w:val="single" w:sz="4" w:space="0" w:color="BCE4CF"/>
              <w:bottom w:val="single" w:sz="4" w:space="0" w:color="BCE4CF"/>
            </w:tcBorders>
          </w:tcPr>
          <w:p w14:paraId="3453DC4A" w14:textId="58E7CB33" w:rsidR="00DC3176" w:rsidRDefault="001D4D7F" w:rsidP="006A3EFB">
            <w:pPr>
              <w:pStyle w:val="TableLink"/>
              <w:cnfStyle w:val="000000000000" w:firstRow="0" w:lastRow="0" w:firstColumn="0" w:lastColumn="0" w:oddVBand="0" w:evenVBand="0" w:oddHBand="0" w:evenHBand="0" w:firstRowFirstColumn="0" w:firstRowLastColumn="0" w:lastRowFirstColumn="0" w:lastRowLastColumn="0"/>
              <w:rPr>
                <w:rStyle w:val="Hyperlink"/>
                <w:b/>
                <w:u w:val="single"/>
              </w:rPr>
            </w:pPr>
            <w:hyperlink r:id="rId61" w:history="1">
              <w:r w:rsidR="00DC3176" w:rsidRPr="000A4B96">
                <w:rPr>
                  <w:rStyle w:val="Hyperlink"/>
                  <w:b/>
                  <w:bCs/>
                  <w:u w:val="single"/>
                </w:rPr>
                <w:t>Scams Prevention Framework</w:t>
              </w:r>
              <w:r w:rsidR="0008745D">
                <w:rPr>
                  <w:rStyle w:val="Hyperlink"/>
                  <w:b/>
                  <w:bCs/>
                  <w:u w:val="single"/>
                </w:rPr>
                <w:t xml:space="preserve"> – </w:t>
              </w:r>
              <w:r w:rsidR="00DC3176" w:rsidRPr="000A4B96">
                <w:rPr>
                  <w:rStyle w:val="Hyperlink"/>
                  <w:b/>
                  <w:bCs/>
                  <w:u w:val="single"/>
                </w:rPr>
                <w:t>Sector</w:t>
              </w:r>
              <w:r w:rsidR="0008745D">
                <w:rPr>
                  <w:rStyle w:val="Hyperlink"/>
                  <w:b/>
                  <w:bCs/>
                  <w:u w:val="single"/>
                </w:rPr>
                <w:noBreakHyphen/>
              </w:r>
              <w:r w:rsidR="00DC3176" w:rsidRPr="000A4B96">
                <w:rPr>
                  <w:rStyle w:val="Hyperlink"/>
                  <w:b/>
                  <w:bCs/>
                  <w:u w:val="single"/>
                </w:rPr>
                <w:t xml:space="preserve">specific </w:t>
              </w:r>
              <w:r w:rsidR="00AA6336">
                <w:rPr>
                  <w:rStyle w:val="Hyperlink"/>
                  <w:b/>
                  <w:bCs/>
                  <w:u w:val="single"/>
                </w:rPr>
                <w:t xml:space="preserve">designation and </w:t>
              </w:r>
              <w:r w:rsidR="00DC3176" w:rsidRPr="000A4B96">
                <w:rPr>
                  <w:rStyle w:val="Hyperlink"/>
                  <w:b/>
                  <w:bCs/>
                  <w:u w:val="single"/>
                </w:rPr>
                <w:t>code for banks</w:t>
              </w:r>
            </w:hyperlink>
          </w:p>
          <w:p w14:paraId="1036D6E1" w14:textId="12029E31" w:rsidR="00DC3176" w:rsidRPr="00F534FF" w:rsidRDefault="005E796E" w:rsidP="00301F93">
            <w:pPr>
              <w:pStyle w:val="TableTextLeft"/>
              <w:cnfStyle w:val="000000000000" w:firstRow="0" w:lastRow="0" w:firstColumn="0" w:lastColumn="0" w:oddVBand="0" w:evenVBand="0" w:oddHBand="0" w:evenHBand="0" w:firstRowFirstColumn="0" w:firstRowLastColumn="0" w:lastRowFirstColumn="0" w:lastRowLastColumn="0"/>
              <w:rPr>
                <w:lang w:val="en-AU"/>
              </w:rPr>
            </w:pPr>
            <w:r w:rsidRPr="0904449B">
              <w:t>Subject to the passage of the Scams Prevention Framework Bill</w:t>
            </w:r>
            <w:r w:rsidR="00DD14D8">
              <w:t> </w:t>
            </w:r>
            <w:r w:rsidRPr="0904449B">
              <w:t>2024</w:t>
            </w:r>
            <w:r w:rsidR="00F30BAA" w:rsidRPr="00152C71">
              <w:t>,</w:t>
            </w:r>
            <w:r w:rsidRPr="00746B6F">
              <w:rPr>
                <w:color w:val="FF0000"/>
              </w:rPr>
              <w:t xml:space="preserve"> </w:t>
            </w:r>
            <w:r w:rsidRPr="5AEEF07B">
              <w:t xml:space="preserve">the </w:t>
            </w:r>
            <w:r w:rsidRPr="0CEDC09D">
              <w:t>banking</w:t>
            </w:r>
            <w:r w:rsidRPr="5AEEF07B">
              <w:t xml:space="preserve"> sector </w:t>
            </w:r>
            <w:r w:rsidR="00B0639B">
              <w:t xml:space="preserve">is intended to be </w:t>
            </w:r>
            <w:r w:rsidRPr="5AEEF07B">
              <w:t xml:space="preserve">designated by </w:t>
            </w:r>
            <w:r w:rsidRPr="0CEDC09D">
              <w:t>legislative instrument</w:t>
            </w:r>
            <w:r w:rsidR="009A34B8">
              <w:t xml:space="preserve"> and</w:t>
            </w:r>
            <w:r w:rsidR="00B0639B">
              <w:t xml:space="preserve"> </w:t>
            </w:r>
            <w:r w:rsidR="009C2328">
              <w:t>a</w:t>
            </w:r>
            <w:r w:rsidR="00DC3176" w:rsidRPr="00F534FF">
              <w:t xml:space="preserve"> mandatory </w:t>
            </w:r>
            <w:r w:rsidR="00DC3176" w:rsidRPr="768A4C5D">
              <w:rPr>
                <w:color w:val="000000" w:themeColor="text1"/>
              </w:rPr>
              <w:t>industry code</w:t>
            </w:r>
            <w:r w:rsidR="00467E4A" w:rsidRPr="768A4C5D">
              <w:rPr>
                <w:color w:val="000000" w:themeColor="text1"/>
              </w:rPr>
              <w:t xml:space="preserve"> will be developed</w:t>
            </w:r>
            <w:r w:rsidR="00DC3176" w:rsidRPr="768A4C5D">
              <w:rPr>
                <w:color w:val="000000" w:themeColor="text1"/>
              </w:rPr>
              <w:t xml:space="preserve"> for banks to prevent, detect, </w:t>
            </w:r>
            <w:r w:rsidR="55768D90" w:rsidRPr="768A4C5D">
              <w:rPr>
                <w:color w:val="000000" w:themeColor="text1"/>
              </w:rPr>
              <w:t xml:space="preserve">report, </w:t>
            </w:r>
            <w:r w:rsidR="00DC3176" w:rsidRPr="768A4C5D">
              <w:rPr>
                <w:color w:val="000000" w:themeColor="text1"/>
              </w:rPr>
              <w:t>disrupt and respond to scams. ASIC will be the responsible regulator for enforcing the bank</w:t>
            </w:r>
            <w:r w:rsidR="0008745D">
              <w:rPr>
                <w:color w:val="000000" w:themeColor="text1"/>
              </w:rPr>
              <w:noBreakHyphen/>
            </w:r>
            <w:r w:rsidR="00DC3176" w:rsidRPr="768A4C5D">
              <w:rPr>
                <w:color w:val="000000" w:themeColor="text1"/>
              </w:rPr>
              <w:t>specific code, working with the ACCC as the regulator for the overarching principles of the Scam</w:t>
            </w:r>
            <w:r w:rsidR="00431969" w:rsidRPr="768A4C5D">
              <w:rPr>
                <w:color w:val="000000" w:themeColor="text1"/>
              </w:rPr>
              <w:t>s</w:t>
            </w:r>
            <w:r w:rsidR="00DC3176" w:rsidRPr="768A4C5D">
              <w:rPr>
                <w:color w:val="000000" w:themeColor="text1"/>
              </w:rPr>
              <w:t xml:space="preserve"> Prevention Framework</w:t>
            </w:r>
            <w:r w:rsidR="009C2328" w:rsidRPr="768A4C5D">
              <w:rPr>
                <w:color w:val="000000" w:themeColor="text1"/>
              </w:rPr>
              <w:t xml:space="preserve"> in the primary legislation</w:t>
            </w:r>
            <w:r w:rsidR="00DC3176" w:rsidRPr="768A4C5D">
              <w:rPr>
                <w:color w:val="000000" w:themeColor="text1"/>
              </w:rPr>
              <w:t>.</w:t>
            </w:r>
          </w:p>
          <w:p w14:paraId="6297C2DE" w14:textId="3A561EC0" w:rsidR="006D2EA2" w:rsidRPr="00A56D83" w:rsidRDefault="00DC3176" w:rsidP="006D2EA2">
            <w:pPr>
              <w:pStyle w:val="TableTextLeft"/>
              <w:cnfStyle w:val="000000000000" w:firstRow="0" w:lastRow="0" w:firstColumn="0" w:lastColumn="0" w:oddVBand="0" w:evenVBand="0" w:oddHBand="0" w:evenHBand="0" w:firstRowFirstColumn="0" w:firstRowLastColumn="0" w:lastRowFirstColumn="0" w:lastRowLastColumn="0"/>
            </w:pPr>
            <w:r w:rsidRPr="3622A21F">
              <w:t xml:space="preserve">Public consultation </w:t>
            </w:r>
            <w:r w:rsidR="00C22EBE">
              <w:t>will</w:t>
            </w:r>
            <w:r w:rsidR="006A3D5E" w:rsidRPr="198A6163">
              <w:t xml:space="preserve"> </w:t>
            </w:r>
            <w:r w:rsidR="006A3D5E" w:rsidRPr="55061E55">
              <w:t xml:space="preserve">be </w:t>
            </w:r>
            <w:r w:rsidR="006A3D5E" w:rsidRPr="198A6163">
              <w:t xml:space="preserve">undertaken to inform the development </w:t>
            </w:r>
            <w:r w:rsidR="006A3D5E" w:rsidRPr="5AEEF07B">
              <w:t xml:space="preserve">of the </w:t>
            </w:r>
            <w:r w:rsidR="004D3B0E">
              <w:t xml:space="preserve">designation instrument, as well as the </w:t>
            </w:r>
            <w:r w:rsidR="224F6725" w:rsidRPr="3622A21F">
              <w:t>bank c</w:t>
            </w:r>
            <w:r w:rsidR="006A3D5E" w:rsidRPr="3622A21F">
              <w:t>ode</w:t>
            </w:r>
            <w:r w:rsidR="006233C3" w:rsidRPr="3622A21F">
              <w:t>,</w:t>
            </w:r>
            <w:r w:rsidR="009D30BE" w:rsidRPr="3622A21F">
              <w:t xml:space="preserve"> </w:t>
            </w:r>
            <w:r w:rsidR="19C0970E" w:rsidRPr="3622A21F">
              <w:t xml:space="preserve">and supporting </w:t>
            </w:r>
            <w:r w:rsidR="00181FE4">
              <w:t>Scams Prevention Framework (</w:t>
            </w:r>
            <w:r w:rsidR="19C0970E" w:rsidRPr="3622A21F">
              <w:t>SPF</w:t>
            </w:r>
            <w:r w:rsidR="00181FE4">
              <w:t>)</w:t>
            </w:r>
            <w:r w:rsidR="19C0970E" w:rsidRPr="3622A21F">
              <w:t xml:space="preserve"> rules,</w:t>
            </w:r>
            <w:r w:rsidR="006A3D5E" w:rsidRPr="5AEEF07B" w:rsidDel="004D3B0E">
              <w:t xml:space="preserve"> </w:t>
            </w:r>
            <w:r w:rsidR="004D3B0E">
              <w:t>with</w:t>
            </w:r>
            <w:r w:rsidR="006A3D5E" w:rsidRPr="5AEEF07B">
              <w:t xml:space="preserve"> </w:t>
            </w:r>
            <w:r w:rsidR="009D30BE" w:rsidRPr="15B2D7AD">
              <w:t xml:space="preserve">the timing of any consultation subject to the passage of </w:t>
            </w:r>
            <w:r w:rsidR="009D30BE" w:rsidRPr="5EECB444">
              <w:t>the Bill</w:t>
            </w:r>
            <w:r w:rsidR="0008745D">
              <w:t>.</w:t>
            </w:r>
            <w:r w:rsidR="007A034A">
              <w:rPr>
                <w:color w:val="00B050"/>
              </w:rPr>
              <w:t xml:space="preserve"> </w:t>
            </w:r>
          </w:p>
        </w:tc>
        <w:tc>
          <w:tcPr>
            <w:tcW w:w="1246" w:type="dxa"/>
            <w:tcBorders>
              <w:top w:val="single" w:sz="4" w:space="0" w:color="BCE4CF"/>
              <w:bottom w:val="single" w:sz="4" w:space="0" w:color="BCE4CF"/>
            </w:tcBorders>
            <w:shd w:val="clear" w:color="auto" w:fill="ECF7F1"/>
          </w:tcPr>
          <w:p w14:paraId="731BAAFE" w14:textId="41108496" w:rsidR="00DC3176" w:rsidRPr="00CF7C7F" w:rsidRDefault="00285C8A" w:rsidP="00CF7C7F">
            <w:pPr>
              <w:pStyle w:val="TableTextLeft"/>
              <w:cnfStyle w:val="000000000000" w:firstRow="0" w:lastRow="0" w:firstColumn="0" w:lastColumn="0" w:oddVBand="0" w:evenVBand="0" w:oddHBand="0" w:evenHBand="0" w:firstRowFirstColumn="0" w:firstRowLastColumn="0" w:lastRowFirstColumn="0" w:lastRowLastColumn="0"/>
            </w:pPr>
            <w:r w:rsidRPr="00CF7C7F">
              <w:t xml:space="preserve">Drafting </w:t>
            </w:r>
            <w:r w:rsidR="000C1DEF">
              <w:t xml:space="preserve">subordinate </w:t>
            </w:r>
            <w:r w:rsidRPr="00CF7C7F">
              <w:t>legislation</w:t>
            </w:r>
          </w:p>
        </w:tc>
        <w:tc>
          <w:tcPr>
            <w:tcW w:w="1246" w:type="dxa"/>
            <w:tcBorders>
              <w:top w:val="single" w:sz="4" w:space="0" w:color="BCE4CF"/>
              <w:bottom w:val="single" w:sz="4" w:space="0" w:color="BCE4CF"/>
            </w:tcBorders>
            <w:shd w:val="clear" w:color="auto" w:fill="ECF7F1"/>
          </w:tcPr>
          <w:p w14:paraId="077BC524" w14:textId="5BE07950" w:rsidR="00DC3176" w:rsidRPr="00CF7C7F" w:rsidRDefault="003C5CEE" w:rsidP="00CF7C7F">
            <w:pPr>
              <w:pStyle w:val="TableTextLeft"/>
              <w:cnfStyle w:val="000000000000" w:firstRow="0" w:lastRow="0" w:firstColumn="0" w:lastColumn="0" w:oddVBand="0" w:evenVBand="0" w:oddHBand="0" w:evenHBand="0" w:firstRowFirstColumn="0" w:firstRowLastColumn="0" w:lastRowFirstColumn="0" w:lastRowLastColumn="0"/>
            </w:pPr>
            <w:r w:rsidRPr="00CF7C7F">
              <w:t xml:space="preserve">Consultation </w:t>
            </w:r>
            <w:r w:rsidR="005D35FC">
              <w:t xml:space="preserve">on designation </w:t>
            </w:r>
            <w:r w:rsidR="004E22C4">
              <w:t xml:space="preserve">instrument </w:t>
            </w:r>
            <w:r w:rsidRPr="00012F8D">
              <w:rPr>
                <w:color w:val="auto"/>
              </w:rPr>
              <w:t xml:space="preserve">(subject to passage of Scams Prevention Framework </w:t>
            </w:r>
            <w:r w:rsidR="00C62363">
              <w:rPr>
                <w:color w:val="auto"/>
              </w:rPr>
              <w:t>Bill</w:t>
            </w:r>
            <w:r w:rsidRPr="00012F8D">
              <w:rPr>
                <w:color w:val="auto"/>
              </w:rPr>
              <w:t>)</w:t>
            </w:r>
          </w:p>
        </w:tc>
        <w:tc>
          <w:tcPr>
            <w:tcW w:w="1246" w:type="dxa"/>
            <w:tcBorders>
              <w:top w:val="single" w:sz="4" w:space="0" w:color="BCE4CF"/>
              <w:bottom w:val="single" w:sz="4" w:space="0" w:color="BCE4CF"/>
            </w:tcBorders>
            <w:shd w:val="clear" w:color="auto" w:fill="ECF7F1"/>
          </w:tcPr>
          <w:p w14:paraId="3246BB17" w14:textId="1D1608D4" w:rsidR="00DC3176" w:rsidRPr="00CF7C7F" w:rsidRDefault="002B3B92" w:rsidP="00CF7C7F">
            <w:pPr>
              <w:pStyle w:val="TableTextLeft"/>
              <w:cnfStyle w:val="000000000000" w:firstRow="0" w:lastRow="0" w:firstColumn="0" w:lastColumn="0" w:oddVBand="0" w:evenVBand="0" w:oddHBand="0" w:evenHBand="0" w:firstRowFirstColumn="0" w:firstRowLastColumn="0" w:lastRowFirstColumn="0" w:lastRowLastColumn="0"/>
            </w:pPr>
            <w:r w:rsidRPr="00CF7C7F">
              <w:t xml:space="preserve">Consultation </w:t>
            </w:r>
            <w:r w:rsidR="005D35FC">
              <w:t xml:space="preserve">on code </w:t>
            </w:r>
            <w:r w:rsidR="004661C4">
              <w:t>and SPF rules</w:t>
            </w:r>
            <w:r w:rsidR="007066E9">
              <w:t>;</w:t>
            </w:r>
            <w:r w:rsidR="00000952">
              <w:t xml:space="preserve"> and designation instrument commences</w:t>
            </w:r>
            <w:r w:rsidR="005D35FC">
              <w:t xml:space="preserve"> </w:t>
            </w:r>
            <w:r w:rsidR="00BD7394">
              <w:br/>
            </w:r>
            <w:r w:rsidRPr="002E7B6F">
              <w:rPr>
                <w:color w:val="auto"/>
              </w:rPr>
              <w:t xml:space="preserve">(subject to passage of Scams Prevention Framework </w:t>
            </w:r>
            <w:r w:rsidR="00FB195B">
              <w:rPr>
                <w:color w:val="auto"/>
              </w:rPr>
              <w:t>Bill</w:t>
            </w:r>
            <w:r w:rsidRPr="002E7B6F">
              <w:rPr>
                <w:color w:val="auto"/>
              </w:rPr>
              <w:t>)</w:t>
            </w:r>
          </w:p>
        </w:tc>
        <w:tc>
          <w:tcPr>
            <w:tcW w:w="1247" w:type="dxa"/>
            <w:tcBorders>
              <w:top w:val="single" w:sz="4" w:space="0" w:color="BCE4CF"/>
              <w:bottom w:val="single" w:sz="4" w:space="0" w:color="BCE4CF"/>
            </w:tcBorders>
            <w:shd w:val="clear" w:color="auto" w:fill="ECF7F1"/>
          </w:tcPr>
          <w:p w14:paraId="5E841FFE" w14:textId="39057A0A" w:rsidR="00DC3176" w:rsidRPr="00CF7C7F" w:rsidRDefault="00DC3176" w:rsidP="00CF7C7F">
            <w:pPr>
              <w:pStyle w:val="TableTextLeft"/>
              <w:cnfStyle w:val="000000000000" w:firstRow="0" w:lastRow="0" w:firstColumn="0" w:lastColumn="0" w:oddVBand="0" w:evenVBand="0" w:oddHBand="0" w:evenHBand="0" w:firstRowFirstColumn="0" w:firstRowLastColumn="0" w:lastRowFirstColumn="0" w:lastRowLastColumn="0"/>
            </w:pPr>
          </w:p>
        </w:tc>
        <w:tc>
          <w:tcPr>
            <w:tcW w:w="1246" w:type="dxa"/>
            <w:tcBorders>
              <w:top w:val="single" w:sz="4" w:space="0" w:color="BCE4CF"/>
              <w:bottom w:val="single" w:sz="4" w:space="0" w:color="BCE4CF"/>
            </w:tcBorders>
            <w:shd w:val="clear" w:color="auto" w:fill="F5FBF8"/>
          </w:tcPr>
          <w:p w14:paraId="0DCC4DC9" w14:textId="21846CF5" w:rsidR="00DC3176" w:rsidRPr="00CF7C7F" w:rsidRDefault="0037551A" w:rsidP="00CF7C7F">
            <w:pPr>
              <w:pStyle w:val="TableTextLeft"/>
              <w:cnfStyle w:val="000000000000" w:firstRow="0" w:lastRow="0" w:firstColumn="0" w:lastColumn="0" w:oddVBand="0" w:evenVBand="0" w:oddHBand="0" w:evenHBand="0" w:firstRowFirstColumn="0" w:firstRowLastColumn="0" w:lastRowFirstColumn="0" w:lastRowLastColumn="0"/>
              <w:rPr>
                <w:color w:val="auto"/>
              </w:rPr>
            </w:pPr>
            <w:r>
              <w:t>Sector</w:t>
            </w:r>
            <w:r w:rsidR="00E831E1">
              <w:t>-</w:t>
            </w:r>
            <w:r>
              <w:t>specific</w:t>
            </w:r>
            <w:r w:rsidR="00235D61">
              <w:t xml:space="preserve"> </w:t>
            </w:r>
            <w:r>
              <w:t xml:space="preserve">code </w:t>
            </w:r>
            <w:r w:rsidR="00BE75C8">
              <w:t xml:space="preserve">and rules </w:t>
            </w:r>
            <w:r>
              <w:t>c</w:t>
            </w:r>
            <w:r w:rsidR="00D813A6" w:rsidRPr="00CF7C7F">
              <w:t xml:space="preserve">ommence </w:t>
            </w:r>
            <w:r w:rsidR="00BD7394">
              <w:br/>
            </w:r>
            <w:r w:rsidR="00D813A6" w:rsidRPr="00012F8D">
              <w:rPr>
                <w:color w:val="auto"/>
              </w:rPr>
              <w:t xml:space="preserve">(subject to passage of Scams Prevention Framework </w:t>
            </w:r>
            <w:r w:rsidR="00FB195B">
              <w:rPr>
                <w:color w:val="auto"/>
              </w:rPr>
              <w:t>Bill</w:t>
            </w:r>
            <w:r w:rsidR="00FB195B" w:rsidRPr="00012F8D">
              <w:rPr>
                <w:color w:val="auto"/>
              </w:rPr>
              <w:t xml:space="preserve"> </w:t>
            </w:r>
            <w:r w:rsidR="5C81DF6C" w:rsidRPr="00012F8D">
              <w:rPr>
                <w:color w:val="auto"/>
              </w:rPr>
              <w:t>and any transitional arrangem</w:t>
            </w:r>
            <w:r w:rsidR="5C81DF6C" w:rsidRPr="1ACAB620">
              <w:rPr>
                <w:color w:val="auto"/>
              </w:rPr>
              <w:t>ents</w:t>
            </w:r>
            <w:r w:rsidR="00D813A6" w:rsidRPr="00012F8D">
              <w:rPr>
                <w:color w:val="auto"/>
              </w:rPr>
              <w:t>)</w:t>
            </w:r>
          </w:p>
        </w:tc>
        <w:tc>
          <w:tcPr>
            <w:tcW w:w="1247" w:type="dxa"/>
            <w:tcBorders>
              <w:top w:val="single" w:sz="4" w:space="0" w:color="BCE4CF"/>
              <w:bottom w:val="single" w:sz="4" w:space="0" w:color="BCE4CF"/>
            </w:tcBorders>
            <w:shd w:val="clear" w:color="auto" w:fill="F5FBF8"/>
          </w:tcPr>
          <w:p w14:paraId="71D0CAD1" w14:textId="77777777" w:rsidR="00DC3176" w:rsidRPr="00CF7C7F" w:rsidRDefault="00DC3176" w:rsidP="00CF7C7F">
            <w:pPr>
              <w:pStyle w:val="TableTextLeft"/>
              <w:cnfStyle w:val="000000000000" w:firstRow="0" w:lastRow="0" w:firstColumn="0" w:lastColumn="0" w:oddVBand="0" w:evenVBand="0" w:oddHBand="0" w:evenHBand="0" w:firstRowFirstColumn="0" w:firstRowLastColumn="0" w:lastRowFirstColumn="0" w:lastRowLastColumn="0"/>
            </w:pPr>
          </w:p>
        </w:tc>
      </w:tr>
      <w:tr w:rsidR="009473C9" w:rsidRPr="00AF43B7" w14:paraId="24D412A9" w14:textId="77777777" w:rsidTr="1E3961DD">
        <w:trPr>
          <w:cantSplit/>
          <w:trHeight w:val="410"/>
        </w:trPr>
        <w:tc>
          <w:tcPr>
            <w:cnfStyle w:val="001000000000" w:firstRow="0" w:lastRow="0" w:firstColumn="1" w:lastColumn="0" w:oddVBand="0" w:evenVBand="0" w:oddHBand="0" w:evenHBand="0" w:firstRowFirstColumn="0" w:firstRowLastColumn="0" w:lastRowFirstColumn="0" w:lastRowLastColumn="0"/>
            <w:tcW w:w="834" w:type="dxa"/>
            <w:tcBorders>
              <w:top w:val="single" w:sz="4" w:space="0" w:color="BCE4CF"/>
              <w:bottom w:val="single" w:sz="4" w:space="0" w:color="BCE4CF"/>
            </w:tcBorders>
          </w:tcPr>
          <w:p w14:paraId="45E5E781" w14:textId="163CC783" w:rsidR="009473C9" w:rsidRPr="00AD71F3" w:rsidRDefault="00D93E67" w:rsidP="00874816">
            <w:pPr>
              <w:pStyle w:val="TableLeadAgency"/>
              <w:rPr>
                <w:b/>
                <w:bCs/>
              </w:rPr>
            </w:pPr>
            <w:r w:rsidRPr="00AD71F3">
              <w:rPr>
                <w:b/>
                <w:bCs/>
              </w:rPr>
              <w:t>TSY</w:t>
            </w:r>
          </w:p>
        </w:tc>
        <w:tc>
          <w:tcPr>
            <w:tcW w:w="1222" w:type="dxa"/>
            <w:tcBorders>
              <w:top w:val="single" w:sz="4" w:space="0" w:color="BCE4CF"/>
              <w:bottom w:val="single" w:sz="4" w:space="0" w:color="BCE4CF"/>
            </w:tcBorders>
          </w:tcPr>
          <w:p w14:paraId="1FEF0ADE" w14:textId="5A10BE4F" w:rsidR="009473C9" w:rsidRPr="00F534FF" w:rsidRDefault="00D93E67" w:rsidP="00301F93">
            <w:pPr>
              <w:pStyle w:val="TableTextLeft"/>
              <w:cnfStyle w:val="000000000000" w:firstRow="0" w:lastRow="0" w:firstColumn="0" w:lastColumn="0" w:oddVBand="0" w:evenVBand="0" w:oddHBand="0" w:evenHBand="0" w:firstRowFirstColumn="0" w:firstRowLastColumn="0" w:lastRowFirstColumn="0" w:lastRowLastColumn="0"/>
            </w:pPr>
            <w:r w:rsidRPr="00F534FF">
              <w:t xml:space="preserve">Banking, </w:t>
            </w:r>
            <w:proofErr w:type="gramStart"/>
            <w:r w:rsidRPr="00F534FF">
              <w:t>credit</w:t>
            </w:r>
            <w:proofErr w:type="gramEnd"/>
            <w:r w:rsidRPr="00F534FF">
              <w:t xml:space="preserve"> and </w:t>
            </w:r>
            <w:r w:rsidRPr="00301F93">
              <w:t>lending</w:t>
            </w:r>
          </w:p>
        </w:tc>
        <w:tc>
          <w:tcPr>
            <w:tcW w:w="4468" w:type="dxa"/>
            <w:tcBorders>
              <w:top w:val="single" w:sz="4" w:space="0" w:color="BCE4CF"/>
              <w:bottom w:val="single" w:sz="4" w:space="0" w:color="BCE4CF"/>
            </w:tcBorders>
          </w:tcPr>
          <w:p w14:paraId="256EF3E1" w14:textId="443BB5B7" w:rsidR="00E11A52" w:rsidRPr="001138A2" w:rsidRDefault="001D4D7F" w:rsidP="006A3EFB">
            <w:pPr>
              <w:pStyle w:val="TableLink"/>
              <w:cnfStyle w:val="000000000000" w:firstRow="0" w:lastRow="0" w:firstColumn="0" w:lastColumn="0" w:oddVBand="0" w:evenVBand="0" w:oddHBand="0" w:evenHBand="0" w:firstRowFirstColumn="0" w:firstRowLastColumn="0" w:lastRowFirstColumn="0" w:lastRowLastColumn="0"/>
              <w:rPr>
                <w:rStyle w:val="Hyperlink"/>
                <w:u w:val="single"/>
              </w:rPr>
            </w:pPr>
            <w:hyperlink r:id="rId62" w:history="1">
              <w:r w:rsidR="006B680E">
                <w:rPr>
                  <w:rStyle w:val="Hyperlink"/>
                  <w:b/>
                  <w:bCs/>
                  <w:u w:val="single"/>
                </w:rPr>
                <w:t>Cash acceptance mandate</w:t>
              </w:r>
            </w:hyperlink>
            <w:r w:rsidR="00E11A52" w:rsidRPr="001138A2">
              <w:rPr>
                <w:rStyle w:val="Hyperlink"/>
                <w:bCs/>
                <w:u w:val="single"/>
              </w:rPr>
              <w:t xml:space="preserve"> </w:t>
            </w:r>
          </w:p>
          <w:p w14:paraId="27CDF0B6" w14:textId="506441E4" w:rsidR="00B10BBD" w:rsidRDefault="00B10BBD" w:rsidP="00301F93">
            <w:pPr>
              <w:pStyle w:val="TableTextLeft"/>
              <w:cnfStyle w:val="000000000000" w:firstRow="0" w:lastRow="0" w:firstColumn="0" w:lastColumn="0" w:oddVBand="0" w:evenVBand="0" w:oddHBand="0" w:evenHBand="0" w:firstRowFirstColumn="0" w:firstRowLastColumn="0" w:lastRowFirstColumn="0" w:lastRowLastColumn="0"/>
              <w:rPr>
                <w:lang w:val="en-AU"/>
              </w:rPr>
            </w:pPr>
            <w:r w:rsidRPr="00F534FF">
              <w:t xml:space="preserve">In </w:t>
            </w:r>
            <w:r>
              <w:t>November</w:t>
            </w:r>
            <w:r w:rsidR="00581C28">
              <w:t> </w:t>
            </w:r>
            <w:r w:rsidRPr="00F534FF">
              <w:t>202</w:t>
            </w:r>
            <w:r>
              <w:t>4</w:t>
            </w:r>
            <w:r w:rsidRPr="00F534FF">
              <w:t>, the Government announced it</w:t>
            </w:r>
            <w:r w:rsidR="00D7651C">
              <w:t xml:space="preserve"> will </w:t>
            </w:r>
            <w:r w:rsidR="00D7651C" w:rsidRPr="00D7651C">
              <w:rPr>
                <w:lang w:val="en-AU"/>
              </w:rPr>
              <w:t>mandate that businesses must accept cash when selling essential items, with appropriate exemptions for small businesses</w:t>
            </w:r>
            <w:r w:rsidR="00405A54">
              <w:rPr>
                <w:lang w:val="en-AU"/>
              </w:rPr>
              <w:t xml:space="preserve">. </w:t>
            </w:r>
          </w:p>
          <w:p w14:paraId="3080B9AC" w14:textId="0BCED1F9" w:rsidR="009473C9" w:rsidRPr="0044172E" w:rsidRDefault="00E93FFD" w:rsidP="0044172E">
            <w:pPr>
              <w:pStyle w:val="TableTextLeft"/>
              <w:cnfStyle w:val="000000000000" w:firstRow="0" w:lastRow="0" w:firstColumn="0" w:lastColumn="0" w:oddVBand="0" w:evenVBand="0" w:oddHBand="0" w:evenHBand="0" w:firstRowFirstColumn="0" w:firstRowLastColumn="0" w:lastRowFirstColumn="0" w:lastRowLastColumn="0"/>
              <w:rPr>
                <w:lang w:val="en-AU"/>
              </w:rPr>
            </w:pPr>
            <w:r>
              <w:t>Policy c</w:t>
            </w:r>
            <w:r w:rsidR="00282EB1">
              <w:t xml:space="preserve">onsultation </w:t>
            </w:r>
            <w:r w:rsidR="001B4E51">
              <w:t xml:space="preserve">will commence prior to the end of </w:t>
            </w:r>
            <w:r w:rsidR="00061EB8">
              <w:t>2024</w:t>
            </w:r>
            <w:r w:rsidR="00455C23">
              <w:t>. F</w:t>
            </w:r>
            <w:r w:rsidR="00061EB8">
              <w:t xml:space="preserve">inal details of the </w:t>
            </w:r>
            <w:r w:rsidR="00C34BE7">
              <w:t xml:space="preserve">mandate </w:t>
            </w:r>
            <w:r w:rsidR="007D3636">
              <w:t>will</w:t>
            </w:r>
            <w:r w:rsidR="00C34BE7">
              <w:t xml:space="preserve"> be announced in 2025. </w:t>
            </w:r>
            <w:r w:rsidR="009C472E">
              <w:rPr>
                <w:lang w:val="en-AU"/>
              </w:rPr>
              <w:t xml:space="preserve">Subject to the passage of legislation, the </w:t>
            </w:r>
            <w:r w:rsidR="009C29A8">
              <w:rPr>
                <w:lang w:val="en-AU"/>
              </w:rPr>
              <w:t>mandate is to apply from 1 January</w:t>
            </w:r>
            <w:r w:rsidR="009E1613">
              <w:rPr>
                <w:lang w:val="en-AU"/>
              </w:rPr>
              <w:t> </w:t>
            </w:r>
            <w:r w:rsidR="009C29A8">
              <w:rPr>
                <w:lang w:val="en-AU"/>
              </w:rPr>
              <w:t>2026.</w:t>
            </w:r>
          </w:p>
        </w:tc>
        <w:tc>
          <w:tcPr>
            <w:tcW w:w="1246" w:type="dxa"/>
            <w:tcBorders>
              <w:top w:val="single" w:sz="4" w:space="0" w:color="BCE4CF"/>
              <w:bottom w:val="single" w:sz="4" w:space="0" w:color="BCE4CF"/>
            </w:tcBorders>
            <w:shd w:val="clear" w:color="auto" w:fill="ECF7F1"/>
          </w:tcPr>
          <w:p w14:paraId="555FB8DA" w14:textId="4D6BC9DD" w:rsidR="009473C9" w:rsidRPr="00CF7C7F" w:rsidRDefault="009473C9" w:rsidP="00CF7C7F">
            <w:pPr>
              <w:pStyle w:val="TableTextLeft"/>
              <w:cnfStyle w:val="000000000000" w:firstRow="0" w:lastRow="0" w:firstColumn="0" w:lastColumn="0" w:oddVBand="0" w:evenVBand="0" w:oddHBand="0" w:evenHBand="0" w:firstRowFirstColumn="0" w:firstRowLastColumn="0" w:lastRowFirstColumn="0" w:lastRowLastColumn="0"/>
            </w:pPr>
          </w:p>
        </w:tc>
        <w:tc>
          <w:tcPr>
            <w:tcW w:w="1246" w:type="dxa"/>
            <w:tcBorders>
              <w:top w:val="single" w:sz="4" w:space="0" w:color="BCE4CF"/>
              <w:bottom w:val="single" w:sz="4" w:space="0" w:color="BCE4CF"/>
            </w:tcBorders>
            <w:shd w:val="clear" w:color="auto" w:fill="ECF7F1"/>
          </w:tcPr>
          <w:p w14:paraId="544353F8" w14:textId="77777777" w:rsidR="009473C9" w:rsidRPr="00CF7C7F" w:rsidRDefault="009473C9" w:rsidP="00CF7C7F">
            <w:pPr>
              <w:pStyle w:val="TableTextLeft"/>
              <w:cnfStyle w:val="000000000000" w:firstRow="0" w:lastRow="0" w:firstColumn="0" w:lastColumn="0" w:oddVBand="0" w:evenVBand="0" w:oddHBand="0" w:evenHBand="0" w:firstRowFirstColumn="0" w:firstRowLastColumn="0" w:lastRowFirstColumn="0" w:lastRowLastColumn="0"/>
            </w:pPr>
          </w:p>
        </w:tc>
        <w:tc>
          <w:tcPr>
            <w:tcW w:w="1246" w:type="dxa"/>
            <w:tcBorders>
              <w:top w:val="single" w:sz="4" w:space="0" w:color="BCE4CF"/>
              <w:bottom w:val="single" w:sz="4" w:space="0" w:color="BCE4CF"/>
            </w:tcBorders>
            <w:shd w:val="clear" w:color="auto" w:fill="ECF7F1"/>
          </w:tcPr>
          <w:p w14:paraId="35F92397" w14:textId="729FBD69" w:rsidR="009473C9" w:rsidRPr="00CF7C7F" w:rsidRDefault="00090F5C" w:rsidP="00CF7C7F">
            <w:pPr>
              <w:pStyle w:val="TableTextLeft"/>
              <w:cnfStyle w:val="000000000000" w:firstRow="0" w:lastRow="0" w:firstColumn="0" w:lastColumn="0" w:oddVBand="0" w:evenVBand="0" w:oddHBand="0" w:evenHBand="0" w:firstRowFirstColumn="0" w:firstRowLastColumn="0" w:lastRowFirstColumn="0" w:lastRowLastColumn="0"/>
            </w:pPr>
            <w:r>
              <w:t>Exposure Draft c</w:t>
            </w:r>
            <w:r w:rsidR="00B3584C">
              <w:t>onsultation</w:t>
            </w:r>
          </w:p>
        </w:tc>
        <w:tc>
          <w:tcPr>
            <w:tcW w:w="1247" w:type="dxa"/>
            <w:tcBorders>
              <w:top w:val="single" w:sz="4" w:space="0" w:color="BCE4CF"/>
              <w:bottom w:val="single" w:sz="4" w:space="0" w:color="BCE4CF"/>
            </w:tcBorders>
            <w:shd w:val="clear" w:color="auto" w:fill="ECF7F1"/>
          </w:tcPr>
          <w:p w14:paraId="31D7312C" w14:textId="77777777" w:rsidR="009473C9" w:rsidRPr="00CF7C7F" w:rsidRDefault="009473C9" w:rsidP="00CF7C7F">
            <w:pPr>
              <w:pStyle w:val="TableTextLeft"/>
              <w:cnfStyle w:val="000000000000" w:firstRow="0" w:lastRow="0" w:firstColumn="0" w:lastColumn="0" w:oddVBand="0" w:evenVBand="0" w:oddHBand="0" w:evenHBand="0" w:firstRowFirstColumn="0" w:firstRowLastColumn="0" w:lastRowFirstColumn="0" w:lastRowLastColumn="0"/>
            </w:pPr>
          </w:p>
        </w:tc>
        <w:tc>
          <w:tcPr>
            <w:tcW w:w="1246" w:type="dxa"/>
            <w:tcBorders>
              <w:top w:val="single" w:sz="4" w:space="0" w:color="BCE4CF"/>
              <w:bottom w:val="single" w:sz="4" w:space="0" w:color="BCE4CF"/>
            </w:tcBorders>
            <w:shd w:val="clear" w:color="auto" w:fill="F5FBF8"/>
          </w:tcPr>
          <w:p w14:paraId="27862C3E" w14:textId="25080F09" w:rsidR="009473C9" w:rsidRDefault="00853EE0" w:rsidP="00CF7C7F">
            <w:pPr>
              <w:pStyle w:val="TableTextLeft"/>
              <w:cnfStyle w:val="000000000000" w:firstRow="0" w:lastRow="0" w:firstColumn="0" w:lastColumn="0" w:oddVBand="0" w:evenVBand="0" w:oddHBand="0" w:evenHBand="0" w:firstRowFirstColumn="0" w:firstRowLastColumn="0" w:lastRowFirstColumn="0" w:lastRowLastColumn="0"/>
            </w:pPr>
            <w:r w:rsidRPr="00853EE0">
              <w:rPr>
                <w:lang w:val="en-AU"/>
              </w:rPr>
              <w:t>Subject to the outcomes of consultation, the mandate would commence from 1 January 2026</w:t>
            </w:r>
          </w:p>
        </w:tc>
        <w:tc>
          <w:tcPr>
            <w:tcW w:w="1247" w:type="dxa"/>
            <w:tcBorders>
              <w:top w:val="single" w:sz="4" w:space="0" w:color="BCE4CF"/>
              <w:bottom w:val="single" w:sz="4" w:space="0" w:color="BCE4CF"/>
            </w:tcBorders>
            <w:shd w:val="clear" w:color="auto" w:fill="F5FBF8"/>
          </w:tcPr>
          <w:p w14:paraId="615C1665" w14:textId="77777777" w:rsidR="009473C9" w:rsidRPr="00CF7C7F" w:rsidRDefault="009473C9" w:rsidP="00CF7C7F">
            <w:pPr>
              <w:pStyle w:val="TableTextLeft"/>
              <w:cnfStyle w:val="000000000000" w:firstRow="0" w:lastRow="0" w:firstColumn="0" w:lastColumn="0" w:oddVBand="0" w:evenVBand="0" w:oddHBand="0" w:evenHBand="0" w:firstRowFirstColumn="0" w:firstRowLastColumn="0" w:lastRowFirstColumn="0" w:lastRowLastColumn="0"/>
            </w:pPr>
          </w:p>
        </w:tc>
      </w:tr>
      <w:tr w:rsidR="006C56FF" w:rsidRPr="00AF43B7" w14:paraId="3195D404" w14:textId="77777777" w:rsidTr="1E3961DD">
        <w:trPr>
          <w:cantSplit/>
          <w:trHeight w:val="410"/>
        </w:trPr>
        <w:tc>
          <w:tcPr>
            <w:cnfStyle w:val="001000000000" w:firstRow="0" w:lastRow="0" w:firstColumn="1" w:lastColumn="0" w:oddVBand="0" w:evenVBand="0" w:oddHBand="0" w:evenHBand="0" w:firstRowFirstColumn="0" w:firstRowLastColumn="0" w:lastRowFirstColumn="0" w:lastRowLastColumn="0"/>
            <w:tcW w:w="834" w:type="dxa"/>
            <w:tcBorders>
              <w:top w:val="single" w:sz="4" w:space="0" w:color="BCE4CF"/>
              <w:bottom w:val="single" w:sz="4" w:space="0" w:color="BCE4CF"/>
            </w:tcBorders>
          </w:tcPr>
          <w:p w14:paraId="6F0A0339" w14:textId="77777777" w:rsidR="006C56FF" w:rsidRPr="00AD71F3" w:rsidRDefault="006C56FF" w:rsidP="00874816">
            <w:pPr>
              <w:pStyle w:val="TableLeadAgency"/>
              <w:rPr>
                <w:b/>
                <w:bCs/>
                <w:lang w:val="en-AU"/>
              </w:rPr>
            </w:pPr>
            <w:r w:rsidRPr="00AD71F3">
              <w:rPr>
                <w:b/>
                <w:bCs/>
              </w:rPr>
              <w:lastRenderedPageBreak/>
              <w:t xml:space="preserve">AGD </w:t>
            </w:r>
          </w:p>
          <w:p w14:paraId="560303C2" w14:textId="6E2A88BB" w:rsidR="006C56FF" w:rsidRPr="00AD71F3" w:rsidRDefault="006C56FF" w:rsidP="00874816">
            <w:pPr>
              <w:pStyle w:val="TableSecondaryAgency"/>
              <w:rPr>
                <w:rFonts w:cs="Calibri Light"/>
                <w:b w:val="0"/>
                <w:bCs/>
                <w:szCs w:val="16"/>
              </w:rPr>
            </w:pPr>
            <w:r w:rsidRPr="00AD71F3">
              <w:rPr>
                <w:b w:val="0"/>
                <w:bCs/>
              </w:rPr>
              <w:t>AFSA</w:t>
            </w:r>
          </w:p>
        </w:tc>
        <w:tc>
          <w:tcPr>
            <w:tcW w:w="1222" w:type="dxa"/>
            <w:tcBorders>
              <w:top w:val="single" w:sz="4" w:space="0" w:color="BCE4CF"/>
              <w:bottom w:val="single" w:sz="4" w:space="0" w:color="BCE4CF"/>
            </w:tcBorders>
          </w:tcPr>
          <w:p w14:paraId="70CC64D8" w14:textId="77777777" w:rsidR="006C56FF" w:rsidRPr="00301F93" w:rsidRDefault="006C56FF" w:rsidP="00301F93">
            <w:pPr>
              <w:pStyle w:val="TableTextLeft"/>
              <w:cnfStyle w:val="000000000000" w:firstRow="0" w:lastRow="0" w:firstColumn="0" w:lastColumn="0" w:oddVBand="0" w:evenVBand="0" w:oddHBand="0" w:evenHBand="0" w:firstRowFirstColumn="0" w:firstRowLastColumn="0" w:lastRowFirstColumn="0" w:lastRowLastColumn="0"/>
            </w:pPr>
            <w:r w:rsidRPr="00F534FF">
              <w:t xml:space="preserve">Banking, </w:t>
            </w:r>
            <w:proofErr w:type="gramStart"/>
            <w:r w:rsidRPr="00F534FF">
              <w:t>credit</w:t>
            </w:r>
            <w:proofErr w:type="gramEnd"/>
            <w:r w:rsidRPr="00F534FF">
              <w:t xml:space="preserve"> </w:t>
            </w:r>
            <w:r w:rsidRPr="00301F93">
              <w:t>and lending</w:t>
            </w:r>
          </w:p>
          <w:p w14:paraId="6C45967F" w14:textId="77777777" w:rsidR="006C56FF" w:rsidRPr="00301F93" w:rsidRDefault="006C56FF" w:rsidP="00301F93">
            <w:pPr>
              <w:pStyle w:val="TableTextLeft"/>
              <w:cnfStyle w:val="000000000000" w:firstRow="0" w:lastRow="0" w:firstColumn="0" w:lastColumn="0" w:oddVBand="0" w:evenVBand="0" w:oddHBand="0" w:evenHBand="0" w:firstRowFirstColumn="0" w:firstRowLastColumn="0" w:lastRowFirstColumn="0" w:lastRowLastColumn="0"/>
            </w:pPr>
            <w:r w:rsidRPr="00301F93">
              <w:t>Financial advice</w:t>
            </w:r>
          </w:p>
          <w:p w14:paraId="44AB72DC" w14:textId="77777777" w:rsidR="006C56FF" w:rsidRPr="00F534FF" w:rsidRDefault="006C56FF" w:rsidP="00301F93">
            <w:pPr>
              <w:pStyle w:val="TableTextLeft"/>
              <w:cnfStyle w:val="000000000000" w:firstRow="0" w:lastRow="0" w:firstColumn="0" w:lastColumn="0" w:oddVBand="0" w:evenVBand="0" w:oddHBand="0" w:evenHBand="0" w:firstRowFirstColumn="0" w:firstRowLastColumn="0" w:lastRowFirstColumn="0" w:lastRowLastColumn="0"/>
              <w:rPr>
                <w:lang w:val="en-AU"/>
              </w:rPr>
            </w:pPr>
            <w:r w:rsidRPr="00301F93">
              <w:t>Financial mar</w:t>
            </w:r>
            <w:r w:rsidRPr="00F534FF">
              <w:t>kets</w:t>
            </w:r>
          </w:p>
          <w:p w14:paraId="4CB41393" w14:textId="00622AFB" w:rsidR="006C56FF" w:rsidRPr="00F534FF" w:rsidRDefault="006C56FF" w:rsidP="009E1613">
            <w:pPr>
              <w:pStyle w:val="TableTextLeft"/>
              <w:cnfStyle w:val="000000000000" w:firstRow="0" w:lastRow="0" w:firstColumn="0" w:lastColumn="0" w:oddVBand="0" w:evenVBand="0" w:oddHBand="0" w:evenHBand="0" w:firstRowFirstColumn="0" w:firstRowLastColumn="0" w:lastRowFirstColumn="0" w:lastRowLastColumn="0"/>
            </w:pPr>
            <w:r w:rsidRPr="00F534FF">
              <w:t>Insurance and reinsurance</w:t>
            </w:r>
          </w:p>
        </w:tc>
        <w:tc>
          <w:tcPr>
            <w:tcW w:w="4468" w:type="dxa"/>
            <w:tcBorders>
              <w:top w:val="single" w:sz="4" w:space="0" w:color="BCE4CF"/>
              <w:bottom w:val="single" w:sz="4" w:space="0" w:color="BCE4CF"/>
            </w:tcBorders>
          </w:tcPr>
          <w:p w14:paraId="5117967B" w14:textId="77777777" w:rsidR="006C56FF" w:rsidRPr="000A4B96" w:rsidRDefault="001D4D7F" w:rsidP="006C56FF">
            <w:pPr>
              <w:pStyle w:val="TableLink"/>
              <w:cnfStyle w:val="000000000000" w:firstRow="0" w:lastRow="0" w:firstColumn="0" w:lastColumn="0" w:oddVBand="0" w:evenVBand="0" w:oddHBand="0" w:evenHBand="0" w:firstRowFirstColumn="0" w:firstRowLastColumn="0" w:lastRowFirstColumn="0" w:lastRowLastColumn="0"/>
              <w:rPr>
                <w:b w:val="0"/>
                <w:bCs/>
                <w:u w:val="single"/>
              </w:rPr>
            </w:pPr>
            <w:hyperlink r:id="rId63" w:history="1">
              <w:r w:rsidR="006C56FF" w:rsidRPr="000A4B96">
                <w:rPr>
                  <w:rStyle w:val="Hyperlink"/>
                  <w:b/>
                  <w:bCs/>
                  <w:u w:val="single"/>
                </w:rPr>
                <w:t>Personal Property Securities Amendment (Framework Reform) Bill</w:t>
              </w:r>
            </w:hyperlink>
          </w:p>
          <w:p w14:paraId="10F4C87A" w14:textId="77777777" w:rsidR="006C56FF" w:rsidRDefault="006C56FF" w:rsidP="00301F93">
            <w:pPr>
              <w:pStyle w:val="TableTextLeft"/>
              <w:cnfStyle w:val="000000000000" w:firstRow="0" w:lastRow="0" w:firstColumn="0" w:lastColumn="0" w:oddVBand="0" w:evenVBand="0" w:oddHBand="0" w:evenHBand="0" w:firstRowFirstColumn="0" w:firstRowLastColumn="0" w:lastRowFirstColumn="0" w:lastRowLastColumn="0"/>
            </w:pPr>
            <w:r w:rsidRPr="00F534FF">
              <w:t xml:space="preserve">Amendments to the </w:t>
            </w:r>
            <w:r w:rsidRPr="00F534FF">
              <w:rPr>
                <w:i/>
              </w:rPr>
              <w:t>Personal Property Securities Act 2009</w:t>
            </w:r>
            <w:r w:rsidRPr="00F534FF">
              <w:t xml:space="preserve"> in response to the 2015 Statutory Review of this Act (the Whittaker Review) are designed to reduce complexity for users of the Personal Property Securities framework</w:t>
            </w:r>
            <w:r w:rsidRPr="0080794F">
              <w:t xml:space="preserve">. </w:t>
            </w:r>
          </w:p>
          <w:p w14:paraId="335FD009" w14:textId="4B456C7E" w:rsidR="006C56FF" w:rsidRPr="0044172E" w:rsidRDefault="00F0398D" w:rsidP="0044172E">
            <w:pPr>
              <w:pStyle w:val="TableTextLeft"/>
              <w:cnfStyle w:val="000000000000" w:firstRow="0" w:lastRow="0" w:firstColumn="0" w:lastColumn="0" w:oddVBand="0" w:evenVBand="0" w:oddHBand="0" w:evenHBand="0" w:firstRowFirstColumn="0" w:firstRowLastColumn="0" w:lastRowFirstColumn="0" w:lastRowLastColumn="0"/>
            </w:pPr>
            <w:r>
              <w:t>T</w:t>
            </w:r>
            <w:r w:rsidRPr="009A3724">
              <w:t xml:space="preserve">iming of </w:t>
            </w:r>
            <w:r>
              <w:t>any further work will be announced in due course.</w:t>
            </w:r>
          </w:p>
        </w:tc>
        <w:tc>
          <w:tcPr>
            <w:tcW w:w="1246" w:type="dxa"/>
            <w:tcBorders>
              <w:top w:val="single" w:sz="4" w:space="0" w:color="BCE4CF"/>
              <w:bottom w:val="single" w:sz="4" w:space="0" w:color="BCE4CF"/>
            </w:tcBorders>
            <w:shd w:val="clear" w:color="auto" w:fill="ECF7F1"/>
          </w:tcPr>
          <w:p w14:paraId="7DBCB6BE" w14:textId="77777777" w:rsidR="006C56FF" w:rsidRDefault="006C56FF" w:rsidP="006C56FF">
            <w:pPr>
              <w:pStyle w:val="TableTextLeft"/>
              <w:cnfStyle w:val="000000000000" w:firstRow="0" w:lastRow="0" w:firstColumn="0" w:lastColumn="0" w:oddVBand="0" w:evenVBand="0" w:oddHBand="0" w:evenHBand="0" w:firstRowFirstColumn="0" w:firstRowLastColumn="0" w:lastRowFirstColumn="0" w:lastRowLastColumn="0"/>
            </w:pPr>
          </w:p>
        </w:tc>
        <w:tc>
          <w:tcPr>
            <w:tcW w:w="1246" w:type="dxa"/>
            <w:tcBorders>
              <w:top w:val="single" w:sz="4" w:space="0" w:color="BCE4CF"/>
              <w:bottom w:val="single" w:sz="4" w:space="0" w:color="BCE4CF"/>
            </w:tcBorders>
            <w:shd w:val="clear" w:color="auto" w:fill="ECF7F1"/>
          </w:tcPr>
          <w:p w14:paraId="4BBB902F" w14:textId="77777777" w:rsidR="006C56FF" w:rsidRPr="003C5CEE" w:rsidRDefault="006C56FF" w:rsidP="006C56FF">
            <w:pPr>
              <w:pStyle w:val="TableTextLeft"/>
              <w:cnfStyle w:val="000000000000" w:firstRow="0" w:lastRow="0" w:firstColumn="0" w:lastColumn="0" w:oddVBand="0" w:evenVBand="0" w:oddHBand="0" w:evenHBand="0" w:firstRowFirstColumn="0" w:firstRowLastColumn="0" w:lastRowFirstColumn="0" w:lastRowLastColumn="0"/>
            </w:pPr>
          </w:p>
        </w:tc>
        <w:tc>
          <w:tcPr>
            <w:tcW w:w="1246" w:type="dxa"/>
            <w:tcBorders>
              <w:top w:val="single" w:sz="4" w:space="0" w:color="BCE4CF"/>
              <w:bottom w:val="single" w:sz="4" w:space="0" w:color="BCE4CF"/>
            </w:tcBorders>
            <w:shd w:val="clear" w:color="auto" w:fill="ECF7F1"/>
          </w:tcPr>
          <w:p w14:paraId="759729F9" w14:textId="77777777" w:rsidR="006C56FF" w:rsidRPr="00A56D83" w:rsidRDefault="006C56FF" w:rsidP="006C56FF">
            <w:pPr>
              <w:pStyle w:val="TableTextLeft"/>
              <w:cnfStyle w:val="000000000000" w:firstRow="0" w:lastRow="0" w:firstColumn="0" w:lastColumn="0" w:oddVBand="0" w:evenVBand="0" w:oddHBand="0" w:evenHBand="0" w:firstRowFirstColumn="0" w:firstRowLastColumn="0" w:lastRowFirstColumn="0" w:lastRowLastColumn="0"/>
            </w:pPr>
          </w:p>
        </w:tc>
        <w:tc>
          <w:tcPr>
            <w:tcW w:w="1247" w:type="dxa"/>
            <w:tcBorders>
              <w:top w:val="single" w:sz="4" w:space="0" w:color="BCE4CF"/>
              <w:bottom w:val="single" w:sz="4" w:space="0" w:color="BCE4CF"/>
            </w:tcBorders>
            <w:shd w:val="clear" w:color="auto" w:fill="ECF7F1"/>
          </w:tcPr>
          <w:p w14:paraId="43321990" w14:textId="77777777" w:rsidR="006C56FF" w:rsidRPr="00A56D83" w:rsidRDefault="006C56FF" w:rsidP="006C56FF">
            <w:pPr>
              <w:pStyle w:val="TableTextLeft"/>
              <w:cnfStyle w:val="000000000000" w:firstRow="0" w:lastRow="0" w:firstColumn="0" w:lastColumn="0" w:oddVBand="0" w:evenVBand="0" w:oddHBand="0" w:evenHBand="0" w:firstRowFirstColumn="0" w:firstRowLastColumn="0" w:lastRowFirstColumn="0" w:lastRowLastColumn="0"/>
            </w:pPr>
          </w:p>
        </w:tc>
        <w:tc>
          <w:tcPr>
            <w:tcW w:w="1246" w:type="dxa"/>
            <w:tcBorders>
              <w:top w:val="single" w:sz="4" w:space="0" w:color="BCE4CF"/>
              <w:bottom w:val="single" w:sz="4" w:space="0" w:color="BCE4CF"/>
            </w:tcBorders>
            <w:shd w:val="clear" w:color="auto" w:fill="F5FBF8"/>
          </w:tcPr>
          <w:p w14:paraId="740B7690" w14:textId="77777777" w:rsidR="006C56FF" w:rsidRPr="00D813A6" w:rsidRDefault="006C56FF" w:rsidP="006C56FF">
            <w:pPr>
              <w:pStyle w:val="TableTextLeft"/>
              <w:cnfStyle w:val="000000000000" w:firstRow="0" w:lastRow="0" w:firstColumn="0" w:lastColumn="0" w:oddVBand="0" w:evenVBand="0" w:oddHBand="0" w:evenHBand="0" w:firstRowFirstColumn="0" w:firstRowLastColumn="0" w:lastRowFirstColumn="0" w:lastRowLastColumn="0"/>
            </w:pPr>
          </w:p>
        </w:tc>
        <w:tc>
          <w:tcPr>
            <w:tcW w:w="1247" w:type="dxa"/>
            <w:tcBorders>
              <w:top w:val="single" w:sz="4" w:space="0" w:color="BCE4CF"/>
              <w:bottom w:val="single" w:sz="4" w:space="0" w:color="BCE4CF"/>
            </w:tcBorders>
            <w:shd w:val="clear" w:color="auto" w:fill="F5FBF8"/>
          </w:tcPr>
          <w:p w14:paraId="76D05690" w14:textId="77777777" w:rsidR="006C56FF" w:rsidRPr="00AF43B7" w:rsidRDefault="006C56FF" w:rsidP="006C56FF">
            <w:pPr>
              <w:pStyle w:val="TableTextLeft"/>
              <w:cnfStyle w:val="000000000000" w:firstRow="0" w:lastRow="0" w:firstColumn="0" w:lastColumn="0" w:oddVBand="0" w:evenVBand="0" w:oddHBand="0" w:evenHBand="0" w:firstRowFirstColumn="0" w:firstRowLastColumn="0" w:lastRowFirstColumn="0" w:lastRowLastColumn="0"/>
              <w:rPr>
                <w:sz w:val="14"/>
                <w:szCs w:val="14"/>
              </w:rPr>
            </w:pPr>
          </w:p>
        </w:tc>
      </w:tr>
      <w:tr w:rsidR="00516550" w:rsidRPr="00AF43B7" w14:paraId="31F52CD6" w14:textId="77777777" w:rsidTr="1E3961DD">
        <w:trPr>
          <w:cantSplit/>
          <w:trHeight w:val="410"/>
        </w:trPr>
        <w:tc>
          <w:tcPr>
            <w:cnfStyle w:val="001000000000" w:firstRow="0" w:lastRow="0" w:firstColumn="1" w:lastColumn="0" w:oddVBand="0" w:evenVBand="0" w:oddHBand="0" w:evenHBand="0" w:firstRowFirstColumn="0" w:firstRowLastColumn="0" w:lastRowFirstColumn="0" w:lastRowLastColumn="0"/>
            <w:tcW w:w="834" w:type="dxa"/>
            <w:tcBorders>
              <w:top w:val="single" w:sz="4" w:space="0" w:color="BCE4CF"/>
              <w:bottom w:val="single" w:sz="4" w:space="0" w:color="BCE4CF"/>
            </w:tcBorders>
          </w:tcPr>
          <w:p w14:paraId="7EF09489" w14:textId="77777777" w:rsidR="006B6AB8" w:rsidRPr="00AD71F3" w:rsidRDefault="006B6AB8" w:rsidP="00874816">
            <w:pPr>
              <w:pStyle w:val="TableLeadAgency"/>
              <w:rPr>
                <w:rFonts w:cs="Calibri Light"/>
                <w:b/>
                <w:bCs/>
                <w:szCs w:val="16"/>
                <w:lang w:val="en-AU"/>
              </w:rPr>
            </w:pPr>
            <w:r w:rsidRPr="00AD71F3">
              <w:rPr>
                <w:rFonts w:cs="Calibri Light"/>
                <w:b/>
                <w:bCs/>
                <w:szCs w:val="16"/>
              </w:rPr>
              <w:t xml:space="preserve">TSY </w:t>
            </w:r>
          </w:p>
          <w:p w14:paraId="6E7F581C" w14:textId="77777777" w:rsidR="006B6AB8" w:rsidRPr="00AD71F3" w:rsidRDefault="006B6AB8" w:rsidP="00874816">
            <w:pPr>
              <w:pStyle w:val="TableSecondaryAgency"/>
              <w:rPr>
                <w:b w:val="0"/>
                <w:bCs/>
                <w:lang w:val="en-AU"/>
              </w:rPr>
            </w:pPr>
            <w:r w:rsidRPr="00AD71F3">
              <w:rPr>
                <w:b w:val="0"/>
                <w:bCs/>
              </w:rPr>
              <w:t xml:space="preserve">ASIC </w:t>
            </w:r>
          </w:p>
          <w:p w14:paraId="2A9D4FB3" w14:textId="26640C41" w:rsidR="006B6AB8" w:rsidRPr="00874816" w:rsidRDefault="006B6AB8" w:rsidP="00874816">
            <w:pPr>
              <w:pStyle w:val="TableSecondaryAgency"/>
            </w:pPr>
            <w:r w:rsidRPr="00AD71F3">
              <w:rPr>
                <w:b w:val="0"/>
                <w:bCs/>
              </w:rPr>
              <w:t>APRA</w:t>
            </w:r>
          </w:p>
        </w:tc>
        <w:tc>
          <w:tcPr>
            <w:tcW w:w="1222" w:type="dxa"/>
            <w:tcBorders>
              <w:top w:val="single" w:sz="4" w:space="0" w:color="BCE4CF"/>
              <w:bottom w:val="single" w:sz="4" w:space="0" w:color="BCE4CF"/>
            </w:tcBorders>
          </w:tcPr>
          <w:p w14:paraId="6736EA9C" w14:textId="77777777" w:rsidR="006B6AB8" w:rsidRPr="00301F93" w:rsidRDefault="006B6AB8" w:rsidP="00301F93">
            <w:pPr>
              <w:pStyle w:val="TableTextLeft"/>
              <w:cnfStyle w:val="000000000000" w:firstRow="0" w:lastRow="0" w:firstColumn="0" w:lastColumn="0" w:oddVBand="0" w:evenVBand="0" w:oddHBand="0" w:evenHBand="0" w:firstRowFirstColumn="0" w:firstRowLastColumn="0" w:lastRowFirstColumn="0" w:lastRowLastColumn="0"/>
            </w:pPr>
            <w:r w:rsidRPr="00301F93">
              <w:t>Financial advice</w:t>
            </w:r>
          </w:p>
          <w:p w14:paraId="469996FD" w14:textId="77777777" w:rsidR="004E5577" w:rsidRPr="00301F93" w:rsidRDefault="004E5577" w:rsidP="00301F93">
            <w:pPr>
              <w:pStyle w:val="TableTextLeft"/>
              <w:cnfStyle w:val="000000000000" w:firstRow="0" w:lastRow="0" w:firstColumn="0" w:lastColumn="0" w:oddVBand="0" w:evenVBand="0" w:oddHBand="0" w:evenHBand="0" w:firstRowFirstColumn="0" w:firstRowLastColumn="0" w:lastRowFirstColumn="0" w:lastRowLastColumn="0"/>
            </w:pPr>
            <w:r w:rsidRPr="00301F93">
              <w:t>Insurance and reinsurance</w:t>
            </w:r>
          </w:p>
          <w:p w14:paraId="40D34A13" w14:textId="0966C4D3" w:rsidR="006B6AB8" w:rsidRPr="00301F93" w:rsidRDefault="006B6AB8" w:rsidP="00301F93">
            <w:pPr>
              <w:pStyle w:val="TableTextLeft"/>
              <w:cnfStyle w:val="000000000000" w:firstRow="0" w:lastRow="0" w:firstColumn="0" w:lastColumn="0" w:oddVBand="0" w:evenVBand="0" w:oddHBand="0" w:evenHBand="0" w:firstRowFirstColumn="0" w:firstRowLastColumn="0" w:lastRowFirstColumn="0" w:lastRowLastColumn="0"/>
            </w:pPr>
            <w:r w:rsidRPr="00301F93">
              <w:t>Superannuation and retirement income</w:t>
            </w:r>
          </w:p>
          <w:p w14:paraId="70075E97" w14:textId="187782C5" w:rsidR="006B6AB8" w:rsidRPr="006B6AB8" w:rsidRDefault="006B6AB8" w:rsidP="009E1613">
            <w:pPr>
              <w:pStyle w:val="TableTextLeft"/>
              <w:cnfStyle w:val="000000000000" w:firstRow="0" w:lastRow="0" w:firstColumn="0" w:lastColumn="0" w:oddVBand="0" w:evenVBand="0" w:oddHBand="0" w:evenHBand="0" w:firstRowFirstColumn="0" w:firstRowLastColumn="0" w:lastRowFirstColumn="0" w:lastRowLastColumn="0"/>
            </w:pPr>
          </w:p>
        </w:tc>
        <w:tc>
          <w:tcPr>
            <w:tcW w:w="4468" w:type="dxa"/>
            <w:tcBorders>
              <w:top w:val="single" w:sz="4" w:space="0" w:color="BCE4CF"/>
              <w:bottom w:val="single" w:sz="4" w:space="0" w:color="BCE4CF"/>
            </w:tcBorders>
          </w:tcPr>
          <w:p w14:paraId="7A8176DB" w14:textId="21E8F7B2" w:rsidR="006B6AB8" w:rsidRPr="000A4B96" w:rsidRDefault="001D4D7F" w:rsidP="006A3EFB">
            <w:pPr>
              <w:pStyle w:val="TableLink"/>
              <w:cnfStyle w:val="000000000000" w:firstRow="0" w:lastRow="0" w:firstColumn="0" w:lastColumn="0" w:oddVBand="0" w:evenVBand="0" w:oddHBand="0" w:evenHBand="0" w:firstRowFirstColumn="0" w:firstRowLastColumn="0" w:lastRowFirstColumn="0" w:lastRowLastColumn="0"/>
              <w:rPr>
                <w:u w:val="single"/>
              </w:rPr>
            </w:pPr>
            <w:hyperlink r:id="rId64" w:history="1">
              <w:r w:rsidR="006B6AB8" w:rsidRPr="000A4B96">
                <w:rPr>
                  <w:rStyle w:val="Hyperlink"/>
                  <w:b/>
                  <w:bCs/>
                  <w:u w:val="single"/>
                </w:rPr>
                <w:t>Delivering Better Financial Outcomes</w:t>
              </w:r>
            </w:hyperlink>
            <w:r w:rsidR="0008745D">
              <w:rPr>
                <w:b w:val="0"/>
                <w:bCs/>
                <w:u w:val="single"/>
              </w:rPr>
              <w:t xml:space="preserve"> – </w:t>
            </w:r>
            <w:r w:rsidR="006B6AB8" w:rsidRPr="000A4B96">
              <w:rPr>
                <w:u w:val="single"/>
              </w:rPr>
              <w:t>tranche two</w:t>
            </w:r>
          </w:p>
          <w:p w14:paraId="232C5451" w14:textId="77777777" w:rsidR="00B23459" w:rsidRDefault="006B6AB8" w:rsidP="00301F93">
            <w:pPr>
              <w:pStyle w:val="TableTextLeft"/>
              <w:cnfStyle w:val="000000000000" w:firstRow="0" w:lastRow="0" w:firstColumn="0" w:lastColumn="0" w:oddVBand="0" w:evenVBand="0" w:oddHBand="0" w:evenHBand="0" w:firstRowFirstColumn="0" w:firstRowLastColumn="0" w:lastRowFirstColumn="0" w:lastRowLastColumn="0"/>
            </w:pPr>
            <w:r w:rsidRPr="00F534FF">
              <w:t>In December</w:t>
            </w:r>
            <w:r w:rsidR="00C62E2A">
              <w:t> </w:t>
            </w:r>
            <w:r w:rsidRPr="00F534FF">
              <w:t xml:space="preserve">2023, the Government announced its final response to the Quality of Advice review – the Delivering Better Financial Outcomes package. The reforms aim to increase the affordability and accessibility of financial advice by reducing red tape and </w:t>
            </w:r>
            <w:proofErr w:type="spellStart"/>
            <w:r w:rsidRPr="00F534FF">
              <w:t>modernising</w:t>
            </w:r>
            <w:proofErr w:type="spellEnd"/>
            <w:r w:rsidRPr="00F534FF">
              <w:t xml:space="preserve"> the regulatory framework. </w:t>
            </w:r>
          </w:p>
          <w:p w14:paraId="5442CF92" w14:textId="38D01176" w:rsidR="006B6AB8" w:rsidRDefault="006B6AB8" w:rsidP="00301F93">
            <w:pPr>
              <w:pStyle w:val="TableTextLeft"/>
              <w:cnfStyle w:val="000000000000" w:firstRow="0" w:lastRow="0" w:firstColumn="0" w:lastColumn="0" w:oddVBand="0" w:evenVBand="0" w:oddHBand="0" w:evenHBand="0" w:firstRowFirstColumn="0" w:firstRowLastColumn="0" w:lastRowFirstColumn="0" w:lastRowLastColumn="0"/>
            </w:pPr>
            <w:r w:rsidRPr="4638E34E">
              <w:t>Legislation delivering the first tranche of reforms passed in July</w:t>
            </w:r>
            <w:r w:rsidR="00621073" w:rsidRPr="4638E34E">
              <w:t> </w:t>
            </w:r>
            <w:r w:rsidRPr="4638E34E">
              <w:t xml:space="preserve">2024. Legislation </w:t>
            </w:r>
            <w:r w:rsidR="00636A2E">
              <w:t>implementing</w:t>
            </w:r>
            <w:r w:rsidR="00636A2E" w:rsidRPr="4638E34E">
              <w:t xml:space="preserve"> </w:t>
            </w:r>
            <w:r w:rsidRPr="4638E34E">
              <w:t xml:space="preserve">the second tranche </w:t>
            </w:r>
            <w:r w:rsidR="00F448EC">
              <w:t>of reforms</w:t>
            </w:r>
            <w:r w:rsidRPr="4638E34E">
              <w:t xml:space="preserve"> will be introduced</w:t>
            </w:r>
            <w:r w:rsidRPr="4638E34E" w:rsidDel="006B6AB8">
              <w:t xml:space="preserve"> </w:t>
            </w:r>
            <w:r w:rsidR="00F448EC">
              <w:t>following public consultat</w:t>
            </w:r>
            <w:r w:rsidR="00E028F4">
              <w:t>ion</w:t>
            </w:r>
            <w:r w:rsidR="00936FFB">
              <w:t>. S</w:t>
            </w:r>
            <w:r w:rsidR="38F90FA3" w:rsidRPr="4638E34E">
              <w:t>ubordinate legislation will be developed and consulted on subject to passage of primary legislation</w:t>
            </w:r>
            <w:r w:rsidRPr="4638E34E">
              <w:t>.</w:t>
            </w:r>
          </w:p>
          <w:p w14:paraId="65C4BB84" w14:textId="40ACB952" w:rsidR="003B126B" w:rsidRPr="00AD3378" w:rsidRDefault="009C2715" w:rsidP="00AD3378">
            <w:pPr>
              <w:pStyle w:val="TableTextLeft"/>
              <w:cnfStyle w:val="000000000000" w:firstRow="0" w:lastRow="0" w:firstColumn="0" w:lastColumn="0" w:oddVBand="0" w:evenVBand="0" w:oddHBand="0" w:evenHBand="0" w:firstRowFirstColumn="0" w:firstRowLastColumn="0" w:lastRowFirstColumn="0" w:lastRowLastColumn="0"/>
              <w:rPr>
                <w:b/>
                <w:bCs/>
              </w:rPr>
            </w:pPr>
            <w:r w:rsidRPr="00921B9A">
              <w:rPr>
                <w:rStyle w:val="Hyperlink"/>
                <w:b w:val="0"/>
                <w:color w:val="auto"/>
                <w:szCs w:val="16"/>
              </w:rPr>
              <w:t>ASIC intends to issue regulatory guidance to assist implementation of the legislation.</w:t>
            </w:r>
            <w:r w:rsidR="007A034A">
              <w:rPr>
                <w:rFonts w:cs="Calibri Light"/>
                <w:color w:val="00B050"/>
                <w:szCs w:val="16"/>
                <w:lang w:val="en-AU"/>
              </w:rPr>
              <w:t xml:space="preserve"> </w:t>
            </w:r>
          </w:p>
        </w:tc>
        <w:tc>
          <w:tcPr>
            <w:tcW w:w="1246" w:type="dxa"/>
            <w:tcBorders>
              <w:top w:val="single" w:sz="4" w:space="0" w:color="BCE4CF"/>
              <w:bottom w:val="single" w:sz="4" w:space="0" w:color="BCE4CF"/>
            </w:tcBorders>
            <w:shd w:val="clear" w:color="auto" w:fill="ECF7F1"/>
          </w:tcPr>
          <w:p w14:paraId="475AB01D" w14:textId="383B5074" w:rsidR="006B6AB8" w:rsidRPr="00285C8A" w:rsidRDefault="243165DB" w:rsidP="006B6AB8">
            <w:pPr>
              <w:pStyle w:val="TableTextLeft"/>
              <w:cnfStyle w:val="000000000000" w:firstRow="0" w:lastRow="0" w:firstColumn="0" w:lastColumn="0" w:oddVBand="0" w:evenVBand="0" w:oddHBand="0" w:evenHBand="0" w:firstRowFirstColumn="0" w:firstRowLastColumn="0" w:lastRowFirstColumn="0" w:lastRowLastColumn="0"/>
            </w:pPr>
            <w:r>
              <w:t>Consultation</w:t>
            </w:r>
            <w:r w:rsidR="000D762F">
              <w:t xml:space="preserve"> on </w:t>
            </w:r>
            <w:r w:rsidR="005C44AB">
              <w:t>e</w:t>
            </w:r>
            <w:r w:rsidR="000D762F">
              <w:t xml:space="preserve">xposure </w:t>
            </w:r>
            <w:r w:rsidR="005C44AB">
              <w:t>d</w:t>
            </w:r>
            <w:r w:rsidR="000D762F">
              <w:t>raft legislation</w:t>
            </w:r>
            <w:r w:rsidR="006A3305">
              <w:t xml:space="preserve"> (</w:t>
            </w:r>
            <w:r w:rsidR="00841648">
              <w:t>second tranche of reforms)</w:t>
            </w:r>
          </w:p>
        </w:tc>
        <w:tc>
          <w:tcPr>
            <w:tcW w:w="1246" w:type="dxa"/>
            <w:tcBorders>
              <w:top w:val="single" w:sz="4" w:space="0" w:color="BCE4CF"/>
              <w:bottom w:val="single" w:sz="4" w:space="0" w:color="BCE4CF"/>
            </w:tcBorders>
            <w:shd w:val="clear" w:color="auto" w:fill="ECF7F1"/>
          </w:tcPr>
          <w:p w14:paraId="7D23175B" w14:textId="77777777" w:rsidR="006B6AB8" w:rsidRPr="003C5CEE" w:rsidRDefault="006B6AB8" w:rsidP="006B6AB8">
            <w:pPr>
              <w:pStyle w:val="TableTextLeft"/>
              <w:cnfStyle w:val="000000000000" w:firstRow="0" w:lastRow="0" w:firstColumn="0" w:lastColumn="0" w:oddVBand="0" w:evenVBand="0" w:oddHBand="0" w:evenHBand="0" w:firstRowFirstColumn="0" w:firstRowLastColumn="0" w:lastRowFirstColumn="0" w:lastRowLastColumn="0"/>
            </w:pPr>
          </w:p>
        </w:tc>
        <w:tc>
          <w:tcPr>
            <w:tcW w:w="1246" w:type="dxa"/>
            <w:tcBorders>
              <w:top w:val="single" w:sz="4" w:space="0" w:color="BCE4CF"/>
              <w:bottom w:val="single" w:sz="4" w:space="0" w:color="BCE4CF"/>
            </w:tcBorders>
            <w:shd w:val="clear" w:color="auto" w:fill="ECF7F1"/>
          </w:tcPr>
          <w:p w14:paraId="4644018F" w14:textId="77777777" w:rsidR="006B6AB8" w:rsidRPr="00A56D83" w:rsidRDefault="006B6AB8" w:rsidP="006B6AB8">
            <w:pPr>
              <w:pStyle w:val="TableTextLeft"/>
              <w:cnfStyle w:val="000000000000" w:firstRow="0" w:lastRow="0" w:firstColumn="0" w:lastColumn="0" w:oddVBand="0" w:evenVBand="0" w:oddHBand="0" w:evenHBand="0" w:firstRowFirstColumn="0" w:firstRowLastColumn="0" w:lastRowFirstColumn="0" w:lastRowLastColumn="0"/>
            </w:pPr>
          </w:p>
        </w:tc>
        <w:tc>
          <w:tcPr>
            <w:tcW w:w="1247" w:type="dxa"/>
            <w:tcBorders>
              <w:top w:val="single" w:sz="4" w:space="0" w:color="BCE4CF"/>
              <w:bottom w:val="single" w:sz="4" w:space="0" w:color="BCE4CF"/>
            </w:tcBorders>
            <w:shd w:val="clear" w:color="auto" w:fill="ECF7F1"/>
          </w:tcPr>
          <w:p w14:paraId="39FC9C66" w14:textId="77777777" w:rsidR="006B6AB8" w:rsidRPr="00A56D83" w:rsidRDefault="006B6AB8" w:rsidP="006B6AB8">
            <w:pPr>
              <w:pStyle w:val="TableTextLeft"/>
              <w:cnfStyle w:val="000000000000" w:firstRow="0" w:lastRow="0" w:firstColumn="0" w:lastColumn="0" w:oddVBand="0" w:evenVBand="0" w:oddHBand="0" w:evenHBand="0" w:firstRowFirstColumn="0" w:firstRowLastColumn="0" w:lastRowFirstColumn="0" w:lastRowLastColumn="0"/>
            </w:pPr>
          </w:p>
        </w:tc>
        <w:tc>
          <w:tcPr>
            <w:tcW w:w="1246" w:type="dxa"/>
            <w:tcBorders>
              <w:top w:val="single" w:sz="4" w:space="0" w:color="BCE4CF"/>
              <w:bottom w:val="single" w:sz="4" w:space="0" w:color="BCE4CF"/>
            </w:tcBorders>
            <w:shd w:val="clear" w:color="auto" w:fill="F5FBF8"/>
          </w:tcPr>
          <w:p w14:paraId="2B08B98A" w14:textId="77777777" w:rsidR="006B6AB8" w:rsidRPr="00D813A6" w:rsidRDefault="006B6AB8" w:rsidP="006B6AB8">
            <w:pPr>
              <w:pStyle w:val="TableTextLeft"/>
              <w:cnfStyle w:val="000000000000" w:firstRow="0" w:lastRow="0" w:firstColumn="0" w:lastColumn="0" w:oddVBand="0" w:evenVBand="0" w:oddHBand="0" w:evenHBand="0" w:firstRowFirstColumn="0" w:firstRowLastColumn="0" w:lastRowFirstColumn="0" w:lastRowLastColumn="0"/>
            </w:pPr>
          </w:p>
        </w:tc>
        <w:tc>
          <w:tcPr>
            <w:tcW w:w="1247" w:type="dxa"/>
            <w:tcBorders>
              <w:top w:val="single" w:sz="4" w:space="0" w:color="BCE4CF"/>
              <w:bottom w:val="single" w:sz="4" w:space="0" w:color="BCE4CF"/>
            </w:tcBorders>
            <w:shd w:val="clear" w:color="auto" w:fill="F5FBF8"/>
          </w:tcPr>
          <w:p w14:paraId="08C2BDBA" w14:textId="77777777" w:rsidR="006B6AB8" w:rsidRPr="00AF43B7" w:rsidRDefault="006B6AB8" w:rsidP="006B6AB8">
            <w:pPr>
              <w:pStyle w:val="TableTextLeft"/>
              <w:cnfStyle w:val="000000000000" w:firstRow="0" w:lastRow="0" w:firstColumn="0" w:lastColumn="0" w:oddVBand="0" w:evenVBand="0" w:oddHBand="0" w:evenHBand="0" w:firstRowFirstColumn="0" w:firstRowLastColumn="0" w:lastRowFirstColumn="0" w:lastRowLastColumn="0"/>
              <w:rPr>
                <w:sz w:val="14"/>
                <w:szCs w:val="14"/>
              </w:rPr>
            </w:pPr>
          </w:p>
        </w:tc>
      </w:tr>
      <w:tr w:rsidR="005C2467" w:rsidRPr="00AF43B7" w14:paraId="3D36CB10" w14:textId="77777777" w:rsidTr="1E3961DD">
        <w:trPr>
          <w:cantSplit/>
          <w:trHeight w:val="410"/>
        </w:trPr>
        <w:tc>
          <w:tcPr>
            <w:cnfStyle w:val="001000000000" w:firstRow="0" w:lastRow="0" w:firstColumn="1" w:lastColumn="0" w:oddVBand="0" w:evenVBand="0" w:oddHBand="0" w:evenHBand="0" w:firstRowFirstColumn="0" w:firstRowLastColumn="0" w:lastRowFirstColumn="0" w:lastRowLastColumn="0"/>
            <w:tcW w:w="834" w:type="dxa"/>
            <w:tcBorders>
              <w:top w:val="single" w:sz="4" w:space="0" w:color="BCE4CF"/>
              <w:bottom w:val="single" w:sz="4" w:space="0" w:color="BCE4CF"/>
            </w:tcBorders>
          </w:tcPr>
          <w:p w14:paraId="76B3B7F8" w14:textId="1B5B055C" w:rsidR="005C2467" w:rsidRPr="00AD71F3" w:rsidRDefault="005C2467" w:rsidP="00874816">
            <w:pPr>
              <w:pStyle w:val="TableLeadAgency"/>
              <w:rPr>
                <w:b/>
                <w:bCs/>
              </w:rPr>
            </w:pPr>
            <w:r w:rsidRPr="00AD71F3">
              <w:rPr>
                <w:b/>
                <w:bCs/>
              </w:rPr>
              <w:t xml:space="preserve">ASIC </w:t>
            </w:r>
          </w:p>
        </w:tc>
        <w:tc>
          <w:tcPr>
            <w:tcW w:w="1222" w:type="dxa"/>
            <w:tcBorders>
              <w:top w:val="single" w:sz="4" w:space="0" w:color="BCE4CF"/>
              <w:bottom w:val="single" w:sz="4" w:space="0" w:color="BCE4CF"/>
            </w:tcBorders>
          </w:tcPr>
          <w:p w14:paraId="67A5A3DF" w14:textId="5141F17A" w:rsidR="005C2467" w:rsidRPr="00874816" w:rsidRDefault="005C2467" w:rsidP="00301F93">
            <w:pPr>
              <w:pStyle w:val="TableTextLeft"/>
              <w:cnfStyle w:val="000000000000" w:firstRow="0" w:lastRow="0" w:firstColumn="0" w:lastColumn="0" w:oddVBand="0" w:evenVBand="0" w:oddHBand="0" w:evenHBand="0" w:firstRowFirstColumn="0" w:firstRowLastColumn="0" w:lastRowFirstColumn="0" w:lastRowLastColumn="0"/>
            </w:pPr>
            <w:r w:rsidRPr="00301F93">
              <w:t>Financial</w:t>
            </w:r>
            <w:r>
              <w:t xml:space="preserve"> markets</w:t>
            </w:r>
          </w:p>
        </w:tc>
        <w:tc>
          <w:tcPr>
            <w:tcW w:w="4468" w:type="dxa"/>
            <w:tcBorders>
              <w:top w:val="single" w:sz="4" w:space="0" w:color="BCE4CF"/>
              <w:bottom w:val="single" w:sz="4" w:space="0" w:color="BCE4CF"/>
            </w:tcBorders>
          </w:tcPr>
          <w:p w14:paraId="5D973528" w14:textId="39FD06A1" w:rsidR="005C2467" w:rsidRPr="00F678E5" w:rsidRDefault="005C2467" w:rsidP="005C2467">
            <w:pPr>
              <w:pStyle w:val="TableTextLeft"/>
              <w:cnfStyle w:val="000000000000" w:firstRow="0" w:lastRow="0" w:firstColumn="0" w:lastColumn="0" w:oddVBand="0" w:evenVBand="0" w:oddHBand="0" w:evenHBand="0" w:firstRowFirstColumn="0" w:firstRowLastColumn="0" w:lastRowFirstColumn="0" w:lastRowLastColumn="0"/>
              <w:rPr>
                <w:b/>
                <w:bCs/>
              </w:rPr>
            </w:pPr>
            <w:r w:rsidRPr="00F678E5">
              <w:rPr>
                <w:b/>
                <w:bCs/>
              </w:rPr>
              <w:t xml:space="preserve">Competition in clearing and settlement </w:t>
            </w:r>
            <w:r>
              <w:rPr>
                <w:b/>
                <w:bCs/>
              </w:rPr>
              <w:t xml:space="preserve">(CICS) </w:t>
            </w:r>
            <w:r w:rsidRPr="00F678E5">
              <w:rPr>
                <w:b/>
                <w:bCs/>
              </w:rPr>
              <w:t>reforms</w:t>
            </w:r>
            <w:r w:rsidR="0008745D">
              <w:rPr>
                <w:b/>
                <w:bCs/>
              </w:rPr>
              <w:t xml:space="preserve"> – </w:t>
            </w:r>
            <w:r>
              <w:rPr>
                <w:b/>
                <w:bCs/>
              </w:rPr>
              <w:t xml:space="preserve">new </w:t>
            </w:r>
            <w:proofErr w:type="gramStart"/>
            <w:r>
              <w:rPr>
                <w:b/>
                <w:bCs/>
              </w:rPr>
              <w:t>rules</w:t>
            </w:r>
            <w:proofErr w:type="gramEnd"/>
          </w:p>
          <w:p w14:paraId="588C88BD" w14:textId="43FE99C4" w:rsidR="005C2467" w:rsidRDefault="005C2467" w:rsidP="000F7706">
            <w:pPr>
              <w:pStyle w:val="TableTextLeft"/>
              <w:cnfStyle w:val="000000000000" w:firstRow="0" w:lastRow="0" w:firstColumn="0" w:lastColumn="0" w:oddVBand="0" w:evenVBand="0" w:oddHBand="0" w:evenHBand="0" w:firstRowFirstColumn="0" w:firstRowLastColumn="0" w:lastRowFirstColumn="0" w:lastRowLastColumn="0"/>
              <w:rPr>
                <w:lang w:eastAsia="en-US"/>
              </w:rPr>
            </w:pPr>
            <w:r w:rsidRPr="00E01479">
              <w:t xml:space="preserve">ASIC is </w:t>
            </w:r>
            <w:proofErr w:type="spellStart"/>
            <w:r w:rsidRPr="00E01479">
              <w:t>finalising</w:t>
            </w:r>
            <w:proofErr w:type="spellEnd"/>
            <w:r w:rsidRPr="00E01479">
              <w:t xml:space="preserve"> proposals </w:t>
            </w:r>
            <w:r w:rsidRPr="00E01479">
              <w:rPr>
                <w:lang w:eastAsia="en-US"/>
              </w:rPr>
              <w:t xml:space="preserve">to make rules to facilitate competitive outcomes in the monopoly provision of clearing and settlement </w:t>
            </w:r>
            <w:r w:rsidRPr="00301F93">
              <w:t>services</w:t>
            </w:r>
            <w:r>
              <w:rPr>
                <w:lang w:eastAsia="en-US"/>
              </w:rPr>
              <w:t xml:space="preserve"> (following the passage of the CIC</w:t>
            </w:r>
            <w:r w:rsidR="00757B8C">
              <w:rPr>
                <w:lang w:eastAsia="en-US"/>
              </w:rPr>
              <w:t>S</w:t>
            </w:r>
            <w:r>
              <w:rPr>
                <w:lang w:eastAsia="en-US"/>
              </w:rPr>
              <w:t xml:space="preserve"> reforms).</w:t>
            </w:r>
          </w:p>
        </w:tc>
        <w:tc>
          <w:tcPr>
            <w:tcW w:w="1246" w:type="dxa"/>
            <w:tcBorders>
              <w:top w:val="single" w:sz="4" w:space="0" w:color="BCE4CF"/>
              <w:bottom w:val="single" w:sz="4" w:space="0" w:color="BCE4CF"/>
            </w:tcBorders>
            <w:shd w:val="clear" w:color="auto" w:fill="ECF7F1"/>
          </w:tcPr>
          <w:p w14:paraId="226695A0" w14:textId="5295783A" w:rsidR="005C2467" w:rsidRPr="00285C8A" w:rsidRDefault="005C2467" w:rsidP="005C2467">
            <w:pPr>
              <w:pStyle w:val="TableTextLeft"/>
              <w:cnfStyle w:val="000000000000" w:firstRow="0" w:lastRow="0" w:firstColumn="0" w:lastColumn="0" w:oddVBand="0" w:evenVBand="0" w:oddHBand="0" w:evenHBand="0" w:firstRowFirstColumn="0" w:firstRowLastColumn="0" w:lastRowFirstColumn="0" w:lastRowLastColumn="0"/>
            </w:pPr>
            <w:r>
              <w:t>Rules made by ASIC</w:t>
            </w:r>
          </w:p>
        </w:tc>
        <w:tc>
          <w:tcPr>
            <w:tcW w:w="1246" w:type="dxa"/>
            <w:tcBorders>
              <w:top w:val="single" w:sz="4" w:space="0" w:color="BCE4CF"/>
              <w:bottom w:val="single" w:sz="4" w:space="0" w:color="BCE4CF"/>
            </w:tcBorders>
            <w:shd w:val="clear" w:color="auto" w:fill="ECF7F1"/>
          </w:tcPr>
          <w:p w14:paraId="5486E23B" w14:textId="77777777" w:rsidR="005C2467" w:rsidRPr="003C5CEE" w:rsidRDefault="005C2467" w:rsidP="005C2467">
            <w:pPr>
              <w:pStyle w:val="TableTextLeft"/>
              <w:cnfStyle w:val="000000000000" w:firstRow="0" w:lastRow="0" w:firstColumn="0" w:lastColumn="0" w:oddVBand="0" w:evenVBand="0" w:oddHBand="0" w:evenHBand="0" w:firstRowFirstColumn="0" w:firstRowLastColumn="0" w:lastRowFirstColumn="0" w:lastRowLastColumn="0"/>
            </w:pPr>
          </w:p>
        </w:tc>
        <w:tc>
          <w:tcPr>
            <w:tcW w:w="1246" w:type="dxa"/>
            <w:tcBorders>
              <w:top w:val="single" w:sz="4" w:space="0" w:color="BCE4CF"/>
              <w:bottom w:val="single" w:sz="4" w:space="0" w:color="BCE4CF"/>
            </w:tcBorders>
            <w:shd w:val="clear" w:color="auto" w:fill="ECF7F1"/>
          </w:tcPr>
          <w:p w14:paraId="55A1D9BC" w14:textId="77777777" w:rsidR="005C2467" w:rsidRPr="00A56D83" w:rsidRDefault="005C2467" w:rsidP="005C2467">
            <w:pPr>
              <w:pStyle w:val="TableTextLeft"/>
              <w:cnfStyle w:val="000000000000" w:firstRow="0" w:lastRow="0" w:firstColumn="0" w:lastColumn="0" w:oddVBand="0" w:evenVBand="0" w:oddHBand="0" w:evenHBand="0" w:firstRowFirstColumn="0" w:firstRowLastColumn="0" w:lastRowFirstColumn="0" w:lastRowLastColumn="0"/>
            </w:pPr>
          </w:p>
        </w:tc>
        <w:tc>
          <w:tcPr>
            <w:tcW w:w="1247" w:type="dxa"/>
            <w:tcBorders>
              <w:top w:val="single" w:sz="4" w:space="0" w:color="BCE4CF"/>
              <w:bottom w:val="single" w:sz="4" w:space="0" w:color="BCE4CF"/>
            </w:tcBorders>
            <w:shd w:val="clear" w:color="auto" w:fill="ECF7F1"/>
          </w:tcPr>
          <w:p w14:paraId="3D2AD524" w14:textId="77777777" w:rsidR="005C2467" w:rsidRPr="00A56D83" w:rsidRDefault="005C2467" w:rsidP="005C2467">
            <w:pPr>
              <w:pStyle w:val="TableTextLeft"/>
              <w:cnfStyle w:val="000000000000" w:firstRow="0" w:lastRow="0" w:firstColumn="0" w:lastColumn="0" w:oddVBand="0" w:evenVBand="0" w:oddHBand="0" w:evenHBand="0" w:firstRowFirstColumn="0" w:firstRowLastColumn="0" w:lastRowFirstColumn="0" w:lastRowLastColumn="0"/>
            </w:pPr>
          </w:p>
        </w:tc>
        <w:tc>
          <w:tcPr>
            <w:tcW w:w="1246" w:type="dxa"/>
            <w:tcBorders>
              <w:top w:val="single" w:sz="4" w:space="0" w:color="BCE4CF"/>
              <w:bottom w:val="single" w:sz="4" w:space="0" w:color="BCE4CF"/>
            </w:tcBorders>
            <w:shd w:val="clear" w:color="auto" w:fill="F5FBF8"/>
          </w:tcPr>
          <w:p w14:paraId="2F3FA9BC" w14:textId="77777777" w:rsidR="005C2467" w:rsidRPr="00D813A6" w:rsidRDefault="005C2467" w:rsidP="005C2467">
            <w:pPr>
              <w:pStyle w:val="TableTextLeft"/>
              <w:cnfStyle w:val="000000000000" w:firstRow="0" w:lastRow="0" w:firstColumn="0" w:lastColumn="0" w:oddVBand="0" w:evenVBand="0" w:oddHBand="0" w:evenHBand="0" w:firstRowFirstColumn="0" w:firstRowLastColumn="0" w:lastRowFirstColumn="0" w:lastRowLastColumn="0"/>
            </w:pPr>
          </w:p>
        </w:tc>
        <w:tc>
          <w:tcPr>
            <w:tcW w:w="1247" w:type="dxa"/>
            <w:tcBorders>
              <w:top w:val="single" w:sz="4" w:space="0" w:color="BCE4CF"/>
              <w:bottom w:val="single" w:sz="4" w:space="0" w:color="BCE4CF"/>
            </w:tcBorders>
            <w:shd w:val="clear" w:color="auto" w:fill="F5FBF8"/>
          </w:tcPr>
          <w:p w14:paraId="385F5B1A" w14:textId="77777777" w:rsidR="005C2467" w:rsidRPr="00AF43B7" w:rsidRDefault="005C2467" w:rsidP="005C2467">
            <w:pPr>
              <w:pStyle w:val="TableTextLeft"/>
              <w:cnfStyle w:val="000000000000" w:firstRow="0" w:lastRow="0" w:firstColumn="0" w:lastColumn="0" w:oddVBand="0" w:evenVBand="0" w:oddHBand="0" w:evenHBand="0" w:firstRowFirstColumn="0" w:firstRowLastColumn="0" w:lastRowFirstColumn="0" w:lastRowLastColumn="0"/>
              <w:rPr>
                <w:sz w:val="14"/>
                <w:szCs w:val="14"/>
              </w:rPr>
            </w:pPr>
          </w:p>
        </w:tc>
      </w:tr>
      <w:tr w:rsidR="000F7F69" w:rsidRPr="00AF43B7" w14:paraId="018358AC" w14:textId="77777777" w:rsidTr="1E3961DD">
        <w:trPr>
          <w:cantSplit/>
          <w:trHeight w:val="410"/>
        </w:trPr>
        <w:tc>
          <w:tcPr>
            <w:cnfStyle w:val="001000000000" w:firstRow="0" w:lastRow="0" w:firstColumn="1" w:lastColumn="0" w:oddVBand="0" w:evenVBand="0" w:oddHBand="0" w:evenHBand="0" w:firstRowFirstColumn="0" w:firstRowLastColumn="0" w:lastRowFirstColumn="0" w:lastRowLastColumn="0"/>
            <w:tcW w:w="834" w:type="dxa"/>
            <w:tcBorders>
              <w:top w:val="single" w:sz="4" w:space="0" w:color="BCE4CF"/>
              <w:bottom w:val="single" w:sz="4" w:space="0" w:color="BCE4CF"/>
            </w:tcBorders>
          </w:tcPr>
          <w:p w14:paraId="5840A038" w14:textId="3021A19E" w:rsidR="000F7F69" w:rsidRPr="00AD71F3" w:rsidRDefault="000F7F69" w:rsidP="00874816">
            <w:pPr>
              <w:pStyle w:val="TableLeadAgency"/>
              <w:rPr>
                <w:b/>
                <w:bCs/>
              </w:rPr>
            </w:pPr>
            <w:r w:rsidRPr="00AD71F3">
              <w:rPr>
                <w:b/>
                <w:bCs/>
              </w:rPr>
              <w:t xml:space="preserve">ASIC </w:t>
            </w:r>
          </w:p>
        </w:tc>
        <w:tc>
          <w:tcPr>
            <w:tcW w:w="1222" w:type="dxa"/>
            <w:tcBorders>
              <w:top w:val="single" w:sz="4" w:space="0" w:color="BCE4CF"/>
              <w:bottom w:val="single" w:sz="4" w:space="0" w:color="BCE4CF"/>
            </w:tcBorders>
          </w:tcPr>
          <w:p w14:paraId="424F654D" w14:textId="7CFC9376" w:rsidR="000F7F69" w:rsidRPr="00874816" w:rsidRDefault="000F7F69" w:rsidP="009E1613">
            <w:pPr>
              <w:pStyle w:val="TableTextLeft"/>
              <w:cnfStyle w:val="000000000000" w:firstRow="0" w:lastRow="0" w:firstColumn="0" w:lastColumn="0" w:oddVBand="0" w:evenVBand="0" w:oddHBand="0" w:evenHBand="0" w:firstRowFirstColumn="0" w:firstRowLastColumn="0" w:lastRowFirstColumn="0" w:lastRowLastColumn="0"/>
            </w:pPr>
            <w:r>
              <w:t>Financial markets</w:t>
            </w:r>
          </w:p>
        </w:tc>
        <w:tc>
          <w:tcPr>
            <w:tcW w:w="4468" w:type="dxa"/>
            <w:tcBorders>
              <w:top w:val="single" w:sz="4" w:space="0" w:color="BCE4CF"/>
              <w:bottom w:val="single" w:sz="4" w:space="0" w:color="BCE4CF"/>
            </w:tcBorders>
          </w:tcPr>
          <w:p w14:paraId="4830D154" w14:textId="77777777" w:rsidR="000F7F69" w:rsidRPr="00754486" w:rsidRDefault="000F7F69" w:rsidP="000F7F69">
            <w:pPr>
              <w:pStyle w:val="TableTextLeft"/>
              <w:cnfStyle w:val="000000000000" w:firstRow="0" w:lastRow="0" w:firstColumn="0" w:lastColumn="0" w:oddVBand="0" w:evenVBand="0" w:oddHBand="0" w:evenHBand="0" w:firstRowFirstColumn="0" w:firstRowLastColumn="0" w:lastRowFirstColumn="0" w:lastRowLastColumn="0"/>
              <w:rPr>
                <w:b/>
                <w:bCs/>
              </w:rPr>
            </w:pPr>
            <w:r w:rsidRPr="00754486">
              <w:rPr>
                <w:b/>
                <w:bCs/>
              </w:rPr>
              <w:t>Market integrity rules</w:t>
            </w:r>
            <w:r>
              <w:rPr>
                <w:b/>
                <w:bCs/>
              </w:rPr>
              <w:t xml:space="preserve"> – consultation and amendment</w:t>
            </w:r>
          </w:p>
          <w:p w14:paraId="7AEE1675" w14:textId="4571A236" w:rsidR="000F7F69" w:rsidRPr="007B4229" w:rsidRDefault="000F7F69" w:rsidP="007B4229">
            <w:pPr>
              <w:pStyle w:val="TableTextLeft"/>
              <w:cnfStyle w:val="000000000000" w:firstRow="0" w:lastRow="0" w:firstColumn="0" w:lastColumn="0" w:oddVBand="0" w:evenVBand="0" w:oddHBand="0" w:evenHBand="0" w:firstRowFirstColumn="0" w:firstRowLastColumn="0" w:lastRowFirstColumn="0" w:lastRowLastColumn="0"/>
            </w:pPr>
            <w:r>
              <w:t xml:space="preserve">Following </w:t>
            </w:r>
            <w:r w:rsidRPr="00DC39DB">
              <w:t>consultation</w:t>
            </w:r>
            <w:r w:rsidR="00A07BD2">
              <w:t>,</w:t>
            </w:r>
            <w:r w:rsidRPr="00DC39DB">
              <w:t xml:space="preserve"> amend provisions of the ASIC Market </w:t>
            </w:r>
            <w:r w:rsidRPr="00301F93">
              <w:t>Integrity</w:t>
            </w:r>
            <w:r w:rsidRPr="00DC39DB">
              <w:t xml:space="preserve"> Rules (Securities Markets) 2017 and ASIC Market Integrity Rules (Futures Markets) 2017 relating to trading infrastructure, automated order processing and false or misleading appearances.</w:t>
            </w:r>
          </w:p>
        </w:tc>
        <w:tc>
          <w:tcPr>
            <w:tcW w:w="1246" w:type="dxa"/>
            <w:tcBorders>
              <w:top w:val="single" w:sz="4" w:space="0" w:color="BCE4CF"/>
              <w:bottom w:val="single" w:sz="4" w:space="0" w:color="BCE4CF"/>
            </w:tcBorders>
            <w:shd w:val="clear" w:color="auto" w:fill="ECF7F1"/>
          </w:tcPr>
          <w:p w14:paraId="1AE07E64" w14:textId="60437F7B" w:rsidR="000F7F69" w:rsidRPr="00285C8A" w:rsidRDefault="000F7F69" w:rsidP="000F7F69">
            <w:pPr>
              <w:pStyle w:val="TableTextLeft"/>
              <w:cnfStyle w:val="000000000000" w:firstRow="0" w:lastRow="0" w:firstColumn="0" w:lastColumn="0" w:oddVBand="0" w:evenVBand="0" w:oddHBand="0" w:evenHBand="0" w:firstRowFirstColumn="0" w:firstRowLastColumn="0" w:lastRowFirstColumn="0" w:lastRowLastColumn="0"/>
            </w:pPr>
            <w:r>
              <w:t xml:space="preserve">Consultation on amendments to rules </w:t>
            </w:r>
          </w:p>
        </w:tc>
        <w:tc>
          <w:tcPr>
            <w:tcW w:w="1246" w:type="dxa"/>
            <w:tcBorders>
              <w:top w:val="single" w:sz="4" w:space="0" w:color="BCE4CF"/>
              <w:bottom w:val="single" w:sz="4" w:space="0" w:color="BCE4CF"/>
            </w:tcBorders>
            <w:shd w:val="clear" w:color="auto" w:fill="ECF7F1"/>
          </w:tcPr>
          <w:p w14:paraId="315D8DC8" w14:textId="187E8873" w:rsidR="000F7F69" w:rsidRPr="003C5CEE" w:rsidRDefault="000F7F69" w:rsidP="000F7F69">
            <w:pPr>
              <w:pStyle w:val="TableTextLeft"/>
              <w:cnfStyle w:val="000000000000" w:firstRow="0" w:lastRow="0" w:firstColumn="0" w:lastColumn="0" w:oddVBand="0" w:evenVBand="0" w:oddHBand="0" w:evenHBand="0" w:firstRowFirstColumn="0" w:firstRowLastColumn="0" w:lastRowFirstColumn="0" w:lastRowLastColumn="0"/>
            </w:pPr>
            <w:r>
              <w:t>Rules made by ASIC</w:t>
            </w:r>
          </w:p>
        </w:tc>
        <w:tc>
          <w:tcPr>
            <w:tcW w:w="1246" w:type="dxa"/>
            <w:tcBorders>
              <w:top w:val="single" w:sz="4" w:space="0" w:color="BCE4CF"/>
              <w:bottom w:val="single" w:sz="4" w:space="0" w:color="BCE4CF"/>
            </w:tcBorders>
            <w:shd w:val="clear" w:color="auto" w:fill="ECF7F1"/>
          </w:tcPr>
          <w:p w14:paraId="6D15081F" w14:textId="77777777" w:rsidR="000F7F69" w:rsidRPr="00A56D83" w:rsidRDefault="000F7F69" w:rsidP="000F7F69">
            <w:pPr>
              <w:pStyle w:val="TableTextLeft"/>
              <w:cnfStyle w:val="000000000000" w:firstRow="0" w:lastRow="0" w:firstColumn="0" w:lastColumn="0" w:oddVBand="0" w:evenVBand="0" w:oddHBand="0" w:evenHBand="0" w:firstRowFirstColumn="0" w:firstRowLastColumn="0" w:lastRowFirstColumn="0" w:lastRowLastColumn="0"/>
            </w:pPr>
          </w:p>
        </w:tc>
        <w:tc>
          <w:tcPr>
            <w:tcW w:w="1247" w:type="dxa"/>
            <w:tcBorders>
              <w:top w:val="single" w:sz="4" w:space="0" w:color="BCE4CF"/>
              <w:bottom w:val="single" w:sz="4" w:space="0" w:color="BCE4CF"/>
            </w:tcBorders>
            <w:shd w:val="clear" w:color="auto" w:fill="ECF7F1"/>
          </w:tcPr>
          <w:p w14:paraId="5AE57EA0" w14:textId="77777777" w:rsidR="000F7F69" w:rsidRPr="00A56D83" w:rsidRDefault="000F7F69" w:rsidP="000F7F69">
            <w:pPr>
              <w:pStyle w:val="TableTextLeft"/>
              <w:cnfStyle w:val="000000000000" w:firstRow="0" w:lastRow="0" w:firstColumn="0" w:lastColumn="0" w:oddVBand="0" w:evenVBand="0" w:oddHBand="0" w:evenHBand="0" w:firstRowFirstColumn="0" w:firstRowLastColumn="0" w:lastRowFirstColumn="0" w:lastRowLastColumn="0"/>
            </w:pPr>
          </w:p>
        </w:tc>
        <w:tc>
          <w:tcPr>
            <w:tcW w:w="1246" w:type="dxa"/>
            <w:tcBorders>
              <w:top w:val="single" w:sz="4" w:space="0" w:color="BCE4CF"/>
              <w:bottom w:val="single" w:sz="4" w:space="0" w:color="BCE4CF"/>
            </w:tcBorders>
            <w:shd w:val="clear" w:color="auto" w:fill="F5FBF8"/>
          </w:tcPr>
          <w:p w14:paraId="3137B996" w14:textId="77777777" w:rsidR="000F7F69" w:rsidRPr="00D813A6" w:rsidRDefault="000F7F69" w:rsidP="000F7F69">
            <w:pPr>
              <w:pStyle w:val="TableTextLeft"/>
              <w:cnfStyle w:val="000000000000" w:firstRow="0" w:lastRow="0" w:firstColumn="0" w:lastColumn="0" w:oddVBand="0" w:evenVBand="0" w:oddHBand="0" w:evenHBand="0" w:firstRowFirstColumn="0" w:firstRowLastColumn="0" w:lastRowFirstColumn="0" w:lastRowLastColumn="0"/>
            </w:pPr>
          </w:p>
        </w:tc>
        <w:tc>
          <w:tcPr>
            <w:tcW w:w="1247" w:type="dxa"/>
            <w:tcBorders>
              <w:top w:val="single" w:sz="4" w:space="0" w:color="BCE4CF"/>
              <w:bottom w:val="single" w:sz="4" w:space="0" w:color="BCE4CF"/>
            </w:tcBorders>
            <w:shd w:val="clear" w:color="auto" w:fill="F5FBF8"/>
          </w:tcPr>
          <w:p w14:paraId="41D773D4" w14:textId="77777777" w:rsidR="000F7F69" w:rsidRPr="00AF43B7" w:rsidRDefault="000F7F69" w:rsidP="000F7F69">
            <w:pPr>
              <w:pStyle w:val="TableTextLeft"/>
              <w:cnfStyle w:val="000000000000" w:firstRow="0" w:lastRow="0" w:firstColumn="0" w:lastColumn="0" w:oddVBand="0" w:evenVBand="0" w:oddHBand="0" w:evenHBand="0" w:firstRowFirstColumn="0" w:firstRowLastColumn="0" w:lastRowFirstColumn="0" w:lastRowLastColumn="0"/>
              <w:rPr>
                <w:sz w:val="14"/>
                <w:szCs w:val="14"/>
              </w:rPr>
            </w:pPr>
          </w:p>
        </w:tc>
      </w:tr>
      <w:tr w:rsidR="006177A3" w:rsidRPr="00AF43B7" w14:paraId="569EC851" w14:textId="77777777" w:rsidTr="1E3961DD">
        <w:trPr>
          <w:cantSplit/>
          <w:trHeight w:val="410"/>
        </w:trPr>
        <w:tc>
          <w:tcPr>
            <w:cnfStyle w:val="001000000000" w:firstRow="0" w:lastRow="0" w:firstColumn="1" w:lastColumn="0" w:oddVBand="0" w:evenVBand="0" w:oddHBand="0" w:evenHBand="0" w:firstRowFirstColumn="0" w:firstRowLastColumn="0" w:lastRowFirstColumn="0" w:lastRowLastColumn="0"/>
            <w:tcW w:w="834" w:type="dxa"/>
            <w:tcBorders>
              <w:top w:val="single" w:sz="4" w:space="0" w:color="BCE4CF"/>
              <w:bottom w:val="single" w:sz="4" w:space="0" w:color="BCE4CF"/>
            </w:tcBorders>
          </w:tcPr>
          <w:p w14:paraId="0BA05308" w14:textId="21F14D37" w:rsidR="006177A3" w:rsidRPr="00AD71F3" w:rsidRDefault="006177A3" w:rsidP="00874816">
            <w:pPr>
              <w:pStyle w:val="TableLeadAgency"/>
              <w:rPr>
                <w:rFonts w:cs="Calibri Light"/>
                <w:b/>
                <w:bCs/>
              </w:rPr>
            </w:pPr>
            <w:r w:rsidRPr="00AD71F3">
              <w:rPr>
                <w:rFonts w:cs="Calibri Light"/>
                <w:b/>
                <w:bCs/>
              </w:rPr>
              <w:lastRenderedPageBreak/>
              <w:t>TSY</w:t>
            </w:r>
          </w:p>
        </w:tc>
        <w:tc>
          <w:tcPr>
            <w:tcW w:w="1222" w:type="dxa"/>
            <w:tcBorders>
              <w:top w:val="single" w:sz="4" w:space="0" w:color="BCE4CF"/>
              <w:bottom w:val="single" w:sz="4" w:space="0" w:color="BCE4CF"/>
            </w:tcBorders>
          </w:tcPr>
          <w:p w14:paraId="412C0821" w14:textId="77777777" w:rsidR="006177A3" w:rsidRPr="00301F93" w:rsidRDefault="006177A3" w:rsidP="00301F93">
            <w:pPr>
              <w:pStyle w:val="TableTextLeft"/>
              <w:cnfStyle w:val="000000000000" w:firstRow="0" w:lastRow="0" w:firstColumn="0" w:lastColumn="0" w:oddVBand="0" w:evenVBand="0" w:oddHBand="0" w:evenHBand="0" w:firstRowFirstColumn="0" w:firstRowLastColumn="0" w:lastRowFirstColumn="0" w:lastRowLastColumn="0"/>
            </w:pPr>
            <w:r w:rsidRPr="00301F93">
              <w:t>Financial markets</w:t>
            </w:r>
          </w:p>
          <w:p w14:paraId="5140A8F6" w14:textId="77777777" w:rsidR="006177A3" w:rsidRPr="00301F93" w:rsidRDefault="006177A3" w:rsidP="00301F93">
            <w:pPr>
              <w:pStyle w:val="TableTextLeft"/>
              <w:cnfStyle w:val="000000000000" w:firstRow="0" w:lastRow="0" w:firstColumn="0" w:lastColumn="0" w:oddVBand="0" w:evenVBand="0" w:oddHBand="0" w:evenHBand="0" w:firstRowFirstColumn="0" w:firstRowLastColumn="0" w:lastRowFirstColumn="0" w:lastRowLastColumn="0"/>
            </w:pPr>
            <w:r w:rsidRPr="00301F93">
              <w:t xml:space="preserve">Banking, </w:t>
            </w:r>
            <w:proofErr w:type="gramStart"/>
            <w:r w:rsidRPr="00301F93">
              <w:t>credit</w:t>
            </w:r>
            <w:proofErr w:type="gramEnd"/>
            <w:r w:rsidRPr="00301F93">
              <w:t xml:space="preserve"> and lending</w:t>
            </w:r>
          </w:p>
          <w:p w14:paraId="389ED071" w14:textId="77777777" w:rsidR="006177A3" w:rsidRPr="00301F93" w:rsidRDefault="006177A3" w:rsidP="00301F93">
            <w:pPr>
              <w:pStyle w:val="TableTextLeft"/>
              <w:cnfStyle w:val="000000000000" w:firstRow="0" w:lastRow="0" w:firstColumn="0" w:lastColumn="0" w:oddVBand="0" w:evenVBand="0" w:oddHBand="0" w:evenHBand="0" w:firstRowFirstColumn="0" w:firstRowLastColumn="0" w:lastRowFirstColumn="0" w:lastRowLastColumn="0"/>
            </w:pPr>
            <w:r w:rsidRPr="00301F93">
              <w:t>Collective investment and investment management</w:t>
            </w:r>
          </w:p>
          <w:p w14:paraId="209E0717" w14:textId="3FAF482E" w:rsidR="006177A3" w:rsidRPr="0025368F" w:rsidRDefault="006177A3" w:rsidP="00301F93">
            <w:pPr>
              <w:pStyle w:val="TableTextLeft"/>
              <w:cnfStyle w:val="000000000000" w:firstRow="0" w:lastRow="0" w:firstColumn="0" w:lastColumn="0" w:oddVBand="0" w:evenVBand="0" w:oddHBand="0" w:evenHBand="0" w:firstRowFirstColumn="0" w:firstRowLastColumn="0" w:lastRowFirstColumn="0" w:lastRowLastColumn="0"/>
            </w:pPr>
            <w:r w:rsidRPr="00301F93">
              <w:t>Financial</w:t>
            </w:r>
            <w:r w:rsidRPr="0025368F">
              <w:t xml:space="preserve"> advice</w:t>
            </w:r>
          </w:p>
        </w:tc>
        <w:tc>
          <w:tcPr>
            <w:tcW w:w="4468" w:type="dxa"/>
            <w:tcBorders>
              <w:top w:val="single" w:sz="4" w:space="0" w:color="BCE4CF"/>
              <w:bottom w:val="single" w:sz="4" w:space="0" w:color="BCE4CF"/>
            </w:tcBorders>
          </w:tcPr>
          <w:p w14:paraId="4270F157" w14:textId="77777777" w:rsidR="006177A3" w:rsidRPr="000A4B96" w:rsidRDefault="001D4D7F" w:rsidP="006177A3">
            <w:pPr>
              <w:pStyle w:val="TableLink"/>
              <w:cnfStyle w:val="000000000000" w:firstRow="0" w:lastRow="0" w:firstColumn="0" w:lastColumn="0" w:oddVBand="0" w:evenVBand="0" w:oddHBand="0" w:evenHBand="0" w:firstRowFirstColumn="0" w:firstRowLastColumn="0" w:lastRowFirstColumn="0" w:lastRowLastColumn="0"/>
              <w:rPr>
                <w:b w:val="0"/>
                <w:bCs/>
                <w:u w:val="single"/>
              </w:rPr>
            </w:pPr>
            <w:hyperlink r:id="rId65" w:history="1">
              <w:r w:rsidR="006177A3" w:rsidRPr="000A4B96">
                <w:rPr>
                  <w:rStyle w:val="Hyperlink"/>
                  <w:b/>
                  <w:bCs/>
                  <w:u w:val="single"/>
                </w:rPr>
                <w:t xml:space="preserve">Exempting </w:t>
              </w:r>
              <w:proofErr w:type="spellStart"/>
              <w:r w:rsidR="006177A3" w:rsidRPr="000A4B96">
                <w:rPr>
                  <w:rStyle w:val="Hyperlink"/>
                  <w:b/>
                  <w:bCs/>
                  <w:u w:val="single"/>
                </w:rPr>
                <w:t>interfunding</w:t>
              </w:r>
              <w:proofErr w:type="spellEnd"/>
              <w:r w:rsidR="006177A3" w:rsidRPr="000A4B96">
                <w:rPr>
                  <w:rStyle w:val="Hyperlink"/>
                  <w:b/>
                  <w:bCs/>
                  <w:u w:val="single"/>
                </w:rPr>
                <w:t xml:space="preserve"> from mandatory foreign investment notification</w:t>
              </w:r>
            </w:hyperlink>
          </w:p>
          <w:p w14:paraId="01E76E47" w14:textId="1DFE79CE" w:rsidR="006177A3" w:rsidRDefault="006177A3" w:rsidP="006177A3">
            <w:pPr>
              <w:spacing w:before="60" w:after="60"/>
              <w:cnfStyle w:val="000000000000" w:firstRow="0" w:lastRow="0" w:firstColumn="0" w:lastColumn="0" w:oddVBand="0" w:evenVBand="0" w:oddHBand="0" w:evenHBand="0" w:firstRowFirstColumn="0" w:firstRowLastColumn="0" w:lastRowFirstColumn="0" w:lastRowLastColumn="0"/>
              <w:rPr>
                <w:rFonts w:cs="Calibri Light"/>
                <w:sz w:val="16"/>
                <w:szCs w:val="16"/>
              </w:rPr>
            </w:pPr>
            <w:r w:rsidRPr="0025368F">
              <w:rPr>
                <w:rFonts w:cs="Calibri Light"/>
                <w:sz w:val="16"/>
                <w:szCs w:val="16"/>
              </w:rPr>
              <w:t>In</w:t>
            </w:r>
            <w:r>
              <w:rPr>
                <w:rFonts w:cs="Calibri Light"/>
                <w:sz w:val="16"/>
                <w:szCs w:val="16"/>
              </w:rPr>
              <w:t> </w:t>
            </w:r>
            <w:r w:rsidRPr="0025368F">
              <w:rPr>
                <w:rFonts w:cs="Calibri Light"/>
                <w:sz w:val="16"/>
                <w:szCs w:val="16"/>
              </w:rPr>
              <w:t>May</w:t>
            </w:r>
            <w:r>
              <w:rPr>
                <w:rFonts w:cs="Calibri Light"/>
                <w:sz w:val="16"/>
                <w:szCs w:val="16"/>
              </w:rPr>
              <w:t> </w:t>
            </w:r>
            <w:r w:rsidRPr="0025368F">
              <w:rPr>
                <w:rFonts w:cs="Calibri Light"/>
                <w:sz w:val="16"/>
                <w:szCs w:val="16"/>
              </w:rPr>
              <w:t>2024, the Government consulted on regulation changes to exempt passive or low</w:t>
            </w:r>
            <w:r w:rsidR="0008745D">
              <w:rPr>
                <w:rFonts w:cs="Calibri Light"/>
                <w:sz w:val="16"/>
                <w:szCs w:val="16"/>
              </w:rPr>
              <w:noBreakHyphen/>
            </w:r>
            <w:r w:rsidRPr="0025368F">
              <w:rPr>
                <w:rFonts w:cs="Calibri Light"/>
                <w:sz w:val="16"/>
                <w:szCs w:val="16"/>
              </w:rPr>
              <w:t xml:space="preserve">risk </w:t>
            </w:r>
            <w:proofErr w:type="spellStart"/>
            <w:r w:rsidRPr="0025368F">
              <w:rPr>
                <w:rFonts w:cs="Calibri Light"/>
                <w:sz w:val="16"/>
                <w:szCs w:val="16"/>
              </w:rPr>
              <w:t>interfunding</w:t>
            </w:r>
            <w:proofErr w:type="spellEnd"/>
            <w:r w:rsidRPr="0025368F">
              <w:rPr>
                <w:rFonts w:cs="Calibri Light"/>
                <w:sz w:val="16"/>
                <w:szCs w:val="16"/>
              </w:rPr>
              <w:t xml:space="preserve"> transactions from mandatory notification requirements and fees under the </w:t>
            </w:r>
            <w:r w:rsidRPr="0025368F">
              <w:rPr>
                <w:rFonts w:cs="Calibri Light"/>
                <w:i/>
                <w:sz w:val="16"/>
                <w:szCs w:val="16"/>
              </w:rPr>
              <w:t>Foreign Acquisitions and Takeovers Act 1975</w:t>
            </w:r>
            <w:r w:rsidRPr="0025368F">
              <w:rPr>
                <w:rFonts w:cs="Calibri Light"/>
                <w:sz w:val="16"/>
                <w:szCs w:val="16"/>
              </w:rPr>
              <w:t xml:space="preserve">. These changes will make it easier for institutional investors to manage their portfolios and will decrease the regulatory burden and financial costs for investors who undertake </w:t>
            </w:r>
            <w:proofErr w:type="spellStart"/>
            <w:r w:rsidRPr="0025368F">
              <w:rPr>
                <w:rFonts w:cs="Calibri Light"/>
                <w:sz w:val="16"/>
                <w:szCs w:val="16"/>
              </w:rPr>
              <w:t>interfunding</w:t>
            </w:r>
            <w:proofErr w:type="spellEnd"/>
            <w:r w:rsidRPr="0025368F">
              <w:rPr>
                <w:rFonts w:cs="Calibri Light"/>
                <w:sz w:val="16"/>
                <w:szCs w:val="16"/>
              </w:rPr>
              <w:t xml:space="preserve"> activities.</w:t>
            </w:r>
          </w:p>
          <w:p w14:paraId="6982C522" w14:textId="7F87E7D7" w:rsidR="006177A3" w:rsidRPr="00D80718" w:rsidRDefault="00890338" w:rsidP="00D80718">
            <w:pPr>
              <w:pStyle w:val="TableTextLeft"/>
              <w:cnfStyle w:val="000000000000" w:firstRow="0" w:lastRow="0" w:firstColumn="0" w:lastColumn="0" w:oddVBand="0" w:evenVBand="0" w:oddHBand="0" w:evenHBand="0" w:firstRowFirstColumn="0" w:firstRowLastColumn="0" w:lastRowFirstColumn="0" w:lastRowLastColumn="0"/>
              <w:rPr>
                <w:highlight w:val="yellow"/>
              </w:rPr>
            </w:pPr>
            <w:r w:rsidRPr="00451C10">
              <w:t xml:space="preserve">Timing of </w:t>
            </w:r>
            <w:r w:rsidR="0278830B" w:rsidRPr="00451C10">
              <w:t>next steps</w:t>
            </w:r>
            <w:r w:rsidR="00350A9C" w:rsidRPr="00451C10">
              <w:t xml:space="preserve"> </w:t>
            </w:r>
            <w:r w:rsidRPr="00451C10">
              <w:t>will be announced in due course.</w:t>
            </w:r>
            <w:r w:rsidR="006177A3" w:rsidRPr="00921B9A">
              <w:rPr>
                <w:rFonts w:cs="Calibri Light"/>
                <w:b/>
                <w:bCs/>
                <w:color w:val="00B050"/>
                <w:szCs w:val="16"/>
                <w:lang w:val="en-AU"/>
              </w:rPr>
              <w:t xml:space="preserve"> </w:t>
            </w:r>
          </w:p>
        </w:tc>
        <w:tc>
          <w:tcPr>
            <w:tcW w:w="1246" w:type="dxa"/>
            <w:tcBorders>
              <w:top w:val="single" w:sz="4" w:space="0" w:color="BCE4CF"/>
              <w:bottom w:val="single" w:sz="4" w:space="0" w:color="BCE4CF"/>
            </w:tcBorders>
            <w:shd w:val="clear" w:color="auto" w:fill="ECF7F1"/>
          </w:tcPr>
          <w:p w14:paraId="58D1AA01" w14:textId="77777777" w:rsidR="006177A3" w:rsidRPr="00285C8A" w:rsidRDefault="006177A3" w:rsidP="006177A3">
            <w:pPr>
              <w:pStyle w:val="TableTextLeft"/>
              <w:cnfStyle w:val="000000000000" w:firstRow="0" w:lastRow="0" w:firstColumn="0" w:lastColumn="0" w:oddVBand="0" w:evenVBand="0" w:oddHBand="0" w:evenHBand="0" w:firstRowFirstColumn="0" w:firstRowLastColumn="0" w:lastRowFirstColumn="0" w:lastRowLastColumn="0"/>
            </w:pPr>
          </w:p>
        </w:tc>
        <w:tc>
          <w:tcPr>
            <w:tcW w:w="1246" w:type="dxa"/>
            <w:tcBorders>
              <w:top w:val="single" w:sz="4" w:space="0" w:color="BCE4CF"/>
              <w:bottom w:val="single" w:sz="4" w:space="0" w:color="BCE4CF"/>
            </w:tcBorders>
            <w:shd w:val="clear" w:color="auto" w:fill="ECF7F1"/>
          </w:tcPr>
          <w:p w14:paraId="7E73BD7A" w14:textId="77777777" w:rsidR="006177A3" w:rsidRPr="003C5CEE" w:rsidRDefault="006177A3" w:rsidP="006177A3">
            <w:pPr>
              <w:pStyle w:val="TableTextLeft"/>
              <w:cnfStyle w:val="000000000000" w:firstRow="0" w:lastRow="0" w:firstColumn="0" w:lastColumn="0" w:oddVBand="0" w:evenVBand="0" w:oddHBand="0" w:evenHBand="0" w:firstRowFirstColumn="0" w:firstRowLastColumn="0" w:lastRowFirstColumn="0" w:lastRowLastColumn="0"/>
            </w:pPr>
          </w:p>
        </w:tc>
        <w:tc>
          <w:tcPr>
            <w:tcW w:w="1246" w:type="dxa"/>
            <w:tcBorders>
              <w:top w:val="single" w:sz="4" w:space="0" w:color="BCE4CF"/>
              <w:bottom w:val="single" w:sz="4" w:space="0" w:color="BCE4CF"/>
            </w:tcBorders>
            <w:shd w:val="clear" w:color="auto" w:fill="ECF7F1"/>
          </w:tcPr>
          <w:p w14:paraId="3938FEB6" w14:textId="77777777" w:rsidR="006177A3" w:rsidRPr="00A56D83" w:rsidRDefault="006177A3" w:rsidP="006177A3">
            <w:pPr>
              <w:pStyle w:val="TableTextLeft"/>
              <w:cnfStyle w:val="000000000000" w:firstRow="0" w:lastRow="0" w:firstColumn="0" w:lastColumn="0" w:oddVBand="0" w:evenVBand="0" w:oddHBand="0" w:evenHBand="0" w:firstRowFirstColumn="0" w:firstRowLastColumn="0" w:lastRowFirstColumn="0" w:lastRowLastColumn="0"/>
            </w:pPr>
          </w:p>
        </w:tc>
        <w:tc>
          <w:tcPr>
            <w:tcW w:w="1247" w:type="dxa"/>
            <w:tcBorders>
              <w:top w:val="single" w:sz="4" w:space="0" w:color="BCE4CF"/>
              <w:bottom w:val="single" w:sz="4" w:space="0" w:color="BCE4CF"/>
            </w:tcBorders>
            <w:shd w:val="clear" w:color="auto" w:fill="ECF7F1"/>
          </w:tcPr>
          <w:p w14:paraId="5A905CAA" w14:textId="77777777" w:rsidR="006177A3" w:rsidRPr="00A56D83" w:rsidRDefault="006177A3" w:rsidP="006177A3">
            <w:pPr>
              <w:pStyle w:val="TableTextLeft"/>
              <w:cnfStyle w:val="000000000000" w:firstRow="0" w:lastRow="0" w:firstColumn="0" w:lastColumn="0" w:oddVBand="0" w:evenVBand="0" w:oddHBand="0" w:evenHBand="0" w:firstRowFirstColumn="0" w:firstRowLastColumn="0" w:lastRowFirstColumn="0" w:lastRowLastColumn="0"/>
            </w:pPr>
          </w:p>
        </w:tc>
        <w:tc>
          <w:tcPr>
            <w:tcW w:w="1246" w:type="dxa"/>
            <w:tcBorders>
              <w:top w:val="single" w:sz="4" w:space="0" w:color="BCE4CF"/>
              <w:bottom w:val="single" w:sz="4" w:space="0" w:color="BCE4CF"/>
            </w:tcBorders>
            <w:shd w:val="clear" w:color="auto" w:fill="F5FBF8"/>
          </w:tcPr>
          <w:p w14:paraId="6F3FC9B6" w14:textId="77777777" w:rsidR="006177A3" w:rsidRPr="00D813A6" w:rsidRDefault="006177A3" w:rsidP="006177A3">
            <w:pPr>
              <w:pStyle w:val="TableTextLeft"/>
              <w:cnfStyle w:val="000000000000" w:firstRow="0" w:lastRow="0" w:firstColumn="0" w:lastColumn="0" w:oddVBand="0" w:evenVBand="0" w:oddHBand="0" w:evenHBand="0" w:firstRowFirstColumn="0" w:firstRowLastColumn="0" w:lastRowFirstColumn="0" w:lastRowLastColumn="0"/>
            </w:pPr>
          </w:p>
        </w:tc>
        <w:tc>
          <w:tcPr>
            <w:tcW w:w="1247" w:type="dxa"/>
            <w:tcBorders>
              <w:top w:val="single" w:sz="4" w:space="0" w:color="BCE4CF"/>
              <w:bottom w:val="single" w:sz="4" w:space="0" w:color="BCE4CF"/>
            </w:tcBorders>
            <w:shd w:val="clear" w:color="auto" w:fill="F5FBF8"/>
          </w:tcPr>
          <w:p w14:paraId="7D2A30CB" w14:textId="77777777" w:rsidR="006177A3" w:rsidRPr="00AF43B7" w:rsidRDefault="006177A3" w:rsidP="006177A3">
            <w:pPr>
              <w:pStyle w:val="TableTextLeft"/>
              <w:cnfStyle w:val="000000000000" w:firstRow="0" w:lastRow="0" w:firstColumn="0" w:lastColumn="0" w:oddVBand="0" w:evenVBand="0" w:oddHBand="0" w:evenHBand="0" w:firstRowFirstColumn="0" w:firstRowLastColumn="0" w:lastRowFirstColumn="0" w:lastRowLastColumn="0"/>
              <w:rPr>
                <w:sz w:val="14"/>
                <w:szCs w:val="14"/>
              </w:rPr>
            </w:pPr>
          </w:p>
        </w:tc>
      </w:tr>
      <w:tr w:rsidR="000F7F69" w:rsidRPr="00AF43B7" w14:paraId="25B53194" w14:textId="77777777" w:rsidTr="1E3961DD">
        <w:trPr>
          <w:cantSplit/>
          <w:trHeight w:val="410"/>
        </w:trPr>
        <w:tc>
          <w:tcPr>
            <w:cnfStyle w:val="001000000000" w:firstRow="0" w:lastRow="0" w:firstColumn="1" w:lastColumn="0" w:oddVBand="0" w:evenVBand="0" w:oddHBand="0" w:evenHBand="0" w:firstRowFirstColumn="0" w:firstRowLastColumn="0" w:lastRowFirstColumn="0" w:lastRowLastColumn="0"/>
            <w:tcW w:w="834" w:type="dxa"/>
            <w:tcBorders>
              <w:top w:val="single" w:sz="4" w:space="0" w:color="BCE4CF"/>
              <w:bottom w:val="single" w:sz="4" w:space="0" w:color="BCE4CF"/>
            </w:tcBorders>
          </w:tcPr>
          <w:p w14:paraId="1943BD20" w14:textId="124D5C08" w:rsidR="000F7F69" w:rsidRPr="00AD71F3" w:rsidRDefault="000F7F69" w:rsidP="00874816">
            <w:pPr>
              <w:pStyle w:val="TableLeadAgency"/>
              <w:rPr>
                <w:rFonts w:cs="Calibri Light"/>
                <w:b/>
                <w:bCs/>
              </w:rPr>
            </w:pPr>
            <w:r w:rsidRPr="00AD71F3">
              <w:rPr>
                <w:rFonts w:cs="Calibri Light"/>
                <w:b/>
                <w:bCs/>
              </w:rPr>
              <w:t>TSY</w:t>
            </w:r>
          </w:p>
        </w:tc>
        <w:tc>
          <w:tcPr>
            <w:tcW w:w="1222" w:type="dxa"/>
            <w:tcBorders>
              <w:top w:val="single" w:sz="4" w:space="0" w:color="BCE4CF"/>
              <w:bottom w:val="single" w:sz="4" w:space="0" w:color="BCE4CF"/>
            </w:tcBorders>
          </w:tcPr>
          <w:p w14:paraId="56BB41CD" w14:textId="3CD04C50" w:rsidR="000F7F69" w:rsidRPr="006B6AB8" w:rsidRDefault="000F7F69" w:rsidP="009E1613">
            <w:pPr>
              <w:pStyle w:val="TableTextLeft"/>
              <w:cnfStyle w:val="000000000000" w:firstRow="0" w:lastRow="0" w:firstColumn="0" w:lastColumn="0" w:oddVBand="0" w:evenVBand="0" w:oddHBand="0" w:evenHBand="0" w:firstRowFirstColumn="0" w:firstRowLastColumn="0" w:lastRowFirstColumn="0" w:lastRowLastColumn="0"/>
              <w:rPr>
                <w:rFonts w:cs="Calibri Light"/>
                <w:szCs w:val="16"/>
              </w:rPr>
            </w:pPr>
            <w:r w:rsidRPr="0025368F">
              <w:rPr>
                <w:rFonts w:cs="Calibri Light"/>
                <w:szCs w:val="16"/>
              </w:rPr>
              <w:t>Insurance and reinsurance</w:t>
            </w:r>
          </w:p>
        </w:tc>
        <w:tc>
          <w:tcPr>
            <w:tcW w:w="4468" w:type="dxa"/>
            <w:tcBorders>
              <w:top w:val="single" w:sz="4" w:space="0" w:color="BCE4CF"/>
              <w:bottom w:val="single" w:sz="4" w:space="0" w:color="BCE4CF"/>
            </w:tcBorders>
          </w:tcPr>
          <w:p w14:paraId="1E0C75C0" w14:textId="77777777" w:rsidR="000F7F69" w:rsidRPr="000A4B96" w:rsidRDefault="001D4D7F" w:rsidP="000F7F69">
            <w:pPr>
              <w:pStyle w:val="TableLink"/>
              <w:cnfStyle w:val="000000000000" w:firstRow="0" w:lastRow="0" w:firstColumn="0" w:lastColumn="0" w:oddVBand="0" w:evenVBand="0" w:oddHBand="0" w:evenHBand="0" w:firstRowFirstColumn="0" w:firstRowLastColumn="0" w:lastRowFirstColumn="0" w:lastRowLastColumn="0"/>
              <w:rPr>
                <w:b w:val="0"/>
                <w:bCs/>
                <w:u w:val="single"/>
              </w:rPr>
            </w:pPr>
            <w:hyperlink r:id="rId66" w:history="1">
              <w:r w:rsidR="000F7F69" w:rsidRPr="000A4B96">
                <w:rPr>
                  <w:rStyle w:val="Hyperlink"/>
                  <w:b/>
                  <w:bCs/>
                  <w:u w:val="single"/>
                </w:rPr>
                <w:t>Ban on adverse genetic test results in life insurance</w:t>
              </w:r>
            </w:hyperlink>
          </w:p>
          <w:p w14:paraId="68D832C2" w14:textId="0F7D4635" w:rsidR="000F7F69" w:rsidRPr="006B6AB8" w:rsidRDefault="000F7F69" w:rsidP="000F7F69">
            <w:pPr>
              <w:spacing w:before="60" w:after="60"/>
              <w:cnfStyle w:val="000000000000" w:firstRow="0" w:lastRow="0" w:firstColumn="0" w:lastColumn="0" w:oddVBand="0" w:evenVBand="0" w:oddHBand="0" w:evenHBand="0" w:firstRowFirstColumn="0" w:firstRowLastColumn="0" w:lastRowFirstColumn="0" w:lastRowLastColumn="0"/>
              <w:rPr>
                <w:rFonts w:cs="Calibri Light"/>
                <w:sz w:val="16"/>
                <w:szCs w:val="16"/>
              </w:rPr>
            </w:pPr>
            <w:r w:rsidRPr="0025368F">
              <w:rPr>
                <w:rStyle w:val="Hyperlink"/>
                <w:rFonts w:cs="Calibri Light"/>
                <w:b w:val="0"/>
                <w:bCs/>
                <w:color w:val="auto"/>
                <w:szCs w:val="16"/>
              </w:rPr>
              <w:t>The Government has announced it will develop legislation to ban</w:t>
            </w:r>
            <w:r w:rsidRPr="0025368F">
              <w:rPr>
                <w:rFonts w:cs="Calibri Light"/>
                <w:sz w:val="16"/>
                <w:szCs w:val="16"/>
              </w:rPr>
              <w:t xml:space="preserve"> the use of adverse predictive genetic test results in underwriting life insurance.</w:t>
            </w:r>
            <w:r w:rsidRPr="0080794F">
              <w:rPr>
                <w:rFonts w:cs="Calibri Light"/>
                <w:sz w:val="16"/>
                <w:szCs w:val="16"/>
              </w:rPr>
              <w:t xml:space="preserve"> </w:t>
            </w:r>
            <w:r>
              <w:rPr>
                <w:rFonts w:cs="Calibri Light"/>
                <w:color w:val="00B050"/>
                <w:sz w:val="16"/>
                <w:szCs w:val="16"/>
                <w:lang w:val="en-AU"/>
              </w:rPr>
              <w:t xml:space="preserve"> </w:t>
            </w:r>
          </w:p>
        </w:tc>
        <w:tc>
          <w:tcPr>
            <w:tcW w:w="1246" w:type="dxa"/>
            <w:tcBorders>
              <w:top w:val="single" w:sz="4" w:space="0" w:color="BCE4CF"/>
              <w:bottom w:val="single" w:sz="4" w:space="0" w:color="BCE4CF"/>
            </w:tcBorders>
            <w:shd w:val="clear" w:color="auto" w:fill="ECF7F1"/>
          </w:tcPr>
          <w:p w14:paraId="49201BC9" w14:textId="10F846F9" w:rsidR="000F7F69" w:rsidRPr="00285C8A" w:rsidRDefault="008366D5" w:rsidP="000F7F69">
            <w:pPr>
              <w:pStyle w:val="TableTextLeft"/>
              <w:cnfStyle w:val="000000000000" w:firstRow="0" w:lastRow="0" w:firstColumn="0" w:lastColumn="0" w:oddVBand="0" w:evenVBand="0" w:oddHBand="0" w:evenHBand="0" w:firstRowFirstColumn="0" w:firstRowLastColumn="0" w:lastRowFirstColumn="0" w:lastRowLastColumn="0"/>
            </w:pPr>
            <w:r>
              <w:t>Expected c</w:t>
            </w:r>
            <w:r w:rsidR="006C2AF2" w:rsidRPr="006C2AF2">
              <w:t>onsultation on design of the measure</w:t>
            </w:r>
          </w:p>
        </w:tc>
        <w:tc>
          <w:tcPr>
            <w:tcW w:w="1246" w:type="dxa"/>
            <w:tcBorders>
              <w:top w:val="single" w:sz="4" w:space="0" w:color="BCE4CF"/>
              <w:bottom w:val="single" w:sz="4" w:space="0" w:color="BCE4CF"/>
            </w:tcBorders>
            <w:shd w:val="clear" w:color="auto" w:fill="ECF7F1"/>
          </w:tcPr>
          <w:p w14:paraId="6FD6C9A7" w14:textId="77777777" w:rsidR="000F7F69" w:rsidRPr="003C5CEE" w:rsidRDefault="000F7F69" w:rsidP="000F7F69">
            <w:pPr>
              <w:pStyle w:val="TableTextLeft"/>
              <w:cnfStyle w:val="000000000000" w:firstRow="0" w:lastRow="0" w:firstColumn="0" w:lastColumn="0" w:oddVBand="0" w:evenVBand="0" w:oddHBand="0" w:evenHBand="0" w:firstRowFirstColumn="0" w:firstRowLastColumn="0" w:lastRowFirstColumn="0" w:lastRowLastColumn="0"/>
            </w:pPr>
          </w:p>
        </w:tc>
        <w:tc>
          <w:tcPr>
            <w:tcW w:w="1246" w:type="dxa"/>
            <w:tcBorders>
              <w:top w:val="single" w:sz="4" w:space="0" w:color="BCE4CF"/>
              <w:bottom w:val="single" w:sz="4" w:space="0" w:color="BCE4CF"/>
            </w:tcBorders>
            <w:shd w:val="clear" w:color="auto" w:fill="ECF7F1"/>
          </w:tcPr>
          <w:p w14:paraId="1E03117E" w14:textId="77777777" w:rsidR="000F7F69" w:rsidRPr="00A56D83" w:rsidRDefault="000F7F69" w:rsidP="000F7F69">
            <w:pPr>
              <w:pStyle w:val="TableTextLeft"/>
              <w:cnfStyle w:val="000000000000" w:firstRow="0" w:lastRow="0" w:firstColumn="0" w:lastColumn="0" w:oddVBand="0" w:evenVBand="0" w:oddHBand="0" w:evenHBand="0" w:firstRowFirstColumn="0" w:firstRowLastColumn="0" w:lastRowFirstColumn="0" w:lastRowLastColumn="0"/>
            </w:pPr>
          </w:p>
        </w:tc>
        <w:tc>
          <w:tcPr>
            <w:tcW w:w="1247" w:type="dxa"/>
            <w:tcBorders>
              <w:top w:val="single" w:sz="4" w:space="0" w:color="BCE4CF"/>
              <w:bottom w:val="single" w:sz="4" w:space="0" w:color="BCE4CF"/>
            </w:tcBorders>
            <w:shd w:val="clear" w:color="auto" w:fill="ECF7F1"/>
          </w:tcPr>
          <w:p w14:paraId="76C2D222" w14:textId="77777777" w:rsidR="000F7F69" w:rsidRPr="00A56D83" w:rsidRDefault="000F7F69" w:rsidP="000F7F69">
            <w:pPr>
              <w:pStyle w:val="TableTextLeft"/>
              <w:cnfStyle w:val="000000000000" w:firstRow="0" w:lastRow="0" w:firstColumn="0" w:lastColumn="0" w:oddVBand="0" w:evenVBand="0" w:oddHBand="0" w:evenHBand="0" w:firstRowFirstColumn="0" w:firstRowLastColumn="0" w:lastRowFirstColumn="0" w:lastRowLastColumn="0"/>
            </w:pPr>
          </w:p>
        </w:tc>
        <w:tc>
          <w:tcPr>
            <w:tcW w:w="1246" w:type="dxa"/>
            <w:tcBorders>
              <w:top w:val="single" w:sz="4" w:space="0" w:color="BCE4CF"/>
              <w:bottom w:val="single" w:sz="4" w:space="0" w:color="BCE4CF"/>
            </w:tcBorders>
            <w:shd w:val="clear" w:color="auto" w:fill="F5FBF8"/>
          </w:tcPr>
          <w:p w14:paraId="2B044782" w14:textId="77777777" w:rsidR="000F7F69" w:rsidRPr="00D813A6" w:rsidRDefault="000F7F69" w:rsidP="000F7F69">
            <w:pPr>
              <w:pStyle w:val="TableTextLeft"/>
              <w:cnfStyle w:val="000000000000" w:firstRow="0" w:lastRow="0" w:firstColumn="0" w:lastColumn="0" w:oddVBand="0" w:evenVBand="0" w:oddHBand="0" w:evenHBand="0" w:firstRowFirstColumn="0" w:firstRowLastColumn="0" w:lastRowFirstColumn="0" w:lastRowLastColumn="0"/>
            </w:pPr>
          </w:p>
        </w:tc>
        <w:tc>
          <w:tcPr>
            <w:tcW w:w="1247" w:type="dxa"/>
            <w:tcBorders>
              <w:top w:val="single" w:sz="4" w:space="0" w:color="BCE4CF"/>
              <w:bottom w:val="single" w:sz="4" w:space="0" w:color="BCE4CF"/>
            </w:tcBorders>
            <w:shd w:val="clear" w:color="auto" w:fill="F5FBF8"/>
          </w:tcPr>
          <w:p w14:paraId="5E380218" w14:textId="77777777" w:rsidR="000F7F69" w:rsidRPr="00AF43B7" w:rsidRDefault="000F7F69" w:rsidP="000F7F69">
            <w:pPr>
              <w:pStyle w:val="TableTextLeft"/>
              <w:cnfStyle w:val="000000000000" w:firstRow="0" w:lastRow="0" w:firstColumn="0" w:lastColumn="0" w:oddVBand="0" w:evenVBand="0" w:oddHBand="0" w:evenHBand="0" w:firstRowFirstColumn="0" w:firstRowLastColumn="0" w:lastRowFirstColumn="0" w:lastRowLastColumn="0"/>
              <w:rPr>
                <w:sz w:val="14"/>
                <w:szCs w:val="14"/>
              </w:rPr>
            </w:pPr>
          </w:p>
        </w:tc>
      </w:tr>
      <w:tr w:rsidR="000F7F69" w:rsidRPr="00AF43B7" w14:paraId="7934F8DE" w14:textId="77777777" w:rsidTr="1E3961DD">
        <w:trPr>
          <w:cantSplit/>
          <w:trHeight w:val="410"/>
        </w:trPr>
        <w:tc>
          <w:tcPr>
            <w:cnfStyle w:val="001000000000" w:firstRow="0" w:lastRow="0" w:firstColumn="1" w:lastColumn="0" w:oddVBand="0" w:evenVBand="0" w:oddHBand="0" w:evenHBand="0" w:firstRowFirstColumn="0" w:firstRowLastColumn="0" w:lastRowFirstColumn="0" w:lastRowLastColumn="0"/>
            <w:tcW w:w="834" w:type="dxa"/>
            <w:tcBorders>
              <w:top w:val="single" w:sz="4" w:space="0" w:color="BCE4CF"/>
              <w:bottom w:val="single" w:sz="4" w:space="0" w:color="BCE4CF"/>
            </w:tcBorders>
          </w:tcPr>
          <w:p w14:paraId="7F22EF04" w14:textId="77777777" w:rsidR="000F7F69" w:rsidRPr="00AD71F3" w:rsidRDefault="000F7F69" w:rsidP="00F42489">
            <w:pPr>
              <w:pStyle w:val="TableLeadAgency"/>
              <w:rPr>
                <w:b/>
                <w:bCs/>
                <w:lang w:val="en-AU"/>
              </w:rPr>
            </w:pPr>
            <w:r w:rsidRPr="00AD71F3">
              <w:rPr>
                <w:b/>
                <w:bCs/>
              </w:rPr>
              <w:t xml:space="preserve">TSY </w:t>
            </w:r>
          </w:p>
          <w:p w14:paraId="67FC82B8" w14:textId="06B5FD91" w:rsidR="000F7F69" w:rsidRPr="00AD71F3" w:rsidRDefault="000F7F69" w:rsidP="00F42489">
            <w:pPr>
              <w:pStyle w:val="TableSecondaryAgency"/>
              <w:rPr>
                <w:b w:val="0"/>
                <w:bCs/>
              </w:rPr>
            </w:pPr>
            <w:r w:rsidRPr="00AD71F3">
              <w:rPr>
                <w:b w:val="0"/>
                <w:bCs/>
              </w:rPr>
              <w:t>ASIC</w:t>
            </w:r>
          </w:p>
        </w:tc>
        <w:tc>
          <w:tcPr>
            <w:tcW w:w="1222" w:type="dxa"/>
            <w:tcBorders>
              <w:top w:val="single" w:sz="4" w:space="0" w:color="BCE4CF"/>
              <w:bottom w:val="single" w:sz="4" w:space="0" w:color="BCE4CF"/>
            </w:tcBorders>
          </w:tcPr>
          <w:p w14:paraId="5D2FC2B4" w14:textId="730ED501" w:rsidR="000F7F69" w:rsidRPr="00B70D9E" w:rsidRDefault="000F7F69" w:rsidP="00301F93">
            <w:pPr>
              <w:pStyle w:val="TableTextLeft"/>
              <w:cnfStyle w:val="000000000000" w:firstRow="0" w:lastRow="0" w:firstColumn="0" w:lastColumn="0" w:oddVBand="0" w:evenVBand="0" w:oddHBand="0" w:evenHBand="0" w:firstRowFirstColumn="0" w:firstRowLastColumn="0" w:lastRowFirstColumn="0" w:lastRowLastColumn="0"/>
            </w:pPr>
            <w:r w:rsidRPr="00301F93">
              <w:t>Other</w:t>
            </w:r>
          </w:p>
        </w:tc>
        <w:tc>
          <w:tcPr>
            <w:tcW w:w="4468" w:type="dxa"/>
            <w:tcBorders>
              <w:top w:val="single" w:sz="4" w:space="0" w:color="BCE4CF"/>
              <w:bottom w:val="single" w:sz="4" w:space="0" w:color="BCE4CF"/>
            </w:tcBorders>
          </w:tcPr>
          <w:p w14:paraId="0300F5B7" w14:textId="77777777" w:rsidR="000F7F69" w:rsidRPr="000A4B96" w:rsidRDefault="001D4D7F" w:rsidP="000F7F69">
            <w:pPr>
              <w:pStyle w:val="TableLink"/>
              <w:cnfStyle w:val="000000000000" w:firstRow="0" w:lastRow="0" w:firstColumn="0" w:lastColumn="0" w:oddVBand="0" w:evenVBand="0" w:oddHBand="0" w:evenHBand="0" w:firstRowFirstColumn="0" w:firstRowLastColumn="0" w:lastRowFirstColumn="0" w:lastRowLastColumn="0"/>
              <w:rPr>
                <w:b w:val="0"/>
                <w:bCs/>
                <w:u w:val="single"/>
              </w:rPr>
            </w:pPr>
            <w:hyperlink r:id="rId67" w:history="1">
              <w:r w:rsidR="000F7F69" w:rsidRPr="000A4B96">
                <w:rPr>
                  <w:rStyle w:val="Hyperlink"/>
                  <w:b/>
                  <w:bCs/>
                  <w:u w:val="single"/>
                </w:rPr>
                <w:t>Licensing exemptions for Foreign Financial Service Providers (FFSPs)</w:t>
              </w:r>
            </w:hyperlink>
          </w:p>
          <w:p w14:paraId="56DF13FE" w14:textId="66FB7CEB" w:rsidR="000F7F69" w:rsidRDefault="008F7813" w:rsidP="00301F93">
            <w:pPr>
              <w:pStyle w:val="TableTextLeft"/>
              <w:cnfStyle w:val="000000000000" w:firstRow="0" w:lastRow="0" w:firstColumn="0" w:lastColumn="0" w:oddVBand="0" w:evenVBand="0" w:oddHBand="0" w:evenHBand="0" w:firstRowFirstColumn="0" w:firstRowLastColumn="0" w:lastRowFirstColumn="0" w:lastRowLastColumn="0"/>
            </w:pPr>
            <w:r>
              <w:t>Proposed a</w:t>
            </w:r>
            <w:r w:rsidR="00B702AF">
              <w:t>mendment</w:t>
            </w:r>
            <w:r w:rsidR="00CC3A13">
              <w:t>s</w:t>
            </w:r>
            <w:r w:rsidR="000F7F69" w:rsidRPr="0025368F">
              <w:t xml:space="preserve"> to the FFSP regime </w:t>
            </w:r>
            <w:r>
              <w:t>would</w:t>
            </w:r>
            <w:r w:rsidR="000F7F69" w:rsidRPr="0025368F">
              <w:t xml:space="preserve"> establish new exemptions to requirements to hold an Australian financial services license (AFSL) for FFSPs. The amendment</w:t>
            </w:r>
            <w:r w:rsidR="00CC3A13">
              <w:t>s</w:t>
            </w:r>
            <w:r w:rsidR="000F7F69" w:rsidRPr="0025368F">
              <w:t xml:space="preserve"> would also provide for greater regulatory oversight of FFSPs. </w:t>
            </w:r>
          </w:p>
          <w:p w14:paraId="79E3F0F7" w14:textId="75E09F53" w:rsidR="00F935BE" w:rsidRDefault="007B472C" w:rsidP="007B472C">
            <w:pPr>
              <w:pStyle w:val="TableTextLeft"/>
              <w:cnfStyle w:val="000000000000" w:firstRow="0" w:lastRow="0" w:firstColumn="0" w:lastColumn="0" w:oddVBand="0" w:evenVBand="0" w:oddHBand="0" w:evenHBand="0" w:firstRowFirstColumn="0" w:firstRowLastColumn="0" w:lastRowFirstColumn="0" w:lastRowLastColumn="0"/>
            </w:pPr>
            <w:r w:rsidRPr="2865EE25">
              <w:t>The</w:t>
            </w:r>
            <w:r>
              <w:t xml:space="preserve"> amendments were introduced </w:t>
            </w:r>
            <w:r w:rsidR="00AD0E7E">
              <w:t xml:space="preserve">to the House of Representatives on 30 November 2023 </w:t>
            </w:r>
            <w:r>
              <w:t>under the</w:t>
            </w:r>
            <w:r w:rsidRPr="2865EE25">
              <w:t xml:space="preserve"> Treasury Laws Amendment (Better Targeted Superannuation Concessions and Other Measures) Bill 2023</w:t>
            </w:r>
            <w:r w:rsidR="00E31FF1">
              <w:t>,</w:t>
            </w:r>
            <w:r w:rsidRPr="2865EE25">
              <w:t xml:space="preserve"> </w:t>
            </w:r>
            <w:r>
              <w:t>which has been split</w:t>
            </w:r>
            <w:r w:rsidR="00B272EB">
              <w:t>,</w:t>
            </w:r>
            <w:r>
              <w:t xml:space="preserve"> and the amendments are</w:t>
            </w:r>
            <w:r w:rsidRPr="2865EE25">
              <w:t xml:space="preserve"> currently before the Senate</w:t>
            </w:r>
            <w:r>
              <w:t xml:space="preserve"> under the </w:t>
            </w:r>
            <w:r w:rsidRPr="00FB4CAA">
              <w:t>Treasury Laws Amendment (Miscellaneous Measures) Bill 2024</w:t>
            </w:r>
            <w:r>
              <w:t>.</w:t>
            </w:r>
          </w:p>
          <w:p w14:paraId="35E3C929" w14:textId="4E669635" w:rsidR="0083254F" w:rsidRDefault="000F7F69" w:rsidP="00301F93">
            <w:pPr>
              <w:pStyle w:val="TableTextLeft"/>
              <w:cnfStyle w:val="000000000000" w:firstRow="0" w:lastRow="0" w:firstColumn="0" w:lastColumn="0" w:oddVBand="0" w:evenVBand="0" w:oddHBand="0" w:evenHBand="0" w:firstRowFirstColumn="0" w:firstRowLastColumn="0" w:lastRowFirstColumn="0" w:lastRowLastColumn="0"/>
            </w:pPr>
            <w:r w:rsidRPr="0025368F">
              <w:t xml:space="preserve">The amendments </w:t>
            </w:r>
            <w:r w:rsidR="00F935BE">
              <w:t>would</w:t>
            </w:r>
            <w:r w:rsidRPr="0025368F">
              <w:t xml:space="preserve"> take effect on 1</w:t>
            </w:r>
            <w:r>
              <w:t> </w:t>
            </w:r>
            <w:r w:rsidRPr="0025368F">
              <w:t>April</w:t>
            </w:r>
            <w:r>
              <w:t> </w:t>
            </w:r>
            <w:r w:rsidRPr="0025368F">
              <w:t>2025, subject to passage of the legislation.</w:t>
            </w:r>
          </w:p>
          <w:p w14:paraId="0C4D68E2" w14:textId="47C7AD08" w:rsidR="000F7F69" w:rsidRPr="00D80718" w:rsidRDefault="00E31893" w:rsidP="00D80718">
            <w:pPr>
              <w:pStyle w:val="TableTextLeft"/>
              <w:cnfStyle w:val="000000000000" w:firstRow="0" w:lastRow="0" w:firstColumn="0" w:lastColumn="0" w:oddVBand="0" w:evenVBand="0" w:oddHBand="0" w:evenHBand="0" w:firstRowFirstColumn="0" w:firstRowLastColumn="0" w:lastRowFirstColumn="0" w:lastRowLastColumn="0"/>
              <w:rPr>
                <w:rStyle w:val="Hyperlink"/>
                <w:b w:val="0"/>
                <w:color w:val="000000"/>
              </w:rPr>
            </w:pPr>
            <w:r w:rsidRPr="00E31893">
              <w:t>ASIC intends to issue regulatory guidance to assist implementation of the legislation.</w:t>
            </w:r>
            <w:r w:rsidR="000F7F69">
              <w:rPr>
                <w:rFonts w:cs="Calibri Light"/>
                <w:color w:val="00B050"/>
                <w:szCs w:val="16"/>
                <w:lang w:val="en-AU"/>
              </w:rPr>
              <w:t xml:space="preserve"> </w:t>
            </w:r>
          </w:p>
        </w:tc>
        <w:tc>
          <w:tcPr>
            <w:tcW w:w="1246" w:type="dxa"/>
            <w:tcBorders>
              <w:top w:val="single" w:sz="4" w:space="0" w:color="BCE4CF"/>
              <w:bottom w:val="single" w:sz="4" w:space="0" w:color="BCE4CF"/>
            </w:tcBorders>
            <w:shd w:val="clear" w:color="auto" w:fill="ECF7F1"/>
          </w:tcPr>
          <w:p w14:paraId="10BD5263" w14:textId="17E5A0BF" w:rsidR="000F7F69" w:rsidRPr="00285C8A" w:rsidRDefault="000F7F69" w:rsidP="000F7F69">
            <w:pPr>
              <w:pStyle w:val="TableTextLeft"/>
              <w:cnfStyle w:val="000000000000" w:firstRow="0" w:lastRow="0" w:firstColumn="0" w:lastColumn="0" w:oddVBand="0" w:evenVBand="0" w:oddHBand="0" w:evenHBand="0" w:firstRowFirstColumn="0" w:firstRowLastColumn="0" w:lastRowFirstColumn="0" w:lastRowLastColumn="0"/>
            </w:pPr>
          </w:p>
        </w:tc>
        <w:tc>
          <w:tcPr>
            <w:tcW w:w="1246" w:type="dxa"/>
            <w:tcBorders>
              <w:top w:val="single" w:sz="4" w:space="0" w:color="BCE4CF"/>
              <w:bottom w:val="single" w:sz="4" w:space="0" w:color="BCE4CF"/>
            </w:tcBorders>
            <w:shd w:val="clear" w:color="auto" w:fill="ECF7F1"/>
          </w:tcPr>
          <w:p w14:paraId="4A0E60DA" w14:textId="3F5F8EEB" w:rsidR="000F7F69" w:rsidRPr="003C5CEE" w:rsidRDefault="000F7F69" w:rsidP="000F7F69">
            <w:pPr>
              <w:pStyle w:val="TableTextLeft"/>
              <w:cnfStyle w:val="000000000000" w:firstRow="0" w:lastRow="0" w:firstColumn="0" w:lastColumn="0" w:oddVBand="0" w:evenVBand="0" w:oddHBand="0" w:evenHBand="0" w:firstRowFirstColumn="0" w:firstRowLastColumn="0" w:lastRowFirstColumn="0" w:lastRowLastColumn="0"/>
            </w:pPr>
            <w:r w:rsidRPr="00BE3D1F">
              <w:rPr>
                <w:rFonts w:cs="Calibri Light"/>
              </w:rPr>
              <w:t>Commences 1</w:t>
            </w:r>
            <w:r>
              <w:rPr>
                <w:rFonts w:cs="Calibri Light"/>
              </w:rPr>
              <w:t> </w:t>
            </w:r>
            <w:r w:rsidRPr="00BE3D1F">
              <w:rPr>
                <w:rFonts w:cs="Calibri Light"/>
              </w:rPr>
              <w:t>April</w:t>
            </w:r>
            <w:r>
              <w:rPr>
                <w:rFonts w:cs="Calibri Light"/>
              </w:rPr>
              <w:t> </w:t>
            </w:r>
            <w:r w:rsidRPr="00BE3D1F">
              <w:rPr>
                <w:rFonts w:cs="Calibri Light"/>
              </w:rPr>
              <w:t xml:space="preserve">2025 </w:t>
            </w:r>
            <w:r w:rsidR="007B1396">
              <w:rPr>
                <w:rFonts w:cs="Calibri Light"/>
              </w:rPr>
              <w:br/>
            </w:r>
            <w:r w:rsidRPr="00BE3D1F">
              <w:rPr>
                <w:rFonts w:cs="Calibri Light"/>
              </w:rPr>
              <w:t>(subject to passage)</w:t>
            </w:r>
          </w:p>
        </w:tc>
        <w:tc>
          <w:tcPr>
            <w:tcW w:w="1246" w:type="dxa"/>
            <w:tcBorders>
              <w:top w:val="single" w:sz="4" w:space="0" w:color="BCE4CF"/>
              <w:bottom w:val="single" w:sz="4" w:space="0" w:color="BCE4CF"/>
            </w:tcBorders>
            <w:shd w:val="clear" w:color="auto" w:fill="ECF7F1"/>
          </w:tcPr>
          <w:p w14:paraId="24A67093" w14:textId="77777777" w:rsidR="000F7F69" w:rsidRPr="00A56D83" w:rsidRDefault="000F7F69" w:rsidP="000F7F69">
            <w:pPr>
              <w:pStyle w:val="TableTextLeft"/>
              <w:cnfStyle w:val="000000000000" w:firstRow="0" w:lastRow="0" w:firstColumn="0" w:lastColumn="0" w:oddVBand="0" w:evenVBand="0" w:oddHBand="0" w:evenHBand="0" w:firstRowFirstColumn="0" w:firstRowLastColumn="0" w:lastRowFirstColumn="0" w:lastRowLastColumn="0"/>
            </w:pPr>
          </w:p>
        </w:tc>
        <w:tc>
          <w:tcPr>
            <w:tcW w:w="1247" w:type="dxa"/>
            <w:tcBorders>
              <w:top w:val="single" w:sz="4" w:space="0" w:color="BCE4CF"/>
              <w:bottom w:val="single" w:sz="4" w:space="0" w:color="BCE4CF"/>
            </w:tcBorders>
            <w:shd w:val="clear" w:color="auto" w:fill="ECF7F1"/>
          </w:tcPr>
          <w:p w14:paraId="20398807" w14:textId="77777777" w:rsidR="000F7F69" w:rsidRPr="00A56D83" w:rsidRDefault="000F7F69" w:rsidP="000F7F69">
            <w:pPr>
              <w:pStyle w:val="TableTextLeft"/>
              <w:cnfStyle w:val="000000000000" w:firstRow="0" w:lastRow="0" w:firstColumn="0" w:lastColumn="0" w:oddVBand="0" w:evenVBand="0" w:oddHBand="0" w:evenHBand="0" w:firstRowFirstColumn="0" w:firstRowLastColumn="0" w:lastRowFirstColumn="0" w:lastRowLastColumn="0"/>
            </w:pPr>
          </w:p>
        </w:tc>
        <w:tc>
          <w:tcPr>
            <w:tcW w:w="1246" w:type="dxa"/>
            <w:tcBorders>
              <w:top w:val="single" w:sz="4" w:space="0" w:color="BCE4CF"/>
              <w:bottom w:val="single" w:sz="4" w:space="0" w:color="BCE4CF"/>
            </w:tcBorders>
            <w:shd w:val="clear" w:color="auto" w:fill="F5FBF8"/>
          </w:tcPr>
          <w:p w14:paraId="5A24391A" w14:textId="77777777" w:rsidR="000F7F69" w:rsidRPr="00D813A6" w:rsidRDefault="000F7F69" w:rsidP="000F7F69">
            <w:pPr>
              <w:pStyle w:val="TableTextLeft"/>
              <w:cnfStyle w:val="000000000000" w:firstRow="0" w:lastRow="0" w:firstColumn="0" w:lastColumn="0" w:oddVBand="0" w:evenVBand="0" w:oddHBand="0" w:evenHBand="0" w:firstRowFirstColumn="0" w:firstRowLastColumn="0" w:lastRowFirstColumn="0" w:lastRowLastColumn="0"/>
            </w:pPr>
          </w:p>
        </w:tc>
        <w:tc>
          <w:tcPr>
            <w:tcW w:w="1247" w:type="dxa"/>
            <w:tcBorders>
              <w:top w:val="single" w:sz="4" w:space="0" w:color="BCE4CF"/>
              <w:bottom w:val="single" w:sz="4" w:space="0" w:color="BCE4CF"/>
            </w:tcBorders>
            <w:shd w:val="clear" w:color="auto" w:fill="F5FBF8"/>
          </w:tcPr>
          <w:p w14:paraId="3AAF7C01" w14:textId="77777777" w:rsidR="000F7F69" w:rsidRPr="00AF43B7" w:rsidRDefault="000F7F69" w:rsidP="000F7F69">
            <w:pPr>
              <w:pStyle w:val="TableTextLeft"/>
              <w:cnfStyle w:val="000000000000" w:firstRow="0" w:lastRow="0" w:firstColumn="0" w:lastColumn="0" w:oddVBand="0" w:evenVBand="0" w:oddHBand="0" w:evenHBand="0" w:firstRowFirstColumn="0" w:firstRowLastColumn="0" w:lastRowFirstColumn="0" w:lastRowLastColumn="0"/>
              <w:rPr>
                <w:sz w:val="14"/>
                <w:szCs w:val="14"/>
              </w:rPr>
            </w:pPr>
          </w:p>
        </w:tc>
      </w:tr>
      <w:tr w:rsidR="000F7F69" w:rsidRPr="00AF43B7" w14:paraId="1FB038AD" w14:textId="77777777" w:rsidTr="1E3961DD">
        <w:trPr>
          <w:cantSplit/>
          <w:trHeight w:val="410"/>
        </w:trPr>
        <w:tc>
          <w:tcPr>
            <w:cnfStyle w:val="001000000000" w:firstRow="0" w:lastRow="0" w:firstColumn="1" w:lastColumn="0" w:oddVBand="0" w:evenVBand="0" w:oddHBand="0" w:evenHBand="0" w:firstRowFirstColumn="0" w:firstRowLastColumn="0" w:lastRowFirstColumn="0" w:lastRowLastColumn="0"/>
            <w:tcW w:w="834" w:type="dxa"/>
            <w:tcBorders>
              <w:top w:val="single" w:sz="4" w:space="0" w:color="BCE4CF"/>
              <w:bottom w:val="single" w:sz="4" w:space="0" w:color="BCE4CF"/>
            </w:tcBorders>
          </w:tcPr>
          <w:p w14:paraId="43BE96D3" w14:textId="77777777" w:rsidR="000F7F69" w:rsidRPr="00AD71F3" w:rsidRDefault="000F7F69" w:rsidP="00F42489">
            <w:pPr>
              <w:pStyle w:val="TableLeadAgency"/>
              <w:rPr>
                <w:b/>
                <w:bCs/>
              </w:rPr>
            </w:pPr>
            <w:r w:rsidRPr="00AD71F3">
              <w:rPr>
                <w:b/>
                <w:bCs/>
              </w:rPr>
              <w:lastRenderedPageBreak/>
              <w:t xml:space="preserve">TSY </w:t>
            </w:r>
          </w:p>
          <w:p w14:paraId="4CBA5639" w14:textId="01ACECE8" w:rsidR="000F7F69" w:rsidRPr="00AD71F3" w:rsidRDefault="000F7F69" w:rsidP="00F42489">
            <w:pPr>
              <w:pStyle w:val="TableSecondaryAgency"/>
              <w:rPr>
                <w:b w:val="0"/>
                <w:bCs/>
              </w:rPr>
            </w:pPr>
            <w:r w:rsidRPr="00AD71F3">
              <w:rPr>
                <w:b w:val="0"/>
                <w:bCs/>
              </w:rPr>
              <w:t>ASIC</w:t>
            </w:r>
          </w:p>
        </w:tc>
        <w:tc>
          <w:tcPr>
            <w:tcW w:w="1222" w:type="dxa"/>
            <w:tcBorders>
              <w:top w:val="single" w:sz="4" w:space="0" w:color="BCE4CF"/>
              <w:bottom w:val="single" w:sz="4" w:space="0" w:color="BCE4CF"/>
            </w:tcBorders>
          </w:tcPr>
          <w:p w14:paraId="238AA279" w14:textId="620921FF" w:rsidR="000F7F69" w:rsidRPr="00B70D9E" w:rsidRDefault="000F7F69" w:rsidP="00301F93">
            <w:pPr>
              <w:pStyle w:val="TableTextLeft"/>
              <w:cnfStyle w:val="000000000000" w:firstRow="0" w:lastRow="0" w:firstColumn="0" w:lastColumn="0" w:oddVBand="0" w:evenVBand="0" w:oddHBand="0" w:evenHBand="0" w:firstRowFirstColumn="0" w:firstRowLastColumn="0" w:lastRowFirstColumn="0" w:lastRowLastColumn="0"/>
            </w:pPr>
            <w:r w:rsidRPr="00301F93">
              <w:t>Payment</w:t>
            </w:r>
            <w:r w:rsidRPr="00B70D9E">
              <w:t xml:space="preserve"> services and digital assets</w:t>
            </w:r>
          </w:p>
        </w:tc>
        <w:tc>
          <w:tcPr>
            <w:tcW w:w="4468" w:type="dxa"/>
            <w:tcBorders>
              <w:top w:val="single" w:sz="4" w:space="0" w:color="BCE4CF"/>
              <w:bottom w:val="single" w:sz="4" w:space="0" w:color="BCE4CF"/>
            </w:tcBorders>
          </w:tcPr>
          <w:p w14:paraId="6AD2791C" w14:textId="0DE75986" w:rsidR="000F7F69" w:rsidRPr="000A4B96" w:rsidRDefault="001D4D7F" w:rsidP="000F7F69">
            <w:pPr>
              <w:pStyle w:val="TableLink"/>
              <w:cnfStyle w:val="000000000000" w:firstRow="0" w:lastRow="0" w:firstColumn="0" w:lastColumn="0" w:oddVBand="0" w:evenVBand="0" w:oddHBand="0" w:evenHBand="0" w:firstRowFirstColumn="0" w:firstRowLastColumn="0" w:lastRowFirstColumn="0" w:lastRowLastColumn="0"/>
              <w:rPr>
                <w:b w:val="0"/>
                <w:bCs/>
                <w:u w:val="single"/>
              </w:rPr>
            </w:pPr>
            <w:hyperlink r:id="rId68">
              <w:r w:rsidR="00DB5962" w:rsidRPr="11201A94">
                <w:rPr>
                  <w:rStyle w:val="Hyperlink"/>
                  <w:b/>
                  <w:bCs/>
                  <w:u w:val="single"/>
                </w:rPr>
                <w:t>Digital Asset Platform reforms</w:t>
              </w:r>
            </w:hyperlink>
          </w:p>
          <w:p w14:paraId="37C2B53A" w14:textId="77777777" w:rsidR="00994060" w:rsidRDefault="000F7F69" w:rsidP="00301F93">
            <w:pPr>
              <w:pStyle w:val="TableTextLeft"/>
              <w:cnfStyle w:val="000000000000" w:firstRow="0" w:lastRow="0" w:firstColumn="0" w:lastColumn="0" w:oddVBand="0" w:evenVBand="0" w:oddHBand="0" w:evenHBand="0" w:firstRowFirstColumn="0" w:firstRowLastColumn="0" w:lastRowFirstColumn="0" w:lastRowLastColumn="0"/>
              <w:rPr>
                <w:lang w:val="en-AU"/>
              </w:rPr>
            </w:pPr>
            <w:r w:rsidRPr="213A5E53">
              <w:rPr>
                <w:lang w:val="en-AU"/>
              </w:rPr>
              <w:t xml:space="preserve">The Government </w:t>
            </w:r>
            <w:r>
              <w:rPr>
                <w:lang w:val="en-AU"/>
              </w:rPr>
              <w:t xml:space="preserve">consulted </w:t>
            </w:r>
            <w:r w:rsidR="00F9640F">
              <w:rPr>
                <w:lang w:val="en-AU"/>
              </w:rPr>
              <w:t>from</w:t>
            </w:r>
            <w:r w:rsidRPr="07905D1E">
              <w:rPr>
                <w:lang w:val="en-AU"/>
              </w:rPr>
              <w:t xml:space="preserve"> </w:t>
            </w:r>
            <w:r w:rsidRPr="0626F34B">
              <w:rPr>
                <w:lang w:val="en-AU"/>
              </w:rPr>
              <w:t xml:space="preserve">October to December 2023 </w:t>
            </w:r>
            <w:r w:rsidRPr="213A5E53">
              <w:rPr>
                <w:lang w:val="en-AU"/>
              </w:rPr>
              <w:t xml:space="preserve">on a licensing framework for entities holding digital assets for Australians and Australian </w:t>
            </w:r>
            <w:proofErr w:type="gramStart"/>
            <w:r w:rsidRPr="213A5E53">
              <w:rPr>
                <w:lang w:val="en-AU"/>
              </w:rPr>
              <w:t>businesses</w:t>
            </w:r>
            <w:r>
              <w:rPr>
                <w:lang w:val="en-AU"/>
              </w:rPr>
              <w:t xml:space="preserve">, </w:t>
            </w:r>
            <w:r w:rsidRPr="6BA595E6">
              <w:rPr>
                <w:lang w:val="en-AU"/>
              </w:rPr>
              <w:t>and</w:t>
            </w:r>
            <w:proofErr w:type="gramEnd"/>
            <w:r w:rsidRPr="6BA595E6">
              <w:rPr>
                <w:lang w:val="en-AU"/>
              </w:rPr>
              <w:t xml:space="preserve"> </w:t>
            </w:r>
            <w:r w:rsidRPr="215639C6">
              <w:rPr>
                <w:lang w:val="en-AU"/>
              </w:rPr>
              <w:t>has been</w:t>
            </w:r>
            <w:r w:rsidRPr="1C1F2239">
              <w:rPr>
                <w:lang w:val="en-AU"/>
              </w:rPr>
              <w:t xml:space="preserve"> considering the feedback </w:t>
            </w:r>
            <w:r w:rsidRPr="00301F93">
              <w:t>received</w:t>
            </w:r>
            <w:r w:rsidRPr="213A5E53">
              <w:rPr>
                <w:lang w:val="en-AU"/>
              </w:rPr>
              <w:t xml:space="preserve">. The proposed regulatory framework would apply to digital asset facilities that present similar risks to entities that operate in the traditional financial system. It proposes to leverage the Australian financial services framework to regulate digital asset facilities to ensure consistent oversight and safeguards for consumers. </w:t>
            </w:r>
          </w:p>
          <w:p w14:paraId="1887C6AA" w14:textId="38DC2D41" w:rsidR="000F7F69" w:rsidRPr="00D80718" w:rsidRDefault="0071517A" w:rsidP="00D80718">
            <w:pPr>
              <w:pStyle w:val="TableTextLeft"/>
              <w:cnfStyle w:val="000000000000" w:firstRow="0" w:lastRow="0" w:firstColumn="0" w:lastColumn="0" w:oddVBand="0" w:evenVBand="0" w:oddHBand="0" w:evenHBand="0" w:firstRowFirstColumn="0" w:firstRowLastColumn="0" w:lastRowFirstColumn="0" w:lastRowLastColumn="0"/>
              <w:rPr>
                <w:lang w:val="en-AU"/>
              </w:rPr>
            </w:pPr>
            <w:r>
              <w:rPr>
                <w:bCs/>
              </w:rPr>
              <w:t>ASIC intends to issue regulatory guidance to assist implementation of the legislation.</w:t>
            </w:r>
            <w:r w:rsidR="000F7F69">
              <w:rPr>
                <w:rFonts w:cs="Calibri Light"/>
                <w:color w:val="00B050"/>
                <w:szCs w:val="16"/>
                <w:lang w:val="en-AU"/>
              </w:rPr>
              <w:t xml:space="preserve"> </w:t>
            </w:r>
          </w:p>
        </w:tc>
        <w:tc>
          <w:tcPr>
            <w:tcW w:w="1246" w:type="dxa"/>
            <w:tcBorders>
              <w:top w:val="single" w:sz="4" w:space="0" w:color="BCE4CF"/>
              <w:bottom w:val="single" w:sz="4" w:space="0" w:color="BCE4CF"/>
            </w:tcBorders>
            <w:shd w:val="clear" w:color="auto" w:fill="ECF7F1"/>
          </w:tcPr>
          <w:p w14:paraId="2BDD1EE8" w14:textId="77777777" w:rsidR="000F7F69" w:rsidRPr="00285C8A" w:rsidRDefault="000F7F69" w:rsidP="000F7F69">
            <w:pPr>
              <w:pStyle w:val="TableTextLeft"/>
              <w:cnfStyle w:val="000000000000" w:firstRow="0" w:lastRow="0" w:firstColumn="0" w:lastColumn="0" w:oddVBand="0" w:evenVBand="0" w:oddHBand="0" w:evenHBand="0" w:firstRowFirstColumn="0" w:firstRowLastColumn="0" w:lastRowFirstColumn="0" w:lastRowLastColumn="0"/>
            </w:pPr>
          </w:p>
        </w:tc>
        <w:tc>
          <w:tcPr>
            <w:tcW w:w="1246" w:type="dxa"/>
            <w:tcBorders>
              <w:top w:val="single" w:sz="4" w:space="0" w:color="BCE4CF"/>
              <w:bottom w:val="single" w:sz="4" w:space="0" w:color="BCE4CF"/>
            </w:tcBorders>
            <w:shd w:val="clear" w:color="auto" w:fill="ECF7F1"/>
          </w:tcPr>
          <w:p w14:paraId="5CF77821" w14:textId="56D49E92" w:rsidR="000F7F69" w:rsidRPr="00BE3D1F" w:rsidRDefault="000F7F69" w:rsidP="000F7F69">
            <w:pPr>
              <w:pStyle w:val="TableTextLeft"/>
              <w:cnfStyle w:val="000000000000" w:firstRow="0" w:lastRow="0" w:firstColumn="0" w:lastColumn="0" w:oddVBand="0" w:evenVBand="0" w:oddHBand="0" w:evenHBand="0" w:firstRowFirstColumn="0" w:firstRowLastColumn="0" w:lastRowFirstColumn="0" w:lastRowLastColumn="0"/>
            </w:pPr>
            <w:r>
              <w:t>Consultation on exposure draft legislation</w:t>
            </w:r>
          </w:p>
        </w:tc>
        <w:tc>
          <w:tcPr>
            <w:tcW w:w="1246" w:type="dxa"/>
            <w:tcBorders>
              <w:top w:val="single" w:sz="4" w:space="0" w:color="BCE4CF"/>
              <w:bottom w:val="single" w:sz="4" w:space="0" w:color="BCE4CF"/>
            </w:tcBorders>
            <w:shd w:val="clear" w:color="auto" w:fill="ECF7F1"/>
          </w:tcPr>
          <w:p w14:paraId="1CC87FA1" w14:textId="77777777" w:rsidR="000F7F69" w:rsidRPr="00A56D83" w:rsidRDefault="000F7F69" w:rsidP="000F7F69">
            <w:pPr>
              <w:pStyle w:val="TableTextLeft"/>
              <w:cnfStyle w:val="000000000000" w:firstRow="0" w:lastRow="0" w:firstColumn="0" w:lastColumn="0" w:oddVBand="0" w:evenVBand="0" w:oddHBand="0" w:evenHBand="0" w:firstRowFirstColumn="0" w:firstRowLastColumn="0" w:lastRowFirstColumn="0" w:lastRowLastColumn="0"/>
            </w:pPr>
          </w:p>
        </w:tc>
        <w:tc>
          <w:tcPr>
            <w:tcW w:w="1247" w:type="dxa"/>
            <w:tcBorders>
              <w:top w:val="single" w:sz="4" w:space="0" w:color="BCE4CF"/>
              <w:bottom w:val="single" w:sz="4" w:space="0" w:color="BCE4CF"/>
            </w:tcBorders>
            <w:shd w:val="clear" w:color="auto" w:fill="ECF7F1"/>
          </w:tcPr>
          <w:p w14:paraId="52D4FDB5" w14:textId="77777777" w:rsidR="000F7F69" w:rsidRPr="00A56D83" w:rsidRDefault="000F7F69" w:rsidP="000F7F69">
            <w:pPr>
              <w:pStyle w:val="TableTextLeft"/>
              <w:cnfStyle w:val="000000000000" w:firstRow="0" w:lastRow="0" w:firstColumn="0" w:lastColumn="0" w:oddVBand="0" w:evenVBand="0" w:oddHBand="0" w:evenHBand="0" w:firstRowFirstColumn="0" w:firstRowLastColumn="0" w:lastRowFirstColumn="0" w:lastRowLastColumn="0"/>
            </w:pPr>
          </w:p>
        </w:tc>
        <w:tc>
          <w:tcPr>
            <w:tcW w:w="1246" w:type="dxa"/>
            <w:tcBorders>
              <w:top w:val="single" w:sz="4" w:space="0" w:color="BCE4CF"/>
              <w:bottom w:val="single" w:sz="4" w:space="0" w:color="BCE4CF"/>
            </w:tcBorders>
            <w:shd w:val="clear" w:color="auto" w:fill="F5FBF8"/>
          </w:tcPr>
          <w:p w14:paraId="5015E7C3" w14:textId="77777777" w:rsidR="000F7F69" w:rsidRPr="00D813A6" w:rsidRDefault="000F7F69" w:rsidP="000F7F69">
            <w:pPr>
              <w:pStyle w:val="TableTextLeft"/>
              <w:cnfStyle w:val="000000000000" w:firstRow="0" w:lastRow="0" w:firstColumn="0" w:lastColumn="0" w:oddVBand="0" w:evenVBand="0" w:oddHBand="0" w:evenHBand="0" w:firstRowFirstColumn="0" w:firstRowLastColumn="0" w:lastRowFirstColumn="0" w:lastRowLastColumn="0"/>
            </w:pPr>
          </w:p>
        </w:tc>
        <w:tc>
          <w:tcPr>
            <w:tcW w:w="1247" w:type="dxa"/>
            <w:tcBorders>
              <w:top w:val="single" w:sz="4" w:space="0" w:color="BCE4CF"/>
              <w:bottom w:val="single" w:sz="4" w:space="0" w:color="BCE4CF"/>
            </w:tcBorders>
            <w:shd w:val="clear" w:color="auto" w:fill="F5FBF8"/>
          </w:tcPr>
          <w:p w14:paraId="736909F7" w14:textId="77777777" w:rsidR="000F7F69" w:rsidRPr="00AF43B7" w:rsidRDefault="000F7F69" w:rsidP="000F7F69">
            <w:pPr>
              <w:pStyle w:val="TableTextLeft"/>
              <w:cnfStyle w:val="000000000000" w:firstRow="0" w:lastRow="0" w:firstColumn="0" w:lastColumn="0" w:oddVBand="0" w:evenVBand="0" w:oddHBand="0" w:evenHBand="0" w:firstRowFirstColumn="0" w:firstRowLastColumn="0" w:lastRowFirstColumn="0" w:lastRowLastColumn="0"/>
              <w:rPr>
                <w:sz w:val="14"/>
                <w:szCs w:val="14"/>
              </w:rPr>
            </w:pPr>
          </w:p>
        </w:tc>
      </w:tr>
      <w:tr w:rsidR="000F7F69" w:rsidRPr="00AF43B7" w14:paraId="29F4541D" w14:textId="77777777" w:rsidTr="1E3961DD">
        <w:trPr>
          <w:cantSplit/>
          <w:trHeight w:val="410"/>
        </w:trPr>
        <w:tc>
          <w:tcPr>
            <w:cnfStyle w:val="001000000000" w:firstRow="0" w:lastRow="0" w:firstColumn="1" w:lastColumn="0" w:oddVBand="0" w:evenVBand="0" w:oddHBand="0" w:evenHBand="0" w:firstRowFirstColumn="0" w:firstRowLastColumn="0" w:lastRowFirstColumn="0" w:lastRowLastColumn="0"/>
            <w:tcW w:w="834" w:type="dxa"/>
            <w:tcBorders>
              <w:top w:val="single" w:sz="4" w:space="0" w:color="BCE4CF"/>
              <w:bottom w:val="single" w:sz="4" w:space="0" w:color="BCE4CF"/>
            </w:tcBorders>
          </w:tcPr>
          <w:p w14:paraId="592801BB" w14:textId="77777777" w:rsidR="000F7F69" w:rsidRPr="00AD71F3" w:rsidRDefault="000F7F69" w:rsidP="00F42489">
            <w:pPr>
              <w:pStyle w:val="TableLeadAgency"/>
              <w:rPr>
                <w:b/>
                <w:bCs/>
              </w:rPr>
            </w:pPr>
            <w:r w:rsidRPr="00AD71F3">
              <w:rPr>
                <w:b/>
                <w:bCs/>
              </w:rPr>
              <w:t xml:space="preserve">TSY </w:t>
            </w:r>
          </w:p>
          <w:p w14:paraId="6ED75832" w14:textId="77777777" w:rsidR="000F7F69" w:rsidRPr="00AD71F3" w:rsidRDefault="000F7F69" w:rsidP="00F42489">
            <w:pPr>
              <w:pStyle w:val="TableSecondaryAgency"/>
              <w:rPr>
                <w:b w:val="0"/>
                <w:bCs/>
              </w:rPr>
            </w:pPr>
            <w:r w:rsidRPr="00AD71F3">
              <w:rPr>
                <w:b w:val="0"/>
                <w:bCs/>
              </w:rPr>
              <w:t>ASIC</w:t>
            </w:r>
          </w:p>
          <w:p w14:paraId="2E82D787" w14:textId="565F5A44" w:rsidR="000F7F69" w:rsidRPr="009C4097" w:rsidRDefault="000F7F69" w:rsidP="00F42489">
            <w:pPr>
              <w:pStyle w:val="TableSecondaryAgency"/>
            </w:pPr>
            <w:r w:rsidRPr="00AD71F3">
              <w:rPr>
                <w:b w:val="0"/>
                <w:bCs/>
              </w:rPr>
              <w:t>APRA</w:t>
            </w:r>
          </w:p>
        </w:tc>
        <w:tc>
          <w:tcPr>
            <w:tcW w:w="1222" w:type="dxa"/>
            <w:tcBorders>
              <w:top w:val="single" w:sz="4" w:space="0" w:color="BCE4CF"/>
              <w:bottom w:val="single" w:sz="4" w:space="0" w:color="BCE4CF"/>
            </w:tcBorders>
          </w:tcPr>
          <w:p w14:paraId="6C9325D7" w14:textId="2316D652" w:rsidR="000F7F69" w:rsidRPr="00B35980" w:rsidRDefault="000F7F69" w:rsidP="00301F93">
            <w:pPr>
              <w:pStyle w:val="TableTextLeft"/>
              <w:cnfStyle w:val="000000000000" w:firstRow="0" w:lastRow="0" w:firstColumn="0" w:lastColumn="0" w:oddVBand="0" w:evenVBand="0" w:oddHBand="0" w:evenHBand="0" w:firstRowFirstColumn="0" w:firstRowLastColumn="0" w:lastRowFirstColumn="0" w:lastRowLastColumn="0"/>
              <w:rPr>
                <w:rFonts w:cs="Calibri Light"/>
                <w:szCs w:val="16"/>
              </w:rPr>
            </w:pPr>
            <w:r w:rsidRPr="002D0236">
              <w:t xml:space="preserve">Payment </w:t>
            </w:r>
            <w:r w:rsidRPr="00301F93">
              <w:t>services</w:t>
            </w:r>
            <w:r w:rsidRPr="002D0236">
              <w:t xml:space="preserve"> and </w:t>
            </w:r>
            <w:r>
              <w:t>d</w:t>
            </w:r>
            <w:r w:rsidRPr="002D0236">
              <w:t xml:space="preserve">igital </w:t>
            </w:r>
            <w:r>
              <w:t>a</w:t>
            </w:r>
            <w:r w:rsidRPr="002D0236">
              <w:t>ssets</w:t>
            </w:r>
          </w:p>
        </w:tc>
        <w:tc>
          <w:tcPr>
            <w:tcW w:w="4468" w:type="dxa"/>
            <w:tcBorders>
              <w:top w:val="single" w:sz="4" w:space="0" w:color="BCE4CF"/>
              <w:bottom w:val="single" w:sz="4" w:space="0" w:color="BCE4CF"/>
            </w:tcBorders>
          </w:tcPr>
          <w:p w14:paraId="3E28C5AE" w14:textId="77777777" w:rsidR="000F7F69" w:rsidRPr="000A4B96" w:rsidRDefault="001D4D7F" w:rsidP="000F7F69">
            <w:pPr>
              <w:cnfStyle w:val="000000000000" w:firstRow="0" w:lastRow="0" w:firstColumn="0" w:lastColumn="0" w:oddVBand="0" w:evenVBand="0" w:oddHBand="0" w:evenHBand="0" w:firstRowFirstColumn="0" w:firstRowLastColumn="0" w:lastRowFirstColumn="0" w:lastRowLastColumn="0"/>
              <w:rPr>
                <w:u w:val="single"/>
              </w:rPr>
            </w:pPr>
            <w:hyperlink r:id="rId69" w:history="1">
              <w:proofErr w:type="gramStart"/>
              <w:r w:rsidR="000F7F69" w:rsidRPr="000A4B96">
                <w:rPr>
                  <w:rStyle w:val="Hyperlink"/>
                  <w:u w:val="single"/>
                </w:rPr>
                <w:t>Payments</w:t>
              </w:r>
              <w:proofErr w:type="gramEnd"/>
              <w:r w:rsidR="000F7F69" w:rsidRPr="000A4B96">
                <w:rPr>
                  <w:rStyle w:val="Hyperlink"/>
                  <w:u w:val="single"/>
                </w:rPr>
                <w:t xml:space="preserve"> system </w:t>
              </w:r>
              <w:proofErr w:type="spellStart"/>
              <w:r w:rsidR="000F7F69" w:rsidRPr="000A4B96">
                <w:rPr>
                  <w:rStyle w:val="Hyperlink"/>
                  <w:u w:val="single"/>
                </w:rPr>
                <w:t>modernisation</w:t>
              </w:r>
              <w:proofErr w:type="spellEnd"/>
              <w:r w:rsidR="000F7F69" w:rsidRPr="000A4B96">
                <w:rPr>
                  <w:rStyle w:val="Hyperlink"/>
                  <w:u w:val="single"/>
                </w:rPr>
                <w:t xml:space="preserve"> (Regulation of payment service providers)</w:t>
              </w:r>
            </w:hyperlink>
          </w:p>
          <w:p w14:paraId="6E20C191" w14:textId="77777777" w:rsidR="00994060" w:rsidRDefault="000F7F69" w:rsidP="00301F93">
            <w:pPr>
              <w:pStyle w:val="TableTextLeft"/>
              <w:cnfStyle w:val="000000000000" w:firstRow="0" w:lastRow="0" w:firstColumn="0" w:lastColumn="0" w:oddVBand="0" w:evenVBand="0" w:oddHBand="0" w:evenHBand="0" w:firstRowFirstColumn="0" w:firstRowLastColumn="0" w:lastRowFirstColumn="0" w:lastRowLastColumn="0"/>
            </w:pPr>
            <w:r w:rsidRPr="00852C27">
              <w:t xml:space="preserve">The Government </w:t>
            </w:r>
            <w:r w:rsidR="002117DC">
              <w:t xml:space="preserve">has undertaken </w:t>
            </w:r>
            <w:r w:rsidR="00A93817">
              <w:t>2 </w:t>
            </w:r>
            <w:r w:rsidR="002117DC">
              <w:t xml:space="preserve">rounds of </w:t>
            </w:r>
            <w:r w:rsidR="001B6339" w:rsidRPr="00852C27">
              <w:t>consult</w:t>
            </w:r>
            <w:r w:rsidR="002117DC">
              <w:t>ation</w:t>
            </w:r>
            <w:r w:rsidRPr="00852C27">
              <w:t xml:space="preserve"> on a licensing framework for payment service providers (PSPs</w:t>
            </w:r>
            <w:r w:rsidR="001B6339" w:rsidRPr="00852C27">
              <w:t>)</w:t>
            </w:r>
            <w:r w:rsidR="00A057E0">
              <w:t xml:space="preserve"> and has been considering the feedback received</w:t>
            </w:r>
            <w:r w:rsidR="001B6339" w:rsidRPr="00852C27">
              <w:t>.</w:t>
            </w:r>
            <w:r w:rsidRPr="00852C27">
              <w:t xml:space="preserve"> The proposed reforms will ensure the regulation of payment services is fit for purpose and provides consistent regulation based on the activity a payment service provider performs. The reforms will be implemented in </w:t>
            </w:r>
            <w:r w:rsidR="00A93817">
              <w:t>2 </w:t>
            </w:r>
            <w:r w:rsidRPr="00852C27">
              <w:t xml:space="preserve">tranches. Legislation for the core licensing framework, which will establish the regulatory perimeter of the regime and the obligations imposed on licensed PSPs, will be undertaken in the first tranche of the reforms. </w:t>
            </w:r>
          </w:p>
          <w:p w14:paraId="641F941A" w14:textId="001984C4" w:rsidR="000F7F69" w:rsidRPr="00D80718" w:rsidRDefault="00551B9E" w:rsidP="00D80718">
            <w:pPr>
              <w:pStyle w:val="TableTextLeft"/>
              <w:cnfStyle w:val="000000000000" w:firstRow="0" w:lastRow="0" w:firstColumn="0" w:lastColumn="0" w:oddVBand="0" w:evenVBand="0" w:oddHBand="0" w:evenHBand="0" w:firstRowFirstColumn="0" w:firstRowLastColumn="0" w:lastRowFirstColumn="0" w:lastRowLastColumn="0"/>
              <w:rPr>
                <w:bCs/>
              </w:rPr>
            </w:pPr>
            <w:r w:rsidRPr="00B21F03">
              <w:rPr>
                <w:szCs w:val="16"/>
              </w:rPr>
              <w:t>ASIC intends to issue regulatory guidance to assist implementation of the legislation</w:t>
            </w:r>
            <w:r w:rsidRPr="00B21F03">
              <w:rPr>
                <w:rFonts w:cs="Calibri Light"/>
                <w:szCs w:val="16"/>
              </w:rPr>
              <w:t>.</w:t>
            </w:r>
          </w:p>
        </w:tc>
        <w:tc>
          <w:tcPr>
            <w:tcW w:w="1246" w:type="dxa"/>
            <w:tcBorders>
              <w:top w:val="single" w:sz="4" w:space="0" w:color="BCE4CF"/>
              <w:bottom w:val="single" w:sz="4" w:space="0" w:color="BCE4CF"/>
            </w:tcBorders>
            <w:shd w:val="clear" w:color="auto" w:fill="ECF7F1"/>
          </w:tcPr>
          <w:p w14:paraId="2A8191F9" w14:textId="77777777" w:rsidR="000F7F69" w:rsidRPr="00285C8A" w:rsidRDefault="000F7F69" w:rsidP="000F7F69">
            <w:pPr>
              <w:pStyle w:val="TableTextLeft"/>
              <w:cnfStyle w:val="000000000000" w:firstRow="0" w:lastRow="0" w:firstColumn="0" w:lastColumn="0" w:oddVBand="0" w:evenVBand="0" w:oddHBand="0" w:evenHBand="0" w:firstRowFirstColumn="0" w:firstRowLastColumn="0" w:lastRowFirstColumn="0" w:lastRowLastColumn="0"/>
            </w:pPr>
          </w:p>
        </w:tc>
        <w:tc>
          <w:tcPr>
            <w:tcW w:w="1246" w:type="dxa"/>
            <w:tcBorders>
              <w:top w:val="single" w:sz="4" w:space="0" w:color="BCE4CF"/>
              <w:bottom w:val="single" w:sz="4" w:space="0" w:color="BCE4CF"/>
            </w:tcBorders>
            <w:shd w:val="clear" w:color="auto" w:fill="ECF7F1"/>
          </w:tcPr>
          <w:p w14:paraId="47C9BFD8" w14:textId="22084812" w:rsidR="000F7F69" w:rsidRPr="00BE3D1F" w:rsidRDefault="000F7F69" w:rsidP="000F7F69">
            <w:pPr>
              <w:pStyle w:val="TableTextLeft"/>
              <w:cnfStyle w:val="000000000000" w:firstRow="0" w:lastRow="0" w:firstColumn="0" w:lastColumn="0" w:oddVBand="0" w:evenVBand="0" w:oddHBand="0" w:evenHBand="0" w:firstRowFirstColumn="0" w:firstRowLastColumn="0" w:lastRowFirstColumn="0" w:lastRowLastColumn="0"/>
              <w:rPr>
                <w:rFonts w:cs="Calibri Light"/>
              </w:rPr>
            </w:pPr>
            <w:r w:rsidRPr="009A5125">
              <w:t>Consultation on exposure draft legislation</w:t>
            </w:r>
            <w:r>
              <w:t xml:space="preserve"> for the first tranche of reforms</w:t>
            </w:r>
          </w:p>
        </w:tc>
        <w:tc>
          <w:tcPr>
            <w:tcW w:w="1246" w:type="dxa"/>
            <w:tcBorders>
              <w:top w:val="single" w:sz="4" w:space="0" w:color="BCE4CF"/>
              <w:bottom w:val="single" w:sz="4" w:space="0" w:color="BCE4CF"/>
            </w:tcBorders>
            <w:shd w:val="clear" w:color="auto" w:fill="ECF7F1"/>
          </w:tcPr>
          <w:p w14:paraId="21D198C3" w14:textId="77777777" w:rsidR="000F7F69" w:rsidRPr="00A56D83" w:rsidRDefault="000F7F69" w:rsidP="000F7F69">
            <w:pPr>
              <w:pStyle w:val="TableTextLeft"/>
              <w:cnfStyle w:val="000000000000" w:firstRow="0" w:lastRow="0" w:firstColumn="0" w:lastColumn="0" w:oddVBand="0" w:evenVBand="0" w:oddHBand="0" w:evenHBand="0" w:firstRowFirstColumn="0" w:firstRowLastColumn="0" w:lastRowFirstColumn="0" w:lastRowLastColumn="0"/>
            </w:pPr>
          </w:p>
        </w:tc>
        <w:tc>
          <w:tcPr>
            <w:tcW w:w="1247" w:type="dxa"/>
            <w:tcBorders>
              <w:top w:val="single" w:sz="4" w:space="0" w:color="BCE4CF"/>
              <w:bottom w:val="single" w:sz="4" w:space="0" w:color="BCE4CF"/>
            </w:tcBorders>
            <w:shd w:val="clear" w:color="auto" w:fill="ECF7F1"/>
          </w:tcPr>
          <w:p w14:paraId="00DE3BC6" w14:textId="692BB354" w:rsidR="000F7F69" w:rsidRPr="00A56D83" w:rsidRDefault="000F7F69" w:rsidP="000F7F69">
            <w:pPr>
              <w:pStyle w:val="TableTextLeft"/>
              <w:cnfStyle w:val="000000000000" w:firstRow="0" w:lastRow="0" w:firstColumn="0" w:lastColumn="0" w:oddVBand="0" w:evenVBand="0" w:oddHBand="0" w:evenHBand="0" w:firstRowFirstColumn="0" w:firstRowLastColumn="0" w:lastRowFirstColumn="0" w:lastRowLastColumn="0"/>
            </w:pPr>
          </w:p>
        </w:tc>
        <w:tc>
          <w:tcPr>
            <w:tcW w:w="1246" w:type="dxa"/>
            <w:tcBorders>
              <w:top w:val="single" w:sz="4" w:space="0" w:color="BCE4CF"/>
              <w:bottom w:val="single" w:sz="4" w:space="0" w:color="BCE4CF"/>
            </w:tcBorders>
            <w:shd w:val="clear" w:color="auto" w:fill="F5FBF8"/>
          </w:tcPr>
          <w:p w14:paraId="68A7C09E" w14:textId="77777777" w:rsidR="000F7F69" w:rsidRPr="00D813A6" w:rsidRDefault="000F7F69" w:rsidP="000F7F69">
            <w:pPr>
              <w:pStyle w:val="TableTextLeft"/>
              <w:cnfStyle w:val="000000000000" w:firstRow="0" w:lastRow="0" w:firstColumn="0" w:lastColumn="0" w:oddVBand="0" w:evenVBand="0" w:oddHBand="0" w:evenHBand="0" w:firstRowFirstColumn="0" w:firstRowLastColumn="0" w:lastRowFirstColumn="0" w:lastRowLastColumn="0"/>
            </w:pPr>
          </w:p>
        </w:tc>
        <w:tc>
          <w:tcPr>
            <w:tcW w:w="1247" w:type="dxa"/>
            <w:tcBorders>
              <w:top w:val="single" w:sz="4" w:space="0" w:color="BCE4CF"/>
              <w:bottom w:val="single" w:sz="4" w:space="0" w:color="BCE4CF"/>
            </w:tcBorders>
            <w:shd w:val="clear" w:color="auto" w:fill="F5FBF8"/>
          </w:tcPr>
          <w:p w14:paraId="06955541" w14:textId="77777777" w:rsidR="000F7F69" w:rsidRPr="00AF43B7" w:rsidRDefault="000F7F69" w:rsidP="000F7F69">
            <w:pPr>
              <w:pStyle w:val="TableTextLeft"/>
              <w:cnfStyle w:val="000000000000" w:firstRow="0" w:lastRow="0" w:firstColumn="0" w:lastColumn="0" w:oddVBand="0" w:evenVBand="0" w:oddHBand="0" w:evenHBand="0" w:firstRowFirstColumn="0" w:firstRowLastColumn="0" w:lastRowFirstColumn="0" w:lastRowLastColumn="0"/>
              <w:rPr>
                <w:sz w:val="14"/>
                <w:szCs w:val="14"/>
              </w:rPr>
            </w:pPr>
          </w:p>
        </w:tc>
      </w:tr>
      <w:tr w:rsidR="000F7F69" w:rsidRPr="00AF43B7" w14:paraId="770AFFC7" w14:textId="77777777" w:rsidTr="1E3961DD">
        <w:trPr>
          <w:cantSplit/>
          <w:trHeight w:val="410"/>
        </w:trPr>
        <w:tc>
          <w:tcPr>
            <w:cnfStyle w:val="001000000000" w:firstRow="0" w:lastRow="0" w:firstColumn="1" w:lastColumn="0" w:oddVBand="0" w:evenVBand="0" w:oddHBand="0" w:evenHBand="0" w:firstRowFirstColumn="0" w:firstRowLastColumn="0" w:lastRowFirstColumn="0" w:lastRowLastColumn="0"/>
            <w:tcW w:w="834" w:type="dxa"/>
            <w:tcBorders>
              <w:top w:val="single" w:sz="4" w:space="0" w:color="BCE4CF"/>
              <w:bottom w:val="single" w:sz="4" w:space="0" w:color="BCE4CF"/>
            </w:tcBorders>
          </w:tcPr>
          <w:p w14:paraId="085F554C" w14:textId="77777777" w:rsidR="000F7F69" w:rsidRPr="00AD71F3" w:rsidRDefault="000F7F69" w:rsidP="00097CAA">
            <w:pPr>
              <w:pStyle w:val="TableLeadAgency"/>
              <w:rPr>
                <w:b/>
                <w:bCs/>
              </w:rPr>
            </w:pPr>
            <w:r w:rsidRPr="00AD71F3">
              <w:rPr>
                <w:b/>
                <w:bCs/>
              </w:rPr>
              <w:lastRenderedPageBreak/>
              <w:t>TSY</w:t>
            </w:r>
          </w:p>
          <w:p w14:paraId="02700C9B" w14:textId="459555FE" w:rsidR="000F7F69" w:rsidRPr="00AD71F3" w:rsidRDefault="000F7F69" w:rsidP="00097CAA">
            <w:pPr>
              <w:pStyle w:val="TableSecondaryAgency"/>
              <w:rPr>
                <w:b w:val="0"/>
                <w:bCs/>
              </w:rPr>
            </w:pPr>
            <w:r w:rsidRPr="00AD71F3">
              <w:rPr>
                <w:b w:val="0"/>
                <w:bCs/>
              </w:rPr>
              <w:t>RBA</w:t>
            </w:r>
          </w:p>
          <w:p w14:paraId="36F33313" w14:textId="2A9CB37B" w:rsidR="000F7F69" w:rsidRPr="00AD71F3" w:rsidRDefault="000F7F69" w:rsidP="00097CAA">
            <w:pPr>
              <w:pStyle w:val="TableSecondaryAgency"/>
              <w:rPr>
                <w:b w:val="0"/>
                <w:bCs/>
              </w:rPr>
            </w:pPr>
            <w:r w:rsidRPr="00AD71F3">
              <w:rPr>
                <w:b w:val="0"/>
                <w:bCs/>
              </w:rPr>
              <w:t>ASIC</w:t>
            </w:r>
          </w:p>
          <w:p w14:paraId="34A42E82" w14:textId="55E822E1" w:rsidR="000F7F69" w:rsidRPr="00AD71F3" w:rsidRDefault="000F7F69" w:rsidP="00097CAA">
            <w:pPr>
              <w:pStyle w:val="TableSecondaryAgency"/>
              <w:rPr>
                <w:b w:val="0"/>
                <w:bCs/>
              </w:rPr>
            </w:pPr>
            <w:r w:rsidRPr="00AD71F3">
              <w:rPr>
                <w:b w:val="0"/>
                <w:bCs/>
              </w:rPr>
              <w:t>APRA</w:t>
            </w:r>
          </w:p>
          <w:p w14:paraId="1DAEC7CD" w14:textId="3D39998B" w:rsidR="000F7F69" w:rsidRPr="00AD71F3" w:rsidRDefault="000F7F69" w:rsidP="00097CAA">
            <w:pPr>
              <w:pStyle w:val="TableSecondaryAgency"/>
              <w:rPr>
                <w:b w:val="0"/>
                <w:bCs/>
              </w:rPr>
            </w:pPr>
            <w:r w:rsidRPr="00AD71F3">
              <w:rPr>
                <w:b w:val="0"/>
                <w:bCs/>
              </w:rPr>
              <w:t>ACCC</w:t>
            </w:r>
          </w:p>
          <w:p w14:paraId="0EDF429D" w14:textId="648993D6" w:rsidR="000F7F69" w:rsidRPr="0071435F" w:rsidRDefault="000F7F69" w:rsidP="00097CAA">
            <w:pPr>
              <w:pStyle w:val="TableSecondaryAgency"/>
            </w:pPr>
            <w:r w:rsidRPr="00AD71F3">
              <w:rPr>
                <w:b w:val="0"/>
                <w:bCs/>
              </w:rPr>
              <w:t>AUSTRAC</w:t>
            </w:r>
          </w:p>
        </w:tc>
        <w:tc>
          <w:tcPr>
            <w:tcW w:w="1222" w:type="dxa"/>
            <w:tcBorders>
              <w:top w:val="single" w:sz="4" w:space="0" w:color="BCE4CF"/>
              <w:bottom w:val="single" w:sz="4" w:space="0" w:color="BCE4CF"/>
            </w:tcBorders>
          </w:tcPr>
          <w:p w14:paraId="260B35B6" w14:textId="688156E2" w:rsidR="000F7F69" w:rsidRPr="00B70D9E" w:rsidRDefault="000F7F69" w:rsidP="00301F93">
            <w:pPr>
              <w:pStyle w:val="TableTextLeft"/>
              <w:cnfStyle w:val="000000000000" w:firstRow="0" w:lastRow="0" w:firstColumn="0" w:lastColumn="0" w:oddVBand="0" w:evenVBand="0" w:oddHBand="0" w:evenHBand="0" w:firstRowFirstColumn="0" w:firstRowLastColumn="0" w:lastRowFirstColumn="0" w:lastRowLastColumn="0"/>
            </w:pPr>
            <w:r w:rsidRPr="00B70D9E">
              <w:t>Payment services and digital assets</w:t>
            </w:r>
          </w:p>
        </w:tc>
        <w:tc>
          <w:tcPr>
            <w:tcW w:w="4468" w:type="dxa"/>
            <w:tcBorders>
              <w:top w:val="single" w:sz="4" w:space="0" w:color="BCE4CF"/>
              <w:bottom w:val="single" w:sz="4" w:space="0" w:color="BCE4CF"/>
            </w:tcBorders>
          </w:tcPr>
          <w:p w14:paraId="20CAD44A" w14:textId="77777777" w:rsidR="000F7F69" w:rsidRPr="000A4B96" w:rsidRDefault="001D4D7F" w:rsidP="000F7F69">
            <w:pPr>
              <w:pStyle w:val="TableLink"/>
              <w:cnfStyle w:val="000000000000" w:firstRow="0" w:lastRow="0" w:firstColumn="0" w:lastColumn="0" w:oddVBand="0" w:evenVBand="0" w:oddHBand="0" w:evenHBand="0" w:firstRowFirstColumn="0" w:firstRowLastColumn="0" w:lastRowFirstColumn="0" w:lastRowLastColumn="0"/>
              <w:rPr>
                <w:rFonts w:cs="Calibri Light"/>
                <w:b w:val="0"/>
                <w:bCs/>
                <w:color w:val="000000"/>
                <w:szCs w:val="16"/>
                <w:u w:val="single"/>
                <w:lang w:val="en-AU"/>
              </w:rPr>
            </w:pPr>
            <w:hyperlink r:id="rId70" w:history="1">
              <w:r w:rsidR="000F7F69" w:rsidRPr="000A4B96">
                <w:rPr>
                  <w:rStyle w:val="Hyperlink"/>
                  <w:rFonts w:cs="Calibri Light"/>
                  <w:b/>
                  <w:bCs/>
                  <w:szCs w:val="16"/>
                  <w:u w:val="single"/>
                </w:rPr>
                <w:t xml:space="preserve">Reforms to the </w:t>
              </w:r>
              <w:r w:rsidR="000F7F69" w:rsidRPr="000A4B96">
                <w:rPr>
                  <w:rStyle w:val="Hyperlink"/>
                  <w:rFonts w:cs="Calibri Light"/>
                  <w:b/>
                  <w:bCs/>
                  <w:i/>
                  <w:szCs w:val="16"/>
                  <w:u w:val="single"/>
                </w:rPr>
                <w:t>Payment Systems (Regulation) Act 1998</w:t>
              </w:r>
            </w:hyperlink>
          </w:p>
          <w:p w14:paraId="7E6BFD0B" w14:textId="4D035029" w:rsidR="000F7F69" w:rsidRDefault="000F7F69" w:rsidP="00301F93">
            <w:pPr>
              <w:pStyle w:val="TableTextLeft"/>
              <w:cnfStyle w:val="000000000000" w:firstRow="0" w:lastRow="0" w:firstColumn="0" w:lastColumn="0" w:oddVBand="0" w:evenVBand="0" w:oddHBand="0" w:evenHBand="0" w:firstRowFirstColumn="0" w:firstRowLastColumn="0" w:lastRowFirstColumn="0" w:lastRowLastColumn="0"/>
            </w:pPr>
            <w:r>
              <w:t>The</w:t>
            </w:r>
            <w:r w:rsidRPr="18613D26">
              <w:t xml:space="preserve"> </w:t>
            </w:r>
            <w:r w:rsidRPr="145C27B4">
              <w:t xml:space="preserve">Government is updating </w:t>
            </w:r>
            <w:r w:rsidRPr="19CC8C14">
              <w:t xml:space="preserve">the </w:t>
            </w:r>
            <w:r w:rsidRPr="19CC8C14">
              <w:rPr>
                <w:i/>
                <w:iCs/>
              </w:rPr>
              <w:t>Payment</w:t>
            </w:r>
            <w:r w:rsidRPr="18613D26">
              <w:rPr>
                <w:i/>
              </w:rPr>
              <w:t xml:space="preserve"> Systems (Regulation) Act</w:t>
            </w:r>
            <w:r w:rsidR="002B669A">
              <w:rPr>
                <w:i/>
              </w:rPr>
              <w:t> </w:t>
            </w:r>
            <w:r w:rsidRPr="18613D26">
              <w:rPr>
                <w:i/>
              </w:rPr>
              <w:t>1998</w:t>
            </w:r>
            <w:r w:rsidRPr="18613D26">
              <w:t xml:space="preserve"> (PSRA) to ensure regulators and </w:t>
            </w:r>
            <w:r w:rsidR="00293FEF">
              <w:t xml:space="preserve">the </w:t>
            </w:r>
            <w:r w:rsidRPr="18613D26">
              <w:t>Government can address new entrants and new risks related to payments systems and participants.</w:t>
            </w:r>
            <w:r>
              <w:t xml:space="preserve"> </w:t>
            </w:r>
          </w:p>
          <w:p w14:paraId="17185532" w14:textId="1F18B854" w:rsidR="000F7F69" w:rsidRPr="00D80718" w:rsidRDefault="006177A3" w:rsidP="00D80718">
            <w:pPr>
              <w:pStyle w:val="TableTextLeft"/>
              <w:cnfStyle w:val="000000000000" w:firstRow="0" w:lastRow="0" w:firstColumn="0" w:lastColumn="0" w:oddVBand="0" w:evenVBand="0" w:oddHBand="0" w:evenHBand="0" w:firstRowFirstColumn="0" w:firstRowLastColumn="0" w:lastRowFirstColumn="0" w:lastRowLastColumn="0"/>
            </w:pPr>
            <w:r w:rsidRPr="2865EE25">
              <w:t>The</w:t>
            </w:r>
            <w:r w:rsidR="00E10D14">
              <w:t xml:space="preserve"> amendments</w:t>
            </w:r>
            <w:r w:rsidR="0057383C">
              <w:t xml:space="preserve"> were</w:t>
            </w:r>
            <w:r w:rsidR="00E10D14">
              <w:t xml:space="preserve"> introduced </w:t>
            </w:r>
            <w:r w:rsidR="00D92D2F">
              <w:t xml:space="preserve">to the House of Representatives on 30 November 2023 </w:t>
            </w:r>
            <w:r w:rsidR="00E10D14">
              <w:t>under the</w:t>
            </w:r>
            <w:r w:rsidR="000F7F69" w:rsidRPr="2865EE25">
              <w:t xml:space="preserve"> Treasury Laws Amendment (Better Targeted Superannuation Concessions and Other Measures) Bill 2023</w:t>
            </w:r>
            <w:r w:rsidR="00D92FE5">
              <w:t>,</w:t>
            </w:r>
            <w:r w:rsidR="000F7F69" w:rsidRPr="2865EE25">
              <w:t xml:space="preserve"> </w:t>
            </w:r>
            <w:r w:rsidR="00272B4C">
              <w:t>which has been split</w:t>
            </w:r>
            <w:r w:rsidR="00D92FE5">
              <w:t>,</w:t>
            </w:r>
            <w:r w:rsidR="00272B4C">
              <w:t xml:space="preserve"> and </w:t>
            </w:r>
            <w:r w:rsidR="00A112A0">
              <w:t>the amendments are</w:t>
            </w:r>
            <w:r w:rsidR="000F7F69" w:rsidRPr="2865EE25">
              <w:t xml:space="preserve"> currently before the Senate</w:t>
            </w:r>
            <w:r w:rsidR="00E10D14">
              <w:t xml:space="preserve"> under </w:t>
            </w:r>
            <w:r w:rsidR="00FB4CAA">
              <w:t xml:space="preserve">the </w:t>
            </w:r>
            <w:r w:rsidR="00FB4CAA" w:rsidRPr="00FB4CAA">
              <w:t>Treasury Laws Amendment (Miscellaneous Measures) Bill 2024</w:t>
            </w:r>
            <w:r w:rsidR="000F7F69" w:rsidRPr="2865EE25">
              <w:t xml:space="preserve">. </w:t>
            </w:r>
            <w:r w:rsidR="000F7F69" w:rsidRPr="05085BB9">
              <w:t xml:space="preserve">Amendments will take effect </w:t>
            </w:r>
            <w:r w:rsidR="009D44A1">
              <w:t>6 </w:t>
            </w:r>
            <w:r w:rsidR="000F7F69" w:rsidRPr="05085BB9">
              <w:t>months after the Bill is enacted</w:t>
            </w:r>
            <w:r w:rsidR="0008745D">
              <w:t xml:space="preserve">. </w:t>
            </w:r>
            <w:r>
              <w:t>A</w:t>
            </w:r>
            <w:r w:rsidRPr="00EE3356">
              <w:t xml:space="preserve">ny changes in regulatory requirements </w:t>
            </w:r>
            <w:r w:rsidR="004C0948">
              <w:t xml:space="preserve">will </w:t>
            </w:r>
            <w:r w:rsidRPr="00EE3356">
              <w:t>be informed by the RBA</w:t>
            </w:r>
            <w:r w:rsidR="0008745D">
              <w:t>’</w:t>
            </w:r>
            <w:r w:rsidRPr="00EE3356">
              <w:t xml:space="preserve">s series of reviews on retail payments. </w:t>
            </w:r>
          </w:p>
        </w:tc>
        <w:tc>
          <w:tcPr>
            <w:tcW w:w="1246" w:type="dxa"/>
            <w:tcBorders>
              <w:top w:val="single" w:sz="4" w:space="0" w:color="BCE4CF"/>
              <w:bottom w:val="single" w:sz="4" w:space="0" w:color="BCE4CF"/>
            </w:tcBorders>
            <w:shd w:val="clear" w:color="auto" w:fill="ECF7F1"/>
          </w:tcPr>
          <w:p w14:paraId="1B891CFC" w14:textId="78DF1F61" w:rsidR="000F7F69" w:rsidRPr="002B669A" w:rsidRDefault="000F7F69" w:rsidP="002B669A">
            <w:pPr>
              <w:pStyle w:val="TableTextLeft"/>
              <w:cnfStyle w:val="000000000000" w:firstRow="0" w:lastRow="0" w:firstColumn="0" w:lastColumn="0" w:oddVBand="0" w:evenVBand="0" w:oddHBand="0" w:evenHBand="0" w:firstRowFirstColumn="0" w:firstRowLastColumn="0" w:lastRowFirstColumn="0" w:lastRowLastColumn="0"/>
            </w:pPr>
            <w:r>
              <w:t>Consultation on exposure draft of the regulations</w:t>
            </w:r>
            <w:r w:rsidR="00E672E8">
              <w:t xml:space="preserve"> </w:t>
            </w:r>
          </w:p>
        </w:tc>
        <w:tc>
          <w:tcPr>
            <w:tcW w:w="1246" w:type="dxa"/>
            <w:tcBorders>
              <w:top w:val="single" w:sz="4" w:space="0" w:color="BCE4CF"/>
              <w:bottom w:val="single" w:sz="4" w:space="0" w:color="BCE4CF"/>
            </w:tcBorders>
            <w:shd w:val="clear" w:color="auto" w:fill="ECF7F1"/>
          </w:tcPr>
          <w:p w14:paraId="76299D66" w14:textId="77777777" w:rsidR="000F7F69" w:rsidRPr="00BE3D1F" w:rsidRDefault="000F7F69" w:rsidP="000F7F69">
            <w:pPr>
              <w:pStyle w:val="TableTextLeft"/>
              <w:cnfStyle w:val="000000000000" w:firstRow="0" w:lastRow="0" w:firstColumn="0" w:lastColumn="0" w:oddVBand="0" w:evenVBand="0" w:oddHBand="0" w:evenHBand="0" w:firstRowFirstColumn="0" w:firstRowLastColumn="0" w:lastRowFirstColumn="0" w:lastRowLastColumn="0"/>
              <w:rPr>
                <w:rFonts w:cs="Calibri Light"/>
              </w:rPr>
            </w:pPr>
          </w:p>
        </w:tc>
        <w:tc>
          <w:tcPr>
            <w:tcW w:w="1246" w:type="dxa"/>
            <w:tcBorders>
              <w:top w:val="single" w:sz="4" w:space="0" w:color="BCE4CF"/>
              <w:bottom w:val="single" w:sz="4" w:space="0" w:color="BCE4CF"/>
            </w:tcBorders>
            <w:shd w:val="clear" w:color="auto" w:fill="ECF7F1"/>
          </w:tcPr>
          <w:p w14:paraId="3588588D" w14:textId="77777777" w:rsidR="000F7F69" w:rsidRPr="00A56D83" w:rsidRDefault="000F7F69" w:rsidP="000F7F69">
            <w:pPr>
              <w:pStyle w:val="TableTextLeft"/>
              <w:cnfStyle w:val="000000000000" w:firstRow="0" w:lastRow="0" w:firstColumn="0" w:lastColumn="0" w:oddVBand="0" w:evenVBand="0" w:oddHBand="0" w:evenHBand="0" w:firstRowFirstColumn="0" w:firstRowLastColumn="0" w:lastRowFirstColumn="0" w:lastRowLastColumn="0"/>
            </w:pPr>
          </w:p>
        </w:tc>
        <w:tc>
          <w:tcPr>
            <w:tcW w:w="1247" w:type="dxa"/>
            <w:tcBorders>
              <w:top w:val="single" w:sz="4" w:space="0" w:color="BCE4CF"/>
              <w:bottom w:val="single" w:sz="4" w:space="0" w:color="BCE4CF"/>
            </w:tcBorders>
            <w:shd w:val="clear" w:color="auto" w:fill="ECF7F1"/>
          </w:tcPr>
          <w:p w14:paraId="4AB9F4DC" w14:textId="77777777" w:rsidR="000F7F69" w:rsidRPr="00A56D83" w:rsidRDefault="000F7F69" w:rsidP="000F7F69">
            <w:pPr>
              <w:pStyle w:val="TableTextLeft"/>
              <w:cnfStyle w:val="000000000000" w:firstRow="0" w:lastRow="0" w:firstColumn="0" w:lastColumn="0" w:oddVBand="0" w:evenVBand="0" w:oddHBand="0" w:evenHBand="0" w:firstRowFirstColumn="0" w:firstRowLastColumn="0" w:lastRowFirstColumn="0" w:lastRowLastColumn="0"/>
            </w:pPr>
          </w:p>
        </w:tc>
        <w:tc>
          <w:tcPr>
            <w:tcW w:w="1246" w:type="dxa"/>
            <w:tcBorders>
              <w:top w:val="single" w:sz="4" w:space="0" w:color="BCE4CF"/>
              <w:bottom w:val="single" w:sz="4" w:space="0" w:color="BCE4CF"/>
            </w:tcBorders>
            <w:shd w:val="clear" w:color="auto" w:fill="F5FBF8"/>
          </w:tcPr>
          <w:p w14:paraId="5AF37B61" w14:textId="77777777" w:rsidR="000F7F69" w:rsidRPr="00D813A6" w:rsidRDefault="000F7F69" w:rsidP="000F7F69">
            <w:pPr>
              <w:pStyle w:val="TableTextLeft"/>
              <w:cnfStyle w:val="000000000000" w:firstRow="0" w:lastRow="0" w:firstColumn="0" w:lastColumn="0" w:oddVBand="0" w:evenVBand="0" w:oddHBand="0" w:evenHBand="0" w:firstRowFirstColumn="0" w:firstRowLastColumn="0" w:lastRowFirstColumn="0" w:lastRowLastColumn="0"/>
            </w:pPr>
          </w:p>
        </w:tc>
        <w:tc>
          <w:tcPr>
            <w:tcW w:w="1247" w:type="dxa"/>
            <w:tcBorders>
              <w:top w:val="single" w:sz="4" w:space="0" w:color="BCE4CF"/>
              <w:bottom w:val="single" w:sz="4" w:space="0" w:color="BCE4CF"/>
            </w:tcBorders>
            <w:shd w:val="clear" w:color="auto" w:fill="F5FBF8"/>
          </w:tcPr>
          <w:p w14:paraId="49D121D0" w14:textId="77777777" w:rsidR="000F7F69" w:rsidRPr="00AF43B7" w:rsidRDefault="000F7F69" w:rsidP="000F7F69">
            <w:pPr>
              <w:pStyle w:val="TableTextLeft"/>
              <w:cnfStyle w:val="000000000000" w:firstRow="0" w:lastRow="0" w:firstColumn="0" w:lastColumn="0" w:oddVBand="0" w:evenVBand="0" w:oddHBand="0" w:evenHBand="0" w:firstRowFirstColumn="0" w:firstRowLastColumn="0" w:lastRowFirstColumn="0" w:lastRowLastColumn="0"/>
              <w:rPr>
                <w:sz w:val="14"/>
                <w:szCs w:val="14"/>
              </w:rPr>
            </w:pPr>
          </w:p>
        </w:tc>
      </w:tr>
      <w:tr w:rsidR="000F7F69" w:rsidRPr="00AF43B7" w14:paraId="07596CAD" w14:textId="77777777" w:rsidTr="1E3961DD">
        <w:trPr>
          <w:cantSplit/>
          <w:trHeight w:val="410"/>
        </w:trPr>
        <w:tc>
          <w:tcPr>
            <w:cnfStyle w:val="001000000000" w:firstRow="0" w:lastRow="0" w:firstColumn="1" w:lastColumn="0" w:oddVBand="0" w:evenVBand="0" w:oddHBand="0" w:evenHBand="0" w:firstRowFirstColumn="0" w:firstRowLastColumn="0" w:lastRowFirstColumn="0" w:lastRowLastColumn="0"/>
            <w:tcW w:w="834" w:type="dxa"/>
            <w:tcBorders>
              <w:top w:val="single" w:sz="4" w:space="0" w:color="BCE4CF"/>
              <w:bottom w:val="single" w:sz="4" w:space="0" w:color="BCE4CF"/>
            </w:tcBorders>
          </w:tcPr>
          <w:p w14:paraId="4461DA9C" w14:textId="77777777" w:rsidR="000F7F69" w:rsidRPr="00AD71F3" w:rsidRDefault="000F7F69" w:rsidP="00097CAA">
            <w:pPr>
              <w:pStyle w:val="TableLeadAgency"/>
              <w:rPr>
                <w:b/>
                <w:bCs/>
              </w:rPr>
            </w:pPr>
            <w:r w:rsidRPr="00AD71F3">
              <w:rPr>
                <w:b/>
                <w:bCs/>
              </w:rPr>
              <w:t>TSY</w:t>
            </w:r>
          </w:p>
          <w:p w14:paraId="39F0D77B" w14:textId="079D3C6F" w:rsidR="000F7F69" w:rsidRPr="00AD71F3" w:rsidRDefault="000F7F69" w:rsidP="00097CAA">
            <w:pPr>
              <w:pStyle w:val="TableSecondaryAgency"/>
              <w:rPr>
                <w:b w:val="0"/>
                <w:bCs/>
              </w:rPr>
            </w:pPr>
            <w:r w:rsidRPr="00AD71F3">
              <w:rPr>
                <w:b w:val="0"/>
                <w:bCs/>
              </w:rPr>
              <w:t>RBA</w:t>
            </w:r>
          </w:p>
        </w:tc>
        <w:tc>
          <w:tcPr>
            <w:tcW w:w="1222" w:type="dxa"/>
            <w:tcBorders>
              <w:top w:val="single" w:sz="4" w:space="0" w:color="BCE4CF"/>
              <w:bottom w:val="single" w:sz="4" w:space="0" w:color="BCE4CF"/>
            </w:tcBorders>
          </w:tcPr>
          <w:p w14:paraId="678753C9" w14:textId="04E53A87" w:rsidR="000F7F69" w:rsidRPr="00B70D9E" w:rsidRDefault="000F7F69" w:rsidP="00301F93">
            <w:pPr>
              <w:pStyle w:val="TableTextLeft"/>
              <w:cnfStyle w:val="000000000000" w:firstRow="0" w:lastRow="0" w:firstColumn="0" w:lastColumn="0" w:oddVBand="0" w:evenVBand="0" w:oddHBand="0" w:evenHBand="0" w:firstRowFirstColumn="0" w:firstRowLastColumn="0" w:lastRowFirstColumn="0" w:lastRowLastColumn="0"/>
            </w:pPr>
            <w:r w:rsidRPr="00B70D9E">
              <w:t xml:space="preserve">Payment </w:t>
            </w:r>
            <w:r w:rsidRPr="00301F93">
              <w:t>services</w:t>
            </w:r>
            <w:r w:rsidRPr="00B70D9E">
              <w:t xml:space="preserve"> and digital assets</w:t>
            </w:r>
          </w:p>
        </w:tc>
        <w:tc>
          <w:tcPr>
            <w:tcW w:w="4468" w:type="dxa"/>
            <w:tcBorders>
              <w:top w:val="single" w:sz="4" w:space="0" w:color="BCE4CF"/>
              <w:bottom w:val="single" w:sz="4" w:space="0" w:color="BCE4CF"/>
            </w:tcBorders>
          </w:tcPr>
          <w:p w14:paraId="2AD3B072" w14:textId="679FC236" w:rsidR="000F7F69" w:rsidRPr="00EF51B0" w:rsidRDefault="001D4D7F" w:rsidP="000F7F69">
            <w:pPr>
              <w:pStyle w:val="TableLink"/>
              <w:cnfStyle w:val="000000000000" w:firstRow="0" w:lastRow="0" w:firstColumn="0" w:lastColumn="0" w:oddVBand="0" w:evenVBand="0" w:oddHBand="0" w:evenHBand="0" w:firstRowFirstColumn="0" w:firstRowLastColumn="0" w:lastRowFirstColumn="0" w:lastRowLastColumn="0"/>
              <w:rPr>
                <w:b w:val="0"/>
                <w:u w:val="single"/>
              </w:rPr>
            </w:pPr>
            <w:hyperlink r:id="rId71" w:history="1">
              <w:r w:rsidR="000F7F69" w:rsidRPr="00EF51B0">
                <w:rPr>
                  <w:rStyle w:val="Hyperlink"/>
                  <w:b/>
                  <w:u w:val="single"/>
                </w:rPr>
                <w:t>Reducing card surcharges for Australians and small businesses</w:t>
              </w:r>
            </w:hyperlink>
          </w:p>
          <w:p w14:paraId="443A986D" w14:textId="7F59EABA" w:rsidR="000F7F69" w:rsidRPr="005E09C4" w:rsidRDefault="000F7F69" w:rsidP="00301F93">
            <w:pPr>
              <w:pStyle w:val="TableTextLeft"/>
              <w:cnfStyle w:val="000000000000" w:firstRow="0" w:lastRow="0" w:firstColumn="0" w:lastColumn="0" w:oddVBand="0" w:evenVBand="0" w:oddHBand="0" w:evenHBand="0" w:firstRowFirstColumn="0" w:firstRowLastColumn="0" w:lastRowFirstColumn="0" w:lastRowLastColumn="0"/>
            </w:pPr>
            <w:r w:rsidRPr="005E09C4">
              <w:t>The Government announced in October</w:t>
            </w:r>
            <w:r w:rsidR="002B669A">
              <w:t> </w:t>
            </w:r>
            <w:r w:rsidRPr="005E09C4">
              <w:t>2024 that it is prepared to ban debit card surcharges from 1</w:t>
            </w:r>
            <w:r w:rsidR="002B669A">
              <w:t> </w:t>
            </w:r>
            <w:r w:rsidRPr="005E09C4">
              <w:t>January</w:t>
            </w:r>
            <w:r w:rsidR="002B669A">
              <w:t> </w:t>
            </w:r>
            <w:r w:rsidRPr="005E09C4">
              <w:t>2026, subject to phase</w:t>
            </w:r>
            <w:r w:rsidR="002B669A">
              <w:t> </w:t>
            </w:r>
            <w:r w:rsidRPr="005E09C4">
              <w:t>1 of the</w:t>
            </w:r>
            <w:r>
              <w:t xml:space="preserve"> </w:t>
            </w:r>
            <w:r w:rsidRPr="005E09C4">
              <w:t>RBA review of retail payments regulation – merchant card payment costs and surcharging.</w:t>
            </w:r>
          </w:p>
          <w:p w14:paraId="4DA63882" w14:textId="08705FD9" w:rsidR="000F7F69" w:rsidRPr="00872792" w:rsidRDefault="000F7F69" w:rsidP="00D80718">
            <w:pPr>
              <w:pStyle w:val="TableTextLeft"/>
              <w:cnfStyle w:val="000000000000" w:firstRow="0" w:lastRow="0" w:firstColumn="0" w:lastColumn="0" w:oddVBand="0" w:evenVBand="0" w:oddHBand="0" w:evenHBand="0" w:firstRowFirstColumn="0" w:firstRowLastColumn="0" w:lastRowFirstColumn="0" w:lastRowLastColumn="0"/>
              <w:rPr>
                <w:b/>
              </w:rPr>
            </w:pPr>
            <w:r w:rsidRPr="005E09C4">
              <w:t>The timing of future activities under this initiative will be informed by the RBA review. The ban could require new legislation if not effected by the RBA in the existing framework.</w:t>
            </w:r>
          </w:p>
        </w:tc>
        <w:tc>
          <w:tcPr>
            <w:tcW w:w="1246" w:type="dxa"/>
            <w:tcBorders>
              <w:top w:val="single" w:sz="4" w:space="0" w:color="BCE4CF"/>
              <w:bottom w:val="single" w:sz="4" w:space="0" w:color="BCE4CF"/>
            </w:tcBorders>
            <w:shd w:val="clear" w:color="auto" w:fill="ECF7F1"/>
          </w:tcPr>
          <w:p w14:paraId="7CD2C20B" w14:textId="77777777" w:rsidR="000F7F69" w:rsidRDefault="000F7F69" w:rsidP="000F7F69">
            <w:pPr>
              <w:pStyle w:val="TableTextLeft"/>
              <w:cnfStyle w:val="000000000000" w:firstRow="0" w:lastRow="0" w:firstColumn="0" w:lastColumn="0" w:oddVBand="0" w:evenVBand="0" w:oddHBand="0" w:evenHBand="0" w:firstRowFirstColumn="0" w:firstRowLastColumn="0" w:lastRowFirstColumn="0" w:lastRowLastColumn="0"/>
            </w:pPr>
          </w:p>
        </w:tc>
        <w:tc>
          <w:tcPr>
            <w:tcW w:w="1246" w:type="dxa"/>
            <w:tcBorders>
              <w:top w:val="single" w:sz="4" w:space="0" w:color="BCE4CF"/>
              <w:bottom w:val="single" w:sz="4" w:space="0" w:color="BCE4CF"/>
            </w:tcBorders>
            <w:shd w:val="clear" w:color="auto" w:fill="ECF7F1"/>
          </w:tcPr>
          <w:p w14:paraId="3C6B12A3" w14:textId="77777777" w:rsidR="000F7F69" w:rsidRPr="00BE3D1F" w:rsidRDefault="000F7F69" w:rsidP="000F7F69">
            <w:pPr>
              <w:pStyle w:val="TableTextLeft"/>
              <w:cnfStyle w:val="000000000000" w:firstRow="0" w:lastRow="0" w:firstColumn="0" w:lastColumn="0" w:oddVBand="0" w:evenVBand="0" w:oddHBand="0" w:evenHBand="0" w:firstRowFirstColumn="0" w:firstRowLastColumn="0" w:lastRowFirstColumn="0" w:lastRowLastColumn="0"/>
              <w:rPr>
                <w:rFonts w:cs="Calibri Light"/>
              </w:rPr>
            </w:pPr>
          </w:p>
        </w:tc>
        <w:tc>
          <w:tcPr>
            <w:tcW w:w="1246" w:type="dxa"/>
            <w:tcBorders>
              <w:top w:val="single" w:sz="4" w:space="0" w:color="BCE4CF"/>
              <w:bottom w:val="single" w:sz="4" w:space="0" w:color="BCE4CF"/>
            </w:tcBorders>
            <w:shd w:val="clear" w:color="auto" w:fill="ECF7F1"/>
          </w:tcPr>
          <w:p w14:paraId="72B6CDC1" w14:textId="77777777" w:rsidR="000F7F69" w:rsidRPr="00A56D83" w:rsidRDefault="000F7F69" w:rsidP="000F7F69">
            <w:pPr>
              <w:pStyle w:val="TableTextLeft"/>
              <w:cnfStyle w:val="000000000000" w:firstRow="0" w:lastRow="0" w:firstColumn="0" w:lastColumn="0" w:oddVBand="0" w:evenVBand="0" w:oddHBand="0" w:evenHBand="0" w:firstRowFirstColumn="0" w:firstRowLastColumn="0" w:lastRowFirstColumn="0" w:lastRowLastColumn="0"/>
            </w:pPr>
          </w:p>
        </w:tc>
        <w:tc>
          <w:tcPr>
            <w:tcW w:w="1247" w:type="dxa"/>
            <w:tcBorders>
              <w:top w:val="single" w:sz="4" w:space="0" w:color="BCE4CF"/>
              <w:bottom w:val="single" w:sz="4" w:space="0" w:color="BCE4CF"/>
            </w:tcBorders>
            <w:shd w:val="clear" w:color="auto" w:fill="ECF7F1"/>
          </w:tcPr>
          <w:p w14:paraId="6A005D72" w14:textId="77777777" w:rsidR="000F7F69" w:rsidRPr="00A56D83" w:rsidRDefault="000F7F69" w:rsidP="000F7F69">
            <w:pPr>
              <w:pStyle w:val="TableTextLeft"/>
              <w:cnfStyle w:val="000000000000" w:firstRow="0" w:lastRow="0" w:firstColumn="0" w:lastColumn="0" w:oddVBand="0" w:evenVBand="0" w:oddHBand="0" w:evenHBand="0" w:firstRowFirstColumn="0" w:firstRowLastColumn="0" w:lastRowFirstColumn="0" w:lastRowLastColumn="0"/>
            </w:pPr>
          </w:p>
        </w:tc>
        <w:tc>
          <w:tcPr>
            <w:tcW w:w="1246" w:type="dxa"/>
            <w:tcBorders>
              <w:top w:val="single" w:sz="4" w:space="0" w:color="BCE4CF"/>
              <w:bottom w:val="single" w:sz="4" w:space="0" w:color="BCE4CF"/>
            </w:tcBorders>
            <w:shd w:val="clear" w:color="auto" w:fill="F5FBF8"/>
          </w:tcPr>
          <w:p w14:paraId="2B0DD3D4" w14:textId="58C3928E" w:rsidR="000F7F69" w:rsidRPr="00D813A6" w:rsidRDefault="000F7F69" w:rsidP="000F7F69">
            <w:pPr>
              <w:pStyle w:val="TableTextLeft"/>
              <w:cnfStyle w:val="000000000000" w:firstRow="0" w:lastRow="0" w:firstColumn="0" w:lastColumn="0" w:oddVBand="0" w:evenVBand="0" w:oddHBand="0" w:evenHBand="0" w:firstRowFirstColumn="0" w:firstRowLastColumn="0" w:lastRowFirstColumn="0" w:lastRowLastColumn="0"/>
            </w:pPr>
            <w:r>
              <w:t>If legislated, the ban on debit card surcharging would apply from 1</w:t>
            </w:r>
            <w:r w:rsidR="00AA23F5">
              <w:t> </w:t>
            </w:r>
            <w:r>
              <w:t>January</w:t>
            </w:r>
            <w:r w:rsidR="00AA23F5">
              <w:t> </w:t>
            </w:r>
            <w:r>
              <w:t>2026</w:t>
            </w:r>
          </w:p>
        </w:tc>
        <w:tc>
          <w:tcPr>
            <w:tcW w:w="1247" w:type="dxa"/>
            <w:tcBorders>
              <w:top w:val="single" w:sz="4" w:space="0" w:color="BCE4CF"/>
              <w:bottom w:val="single" w:sz="4" w:space="0" w:color="BCE4CF"/>
            </w:tcBorders>
            <w:shd w:val="clear" w:color="auto" w:fill="F5FBF8"/>
          </w:tcPr>
          <w:p w14:paraId="4C8437B1" w14:textId="77777777" w:rsidR="000F7F69" w:rsidRPr="00AF43B7" w:rsidRDefault="000F7F69" w:rsidP="000F7F69">
            <w:pPr>
              <w:pStyle w:val="TableTextLeft"/>
              <w:cnfStyle w:val="000000000000" w:firstRow="0" w:lastRow="0" w:firstColumn="0" w:lastColumn="0" w:oddVBand="0" w:evenVBand="0" w:oddHBand="0" w:evenHBand="0" w:firstRowFirstColumn="0" w:firstRowLastColumn="0" w:lastRowFirstColumn="0" w:lastRowLastColumn="0"/>
              <w:rPr>
                <w:sz w:val="14"/>
                <w:szCs w:val="14"/>
              </w:rPr>
            </w:pPr>
          </w:p>
        </w:tc>
      </w:tr>
      <w:tr w:rsidR="00086B15" w:rsidRPr="00AF43B7" w14:paraId="6D64D458" w14:textId="77777777" w:rsidTr="1E3961DD">
        <w:trPr>
          <w:cantSplit/>
          <w:trHeight w:val="410"/>
        </w:trPr>
        <w:tc>
          <w:tcPr>
            <w:cnfStyle w:val="001000000000" w:firstRow="0" w:lastRow="0" w:firstColumn="1" w:lastColumn="0" w:oddVBand="0" w:evenVBand="0" w:oddHBand="0" w:evenHBand="0" w:firstRowFirstColumn="0" w:firstRowLastColumn="0" w:lastRowFirstColumn="0" w:lastRowLastColumn="0"/>
            <w:tcW w:w="834" w:type="dxa"/>
            <w:tcBorders>
              <w:top w:val="single" w:sz="4" w:space="0" w:color="BCE4CF"/>
              <w:bottom w:val="single" w:sz="4" w:space="0" w:color="BCE4CF"/>
            </w:tcBorders>
          </w:tcPr>
          <w:p w14:paraId="0CB93393" w14:textId="77777777" w:rsidR="00086B15" w:rsidRPr="00AD71F3" w:rsidRDefault="00086B15" w:rsidP="00097CAA">
            <w:pPr>
              <w:pStyle w:val="TableLeadAgency"/>
              <w:rPr>
                <w:b/>
                <w:bCs/>
              </w:rPr>
            </w:pPr>
            <w:r w:rsidRPr="00AD71F3">
              <w:rPr>
                <w:b/>
                <w:bCs/>
              </w:rPr>
              <w:t xml:space="preserve">TSY </w:t>
            </w:r>
          </w:p>
          <w:p w14:paraId="37FC5330" w14:textId="77777777" w:rsidR="00086B15" w:rsidRPr="00AD71F3" w:rsidRDefault="00086B15" w:rsidP="00097CAA">
            <w:pPr>
              <w:pStyle w:val="TableSecondaryAgency"/>
              <w:rPr>
                <w:b w:val="0"/>
                <w:bCs/>
              </w:rPr>
            </w:pPr>
            <w:r w:rsidRPr="00AD71F3">
              <w:rPr>
                <w:b w:val="0"/>
                <w:bCs/>
              </w:rPr>
              <w:t xml:space="preserve">ATO </w:t>
            </w:r>
          </w:p>
          <w:p w14:paraId="27BD7A0E" w14:textId="66102889" w:rsidR="00086B15" w:rsidRPr="009C4097" w:rsidRDefault="00086B15" w:rsidP="00097CAA">
            <w:pPr>
              <w:pStyle w:val="TableSecondaryAgency"/>
            </w:pPr>
            <w:r w:rsidRPr="00AD71F3">
              <w:rPr>
                <w:b w:val="0"/>
                <w:bCs/>
              </w:rPr>
              <w:t>AGD</w:t>
            </w:r>
          </w:p>
        </w:tc>
        <w:tc>
          <w:tcPr>
            <w:tcW w:w="1222" w:type="dxa"/>
            <w:tcBorders>
              <w:top w:val="single" w:sz="4" w:space="0" w:color="BCE4CF"/>
              <w:bottom w:val="single" w:sz="4" w:space="0" w:color="BCE4CF"/>
            </w:tcBorders>
          </w:tcPr>
          <w:p w14:paraId="2B00205D" w14:textId="14EFF048" w:rsidR="00086B15" w:rsidRPr="00301F93" w:rsidRDefault="00086B15" w:rsidP="00301F93">
            <w:pPr>
              <w:pStyle w:val="TableTextLeft"/>
              <w:cnfStyle w:val="000000000000" w:firstRow="0" w:lastRow="0" w:firstColumn="0" w:lastColumn="0" w:oddVBand="0" w:evenVBand="0" w:oddHBand="0" w:evenHBand="0" w:firstRowFirstColumn="0" w:firstRowLastColumn="0" w:lastRowFirstColumn="0" w:lastRowLastColumn="0"/>
            </w:pPr>
            <w:r w:rsidRPr="00301F93">
              <w:t>Superannuation and retirement income</w:t>
            </w:r>
          </w:p>
        </w:tc>
        <w:tc>
          <w:tcPr>
            <w:tcW w:w="4468" w:type="dxa"/>
            <w:tcBorders>
              <w:top w:val="single" w:sz="4" w:space="0" w:color="BCE4CF"/>
              <w:bottom w:val="single" w:sz="4" w:space="0" w:color="BCE4CF"/>
            </w:tcBorders>
          </w:tcPr>
          <w:p w14:paraId="1389F4A1" w14:textId="6FAE01E0" w:rsidR="00086B15" w:rsidRPr="000A4B96" w:rsidRDefault="001D4D7F" w:rsidP="00086B15">
            <w:pPr>
              <w:pStyle w:val="TableLink"/>
              <w:cnfStyle w:val="000000000000" w:firstRow="0" w:lastRow="0" w:firstColumn="0" w:lastColumn="0" w:oddVBand="0" w:evenVBand="0" w:oddHBand="0" w:evenHBand="0" w:firstRowFirstColumn="0" w:firstRowLastColumn="0" w:lastRowFirstColumn="0" w:lastRowLastColumn="0"/>
              <w:rPr>
                <w:b w:val="0"/>
                <w:bCs/>
                <w:u w:val="single"/>
              </w:rPr>
            </w:pPr>
            <w:hyperlink r:id="rId72" w:history="1">
              <w:r w:rsidR="00086B15" w:rsidRPr="000A4B96">
                <w:rPr>
                  <w:rStyle w:val="Hyperlink"/>
                  <w:b/>
                  <w:bCs/>
                  <w:u w:val="single"/>
                </w:rPr>
                <w:t>Access to offenders</w:t>
              </w:r>
              <w:r w:rsidR="0008745D">
                <w:rPr>
                  <w:rStyle w:val="Hyperlink"/>
                  <w:b/>
                  <w:bCs/>
                  <w:u w:val="single"/>
                </w:rPr>
                <w:t>’</w:t>
              </w:r>
              <w:r w:rsidR="00086B15" w:rsidRPr="000A4B96">
                <w:rPr>
                  <w:rStyle w:val="Hyperlink"/>
                  <w:b/>
                  <w:bCs/>
                  <w:u w:val="single"/>
                </w:rPr>
                <w:t xml:space="preserve"> superannuation</w:t>
              </w:r>
            </w:hyperlink>
          </w:p>
          <w:p w14:paraId="359DB847" w14:textId="384E7A69" w:rsidR="00950F9C" w:rsidRDefault="00086B15" w:rsidP="00301F93">
            <w:pPr>
              <w:pStyle w:val="TableTextLeft"/>
              <w:cnfStyle w:val="000000000000" w:firstRow="0" w:lastRow="0" w:firstColumn="0" w:lastColumn="0" w:oddVBand="0" w:evenVBand="0" w:oddHBand="0" w:evenHBand="0" w:firstRowFirstColumn="0" w:firstRowLastColumn="0" w:lastRowFirstColumn="0" w:lastRowLastColumn="0"/>
            </w:pPr>
            <w:r>
              <w:t>The Government will develop legislation to p</w:t>
            </w:r>
            <w:r w:rsidRPr="00F534FF">
              <w:t>revent child sexual abuse offenders from shielding their assets in superannuation to avoid court</w:t>
            </w:r>
            <w:r w:rsidR="0008745D">
              <w:noBreakHyphen/>
            </w:r>
            <w:r w:rsidRPr="00F534FF">
              <w:t>ordered compensation for victims and survivors.</w:t>
            </w:r>
            <w:r>
              <w:t xml:space="preserve"> V</w:t>
            </w:r>
            <w:r w:rsidRPr="00D660D2">
              <w:t xml:space="preserve">ictims and survivors of child sexual abuse </w:t>
            </w:r>
            <w:r>
              <w:t xml:space="preserve">would be able </w:t>
            </w:r>
            <w:r w:rsidRPr="00D660D2">
              <w:t>to seek access, via a court order, to additional personal or salary sacrifice superannuation contributions made by the offender after the first offence occurred where a related court order for compensation remains unpaid after 12</w:t>
            </w:r>
            <w:r w:rsidR="001F25B9">
              <w:t> </w:t>
            </w:r>
            <w:r w:rsidRPr="00D660D2">
              <w:t>months. Applications to identify any potential eligible superannuation would be facilitated by the A</w:t>
            </w:r>
            <w:r>
              <w:t>TO</w:t>
            </w:r>
            <w:r w:rsidRPr="00D660D2">
              <w:t>.</w:t>
            </w:r>
          </w:p>
          <w:p w14:paraId="3EE648E2" w14:textId="00BC7262" w:rsidR="00086B15" w:rsidRPr="00FE0172" w:rsidRDefault="00086B15" w:rsidP="00FE0172">
            <w:pPr>
              <w:pStyle w:val="TableTextLeft"/>
              <w:cnfStyle w:val="000000000000" w:firstRow="0" w:lastRow="0" w:firstColumn="0" w:lastColumn="0" w:oddVBand="0" w:evenVBand="0" w:oddHBand="0" w:evenHBand="0" w:firstRowFirstColumn="0" w:firstRowLastColumn="0" w:lastRowFirstColumn="0" w:lastRowLastColumn="0"/>
            </w:pPr>
            <w:r w:rsidRPr="00F534FF">
              <w:t>Legislation is to be developed in due course</w:t>
            </w:r>
            <w:r w:rsidRPr="0080794F">
              <w:t>.</w:t>
            </w:r>
            <w:r w:rsidRPr="001E382B">
              <w:rPr>
                <w:rFonts w:cs="Calibri Light"/>
                <w:b/>
                <w:color w:val="00B050"/>
                <w:szCs w:val="16"/>
                <w:lang w:val="en-AU"/>
              </w:rPr>
              <w:t xml:space="preserve"> </w:t>
            </w:r>
          </w:p>
        </w:tc>
        <w:tc>
          <w:tcPr>
            <w:tcW w:w="1246" w:type="dxa"/>
            <w:tcBorders>
              <w:top w:val="single" w:sz="4" w:space="0" w:color="BCE4CF"/>
              <w:bottom w:val="single" w:sz="4" w:space="0" w:color="BCE4CF"/>
            </w:tcBorders>
            <w:shd w:val="clear" w:color="auto" w:fill="ECF7F1"/>
          </w:tcPr>
          <w:p w14:paraId="2386C950" w14:textId="77777777" w:rsidR="00086B15" w:rsidRPr="00285C8A" w:rsidRDefault="00086B15" w:rsidP="00086B15">
            <w:pPr>
              <w:pStyle w:val="TableTextLeft"/>
              <w:cnfStyle w:val="000000000000" w:firstRow="0" w:lastRow="0" w:firstColumn="0" w:lastColumn="0" w:oddVBand="0" w:evenVBand="0" w:oddHBand="0" w:evenHBand="0" w:firstRowFirstColumn="0" w:firstRowLastColumn="0" w:lastRowFirstColumn="0" w:lastRowLastColumn="0"/>
            </w:pPr>
          </w:p>
        </w:tc>
        <w:tc>
          <w:tcPr>
            <w:tcW w:w="1246" w:type="dxa"/>
            <w:tcBorders>
              <w:top w:val="single" w:sz="4" w:space="0" w:color="BCE4CF"/>
              <w:bottom w:val="single" w:sz="4" w:space="0" w:color="BCE4CF"/>
            </w:tcBorders>
            <w:shd w:val="clear" w:color="auto" w:fill="ECF7F1"/>
          </w:tcPr>
          <w:p w14:paraId="04E5D948" w14:textId="77777777" w:rsidR="00086B15" w:rsidRPr="00BE3D1F" w:rsidRDefault="00086B15" w:rsidP="00086B15">
            <w:pPr>
              <w:pStyle w:val="TableTextLeft"/>
              <w:cnfStyle w:val="000000000000" w:firstRow="0" w:lastRow="0" w:firstColumn="0" w:lastColumn="0" w:oddVBand="0" w:evenVBand="0" w:oddHBand="0" w:evenHBand="0" w:firstRowFirstColumn="0" w:firstRowLastColumn="0" w:lastRowFirstColumn="0" w:lastRowLastColumn="0"/>
              <w:rPr>
                <w:rFonts w:cs="Calibri Light"/>
              </w:rPr>
            </w:pPr>
          </w:p>
        </w:tc>
        <w:tc>
          <w:tcPr>
            <w:tcW w:w="1246" w:type="dxa"/>
            <w:tcBorders>
              <w:top w:val="single" w:sz="4" w:space="0" w:color="BCE4CF"/>
              <w:bottom w:val="single" w:sz="4" w:space="0" w:color="BCE4CF"/>
            </w:tcBorders>
            <w:shd w:val="clear" w:color="auto" w:fill="ECF7F1"/>
          </w:tcPr>
          <w:p w14:paraId="00CD631F" w14:textId="77777777" w:rsidR="00086B15" w:rsidRPr="00E776E1" w:rsidRDefault="00086B15" w:rsidP="00086B15">
            <w:pPr>
              <w:pStyle w:val="TableTextLeft"/>
              <w:cnfStyle w:val="000000000000" w:firstRow="0" w:lastRow="0" w:firstColumn="0" w:lastColumn="0" w:oddVBand="0" w:evenVBand="0" w:oddHBand="0" w:evenHBand="0" w:firstRowFirstColumn="0" w:firstRowLastColumn="0" w:lastRowFirstColumn="0" w:lastRowLastColumn="0"/>
            </w:pPr>
          </w:p>
        </w:tc>
        <w:tc>
          <w:tcPr>
            <w:tcW w:w="1247" w:type="dxa"/>
            <w:tcBorders>
              <w:top w:val="single" w:sz="4" w:space="0" w:color="BCE4CF"/>
              <w:bottom w:val="single" w:sz="4" w:space="0" w:color="BCE4CF"/>
            </w:tcBorders>
            <w:shd w:val="clear" w:color="auto" w:fill="ECF7F1"/>
          </w:tcPr>
          <w:p w14:paraId="62604612" w14:textId="77777777" w:rsidR="00086B15" w:rsidRPr="00A56D83" w:rsidRDefault="00086B15" w:rsidP="00086B15">
            <w:pPr>
              <w:pStyle w:val="TableTextLeft"/>
              <w:cnfStyle w:val="000000000000" w:firstRow="0" w:lastRow="0" w:firstColumn="0" w:lastColumn="0" w:oddVBand="0" w:evenVBand="0" w:oddHBand="0" w:evenHBand="0" w:firstRowFirstColumn="0" w:firstRowLastColumn="0" w:lastRowFirstColumn="0" w:lastRowLastColumn="0"/>
            </w:pPr>
          </w:p>
        </w:tc>
        <w:tc>
          <w:tcPr>
            <w:tcW w:w="1246" w:type="dxa"/>
            <w:tcBorders>
              <w:top w:val="single" w:sz="4" w:space="0" w:color="BCE4CF"/>
              <w:bottom w:val="single" w:sz="4" w:space="0" w:color="BCE4CF"/>
            </w:tcBorders>
            <w:shd w:val="clear" w:color="auto" w:fill="F5FBF8"/>
          </w:tcPr>
          <w:p w14:paraId="226D0805" w14:textId="77777777" w:rsidR="00086B15" w:rsidRPr="00D813A6" w:rsidRDefault="00086B15" w:rsidP="00086B15">
            <w:pPr>
              <w:pStyle w:val="TableTextLeft"/>
              <w:cnfStyle w:val="000000000000" w:firstRow="0" w:lastRow="0" w:firstColumn="0" w:lastColumn="0" w:oddVBand="0" w:evenVBand="0" w:oddHBand="0" w:evenHBand="0" w:firstRowFirstColumn="0" w:firstRowLastColumn="0" w:lastRowFirstColumn="0" w:lastRowLastColumn="0"/>
            </w:pPr>
          </w:p>
        </w:tc>
        <w:tc>
          <w:tcPr>
            <w:tcW w:w="1247" w:type="dxa"/>
            <w:tcBorders>
              <w:top w:val="single" w:sz="4" w:space="0" w:color="BCE4CF"/>
              <w:bottom w:val="single" w:sz="4" w:space="0" w:color="BCE4CF"/>
            </w:tcBorders>
            <w:shd w:val="clear" w:color="auto" w:fill="F5FBF8"/>
          </w:tcPr>
          <w:p w14:paraId="4BD960D6" w14:textId="77777777" w:rsidR="00086B15" w:rsidRPr="00402F48" w:rsidRDefault="00086B15" w:rsidP="00086B15">
            <w:pPr>
              <w:pStyle w:val="TableTextLeft"/>
              <w:cnfStyle w:val="000000000000" w:firstRow="0" w:lastRow="0" w:firstColumn="0" w:lastColumn="0" w:oddVBand="0" w:evenVBand="0" w:oddHBand="0" w:evenHBand="0" w:firstRowFirstColumn="0" w:firstRowLastColumn="0" w:lastRowFirstColumn="0" w:lastRowLastColumn="0"/>
              <w:rPr>
                <w:szCs w:val="16"/>
              </w:rPr>
            </w:pPr>
          </w:p>
        </w:tc>
      </w:tr>
      <w:tr w:rsidR="000F7F69" w:rsidRPr="00AF43B7" w14:paraId="59D8EC6D" w14:textId="77777777" w:rsidTr="1E3961DD">
        <w:trPr>
          <w:cantSplit/>
          <w:trHeight w:val="410"/>
        </w:trPr>
        <w:tc>
          <w:tcPr>
            <w:cnfStyle w:val="001000000000" w:firstRow="0" w:lastRow="0" w:firstColumn="1" w:lastColumn="0" w:oddVBand="0" w:evenVBand="0" w:oddHBand="0" w:evenHBand="0" w:firstRowFirstColumn="0" w:firstRowLastColumn="0" w:lastRowFirstColumn="0" w:lastRowLastColumn="0"/>
            <w:tcW w:w="834" w:type="dxa"/>
            <w:tcBorders>
              <w:top w:val="single" w:sz="4" w:space="0" w:color="BCE4CF"/>
              <w:bottom w:val="single" w:sz="4" w:space="0" w:color="BCE4CF"/>
            </w:tcBorders>
          </w:tcPr>
          <w:p w14:paraId="54B540D3" w14:textId="77777777" w:rsidR="000F7F69" w:rsidRPr="00AD71F3" w:rsidRDefault="000F7F69" w:rsidP="00097CAA">
            <w:pPr>
              <w:pStyle w:val="TableLeadAgency"/>
              <w:rPr>
                <w:b/>
                <w:bCs/>
              </w:rPr>
            </w:pPr>
            <w:r w:rsidRPr="00AD71F3">
              <w:rPr>
                <w:b/>
                <w:bCs/>
              </w:rPr>
              <w:lastRenderedPageBreak/>
              <w:t>DSS</w:t>
            </w:r>
          </w:p>
          <w:p w14:paraId="4884CB13" w14:textId="77777777" w:rsidR="000F7F69" w:rsidRPr="00AD71F3" w:rsidRDefault="000F7F69" w:rsidP="00097CAA">
            <w:pPr>
              <w:pStyle w:val="TableSecondaryAgency"/>
              <w:rPr>
                <w:b w:val="0"/>
                <w:bCs/>
              </w:rPr>
            </w:pPr>
            <w:r w:rsidRPr="00AD71F3">
              <w:rPr>
                <w:b w:val="0"/>
                <w:bCs/>
              </w:rPr>
              <w:t>ATO</w:t>
            </w:r>
          </w:p>
          <w:p w14:paraId="500C02E5" w14:textId="296F6B60" w:rsidR="000F7F69" w:rsidRPr="009C4097" w:rsidRDefault="000F7F69" w:rsidP="00097CAA">
            <w:pPr>
              <w:pStyle w:val="TableSecondaryAgency"/>
            </w:pPr>
            <w:r w:rsidRPr="00AD71F3">
              <w:rPr>
                <w:b w:val="0"/>
                <w:bCs/>
              </w:rPr>
              <w:t>TSY</w:t>
            </w:r>
          </w:p>
        </w:tc>
        <w:tc>
          <w:tcPr>
            <w:tcW w:w="1222" w:type="dxa"/>
            <w:tcBorders>
              <w:top w:val="single" w:sz="4" w:space="0" w:color="BCE4CF"/>
              <w:bottom w:val="single" w:sz="4" w:space="0" w:color="BCE4CF"/>
            </w:tcBorders>
          </w:tcPr>
          <w:p w14:paraId="77D7E2EE" w14:textId="327702B0" w:rsidR="000F7F69" w:rsidRPr="002E61D3" w:rsidRDefault="000F7F69" w:rsidP="00301F93">
            <w:pPr>
              <w:pStyle w:val="TableTextLeft"/>
              <w:cnfStyle w:val="000000000000" w:firstRow="0" w:lastRow="0" w:firstColumn="0" w:lastColumn="0" w:oddVBand="0" w:evenVBand="0" w:oddHBand="0" w:evenHBand="0" w:firstRowFirstColumn="0" w:firstRowLastColumn="0" w:lastRowFirstColumn="0" w:lastRowLastColumn="0"/>
            </w:pPr>
            <w:r w:rsidRPr="00F534FF">
              <w:t>Superannuation and retirement income</w:t>
            </w:r>
          </w:p>
        </w:tc>
        <w:tc>
          <w:tcPr>
            <w:tcW w:w="4468" w:type="dxa"/>
            <w:tcBorders>
              <w:top w:val="single" w:sz="4" w:space="0" w:color="BCE4CF"/>
              <w:bottom w:val="single" w:sz="4" w:space="0" w:color="BCE4CF"/>
            </w:tcBorders>
          </w:tcPr>
          <w:p w14:paraId="1AAEF85A" w14:textId="46669030" w:rsidR="000F7F69" w:rsidRPr="000A4B96" w:rsidRDefault="001D4D7F" w:rsidP="000F7F69">
            <w:pPr>
              <w:pStyle w:val="TableLink"/>
              <w:cnfStyle w:val="000000000000" w:firstRow="0" w:lastRow="0" w:firstColumn="0" w:lastColumn="0" w:oddVBand="0" w:evenVBand="0" w:oddHBand="0" w:evenHBand="0" w:firstRowFirstColumn="0" w:firstRowLastColumn="0" w:lastRowFirstColumn="0" w:lastRowLastColumn="0"/>
              <w:rPr>
                <w:rFonts w:cs="Calibri Light"/>
                <w:b w:val="0"/>
                <w:bCs/>
                <w:szCs w:val="16"/>
                <w:u w:val="single"/>
              </w:rPr>
            </w:pPr>
            <w:hyperlink r:id="rId73" w:history="1">
              <w:r w:rsidR="000F7F69" w:rsidRPr="000A4B96">
                <w:rPr>
                  <w:rStyle w:val="Hyperlink"/>
                  <w:rFonts w:cs="Calibri Light"/>
                  <w:b/>
                  <w:bCs/>
                  <w:szCs w:val="16"/>
                  <w:u w:val="single"/>
                </w:rPr>
                <w:t>Superannuation on Paid Parental Leave</w:t>
              </w:r>
            </w:hyperlink>
            <w:r w:rsidR="000F7F69">
              <w:rPr>
                <w:rStyle w:val="Hyperlink"/>
                <w:rFonts w:cs="Calibri Light"/>
                <w:b/>
                <w:bCs/>
                <w:szCs w:val="16"/>
                <w:u w:val="single"/>
              </w:rPr>
              <w:t xml:space="preserve"> </w:t>
            </w:r>
          </w:p>
          <w:p w14:paraId="67434FC4" w14:textId="5A04931B" w:rsidR="000F7F69" w:rsidRPr="00F534FF" w:rsidRDefault="000F7F69" w:rsidP="00301F93">
            <w:pPr>
              <w:pStyle w:val="TableTextLeft"/>
              <w:cnfStyle w:val="000000000000" w:firstRow="0" w:lastRow="0" w:firstColumn="0" w:lastColumn="0" w:oddVBand="0" w:evenVBand="0" w:oddHBand="0" w:evenHBand="0" w:firstRowFirstColumn="0" w:firstRowLastColumn="0" w:lastRowFirstColumn="0" w:lastRowLastColumn="0"/>
            </w:pPr>
            <w:r w:rsidRPr="00F534FF">
              <w:t>The Government will make Superannuation Guarantee</w:t>
            </w:r>
            <w:r w:rsidR="725B14A9" w:rsidRPr="00F534FF">
              <w:t xml:space="preserve"> </w:t>
            </w:r>
            <w:r w:rsidRPr="00F534FF">
              <w:t>equivalent payments to recipients of Commonwealth Government</w:t>
            </w:r>
            <w:r w:rsidR="2DDB27A9" w:rsidRPr="00F534FF">
              <w:t xml:space="preserve"> </w:t>
            </w:r>
            <w:r w:rsidRPr="00F534FF">
              <w:t xml:space="preserve">funded Paid Parental </w:t>
            </w:r>
            <w:r>
              <w:t>L</w:t>
            </w:r>
            <w:r w:rsidRPr="00F534FF">
              <w:t>eave, for parents of babies born or adopted on or after 1</w:t>
            </w:r>
            <w:r>
              <w:t> </w:t>
            </w:r>
            <w:r w:rsidRPr="00F534FF">
              <w:t>July</w:t>
            </w:r>
            <w:r>
              <w:t> </w:t>
            </w:r>
            <w:r w:rsidRPr="00F534FF">
              <w:t>2025. Payments will be made by the ATO directly to recipients</w:t>
            </w:r>
            <w:r w:rsidR="0008745D">
              <w:t>’</w:t>
            </w:r>
            <w:r w:rsidRPr="00F534FF">
              <w:t xml:space="preserve"> superannuation accounts annually, from 1</w:t>
            </w:r>
            <w:r>
              <w:t> </w:t>
            </w:r>
            <w:r w:rsidRPr="00F534FF">
              <w:t>July</w:t>
            </w:r>
            <w:r>
              <w:t> </w:t>
            </w:r>
            <w:r w:rsidRPr="00F534FF">
              <w:t>2026. Paying superannuation on P</w:t>
            </w:r>
            <w:r>
              <w:t xml:space="preserve">aid </w:t>
            </w:r>
            <w:r w:rsidRPr="00F534FF">
              <w:t>P</w:t>
            </w:r>
            <w:r>
              <w:t xml:space="preserve">arental </w:t>
            </w:r>
            <w:r w:rsidRPr="00F534FF">
              <w:t>L</w:t>
            </w:r>
            <w:r>
              <w:t>eave</w:t>
            </w:r>
            <w:r w:rsidRPr="00F534FF">
              <w:t xml:space="preserve"> </w:t>
            </w:r>
            <w:proofErr w:type="spellStart"/>
            <w:r w:rsidRPr="00F534FF">
              <w:t>recognises</w:t>
            </w:r>
            <w:proofErr w:type="spellEnd"/>
            <w:r w:rsidRPr="00F534FF">
              <w:t xml:space="preserve"> the important contribution parents make to society and is a key step towards reducing the retirement savings gap and improving the fairness of Australia</w:t>
            </w:r>
            <w:r w:rsidR="0008745D">
              <w:t>’</w:t>
            </w:r>
            <w:r w:rsidRPr="00F534FF">
              <w:t>s retirement income system.</w:t>
            </w:r>
          </w:p>
          <w:p w14:paraId="3029B933" w14:textId="34E6569E" w:rsidR="000F7F69" w:rsidRPr="00E1125C" w:rsidRDefault="000F7F69" w:rsidP="00E1125C">
            <w:pPr>
              <w:pStyle w:val="TableTextLeft"/>
              <w:cnfStyle w:val="000000000000" w:firstRow="0" w:lastRow="0" w:firstColumn="0" w:lastColumn="0" w:oddVBand="0" w:evenVBand="0" w:oddHBand="0" w:evenHBand="0" w:firstRowFirstColumn="0" w:firstRowLastColumn="0" w:lastRowFirstColumn="0" w:lastRowLastColumn="0"/>
            </w:pPr>
            <w:r w:rsidRPr="00F534FF">
              <w:t xml:space="preserve">The </w:t>
            </w:r>
            <w:r w:rsidRPr="00357120">
              <w:rPr>
                <w:i/>
                <w:iCs/>
              </w:rPr>
              <w:t xml:space="preserve">Paid Parental Leave Amendment (Adding Superannuation for a More Secure Retirement) </w:t>
            </w:r>
            <w:r w:rsidR="00A02A4B" w:rsidRPr="00357120">
              <w:rPr>
                <w:i/>
                <w:iCs/>
              </w:rPr>
              <w:t xml:space="preserve">Act </w:t>
            </w:r>
            <w:r w:rsidRPr="00357120">
              <w:rPr>
                <w:i/>
                <w:iCs/>
              </w:rPr>
              <w:t>2024</w:t>
            </w:r>
            <w:r w:rsidRPr="00F534FF">
              <w:t xml:space="preserve"> </w:t>
            </w:r>
            <w:r>
              <w:t>received Royal Assent on 1</w:t>
            </w:r>
            <w:r w:rsidR="00E60678">
              <w:t> </w:t>
            </w:r>
            <w:r>
              <w:t>October</w:t>
            </w:r>
            <w:r w:rsidRPr="00F534FF">
              <w:t xml:space="preserve"> 2024.</w:t>
            </w:r>
            <w:r w:rsidRPr="00D312F8">
              <w:rPr>
                <w:rFonts w:cs="Calibri Light"/>
                <w:color w:val="00B050"/>
                <w:szCs w:val="16"/>
                <w:lang w:val="en-AU"/>
              </w:rPr>
              <w:t xml:space="preserve"> </w:t>
            </w:r>
          </w:p>
        </w:tc>
        <w:tc>
          <w:tcPr>
            <w:tcW w:w="1246" w:type="dxa"/>
            <w:tcBorders>
              <w:top w:val="single" w:sz="4" w:space="0" w:color="BCE4CF"/>
              <w:bottom w:val="single" w:sz="4" w:space="0" w:color="BCE4CF"/>
            </w:tcBorders>
            <w:shd w:val="clear" w:color="auto" w:fill="ECF7F1"/>
          </w:tcPr>
          <w:p w14:paraId="4BB2B35E" w14:textId="77777777" w:rsidR="000F7F69" w:rsidRPr="00285C8A" w:rsidRDefault="000F7F69" w:rsidP="000F7F69">
            <w:pPr>
              <w:pStyle w:val="TableTextLeft"/>
              <w:cnfStyle w:val="000000000000" w:firstRow="0" w:lastRow="0" w:firstColumn="0" w:lastColumn="0" w:oddVBand="0" w:evenVBand="0" w:oddHBand="0" w:evenHBand="0" w:firstRowFirstColumn="0" w:firstRowLastColumn="0" w:lastRowFirstColumn="0" w:lastRowLastColumn="0"/>
            </w:pPr>
          </w:p>
        </w:tc>
        <w:tc>
          <w:tcPr>
            <w:tcW w:w="1246" w:type="dxa"/>
            <w:tcBorders>
              <w:top w:val="single" w:sz="4" w:space="0" w:color="BCE4CF"/>
              <w:bottom w:val="single" w:sz="4" w:space="0" w:color="BCE4CF"/>
            </w:tcBorders>
            <w:shd w:val="clear" w:color="auto" w:fill="ECF7F1"/>
          </w:tcPr>
          <w:p w14:paraId="2197EED3" w14:textId="77777777" w:rsidR="000F7F69" w:rsidRPr="00BE3D1F" w:rsidRDefault="000F7F69" w:rsidP="000F7F69">
            <w:pPr>
              <w:pStyle w:val="TableTextLeft"/>
              <w:cnfStyle w:val="000000000000" w:firstRow="0" w:lastRow="0" w:firstColumn="0" w:lastColumn="0" w:oddVBand="0" w:evenVBand="0" w:oddHBand="0" w:evenHBand="0" w:firstRowFirstColumn="0" w:firstRowLastColumn="0" w:lastRowFirstColumn="0" w:lastRowLastColumn="0"/>
              <w:rPr>
                <w:rFonts w:cs="Calibri Light"/>
              </w:rPr>
            </w:pPr>
          </w:p>
        </w:tc>
        <w:tc>
          <w:tcPr>
            <w:tcW w:w="1246" w:type="dxa"/>
            <w:tcBorders>
              <w:top w:val="single" w:sz="4" w:space="0" w:color="BCE4CF"/>
              <w:bottom w:val="single" w:sz="4" w:space="0" w:color="BCE4CF"/>
            </w:tcBorders>
            <w:shd w:val="clear" w:color="auto" w:fill="ECF7F1"/>
          </w:tcPr>
          <w:p w14:paraId="5CB1C7AD" w14:textId="37D67549" w:rsidR="000F7F69" w:rsidRPr="00E776E1" w:rsidRDefault="000F7F69" w:rsidP="000F7F69">
            <w:pPr>
              <w:pStyle w:val="TableTextLeft"/>
              <w:cnfStyle w:val="000000000000" w:firstRow="0" w:lastRow="0" w:firstColumn="0" w:lastColumn="0" w:oddVBand="0" w:evenVBand="0" w:oddHBand="0" w:evenHBand="0" w:firstRowFirstColumn="0" w:firstRowLastColumn="0" w:lastRowFirstColumn="0" w:lastRowLastColumn="0"/>
            </w:pPr>
            <w:r w:rsidRPr="00F536E4">
              <w:t>Eligibility commences for babies born or adopted on or after 1</w:t>
            </w:r>
            <w:r>
              <w:t> </w:t>
            </w:r>
            <w:r w:rsidRPr="00F536E4">
              <w:t>July</w:t>
            </w:r>
            <w:r>
              <w:t> </w:t>
            </w:r>
            <w:r w:rsidRPr="00F536E4">
              <w:t>2025</w:t>
            </w:r>
          </w:p>
        </w:tc>
        <w:tc>
          <w:tcPr>
            <w:tcW w:w="1247" w:type="dxa"/>
            <w:tcBorders>
              <w:top w:val="single" w:sz="4" w:space="0" w:color="BCE4CF"/>
              <w:bottom w:val="single" w:sz="4" w:space="0" w:color="BCE4CF"/>
            </w:tcBorders>
            <w:shd w:val="clear" w:color="auto" w:fill="ECF7F1"/>
          </w:tcPr>
          <w:p w14:paraId="2B462C70" w14:textId="77777777" w:rsidR="000F7F69" w:rsidRPr="00A56D83" w:rsidRDefault="000F7F69" w:rsidP="000F7F69">
            <w:pPr>
              <w:pStyle w:val="TableTextLeft"/>
              <w:cnfStyle w:val="000000000000" w:firstRow="0" w:lastRow="0" w:firstColumn="0" w:lastColumn="0" w:oddVBand="0" w:evenVBand="0" w:oddHBand="0" w:evenHBand="0" w:firstRowFirstColumn="0" w:firstRowLastColumn="0" w:lastRowFirstColumn="0" w:lastRowLastColumn="0"/>
            </w:pPr>
          </w:p>
        </w:tc>
        <w:tc>
          <w:tcPr>
            <w:tcW w:w="1246" w:type="dxa"/>
            <w:tcBorders>
              <w:top w:val="single" w:sz="4" w:space="0" w:color="BCE4CF"/>
              <w:bottom w:val="single" w:sz="4" w:space="0" w:color="BCE4CF"/>
            </w:tcBorders>
            <w:shd w:val="clear" w:color="auto" w:fill="F5FBF8"/>
          </w:tcPr>
          <w:p w14:paraId="3E239071" w14:textId="77777777" w:rsidR="000F7F69" w:rsidRPr="00D813A6" w:rsidRDefault="000F7F69" w:rsidP="000F7F69">
            <w:pPr>
              <w:pStyle w:val="TableTextLeft"/>
              <w:cnfStyle w:val="000000000000" w:firstRow="0" w:lastRow="0" w:firstColumn="0" w:lastColumn="0" w:oddVBand="0" w:evenVBand="0" w:oddHBand="0" w:evenHBand="0" w:firstRowFirstColumn="0" w:firstRowLastColumn="0" w:lastRowFirstColumn="0" w:lastRowLastColumn="0"/>
            </w:pPr>
          </w:p>
        </w:tc>
        <w:tc>
          <w:tcPr>
            <w:tcW w:w="1247" w:type="dxa"/>
            <w:tcBorders>
              <w:top w:val="single" w:sz="4" w:space="0" w:color="BCE4CF"/>
              <w:bottom w:val="single" w:sz="4" w:space="0" w:color="BCE4CF"/>
            </w:tcBorders>
            <w:shd w:val="clear" w:color="auto" w:fill="F5FBF8"/>
          </w:tcPr>
          <w:p w14:paraId="626D05A2" w14:textId="77777777" w:rsidR="000F7F69" w:rsidRPr="00D8444C" w:rsidRDefault="000F7F69" w:rsidP="000F7F69">
            <w:pPr>
              <w:pStyle w:val="TableTextLeft"/>
              <w:cnfStyle w:val="000000000000" w:firstRow="0" w:lastRow="0" w:firstColumn="0" w:lastColumn="0" w:oddVBand="0" w:evenVBand="0" w:oddHBand="0" w:evenHBand="0" w:firstRowFirstColumn="0" w:firstRowLastColumn="0" w:lastRowFirstColumn="0" w:lastRowLastColumn="0"/>
              <w:rPr>
                <w:szCs w:val="16"/>
              </w:rPr>
            </w:pPr>
            <w:r w:rsidRPr="00D8444C">
              <w:rPr>
                <w:szCs w:val="16"/>
              </w:rPr>
              <w:t xml:space="preserve">Commencement of payments to eligible parents </w:t>
            </w:r>
          </w:p>
          <w:p w14:paraId="75690B06" w14:textId="77777777" w:rsidR="000F7F69" w:rsidRPr="00402F48" w:rsidRDefault="000F7F69" w:rsidP="000F7F69">
            <w:pPr>
              <w:pStyle w:val="TableTextLeft"/>
              <w:cnfStyle w:val="000000000000" w:firstRow="0" w:lastRow="0" w:firstColumn="0" w:lastColumn="0" w:oddVBand="0" w:evenVBand="0" w:oddHBand="0" w:evenHBand="0" w:firstRowFirstColumn="0" w:firstRowLastColumn="0" w:lastRowFirstColumn="0" w:lastRowLastColumn="0"/>
              <w:rPr>
                <w:szCs w:val="16"/>
              </w:rPr>
            </w:pPr>
          </w:p>
        </w:tc>
      </w:tr>
      <w:tr w:rsidR="000F7F69" w:rsidRPr="00AF43B7" w14:paraId="502280FD" w14:textId="77777777" w:rsidTr="1E3961DD">
        <w:trPr>
          <w:cantSplit/>
          <w:trHeight w:val="410"/>
        </w:trPr>
        <w:tc>
          <w:tcPr>
            <w:cnfStyle w:val="001000000000" w:firstRow="0" w:lastRow="0" w:firstColumn="1" w:lastColumn="0" w:oddVBand="0" w:evenVBand="0" w:oddHBand="0" w:evenHBand="0" w:firstRowFirstColumn="0" w:firstRowLastColumn="0" w:lastRowFirstColumn="0" w:lastRowLastColumn="0"/>
            <w:tcW w:w="834" w:type="dxa"/>
            <w:tcBorders>
              <w:top w:val="single" w:sz="4" w:space="0" w:color="BCE4CF"/>
              <w:bottom w:val="single" w:sz="4" w:space="0" w:color="BCE4CF"/>
            </w:tcBorders>
          </w:tcPr>
          <w:p w14:paraId="143F92DC" w14:textId="77777777" w:rsidR="000F7F69" w:rsidRPr="00AD71F3" w:rsidRDefault="000F7F69" w:rsidP="00097CAA">
            <w:pPr>
              <w:pStyle w:val="TableLeadAgency"/>
              <w:rPr>
                <w:b/>
                <w:bCs/>
              </w:rPr>
            </w:pPr>
            <w:r w:rsidRPr="00AD71F3">
              <w:rPr>
                <w:b/>
                <w:bCs/>
              </w:rPr>
              <w:t xml:space="preserve">TSY </w:t>
            </w:r>
          </w:p>
          <w:p w14:paraId="77EBCB3E" w14:textId="058E00FF" w:rsidR="000F7F69" w:rsidRPr="00AD71F3" w:rsidRDefault="000F7F69" w:rsidP="00097CAA">
            <w:pPr>
              <w:pStyle w:val="TableSecondaryAgency"/>
              <w:rPr>
                <w:b w:val="0"/>
                <w:bCs/>
              </w:rPr>
            </w:pPr>
            <w:r w:rsidRPr="00AD71F3">
              <w:rPr>
                <w:b w:val="0"/>
                <w:bCs/>
              </w:rPr>
              <w:t>ATO</w:t>
            </w:r>
          </w:p>
        </w:tc>
        <w:tc>
          <w:tcPr>
            <w:tcW w:w="1222" w:type="dxa"/>
            <w:tcBorders>
              <w:top w:val="single" w:sz="4" w:space="0" w:color="BCE4CF"/>
              <w:bottom w:val="single" w:sz="4" w:space="0" w:color="BCE4CF"/>
            </w:tcBorders>
          </w:tcPr>
          <w:p w14:paraId="33C8E432" w14:textId="77777777" w:rsidR="00086B15" w:rsidRPr="00F534FF" w:rsidRDefault="000F7F69" w:rsidP="00301F93">
            <w:pPr>
              <w:pStyle w:val="TableTextLeft"/>
              <w:cnfStyle w:val="000000000000" w:firstRow="0" w:lastRow="0" w:firstColumn="0" w:lastColumn="0" w:oddVBand="0" w:evenVBand="0" w:oddHBand="0" w:evenHBand="0" w:firstRowFirstColumn="0" w:firstRowLastColumn="0" w:lastRowFirstColumn="0" w:lastRowLastColumn="0"/>
              <w:rPr>
                <w:lang w:val="en-AU"/>
              </w:rPr>
            </w:pPr>
            <w:r w:rsidRPr="00F534FF">
              <w:t>Superannuation and retirement income</w:t>
            </w:r>
          </w:p>
          <w:p w14:paraId="2BE0F32D" w14:textId="3CE7166D" w:rsidR="000F7F69" w:rsidRPr="002E61D3" w:rsidRDefault="00086B15" w:rsidP="00301F93">
            <w:pPr>
              <w:pStyle w:val="TableTextLeft"/>
              <w:cnfStyle w:val="000000000000" w:firstRow="0" w:lastRow="0" w:firstColumn="0" w:lastColumn="0" w:oddVBand="0" w:evenVBand="0" w:oddHBand="0" w:evenHBand="0" w:firstRowFirstColumn="0" w:firstRowLastColumn="0" w:lastRowFirstColumn="0" w:lastRowLastColumn="0"/>
            </w:pPr>
            <w:r w:rsidRPr="00F534FF">
              <w:t>Financial advice</w:t>
            </w:r>
          </w:p>
        </w:tc>
        <w:tc>
          <w:tcPr>
            <w:tcW w:w="4468" w:type="dxa"/>
            <w:tcBorders>
              <w:top w:val="single" w:sz="4" w:space="0" w:color="BCE4CF"/>
              <w:bottom w:val="single" w:sz="4" w:space="0" w:color="BCE4CF"/>
            </w:tcBorders>
          </w:tcPr>
          <w:p w14:paraId="1D5AB627" w14:textId="77777777" w:rsidR="00086B15" w:rsidRPr="000A4B96" w:rsidRDefault="001D4D7F" w:rsidP="00086B15">
            <w:pPr>
              <w:pStyle w:val="TableLink"/>
              <w:cnfStyle w:val="000000000000" w:firstRow="0" w:lastRow="0" w:firstColumn="0" w:lastColumn="0" w:oddVBand="0" w:evenVBand="0" w:oddHBand="0" w:evenHBand="0" w:firstRowFirstColumn="0" w:firstRowLastColumn="0" w:lastRowFirstColumn="0" w:lastRowLastColumn="0"/>
              <w:rPr>
                <w:b w:val="0"/>
                <w:bCs/>
                <w:u w:val="single"/>
              </w:rPr>
            </w:pPr>
            <w:hyperlink r:id="rId74" w:history="1">
              <w:r w:rsidR="00086B15" w:rsidRPr="000A4B96">
                <w:rPr>
                  <w:rStyle w:val="Hyperlink"/>
                  <w:b/>
                  <w:bCs/>
                  <w:u w:val="single"/>
                </w:rPr>
                <w:t>Better targeted superannuation concessions</w:t>
              </w:r>
            </w:hyperlink>
          </w:p>
          <w:p w14:paraId="3C0AA539" w14:textId="77777777" w:rsidR="00086B15" w:rsidRPr="00F534FF" w:rsidRDefault="00086B15" w:rsidP="00301F93">
            <w:pPr>
              <w:pStyle w:val="TableTextLeft"/>
              <w:cnfStyle w:val="000000000000" w:firstRow="0" w:lastRow="0" w:firstColumn="0" w:lastColumn="0" w:oddVBand="0" w:evenVBand="0" w:oddHBand="0" w:evenHBand="0" w:firstRowFirstColumn="0" w:firstRowLastColumn="0" w:lastRowFirstColumn="0" w:lastRowLastColumn="0"/>
            </w:pPr>
            <w:r w:rsidRPr="00F534FF">
              <w:t>The Government is ensuring the sustainabilit</w:t>
            </w:r>
            <w:r w:rsidRPr="00F534FF">
              <w:rPr>
                <w:rStyle w:val="Hyperlink"/>
                <w:rFonts w:cs="Calibri Light"/>
                <w:b w:val="0"/>
                <w:color w:val="auto"/>
                <w:szCs w:val="16"/>
              </w:rPr>
              <w:t>y of superannuation tax concessions</w:t>
            </w:r>
            <w:r w:rsidRPr="00F534FF">
              <w:t xml:space="preserve"> by applying an additional 15</w:t>
            </w:r>
            <w:r>
              <w:t> </w:t>
            </w:r>
            <w:r w:rsidRPr="00F534FF">
              <w:t>per</w:t>
            </w:r>
            <w:r>
              <w:t> </w:t>
            </w:r>
            <w:r w:rsidRPr="00F534FF">
              <w:t>cent</w:t>
            </w:r>
            <w:r>
              <w:t> </w:t>
            </w:r>
            <w:r w:rsidRPr="00F534FF">
              <w:t>tax on earnings attributable to superannuation balances exceeding $3 million.</w:t>
            </w:r>
          </w:p>
          <w:p w14:paraId="7F71583D" w14:textId="6A6F0002" w:rsidR="00086B15" w:rsidRDefault="00795D1C" w:rsidP="00301F93">
            <w:pPr>
              <w:pStyle w:val="TableTextLeft"/>
              <w:cnfStyle w:val="000000000000" w:firstRow="0" w:lastRow="0" w:firstColumn="0" w:lastColumn="0" w:oddVBand="0" w:evenVBand="0" w:oddHBand="0" w:evenHBand="0" w:firstRowFirstColumn="0" w:firstRowLastColumn="0" w:lastRowFirstColumn="0" w:lastRowLastColumn="0"/>
            </w:pPr>
            <w:r>
              <w:t>The amendments</w:t>
            </w:r>
            <w:r w:rsidR="00222955">
              <w:t xml:space="preserve"> were introduced to the House of Representatives on 30 November 2023 under </w:t>
            </w:r>
            <w:r w:rsidR="00E45EE2">
              <w:t>t</w:t>
            </w:r>
            <w:r w:rsidR="00086B15" w:rsidRPr="00F534FF">
              <w:t xml:space="preserve">he Treasury Laws Amendment (Better Targeted Superannuation Concessions and Other Measures) Bill </w:t>
            </w:r>
            <w:proofErr w:type="gramStart"/>
            <w:r w:rsidR="00086B15" w:rsidRPr="00F534FF">
              <w:t>2023</w:t>
            </w:r>
            <w:r w:rsidR="00356F5E">
              <w:t>,</w:t>
            </w:r>
            <w:r w:rsidR="00086B15" w:rsidRPr="00F534FF">
              <w:t xml:space="preserve"> and</w:t>
            </w:r>
            <w:proofErr w:type="gramEnd"/>
            <w:r w:rsidR="00086B15" w:rsidRPr="00F534FF">
              <w:t xml:space="preserve"> </w:t>
            </w:r>
            <w:r w:rsidR="00A40FFC">
              <w:t>are</w:t>
            </w:r>
            <w:r w:rsidR="00086B15" w:rsidRPr="00F534FF">
              <w:t xml:space="preserve"> currently before the </w:t>
            </w:r>
            <w:r w:rsidR="00086B15">
              <w:t>Senate</w:t>
            </w:r>
            <w:r w:rsidR="00222955">
              <w:t xml:space="preserve"> under the Treasury Laws Amendment (Better Targeted Superannuation Concessions</w:t>
            </w:r>
            <w:r w:rsidR="00F769E9">
              <w:t>) Bill 2023</w:t>
            </w:r>
            <w:r w:rsidR="00086B15" w:rsidRPr="00F534FF">
              <w:t>. Intended commencement on 1</w:t>
            </w:r>
            <w:r w:rsidR="00086B15">
              <w:t> </w:t>
            </w:r>
            <w:r w:rsidR="00086B15" w:rsidRPr="00F534FF">
              <w:t>July</w:t>
            </w:r>
            <w:r w:rsidR="00086B15">
              <w:t> </w:t>
            </w:r>
            <w:r w:rsidR="00086B15" w:rsidRPr="00F534FF">
              <w:t xml:space="preserve">2025 is subject to passage of the Bill through Parliament. Supporting Regulations will be made </w:t>
            </w:r>
            <w:r w:rsidR="00086B15">
              <w:t>following passage of the primary law</w:t>
            </w:r>
            <w:r w:rsidR="00086B15" w:rsidRPr="00F534FF">
              <w:t>.</w:t>
            </w:r>
          </w:p>
          <w:p w14:paraId="6FDDBD51" w14:textId="3BF96DE6" w:rsidR="000F7F69" w:rsidRPr="00AE489E" w:rsidRDefault="00086B15" w:rsidP="00AE489E">
            <w:pPr>
              <w:pStyle w:val="TableTextLeft"/>
              <w:cnfStyle w:val="000000000000" w:firstRow="0" w:lastRow="0" w:firstColumn="0" w:lastColumn="0" w:oddVBand="0" w:evenVBand="0" w:oddHBand="0" w:evenHBand="0" w:firstRowFirstColumn="0" w:firstRowLastColumn="0" w:lastRowFirstColumn="0" w:lastRowLastColumn="0"/>
            </w:pPr>
            <w:r>
              <w:t>The ATO</w:t>
            </w:r>
            <w:r w:rsidRPr="001B0145">
              <w:t xml:space="preserve"> intends to issue guidance to assist the implementation of the legislation.</w:t>
            </w:r>
          </w:p>
        </w:tc>
        <w:tc>
          <w:tcPr>
            <w:tcW w:w="1246" w:type="dxa"/>
            <w:tcBorders>
              <w:top w:val="single" w:sz="4" w:space="0" w:color="BCE4CF"/>
              <w:bottom w:val="single" w:sz="4" w:space="0" w:color="BCE4CF"/>
            </w:tcBorders>
            <w:shd w:val="clear" w:color="auto" w:fill="ECF7F1"/>
          </w:tcPr>
          <w:p w14:paraId="28B4C091" w14:textId="77777777" w:rsidR="000F7F69" w:rsidRPr="00285C8A" w:rsidRDefault="000F7F69" w:rsidP="000F7F69">
            <w:pPr>
              <w:pStyle w:val="TableTextLeft"/>
              <w:cnfStyle w:val="000000000000" w:firstRow="0" w:lastRow="0" w:firstColumn="0" w:lastColumn="0" w:oddVBand="0" w:evenVBand="0" w:oddHBand="0" w:evenHBand="0" w:firstRowFirstColumn="0" w:firstRowLastColumn="0" w:lastRowFirstColumn="0" w:lastRowLastColumn="0"/>
            </w:pPr>
          </w:p>
        </w:tc>
        <w:tc>
          <w:tcPr>
            <w:tcW w:w="1246" w:type="dxa"/>
            <w:tcBorders>
              <w:top w:val="single" w:sz="4" w:space="0" w:color="BCE4CF"/>
              <w:bottom w:val="single" w:sz="4" w:space="0" w:color="BCE4CF"/>
            </w:tcBorders>
            <w:shd w:val="clear" w:color="auto" w:fill="ECF7F1"/>
          </w:tcPr>
          <w:p w14:paraId="394C4322" w14:textId="77777777" w:rsidR="000F7F69" w:rsidRPr="00BE3D1F" w:rsidRDefault="000F7F69" w:rsidP="000F7F69">
            <w:pPr>
              <w:pStyle w:val="TableTextLeft"/>
              <w:cnfStyle w:val="000000000000" w:firstRow="0" w:lastRow="0" w:firstColumn="0" w:lastColumn="0" w:oddVBand="0" w:evenVBand="0" w:oddHBand="0" w:evenHBand="0" w:firstRowFirstColumn="0" w:firstRowLastColumn="0" w:lastRowFirstColumn="0" w:lastRowLastColumn="0"/>
              <w:rPr>
                <w:rFonts w:cs="Calibri Light"/>
              </w:rPr>
            </w:pPr>
          </w:p>
        </w:tc>
        <w:tc>
          <w:tcPr>
            <w:tcW w:w="1246" w:type="dxa"/>
            <w:tcBorders>
              <w:top w:val="single" w:sz="4" w:space="0" w:color="BCE4CF"/>
              <w:bottom w:val="single" w:sz="4" w:space="0" w:color="BCE4CF"/>
            </w:tcBorders>
            <w:shd w:val="clear" w:color="auto" w:fill="ECF7F1"/>
          </w:tcPr>
          <w:p w14:paraId="3DB83BA1" w14:textId="40B730E2" w:rsidR="000F7F69" w:rsidRPr="00E776E1" w:rsidRDefault="00086B15" w:rsidP="000F7F69">
            <w:pPr>
              <w:pStyle w:val="TableTextLeft"/>
              <w:cnfStyle w:val="000000000000" w:firstRow="0" w:lastRow="0" w:firstColumn="0" w:lastColumn="0" w:oddVBand="0" w:evenVBand="0" w:oddHBand="0" w:evenHBand="0" w:firstRowFirstColumn="0" w:firstRowLastColumn="0" w:lastRowFirstColumn="0" w:lastRowLastColumn="0"/>
            </w:pPr>
            <w:r w:rsidRPr="00CF7C7F">
              <w:t xml:space="preserve">Commences </w:t>
            </w:r>
            <w:r>
              <w:t xml:space="preserve">1 July 2025 </w:t>
            </w:r>
            <w:r w:rsidRPr="00CF7C7F">
              <w:t>(subject to passage)</w:t>
            </w:r>
          </w:p>
        </w:tc>
        <w:tc>
          <w:tcPr>
            <w:tcW w:w="1247" w:type="dxa"/>
            <w:tcBorders>
              <w:top w:val="single" w:sz="4" w:space="0" w:color="BCE4CF"/>
              <w:bottom w:val="single" w:sz="4" w:space="0" w:color="BCE4CF"/>
            </w:tcBorders>
            <w:shd w:val="clear" w:color="auto" w:fill="ECF7F1"/>
          </w:tcPr>
          <w:p w14:paraId="5FD465E1" w14:textId="77777777" w:rsidR="000F7F69" w:rsidRPr="00A56D83" w:rsidRDefault="000F7F69" w:rsidP="000F7F69">
            <w:pPr>
              <w:pStyle w:val="TableTextLeft"/>
              <w:cnfStyle w:val="000000000000" w:firstRow="0" w:lastRow="0" w:firstColumn="0" w:lastColumn="0" w:oddVBand="0" w:evenVBand="0" w:oddHBand="0" w:evenHBand="0" w:firstRowFirstColumn="0" w:firstRowLastColumn="0" w:lastRowFirstColumn="0" w:lastRowLastColumn="0"/>
            </w:pPr>
          </w:p>
        </w:tc>
        <w:tc>
          <w:tcPr>
            <w:tcW w:w="1246" w:type="dxa"/>
            <w:tcBorders>
              <w:top w:val="single" w:sz="4" w:space="0" w:color="BCE4CF"/>
              <w:bottom w:val="single" w:sz="4" w:space="0" w:color="BCE4CF"/>
            </w:tcBorders>
            <w:shd w:val="clear" w:color="auto" w:fill="F5FBF8"/>
          </w:tcPr>
          <w:p w14:paraId="72555322" w14:textId="77777777" w:rsidR="000F7F69" w:rsidRPr="00D813A6" w:rsidRDefault="000F7F69" w:rsidP="000F7F69">
            <w:pPr>
              <w:pStyle w:val="TableTextLeft"/>
              <w:cnfStyle w:val="000000000000" w:firstRow="0" w:lastRow="0" w:firstColumn="0" w:lastColumn="0" w:oddVBand="0" w:evenVBand="0" w:oddHBand="0" w:evenHBand="0" w:firstRowFirstColumn="0" w:firstRowLastColumn="0" w:lastRowFirstColumn="0" w:lastRowLastColumn="0"/>
            </w:pPr>
          </w:p>
        </w:tc>
        <w:tc>
          <w:tcPr>
            <w:tcW w:w="1247" w:type="dxa"/>
            <w:tcBorders>
              <w:top w:val="single" w:sz="4" w:space="0" w:color="BCE4CF"/>
              <w:bottom w:val="single" w:sz="4" w:space="0" w:color="BCE4CF"/>
            </w:tcBorders>
            <w:shd w:val="clear" w:color="auto" w:fill="F5FBF8"/>
          </w:tcPr>
          <w:p w14:paraId="4E633CDB" w14:textId="77777777" w:rsidR="000F7F69" w:rsidRPr="00402F48" w:rsidRDefault="000F7F69" w:rsidP="000F7F69">
            <w:pPr>
              <w:pStyle w:val="TableTextLeft"/>
              <w:cnfStyle w:val="000000000000" w:firstRow="0" w:lastRow="0" w:firstColumn="0" w:lastColumn="0" w:oddVBand="0" w:evenVBand="0" w:oddHBand="0" w:evenHBand="0" w:firstRowFirstColumn="0" w:firstRowLastColumn="0" w:lastRowFirstColumn="0" w:lastRowLastColumn="0"/>
              <w:rPr>
                <w:szCs w:val="16"/>
              </w:rPr>
            </w:pPr>
          </w:p>
        </w:tc>
      </w:tr>
      <w:tr w:rsidR="00086B15" w:rsidRPr="00AF43B7" w14:paraId="06E3C03B" w14:textId="77777777" w:rsidTr="1E3961DD">
        <w:trPr>
          <w:cantSplit/>
          <w:trHeight w:val="410"/>
        </w:trPr>
        <w:tc>
          <w:tcPr>
            <w:cnfStyle w:val="001000000000" w:firstRow="0" w:lastRow="0" w:firstColumn="1" w:lastColumn="0" w:oddVBand="0" w:evenVBand="0" w:oddHBand="0" w:evenHBand="0" w:firstRowFirstColumn="0" w:firstRowLastColumn="0" w:lastRowFirstColumn="0" w:lastRowLastColumn="0"/>
            <w:tcW w:w="834" w:type="dxa"/>
            <w:tcBorders>
              <w:top w:val="single" w:sz="4" w:space="0" w:color="BCE4CF"/>
              <w:bottom w:val="single" w:sz="4" w:space="0" w:color="C5E8D6"/>
            </w:tcBorders>
          </w:tcPr>
          <w:p w14:paraId="15622D32" w14:textId="77777777" w:rsidR="00086B15" w:rsidRPr="00AD71F3" w:rsidRDefault="00086B15" w:rsidP="00097CAA">
            <w:pPr>
              <w:pStyle w:val="TableLeadAgency"/>
              <w:rPr>
                <w:b/>
                <w:bCs/>
              </w:rPr>
            </w:pPr>
            <w:r w:rsidRPr="00AD71F3">
              <w:rPr>
                <w:b/>
                <w:bCs/>
              </w:rPr>
              <w:lastRenderedPageBreak/>
              <w:t xml:space="preserve">TSY </w:t>
            </w:r>
          </w:p>
          <w:p w14:paraId="3968FD6E" w14:textId="726C8F48" w:rsidR="00086B15" w:rsidRPr="00AD71F3" w:rsidRDefault="00086B15" w:rsidP="00097CAA">
            <w:pPr>
              <w:pStyle w:val="TableSecondaryAgency"/>
              <w:rPr>
                <w:b w:val="0"/>
                <w:bCs/>
              </w:rPr>
            </w:pPr>
            <w:r w:rsidRPr="00AD71F3">
              <w:rPr>
                <w:b w:val="0"/>
                <w:bCs/>
              </w:rPr>
              <w:t>ATO</w:t>
            </w:r>
          </w:p>
        </w:tc>
        <w:tc>
          <w:tcPr>
            <w:tcW w:w="1222" w:type="dxa"/>
            <w:tcBorders>
              <w:top w:val="single" w:sz="4" w:space="0" w:color="BCE4CF"/>
              <w:bottom w:val="single" w:sz="4" w:space="0" w:color="C5E8D6"/>
            </w:tcBorders>
          </w:tcPr>
          <w:p w14:paraId="28D220DD" w14:textId="77777777" w:rsidR="00086B15" w:rsidRPr="00F534FF" w:rsidRDefault="00086B15" w:rsidP="00301F93">
            <w:pPr>
              <w:pStyle w:val="TableTextLeft"/>
              <w:cnfStyle w:val="000000000000" w:firstRow="0" w:lastRow="0" w:firstColumn="0" w:lastColumn="0" w:oddVBand="0" w:evenVBand="0" w:oddHBand="0" w:evenHBand="0" w:firstRowFirstColumn="0" w:firstRowLastColumn="0" w:lastRowFirstColumn="0" w:lastRowLastColumn="0"/>
              <w:rPr>
                <w:lang w:val="en-AU"/>
              </w:rPr>
            </w:pPr>
            <w:r w:rsidRPr="00F534FF">
              <w:t>Superannuation and retirement income</w:t>
            </w:r>
          </w:p>
          <w:p w14:paraId="0BCF37D6" w14:textId="20437D61" w:rsidR="00086B15" w:rsidRPr="00086B15" w:rsidRDefault="00086B15" w:rsidP="00301F93">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86B15">
              <w:t>Payment services and digital assets</w:t>
            </w:r>
          </w:p>
        </w:tc>
        <w:tc>
          <w:tcPr>
            <w:tcW w:w="4468" w:type="dxa"/>
            <w:tcBorders>
              <w:top w:val="single" w:sz="4" w:space="0" w:color="BCE4CF"/>
              <w:bottom w:val="single" w:sz="4" w:space="0" w:color="C5E8D6"/>
            </w:tcBorders>
          </w:tcPr>
          <w:p w14:paraId="22B6EC4E" w14:textId="77777777" w:rsidR="00086B15" w:rsidRPr="000A4B96" w:rsidRDefault="001D4D7F" w:rsidP="00086B15">
            <w:pPr>
              <w:pStyle w:val="TableLink"/>
              <w:cnfStyle w:val="000000000000" w:firstRow="0" w:lastRow="0" w:firstColumn="0" w:lastColumn="0" w:oddVBand="0" w:evenVBand="0" w:oddHBand="0" w:evenHBand="0" w:firstRowFirstColumn="0" w:firstRowLastColumn="0" w:lastRowFirstColumn="0" w:lastRowLastColumn="0"/>
              <w:rPr>
                <w:b w:val="0"/>
                <w:bCs/>
                <w:u w:val="single"/>
              </w:rPr>
            </w:pPr>
            <w:hyperlink r:id="rId75" w:history="1">
              <w:r w:rsidR="00086B15" w:rsidRPr="000A4B96">
                <w:rPr>
                  <w:rStyle w:val="Hyperlink"/>
                  <w:b/>
                  <w:bCs/>
                  <w:u w:val="single"/>
                </w:rPr>
                <w:t>Payday superannuation</w:t>
              </w:r>
            </w:hyperlink>
          </w:p>
          <w:p w14:paraId="5E94426D" w14:textId="42857D93" w:rsidR="00086B15" w:rsidRPr="00F534FF" w:rsidRDefault="00086B15" w:rsidP="00301F93">
            <w:pPr>
              <w:pStyle w:val="TableTextLeft"/>
              <w:cnfStyle w:val="000000000000" w:firstRow="0" w:lastRow="0" w:firstColumn="0" w:lastColumn="0" w:oddVBand="0" w:evenVBand="0" w:oddHBand="0" w:evenHBand="0" w:firstRowFirstColumn="0" w:firstRowLastColumn="0" w:lastRowFirstColumn="0" w:lastRowLastColumn="0"/>
            </w:pPr>
            <w:r w:rsidRPr="00F534FF">
              <w:t>The Government will require employers to align the frequency of the payment of their employees</w:t>
            </w:r>
            <w:r w:rsidR="0008745D">
              <w:t>’</w:t>
            </w:r>
            <w:r w:rsidRPr="00F534FF">
              <w:t xml:space="preserve"> superannuation with their salary and wages. Specifically, employers will become liable for the updated superannuation guarantee charge if superannuation contributions are not received by their employees</w:t>
            </w:r>
            <w:r w:rsidR="0008745D">
              <w:t>’</w:t>
            </w:r>
            <w:r w:rsidRPr="00F534FF">
              <w:t xml:space="preserve"> superannuation fund within </w:t>
            </w:r>
            <w:r>
              <w:t>7 </w:t>
            </w:r>
            <w:r w:rsidRPr="00F534FF">
              <w:t xml:space="preserve">days of </w:t>
            </w:r>
            <w:r w:rsidR="0008745D">
              <w:t>‘</w:t>
            </w:r>
            <w:r w:rsidRPr="00F534FF">
              <w:t>payday</w:t>
            </w:r>
            <w:r w:rsidR="0008745D">
              <w:t>’</w:t>
            </w:r>
            <w:r w:rsidRPr="00F534FF">
              <w:t xml:space="preserve">. Several changes are also being made to support the transition to Payday Super and protect employees in the onboarding process, including revising choice of fund rules and limiting the advertising of superannuation products during onboarding. </w:t>
            </w:r>
          </w:p>
          <w:p w14:paraId="78C5447C" w14:textId="77777777" w:rsidR="00086B15" w:rsidRDefault="00086B15" w:rsidP="00301F93">
            <w:pPr>
              <w:pStyle w:val="TableTextLeft"/>
              <w:cnfStyle w:val="000000000000" w:firstRow="0" w:lastRow="0" w:firstColumn="0" w:lastColumn="0" w:oddVBand="0" w:evenVBand="0" w:oddHBand="0" w:evenHBand="0" w:firstRowFirstColumn="0" w:firstRowLastColumn="0" w:lastRowFirstColumn="0" w:lastRowLastColumn="0"/>
            </w:pPr>
            <w:r w:rsidRPr="00F534FF">
              <w:t>Draft legislation will be released for consultation. Employer obligations are planned to commence on 1</w:t>
            </w:r>
            <w:r>
              <w:t> </w:t>
            </w:r>
            <w:r w:rsidRPr="00F534FF">
              <w:t>July</w:t>
            </w:r>
            <w:r>
              <w:t> </w:t>
            </w:r>
            <w:r w:rsidRPr="00F534FF">
              <w:t>2026, subject to the passage of legislation.</w:t>
            </w:r>
          </w:p>
          <w:p w14:paraId="279DBC2C" w14:textId="5229582C" w:rsidR="00086B15" w:rsidRPr="0092700C" w:rsidRDefault="00086B15" w:rsidP="0092700C">
            <w:pPr>
              <w:pStyle w:val="TableTextLeft"/>
              <w:cnfStyle w:val="000000000000" w:firstRow="0" w:lastRow="0" w:firstColumn="0" w:lastColumn="0" w:oddVBand="0" w:evenVBand="0" w:oddHBand="0" w:evenHBand="0" w:firstRowFirstColumn="0" w:firstRowLastColumn="0" w:lastRowFirstColumn="0" w:lastRowLastColumn="0"/>
            </w:pPr>
            <w:r>
              <w:t>The ATO</w:t>
            </w:r>
            <w:r w:rsidRPr="001B0145">
              <w:t xml:space="preserve"> intends to issue guidance to assist the implementation of the legislation.</w:t>
            </w:r>
            <w:r w:rsidRPr="001E382B">
              <w:rPr>
                <w:rFonts w:cs="Calibri Light"/>
                <w:b/>
                <w:color w:val="00B050"/>
                <w:szCs w:val="16"/>
                <w:lang w:val="en-AU"/>
              </w:rPr>
              <w:t xml:space="preserve"> </w:t>
            </w:r>
          </w:p>
        </w:tc>
        <w:tc>
          <w:tcPr>
            <w:tcW w:w="1246" w:type="dxa"/>
            <w:tcBorders>
              <w:top w:val="single" w:sz="4" w:space="0" w:color="BCE4CF"/>
              <w:bottom w:val="single" w:sz="4" w:space="0" w:color="C5E8D6"/>
            </w:tcBorders>
            <w:shd w:val="clear" w:color="auto" w:fill="ECF7F1"/>
          </w:tcPr>
          <w:p w14:paraId="63673FBD" w14:textId="247F0B71" w:rsidR="00086B15" w:rsidRPr="00285C8A" w:rsidRDefault="00086B15" w:rsidP="00086B15">
            <w:pPr>
              <w:pStyle w:val="TableTextLeft"/>
              <w:cnfStyle w:val="000000000000" w:firstRow="0" w:lastRow="0" w:firstColumn="0" w:lastColumn="0" w:oddVBand="0" w:evenVBand="0" w:oddHBand="0" w:evenHBand="0" w:firstRowFirstColumn="0" w:firstRowLastColumn="0" w:lastRowFirstColumn="0" w:lastRowLastColumn="0"/>
            </w:pPr>
            <w:r>
              <w:t>Consultation</w:t>
            </w:r>
            <w:r w:rsidR="007625B3">
              <w:t xml:space="preserve"> on exposure draft legislation</w:t>
            </w:r>
          </w:p>
          <w:p w14:paraId="6948BCFF" w14:textId="77777777" w:rsidR="00086B15" w:rsidRPr="00285C8A" w:rsidRDefault="00086B15" w:rsidP="00086B15">
            <w:pPr>
              <w:pStyle w:val="TableTextLeft"/>
              <w:cnfStyle w:val="000000000000" w:firstRow="0" w:lastRow="0" w:firstColumn="0" w:lastColumn="0" w:oddVBand="0" w:evenVBand="0" w:oddHBand="0" w:evenHBand="0" w:firstRowFirstColumn="0" w:firstRowLastColumn="0" w:lastRowFirstColumn="0" w:lastRowLastColumn="0"/>
            </w:pPr>
          </w:p>
        </w:tc>
        <w:tc>
          <w:tcPr>
            <w:tcW w:w="1246" w:type="dxa"/>
            <w:tcBorders>
              <w:top w:val="single" w:sz="4" w:space="0" w:color="BCE4CF"/>
              <w:bottom w:val="single" w:sz="4" w:space="0" w:color="C5E8D6"/>
            </w:tcBorders>
            <w:shd w:val="clear" w:color="auto" w:fill="ECF7F1"/>
          </w:tcPr>
          <w:p w14:paraId="26877AC0" w14:textId="77777777" w:rsidR="00086B15" w:rsidRPr="00BE3D1F" w:rsidRDefault="00086B15" w:rsidP="00086B15">
            <w:pPr>
              <w:pStyle w:val="TableTextLeft"/>
              <w:cnfStyle w:val="000000000000" w:firstRow="0" w:lastRow="0" w:firstColumn="0" w:lastColumn="0" w:oddVBand="0" w:evenVBand="0" w:oddHBand="0" w:evenHBand="0" w:firstRowFirstColumn="0" w:firstRowLastColumn="0" w:lastRowFirstColumn="0" w:lastRowLastColumn="0"/>
              <w:rPr>
                <w:rFonts w:cs="Calibri Light"/>
              </w:rPr>
            </w:pPr>
          </w:p>
        </w:tc>
        <w:tc>
          <w:tcPr>
            <w:tcW w:w="1246" w:type="dxa"/>
            <w:tcBorders>
              <w:top w:val="single" w:sz="4" w:space="0" w:color="BCE4CF"/>
              <w:bottom w:val="single" w:sz="4" w:space="0" w:color="C5E8D6"/>
            </w:tcBorders>
            <w:shd w:val="clear" w:color="auto" w:fill="ECF7F1"/>
          </w:tcPr>
          <w:p w14:paraId="367CD1BF" w14:textId="77777777" w:rsidR="00086B15" w:rsidRPr="00CF7C7F" w:rsidRDefault="00086B15" w:rsidP="00086B15">
            <w:pPr>
              <w:pStyle w:val="TableTextLeft"/>
              <w:cnfStyle w:val="000000000000" w:firstRow="0" w:lastRow="0" w:firstColumn="0" w:lastColumn="0" w:oddVBand="0" w:evenVBand="0" w:oddHBand="0" w:evenHBand="0" w:firstRowFirstColumn="0" w:firstRowLastColumn="0" w:lastRowFirstColumn="0" w:lastRowLastColumn="0"/>
            </w:pPr>
          </w:p>
        </w:tc>
        <w:tc>
          <w:tcPr>
            <w:tcW w:w="1247" w:type="dxa"/>
            <w:tcBorders>
              <w:top w:val="single" w:sz="4" w:space="0" w:color="BCE4CF"/>
              <w:bottom w:val="single" w:sz="4" w:space="0" w:color="C5E8D6"/>
            </w:tcBorders>
            <w:shd w:val="clear" w:color="auto" w:fill="ECF7F1"/>
          </w:tcPr>
          <w:p w14:paraId="6D87567D" w14:textId="77777777" w:rsidR="00086B15" w:rsidRPr="00A56D83" w:rsidRDefault="00086B15" w:rsidP="00086B15">
            <w:pPr>
              <w:pStyle w:val="TableTextLeft"/>
              <w:cnfStyle w:val="000000000000" w:firstRow="0" w:lastRow="0" w:firstColumn="0" w:lastColumn="0" w:oddVBand="0" w:evenVBand="0" w:oddHBand="0" w:evenHBand="0" w:firstRowFirstColumn="0" w:firstRowLastColumn="0" w:lastRowFirstColumn="0" w:lastRowLastColumn="0"/>
            </w:pPr>
          </w:p>
        </w:tc>
        <w:tc>
          <w:tcPr>
            <w:tcW w:w="1246" w:type="dxa"/>
            <w:tcBorders>
              <w:top w:val="single" w:sz="4" w:space="0" w:color="BCE4CF"/>
              <w:bottom w:val="single" w:sz="4" w:space="0" w:color="C5E8D6"/>
            </w:tcBorders>
            <w:shd w:val="clear" w:color="auto" w:fill="F5FBF8"/>
          </w:tcPr>
          <w:p w14:paraId="7C0DEBE6" w14:textId="77777777" w:rsidR="00086B15" w:rsidRPr="00D813A6" w:rsidRDefault="00086B15" w:rsidP="00086B15">
            <w:pPr>
              <w:pStyle w:val="TableTextLeft"/>
              <w:cnfStyle w:val="000000000000" w:firstRow="0" w:lastRow="0" w:firstColumn="0" w:lastColumn="0" w:oddVBand="0" w:evenVBand="0" w:oddHBand="0" w:evenHBand="0" w:firstRowFirstColumn="0" w:firstRowLastColumn="0" w:lastRowFirstColumn="0" w:lastRowLastColumn="0"/>
            </w:pPr>
          </w:p>
        </w:tc>
        <w:tc>
          <w:tcPr>
            <w:tcW w:w="1247" w:type="dxa"/>
            <w:tcBorders>
              <w:top w:val="single" w:sz="4" w:space="0" w:color="BCE4CF"/>
              <w:bottom w:val="single" w:sz="4" w:space="0" w:color="C5E8D6"/>
            </w:tcBorders>
            <w:shd w:val="clear" w:color="auto" w:fill="F5FBF8"/>
          </w:tcPr>
          <w:p w14:paraId="3D1FC560" w14:textId="0B052109" w:rsidR="00086B15" w:rsidRPr="00402F48" w:rsidRDefault="00086B15" w:rsidP="00086B15">
            <w:pPr>
              <w:pStyle w:val="TableTextLeft"/>
              <w:cnfStyle w:val="000000000000" w:firstRow="0" w:lastRow="0" w:firstColumn="0" w:lastColumn="0" w:oddVBand="0" w:evenVBand="0" w:oddHBand="0" w:evenHBand="0" w:firstRowFirstColumn="0" w:firstRowLastColumn="0" w:lastRowFirstColumn="0" w:lastRowLastColumn="0"/>
              <w:rPr>
                <w:szCs w:val="16"/>
              </w:rPr>
            </w:pPr>
            <w:r w:rsidRPr="00CF7C7F">
              <w:t>Employer obligations commence from 1 July 2026 (subject to passage)</w:t>
            </w:r>
          </w:p>
        </w:tc>
      </w:tr>
    </w:tbl>
    <w:p w14:paraId="64D90AEE" w14:textId="77777777" w:rsidR="00363B10" w:rsidRPr="00BD09EA" w:rsidRDefault="00363B10" w:rsidP="00BD09EA"/>
    <w:p w14:paraId="3CFA8C1B" w14:textId="77777777" w:rsidR="004163E8" w:rsidRDefault="004163E8">
      <w:pPr>
        <w:spacing w:before="0" w:after="160" w:line="259" w:lineRule="auto"/>
        <w:rPr>
          <w:rFonts w:ascii="Calibri" w:hAnsi="Calibri" w:cs="Calibri"/>
          <w:b/>
          <w:bCs/>
          <w:color w:val="2C384A" w:themeColor="accent1"/>
          <w:kern w:val="32"/>
          <w:sz w:val="44"/>
          <w:szCs w:val="36"/>
        </w:rPr>
      </w:pPr>
      <w:r>
        <w:rPr>
          <w:rFonts w:cs="Calibri"/>
          <w:bCs/>
        </w:rPr>
        <w:br w:type="page"/>
      </w:r>
    </w:p>
    <w:p w14:paraId="60AF225F" w14:textId="495AFA55" w:rsidR="00B54CF6" w:rsidRPr="004F13C5" w:rsidRDefault="00B54CF6" w:rsidP="00FC308B">
      <w:pPr>
        <w:pStyle w:val="Heading1Numbered"/>
      </w:pPr>
      <w:bookmarkStart w:id="39" w:name="_Toc183095615"/>
      <w:r w:rsidRPr="00424B64">
        <w:lastRenderedPageBreak/>
        <w:t>Ongoing</w:t>
      </w:r>
      <w:r>
        <w:t xml:space="preserve"> </w:t>
      </w:r>
      <w:r w:rsidR="004F10AD">
        <w:t>p</w:t>
      </w:r>
      <w:r w:rsidRPr="004F13C5">
        <w:t xml:space="preserve">rogram </w:t>
      </w:r>
      <w:r w:rsidR="004F10AD">
        <w:t>i</w:t>
      </w:r>
      <w:r w:rsidRPr="004F13C5">
        <w:t>mplementation</w:t>
      </w:r>
      <w:bookmarkEnd w:id="39"/>
    </w:p>
    <w:p w14:paraId="733311B9" w14:textId="0991A373" w:rsidR="00D723F0" w:rsidRPr="003A5852" w:rsidRDefault="00B54CF6" w:rsidP="00B54CF6">
      <w:pPr>
        <w:rPr>
          <w:rFonts w:cs="Calibri Light"/>
          <w:szCs w:val="22"/>
        </w:rPr>
      </w:pPr>
      <w:r w:rsidRPr="00464DE7">
        <w:rPr>
          <w:rFonts w:cs="Calibri Light"/>
          <w:szCs w:val="22"/>
        </w:rPr>
        <w:t xml:space="preserve">This </w:t>
      </w:r>
      <w:r w:rsidR="00C734E8" w:rsidRPr="00464DE7">
        <w:rPr>
          <w:rFonts w:cs="Calibri Light"/>
          <w:szCs w:val="22"/>
        </w:rPr>
        <w:t>c</w:t>
      </w:r>
      <w:r w:rsidR="00C734E8">
        <w:rPr>
          <w:rFonts w:cs="Calibri Light"/>
          <w:szCs w:val="22"/>
        </w:rPr>
        <w:t>ategory</w:t>
      </w:r>
      <w:r w:rsidRPr="00464DE7">
        <w:rPr>
          <w:rFonts w:cs="Calibri Light"/>
          <w:szCs w:val="22"/>
        </w:rPr>
        <w:t xml:space="preserve"> </w:t>
      </w:r>
      <w:r>
        <w:rPr>
          <w:rFonts w:cs="Calibri Light"/>
          <w:szCs w:val="22"/>
        </w:rPr>
        <w:t>includes</w:t>
      </w:r>
      <w:r w:rsidRPr="00464DE7">
        <w:rPr>
          <w:rFonts w:cs="Calibri Light"/>
          <w:szCs w:val="22"/>
        </w:rPr>
        <w:t xml:space="preserve"> </w:t>
      </w:r>
      <w:r w:rsidR="00757F5C" w:rsidRPr="00110E84">
        <w:rPr>
          <w:rStyle w:val="Strong"/>
        </w:rPr>
        <w:t>3</w:t>
      </w:r>
      <w:r w:rsidR="00506ECD" w:rsidRPr="00110E84">
        <w:rPr>
          <w:rStyle w:val="Strong"/>
        </w:rPr>
        <w:t>0</w:t>
      </w:r>
      <w:r w:rsidRPr="00464DE7">
        <w:rPr>
          <w:rFonts w:cs="Calibri Light"/>
          <w:szCs w:val="22"/>
        </w:rPr>
        <w:t xml:space="preserve"> initiatives. The initiatives in this section cover </w:t>
      </w:r>
      <w:r w:rsidR="000D63BF">
        <w:rPr>
          <w:rFonts w:cs="Calibri Light"/>
          <w:szCs w:val="22"/>
        </w:rPr>
        <w:t>the broad spectrum of activit</w:t>
      </w:r>
      <w:r w:rsidR="00CD2B9A">
        <w:rPr>
          <w:rFonts w:cs="Calibri Light"/>
          <w:szCs w:val="22"/>
        </w:rPr>
        <w:t xml:space="preserve">ies </w:t>
      </w:r>
      <w:r w:rsidR="00F6016A">
        <w:rPr>
          <w:rFonts w:cs="Calibri Light"/>
          <w:szCs w:val="22"/>
        </w:rPr>
        <w:t xml:space="preserve">being </w:t>
      </w:r>
      <w:r w:rsidR="00023CFC">
        <w:rPr>
          <w:rFonts w:cs="Calibri Light"/>
          <w:szCs w:val="22"/>
        </w:rPr>
        <w:t>administer</w:t>
      </w:r>
      <w:r w:rsidR="006E03E0">
        <w:rPr>
          <w:rFonts w:cs="Calibri Light"/>
          <w:szCs w:val="22"/>
        </w:rPr>
        <w:t>ed</w:t>
      </w:r>
      <w:r w:rsidR="00023CFC">
        <w:rPr>
          <w:rFonts w:cs="Calibri Light"/>
          <w:szCs w:val="22"/>
        </w:rPr>
        <w:t xml:space="preserve"> </w:t>
      </w:r>
      <w:r w:rsidR="00FF04E1">
        <w:rPr>
          <w:rFonts w:cs="Calibri Light"/>
          <w:szCs w:val="22"/>
        </w:rPr>
        <w:t xml:space="preserve">under </w:t>
      </w:r>
      <w:r w:rsidR="00F6016A">
        <w:rPr>
          <w:rFonts w:cs="Calibri Light"/>
          <w:szCs w:val="22"/>
        </w:rPr>
        <w:t>existing policy and/or legislative frameworks</w:t>
      </w:r>
      <w:r w:rsidR="000D63BF">
        <w:rPr>
          <w:rFonts w:cs="Calibri Light"/>
          <w:szCs w:val="22"/>
        </w:rPr>
        <w:t xml:space="preserve">, including </w:t>
      </w:r>
      <w:r>
        <w:rPr>
          <w:rFonts w:cs="Calibri Light"/>
          <w:szCs w:val="22"/>
        </w:rPr>
        <w:t>the d</w:t>
      </w:r>
      <w:r w:rsidRPr="00446547">
        <w:rPr>
          <w:rFonts w:cs="Calibri Light"/>
          <w:szCs w:val="22"/>
        </w:rPr>
        <w:t xml:space="preserve">evelopment of </w:t>
      </w:r>
      <w:r w:rsidR="000D63BF">
        <w:rPr>
          <w:rFonts w:cs="Calibri Light"/>
          <w:szCs w:val="22"/>
        </w:rPr>
        <w:t xml:space="preserve">regulatory </w:t>
      </w:r>
      <w:r w:rsidRPr="00446547">
        <w:rPr>
          <w:rFonts w:cs="Calibri Light"/>
          <w:szCs w:val="22"/>
        </w:rPr>
        <w:t>guidance material</w:t>
      </w:r>
      <w:r>
        <w:rPr>
          <w:rFonts w:cs="Calibri Light"/>
          <w:szCs w:val="22"/>
        </w:rPr>
        <w:t>, p</w:t>
      </w:r>
      <w:r w:rsidRPr="00446547">
        <w:rPr>
          <w:rFonts w:cs="Calibri Light"/>
          <w:szCs w:val="22"/>
        </w:rPr>
        <w:t xml:space="preserve">rogram reconciliation </w:t>
      </w:r>
      <w:r>
        <w:rPr>
          <w:rFonts w:cs="Calibri Light"/>
          <w:szCs w:val="22"/>
        </w:rPr>
        <w:t>and</w:t>
      </w:r>
      <w:r w:rsidRPr="00446547">
        <w:rPr>
          <w:rFonts w:cs="Calibri Light"/>
          <w:szCs w:val="22"/>
        </w:rPr>
        <w:t xml:space="preserve"> acquittal</w:t>
      </w:r>
      <w:r>
        <w:rPr>
          <w:rFonts w:cs="Calibri Light"/>
          <w:szCs w:val="22"/>
        </w:rPr>
        <w:t xml:space="preserve"> </w:t>
      </w:r>
      <w:r w:rsidR="000D63BF">
        <w:rPr>
          <w:rFonts w:cs="Calibri Light"/>
          <w:szCs w:val="22"/>
        </w:rPr>
        <w:t xml:space="preserve">activity, </w:t>
      </w:r>
      <w:r>
        <w:rPr>
          <w:rFonts w:cs="Calibri Light"/>
          <w:szCs w:val="22"/>
        </w:rPr>
        <w:t>the r</w:t>
      </w:r>
      <w:r w:rsidRPr="00446547">
        <w:rPr>
          <w:rFonts w:cs="Calibri Light"/>
          <w:szCs w:val="22"/>
        </w:rPr>
        <w:t>oll out of new portal</w:t>
      </w:r>
      <w:r w:rsidR="007618AA">
        <w:rPr>
          <w:rFonts w:cs="Calibri Light"/>
          <w:szCs w:val="22"/>
        </w:rPr>
        <w:t>s</w:t>
      </w:r>
      <w:r>
        <w:rPr>
          <w:rFonts w:cs="Calibri Light"/>
          <w:szCs w:val="22"/>
        </w:rPr>
        <w:t xml:space="preserve"> and </w:t>
      </w:r>
      <w:r w:rsidRPr="00446547">
        <w:rPr>
          <w:rFonts w:cs="Calibri Light"/>
          <w:szCs w:val="22"/>
        </w:rPr>
        <w:t>software</w:t>
      </w:r>
      <w:r>
        <w:rPr>
          <w:rFonts w:cs="Calibri Light"/>
          <w:szCs w:val="22"/>
        </w:rPr>
        <w:t xml:space="preserve"> and </w:t>
      </w:r>
      <w:r w:rsidRPr="00446547">
        <w:rPr>
          <w:rFonts w:cs="Calibri Light"/>
          <w:szCs w:val="22"/>
        </w:rPr>
        <w:t>technology</w:t>
      </w:r>
      <w:r w:rsidR="00B6384F">
        <w:rPr>
          <w:rFonts w:cs="Calibri Light"/>
          <w:szCs w:val="22"/>
        </w:rPr>
        <w:t xml:space="preserve">, and thematic surveillances that review compliance by entities with their </w:t>
      </w:r>
      <w:r w:rsidR="007959A3">
        <w:rPr>
          <w:rFonts w:cs="Calibri Light"/>
          <w:szCs w:val="22"/>
        </w:rPr>
        <w:t xml:space="preserve">existing </w:t>
      </w:r>
      <w:r w:rsidR="00B6384F">
        <w:rPr>
          <w:rFonts w:cs="Calibri Light"/>
          <w:szCs w:val="22"/>
        </w:rPr>
        <w:t>obligations</w:t>
      </w:r>
      <w:r w:rsidR="000D63BF">
        <w:rPr>
          <w:rFonts w:cs="Calibri Light"/>
          <w:szCs w:val="22"/>
        </w:rPr>
        <w:t>.</w:t>
      </w:r>
    </w:p>
    <w:p w14:paraId="5E4F8371" w14:textId="5C142D6D" w:rsidR="004E39D5" w:rsidRPr="004E39D5" w:rsidRDefault="004E39D5" w:rsidP="00B54CF6">
      <w:pPr>
        <w:rPr>
          <w:rFonts w:cs="Calibri Light"/>
          <w:b/>
          <w:bCs/>
          <w:szCs w:val="22"/>
        </w:rPr>
      </w:pPr>
      <w:r w:rsidRPr="004E39D5">
        <w:rPr>
          <w:rFonts w:cs="Calibri Light"/>
          <w:b/>
          <w:bCs/>
          <w:szCs w:val="22"/>
        </w:rPr>
        <w:t>Forward calendar</w:t>
      </w:r>
    </w:p>
    <w:tbl>
      <w:tblPr>
        <w:tblW w:w="5000" w:type="pct"/>
        <w:tblInd w:w="-1" w:type="dxa"/>
        <w:tblBorders>
          <w:bottom w:val="single" w:sz="4" w:space="0" w:color="90B6F0"/>
          <w:insideH w:val="single" w:sz="4" w:space="0" w:color="5D779D" w:themeColor="accent3"/>
          <w:insideV w:val="single" w:sz="4" w:space="0" w:color="FFFFFF" w:themeColor="background1"/>
        </w:tblBorders>
        <w:tblLayout w:type="fixed"/>
        <w:tblCellMar>
          <w:left w:w="85" w:type="dxa"/>
          <w:right w:w="85" w:type="dxa"/>
        </w:tblCellMar>
        <w:tblLook w:val="04A0" w:firstRow="1" w:lastRow="0" w:firstColumn="1" w:lastColumn="0" w:noHBand="0" w:noVBand="1"/>
      </w:tblPr>
      <w:tblGrid>
        <w:gridCol w:w="849"/>
        <w:gridCol w:w="1247"/>
        <w:gridCol w:w="4286"/>
        <w:gridCol w:w="1270"/>
        <w:gridCol w:w="1270"/>
        <w:gridCol w:w="1270"/>
        <w:gridCol w:w="1270"/>
        <w:gridCol w:w="1270"/>
        <w:gridCol w:w="1270"/>
      </w:tblGrid>
      <w:tr w:rsidR="00442EED" w:rsidRPr="00AF43B7" w14:paraId="370E40DD" w14:textId="77777777" w:rsidTr="410CE694">
        <w:trPr>
          <w:cantSplit/>
          <w:trHeight w:val="42"/>
          <w:tblHeader/>
        </w:trPr>
        <w:tc>
          <w:tcPr>
            <w:tcW w:w="849" w:type="dxa"/>
            <w:tcBorders>
              <w:top w:val="nil"/>
              <w:bottom w:val="single" w:sz="4" w:space="0" w:color="5D779D" w:themeColor="accent3"/>
            </w:tcBorders>
            <w:shd w:val="clear" w:color="auto" w:fill="AEBBCE"/>
            <w:hideMark/>
          </w:tcPr>
          <w:p w14:paraId="10A81224" w14:textId="77777777" w:rsidR="00A42B14" w:rsidRPr="00E7433A" w:rsidRDefault="00A42B14" w:rsidP="00A56D83">
            <w:pPr>
              <w:pStyle w:val="TableColumnHeadingLeft"/>
            </w:pPr>
            <w:r w:rsidRPr="00E7433A">
              <w:t>Agency </w:t>
            </w:r>
          </w:p>
        </w:tc>
        <w:tc>
          <w:tcPr>
            <w:tcW w:w="1247" w:type="dxa"/>
            <w:tcBorders>
              <w:top w:val="nil"/>
              <w:bottom w:val="single" w:sz="4" w:space="0" w:color="5D779D" w:themeColor="accent3"/>
            </w:tcBorders>
            <w:shd w:val="clear" w:color="auto" w:fill="AEBBCE"/>
          </w:tcPr>
          <w:p w14:paraId="1ACCAC26" w14:textId="77777777" w:rsidR="00A42B14" w:rsidRPr="00AF43B7" w:rsidRDefault="00A42B14" w:rsidP="00A56D83">
            <w:pPr>
              <w:pStyle w:val="TableColumnHeadingLeft"/>
            </w:pPr>
            <w:r>
              <w:t>Sector</w:t>
            </w:r>
          </w:p>
        </w:tc>
        <w:tc>
          <w:tcPr>
            <w:tcW w:w="4286" w:type="dxa"/>
            <w:tcBorders>
              <w:top w:val="nil"/>
              <w:bottom w:val="single" w:sz="4" w:space="0" w:color="5D779D" w:themeColor="accent3"/>
            </w:tcBorders>
            <w:shd w:val="clear" w:color="auto" w:fill="AEBBCE"/>
          </w:tcPr>
          <w:p w14:paraId="25A9F65F" w14:textId="5F9F57EA" w:rsidR="00A42B14" w:rsidRPr="00AF43B7" w:rsidRDefault="00A42B14" w:rsidP="00A56D83">
            <w:pPr>
              <w:pStyle w:val="TableColumnHeadingLeft"/>
            </w:pPr>
            <w:r w:rsidRPr="00AF43B7">
              <w:t>Initiative </w:t>
            </w:r>
          </w:p>
        </w:tc>
        <w:tc>
          <w:tcPr>
            <w:tcW w:w="1270" w:type="dxa"/>
            <w:tcBorders>
              <w:top w:val="nil"/>
              <w:bottom w:val="single" w:sz="4" w:space="0" w:color="5D779D" w:themeColor="accent3"/>
            </w:tcBorders>
            <w:shd w:val="clear" w:color="auto" w:fill="AEBBCE"/>
            <w:hideMark/>
          </w:tcPr>
          <w:p w14:paraId="045D7255" w14:textId="2706E651" w:rsidR="00A42B14" w:rsidRPr="00AF43B7" w:rsidRDefault="00A42B14" w:rsidP="00A56D83">
            <w:pPr>
              <w:pStyle w:val="TableColumnHeadingLeft"/>
            </w:pPr>
            <w:r w:rsidRPr="00AF43B7">
              <w:t>Q1 2025</w:t>
            </w:r>
            <w:r w:rsidR="004E39D5">
              <w:t xml:space="preserve"> </w:t>
            </w:r>
            <w:r w:rsidR="004E39D5" w:rsidRPr="004E39D5">
              <w:t>activity</w:t>
            </w:r>
          </w:p>
        </w:tc>
        <w:tc>
          <w:tcPr>
            <w:tcW w:w="1270" w:type="dxa"/>
            <w:tcBorders>
              <w:top w:val="nil"/>
              <w:bottom w:val="single" w:sz="4" w:space="0" w:color="5D779D" w:themeColor="accent3"/>
            </w:tcBorders>
            <w:shd w:val="clear" w:color="auto" w:fill="AEBBCE"/>
          </w:tcPr>
          <w:p w14:paraId="0FF7D5DD" w14:textId="483AB1A8" w:rsidR="00A42B14" w:rsidRPr="00AF43B7" w:rsidRDefault="00A42B14" w:rsidP="00A56D83">
            <w:pPr>
              <w:pStyle w:val="TableColumnHeadingLeft"/>
            </w:pPr>
            <w:r w:rsidRPr="00AF43B7">
              <w:t>Q2 2025</w:t>
            </w:r>
            <w:r w:rsidR="004E39D5">
              <w:t xml:space="preserve"> </w:t>
            </w:r>
            <w:r w:rsidR="004E39D5" w:rsidRPr="004E39D5">
              <w:t>activity</w:t>
            </w:r>
          </w:p>
        </w:tc>
        <w:tc>
          <w:tcPr>
            <w:tcW w:w="1270" w:type="dxa"/>
            <w:tcBorders>
              <w:top w:val="nil"/>
              <w:bottom w:val="single" w:sz="4" w:space="0" w:color="5D779D" w:themeColor="accent3"/>
            </w:tcBorders>
            <w:shd w:val="clear" w:color="auto" w:fill="AEBBCE"/>
          </w:tcPr>
          <w:p w14:paraId="31D42E7E" w14:textId="5158A0CB" w:rsidR="00A42B14" w:rsidRPr="00AF43B7" w:rsidRDefault="00A42B14" w:rsidP="00A56D83">
            <w:pPr>
              <w:pStyle w:val="TableColumnHeadingLeft"/>
            </w:pPr>
            <w:r w:rsidRPr="00AF43B7">
              <w:t>Q3 2025</w:t>
            </w:r>
            <w:r w:rsidR="004E39D5">
              <w:t xml:space="preserve"> </w:t>
            </w:r>
            <w:r w:rsidR="004E39D5" w:rsidRPr="004E39D5">
              <w:t>activity</w:t>
            </w:r>
          </w:p>
        </w:tc>
        <w:tc>
          <w:tcPr>
            <w:tcW w:w="1270" w:type="dxa"/>
            <w:tcBorders>
              <w:top w:val="nil"/>
              <w:bottom w:val="single" w:sz="4" w:space="0" w:color="5D779D" w:themeColor="accent3"/>
            </w:tcBorders>
            <w:shd w:val="clear" w:color="auto" w:fill="AEBBCE"/>
          </w:tcPr>
          <w:p w14:paraId="34085BE2" w14:textId="38EAED5F" w:rsidR="00A42B14" w:rsidRPr="00AF43B7" w:rsidRDefault="00A42B14" w:rsidP="00A56D83">
            <w:pPr>
              <w:pStyle w:val="TableColumnHeadingLeft"/>
            </w:pPr>
            <w:r w:rsidRPr="00AF43B7">
              <w:t>Q4 2025</w:t>
            </w:r>
            <w:r w:rsidR="004E39D5">
              <w:t xml:space="preserve"> </w:t>
            </w:r>
            <w:r w:rsidR="004E39D5" w:rsidRPr="004E39D5">
              <w:t>activity</w:t>
            </w:r>
          </w:p>
        </w:tc>
        <w:tc>
          <w:tcPr>
            <w:tcW w:w="1270" w:type="dxa"/>
            <w:tcBorders>
              <w:top w:val="nil"/>
              <w:bottom w:val="single" w:sz="4" w:space="0" w:color="5D779D" w:themeColor="accent3"/>
            </w:tcBorders>
            <w:shd w:val="clear" w:color="auto" w:fill="AEBBCE"/>
          </w:tcPr>
          <w:p w14:paraId="3FB9CB36" w14:textId="73EB9FE9" w:rsidR="00A42B14" w:rsidRPr="00AF43B7" w:rsidRDefault="00A42B14" w:rsidP="00A56D83">
            <w:pPr>
              <w:pStyle w:val="TableColumnHeadingLeft"/>
            </w:pPr>
            <w:r w:rsidRPr="00AF43B7">
              <w:t>H1 2026</w:t>
            </w:r>
            <w:r w:rsidR="004E39D5">
              <w:t xml:space="preserve"> </w:t>
            </w:r>
            <w:r w:rsidR="004E39D5" w:rsidRPr="004E39D5">
              <w:t>activity</w:t>
            </w:r>
          </w:p>
        </w:tc>
        <w:tc>
          <w:tcPr>
            <w:tcW w:w="1270" w:type="dxa"/>
            <w:tcBorders>
              <w:top w:val="nil"/>
              <w:bottom w:val="single" w:sz="4" w:space="0" w:color="5D779D" w:themeColor="accent3"/>
            </w:tcBorders>
            <w:shd w:val="clear" w:color="auto" w:fill="AEBBCE"/>
          </w:tcPr>
          <w:p w14:paraId="55B5B5DA" w14:textId="024207EE" w:rsidR="00A42B14" w:rsidRPr="00AF43B7" w:rsidRDefault="00A42B14" w:rsidP="00A56D83">
            <w:pPr>
              <w:pStyle w:val="TableColumnHeadingLeft"/>
            </w:pPr>
            <w:r w:rsidRPr="00AF43B7">
              <w:t>H2 2026</w:t>
            </w:r>
            <w:r w:rsidR="004E39D5">
              <w:t xml:space="preserve"> </w:t>
            </w:r>
            <w:r w:rsidR="004E39D5" w:rsidRPr="004E39D5">
              <w:t>activity</w:t>
            </w:r>
          </w:p>
        </w:tc>
      </w:tr>
      <w:tr w:rsidR="00442EED" w:rsidRPr="00AF43B7" w14:paraId="04E9F93D" w14:textId="77777777" w:rsidTr="410CE694">
        <w:trPr>
          <w:cantSplit/>
          <w:trHeight w:val="410"/>
        </w:trPr>
        <w:tc>
          <w:tcPr>
            <w:tcW w:w="849" w:type="dxa"/>
            <w:tcBorders>
              <w:top w:val="single" w:sz="4" w:space="0" w:color="5D779D" w:themeColor="accent3"/>
              <w:bottom w:val="single" w:sz="4" w:space="0" w:color="5D779D" w:themeColor="accent3"/>
            </w:tcBorders>
            <w:shd w:val="clear" w:color="auto" w:fill="auto"/>
          </w:tcPr>
          <w:p w14:paraId="7A3FEB5D" w14:textId="241D8ECB" w:rsidR="001E0387" w:rsidRPr="00E7433A" w:rsidRDefault="001E0387" w:rsidP="00097CAA">
            <w:pPr>
              <w:pStyle w:val="TableLeadAgency"/>
            </w:pPr>
            <w:r w:rsidRPr="00E7433A">
              <w:t>ATO</w:t>
            </w:r>
          </w:p>
        </w:tc>
        <w:tc>
          <w:tcPr>
            <w:tcW w:w="1247" w:type="dxa"/>
            <w:tcBorders>
              <w:top w:val="single" w:sz="4" w:space="0" w:color="5D779D" w:themeColor="accent3"/>
              <w:bottom w:val="single" w:sz="4" w:space="0" w:color="5D779D" w:themeColor="accent3"/>
            </w:tcBorders>
          </w:tcPr>
          <w:p w14:paraId="01355702" w14:textId="27CE114A" w:rsidR="001E0387" w:rsidRPr="009A5125" w:rsidRDefault="001E0387" w:rsidP="001E0387">
            <w:pPr>
              <w:pStyle w:val="TableTextLeft"/>
            </w:pPr>
            <w:r>
              <w:t xml:space="preserve">All </w:t>
            </w:r>
          </w:p>
        </w:tc>
        <w:tc>
          <w:tcPr>
            <w:tcW w:w="4286" w:type="dxa"/>
            <w:tcBorders>
              <w:top w:val="single" w:sz="4" w:space="0" w:color="5D779D" w:themeColor="accent3"/>
              <w:bottom w:val="single" w:sz="4" w:space="0" w:color="5D779D" w:themeColor="accent3"/>
            </w:tcBorders>
          </w:tcPr>
          <w:p w14:paraId="43DD0751" w14:textId="4F776FEB" w:rsidR="001E0387" w:rsidRPr="000A4B96" w:rsidRDefault="001D4D7F" w:rsidP="001E0387">
            <w:pPr>
              <w:pStyle w:val="TableTextLeft"/>
              <w:rPr>
                <w:u w:val="single"/>
              </w:rPr>
            </w:pPr>
            <w:hyperlink r:id="rId76" w:anchor="ato-4194Capitalraisedforthepurposeoffundingfrankeddistributionsnew" w:history="1">
              <w:r w:rsidR="001E0387" w:rsidRPr="000A4B96">
                <w:rPr>
                  <w:rStyle w:val="Hyperlink"/>
                  <w:u w:val="single"/>
                </w:rPr>
                <w:t>Capital raised for the purpose of funding franked distributions –</w:t>
              </w:r>
              <w:r w:rsidR="001E0387">
                <w:t xml:space="preserve"> </w:t>
              </w:r>
              <w:r w:rsidR="001E0387" w:rsidRPr="004813B9">
                <w:rPr>
                  <w:rStyle w:val="Hyperlink"/>
                  <w:u w:val="single"/>
                </w:rPr>
                <w:t xml:space="preserve">ATO compliance approach – </w:t>
              </w:r>
              <w:r w:rsidR="001E0387" w:rsidRPr="000A4B96">
                <w:rPr>
                  <w:rStyle w:val="Hyperlink"/>
                  <w:u w:val="single"/>
                </w:rPr>
                <w:t>Practical Compliance Guideline (ATO guidance reference number 4194)</w:t>
              </w:r>
            </w:hyperlink>
          </w:p>
          <w:p w14:paraId="1CAF82E2" w14:textId="56DBACF5" w:rsidR="001E0387" w:rsidRDefault="001E0387" w:rsidP="001E0387">
            <w:pPr>
              <w:pStyle w:val="TableTextLeft"/>
            </w:pPr>
            <w:r>
              <w:t>This draft Practical Compliance Guideline outlines the framework used to assess the level of risk of the integrity measure in section 207</w:t>
            </w:r>
            <w:r w:rsidR="0008745D">
              <w:noBreakHyphen/>
            </w:r>
            <w:r>
              <w:t xml:space="preserve">159 of the </w:t>
            </w:r>
            <w:r>
              <w:rPr>
                <w:i/>
                <w:iCs/>
              </w:rPr>
              <w:t>Income Tax Assessment Act</w:t>
            </w:r>
            <w:r w:rsidR="003754EE">
              <w:rPr>
                <w:i/>
                <w:iCs/>
              </w:rPr>
              <w:t> </w:t>
            </w:r>
            <w:r>
              <w:rPr>
                <w:i/>
                <w:iCs/>
              </w:rPr>
              <w:t>1997</w:t>
            </w:r>
            <w:r>
              <w:t xml:space="preserve"> applying to deny franking credits attached to a distribution. The Guideline outlines what features and types of documentation are relevant when considering whether an arrangement is low or high risk. Taxpayers can use this Guideline to understand the types of arrangements to which </w:t>
            </w:r>
            <w:r w:rsidR="00F543DC">
              <w:t>the ATO</w:t>
            </w:r>
            <w:r>
              <w:t xml:space="preserve"> would apply compliance resources.</w:t>
            </w:r>
          </w:p>
          <w:p w14:paraId="7657A3E4" w14:textId="3CE1834D" w:rsidR="001E0387" w:rsidRPr="00656325" w:rsidRDefault="001E0387" w:rsidP="00656325">
            <w:pPr>
              <w:pStyle w:val="TableTextLeft"/>
            </w:pPr>
            <w:r>
              <w:t>Final guidance is expected to be issued in 2025, following consultation on draft guidance.</w:t>
            </w:r>
          </w:p>
        </w:tc>
        <w:tc>
          <w:tcPr>
            <w:tcW w:w="1270" w:type="dxa"/>
            <w:tcBorders>
              <w:top w:val="single" w:sz="4" w:space="0" w:color="5D779D" w:themeColor="accent3"/>
              <w:bottom w:val="single" w:sz="4" w:space="0" w:color="5D779D" w:themeColor="accent3"/>
            </w:tcBorders>
            <w:shd w:val="clear" w:color="auto" w:fill="DFE4EB"/>
          </w:tcPr>
          <w:p w14:paraId="1B375C90" w14:textId="3BBD5577" w:rsidR="001E0387" w:rsidDel="009A5125" w:rsidRDefault="001E0387" w:rsidP="001E0387">
            <w:pPr>
              <w:pStyle w:val="TableTextLeft"/>
            </w:pPr>
            <w:r w:rsidRPr="0008019A">
              <w:rPr>
                <w:rFonts w:cs="Calibri Light"/>
                <w:szCs w:val="16"/>
              </w:rPr>
              <w:t>Consultation on draft guidance</w:t>
            </w:r>
          </w:p>
        </w:tc>
        <w:tc>
          <w:tcPr>
            <w:tcW w:w="1270" w:type="dxa"/>
            <w:tcBorders>
              <w:top w:val="single" w:sz="4" w:space="0" w:color="5D779D" w:themeColor="accent3"/>
              <w:bottom w:val="single" w:sz="4" w:space="0" w:color="5D779D" w:themeColor="accent3"/>
            </w:tcBorders>
            <w:shd w:val="clear" w:color="auto" w:fill="DFE4EB"/>
          </w:tcPr>
          <w:p w14:paraId="35E6D38F" w14:textId="77777777" w:rsidR="001E0387" w:rsidRPr="00CF7C7F" w:rsidRDefault="001E0387" w:rsidP="001E0387">
            <w:pPr>
              <w:pStyle w:val="TableTextLeft"/>
            </w:pPr>
          </w:p>
        </w:tc>
        <w:tc>
          <w:tcPr>
            <w:tcW w:w="1270" w:type="dxa"/>
            <w:tcBorders>
              <w:top w:val="single" w:sz="4" w:space="0" w:color="5D779D" w:themeColor="accent3"/>
              <w:bottom w:val="single" w:sz="4" w:space="0" w:color="5D779D" w:themeColor="accent3"/>
            </w:tcBorders>
            <w:shd w:val="clear" w:color="auto" w:fill="DFE4EB"/>
          </w:tcPr>
          <w:p w14:paraId="734EE738" w14:textId="77777777" w:rsidR="001E0387" w:rsidRPr="00CF7C7F" w:rsidRDefault="001E0387" w:rsidP="001E0387">
            <w:pPr>
              <w:pStyle w:val="TableTextLeft"/>
            </w:pPr>
          </w:p>
        </w:tc>
        <w:tc>
          <w:tcPr>
            <w:tcW w:w="1270" w:type="dxa"/>
            <w:tcBorders>
              <w:top w:val="single" w:sz="4" w:space="0" w:color="5D779D" w:themeColor="accent3"/>
              <w:bottom w:val="single" w:sz="4" w:space="0" w:color="5D779D" w:themeColor="accent3"/>
            </w:tcBorders>
            <w:shd w:val="clear" w:color="auto" w:fill="DFE4EB"/>
          </w:tcPr>
          <w:p w14:paraId="35093A1E" w14:textId="77777777" w:rsidR="001E0387" w:rsidRPr="00CF7C7F" w:rsidRDefault="001E0387" w:rsidP="001E0387">
            <w:pPr>
              <w:pStyle w:val="TableTextLeft"/>
            </w:pPr>
          </w:p>
        </w:tc>
        <w:tc>
          <w:tcPr>
            <w:tcW w:w="1270" w:type="dxa"/>
            <w:tcBorders>
              <w:top w:val="single" w:sz="4" w:space="0" w:color="5D779D" w:themeColor="accent3"/>
              <w:bottom w:val="single" w:sz="4" w:space="0" w:color="5D779D" w:themeColor="accent3"/>
            </w:tcBorders>
            <w:shd w:val="clear" w:color="auto" w:fill="EFF1F5"/>
          </w:tcPr>
          <w:p w14:paraId="3E076498" w14:textId="77777777" w:rsidR="001E0387" w:rsidRPr="00CF7C7F" w:rsidRDefault="001E0387" w:rsidP="001E0387">
            <w:pPr>
              <w:pStyle w:val="TableTextLeft"/>
            </w:pPr>
          </w:p>
        </w:tc>
        <w:tc>
          <w:tcPr>
            <w:tcW w:w="1270" w:type="dxa"/>
            <w:tcBorders>
              <w:top w:val="single" w:sz="4" w:space="0" w:color="5D779D" w:themeColor="accent3"/>
              <w:bottom w:val="single" w:sz="4" w:space="0" w:color="5D779D" w:themeColor="accent3"/>
            </w:tcBorders>
            <w:shd w:val="clear" w:color="auto" w:fill="EFF1F5"/>
          </w:tcPr>
          <w:p w14:paraId="3CAAF0F0" w14:textId="77777777" w:rsidR="00B1504E" w:rsidRPr="00B1504E" w:rsidRDefault="00B1504E" w:rsidP="002C656E">
            <w:pPr>
              <w:pStyle w:val="TableTextLeft"/>
            </w:pPr>
          </w:p>
        </w:tc>
      </w:tr>
      <w:tr w:rsidR="00442EED" w:rsidRPr="00AF43B7" w14:paraId="2C7525AB" w14:textId="77777777" w:rsidTr="004C44DF">
        <w:trPr>
          <w:cantSplit/>
          <w:trHeight w:val="410"/>
        </w:trPr>
        <w:tc>
          <w:tcPr>
            <w:tcW w:w="849" w:type="dxa"/>
            <w:tcBorders>
              <w:top w:val="single" w:sz="4" w:space="0" w:color="5D779D" w:themeColor="accent3"/>
              <w:bottom w:val="single" w:sz="4" w:space="0" w:color="5D779D" w:themeColor="accent3"/>
            </w:tcBorders>
            <w:shd w:val="clear" w:color="auto" w:fill="auto"/>
          </w:tcPr>
          <w:p w14:paraId="48D9A1E5" w14:textId="271E12E8" w:rsidR="009A5125" w:rsidRPr="00E7433A" w:rsidRDefault="009A5125" w:rsidP="00097CAA">
            <w:pPr>
              <w:pStyle w:val="TableLeadAgency"/>
            </w:pPr>
            <w:r w:rsidRPr="00E7433A">
              <w:t xml:space="preserve">TSY </w:t>
            </w:r>
          </w:p>
          <w:p w14:paraId="602499E8" w14:textId="002B5084" w:rsidR="009A5125" w:rsidRPr="00E7433A" w:rsidRDefault="009A5125" w:rsidP="00097CAA">
            <w:pPr>
              <w:pStyle w:val="TableSecondaryAgency"/>
            </w:pPr>
            <w:r w:rsidRPr="00E7433A">
              <w:t xml:space="preserve">ASIC </w:t>
            </w:r>
          </w:p>
          <w:p w14:paraId="4E7AA47C" w14:textId="1FBD0FFF" w:rsidR="00A42B14" w:rsidRPr="00E7433A" w:rsidRDefault="009A5125" w:rsidP="00097CAA">
            <w:pPr>
              <w:pStyle w:val="TableSecondaryAgency"/>
              <w:rPr>
                <w:b/>
              </w:rPr>
            </w:pPr>
            <w:r w:rsidRPr="00E7433A">
              <w:t>Other</w:t>
            </w:r>
          </w:p>
        </w:tc>
        <w:tc>
          <w:tcPr>
            <w:tcW w:w="1247" w:type="dxa"/>
            <w:tcBorders>
              <w:top w:val="single" w:sz="4" w:space="0" w:color="5D779D" w:themeColor="accent3"/>
              <w:bottom w:val="single" w:sz="4" w:space="0" w:color="5D779D" w:themeColor="accent3"/>
            </w:tcBorders>
          </w:tcPr>
          <w:p w14:paraId="520503C9" w14:textId="331B7C0F" w:rsidR="00A42B14" w:rsidRPr="00B052EB" w:rsidRDefault="009A5125" w:rsidP="00B052EB">
            <w:pPr>
              <w:pStyle w:val="TableTextLeft"/>
            </w:pPr>
            <w:r w:rsidRPr="00B052EB">
              <w:t>All</w:t>
            </w:r>
          </w:p>
        </w:tc>
        <w:tc>
          <w:tcPr>
            <w:tcW w:w="4286" w:type="dxa"/>
            <w:tcBorders>
              <w:top w:val="single" w:sz="4" w:space="0" w:color="5D779D" w:themeColor="accent3"/>
              <w:bottom w:val="single" w:sz="4" w:space="0" w:color="5D779D" w:themeColor="accent3"/>
            </w:tcBorders>
          </w:tcPr>
          <w:p w14:paraId="7AE05F4F" w14:textId="63470D2F" w:rsidR="009A5125" w:rsidRPr="000A4B96" w:rsidRDefault="001D4D7F" w:rsidP="00FD3484">
            <w:pPr>
              <w:pStyle w:val="TableLink"/>
              <w:rPr>
                <w:rStyle w:val="Hyperlink"/>
                <w:b/>
                <w:bCs/>
                <w:u w:val="single"/>
              </w:rPr>
            </w:pPr>
            <w:hyperlink r:id="rId77" w:history="1">
              <w:r w:rsidR="009A5125" w:rsidRPr="000A4B96">
                <w:rPr>
                  <w:rStyle w:val="Hyperlink"/>
                  <w:b/>
                  <w:bCs/>
                  <w:u w:val="single"/>
                </w:rPr>
                <w:t>Climate</w:t>
              </w:r>
              <w:r w:rsidR="0008745D">
                <w:rPr>
                  <w:rStyle w:val="Hyperlink"/>
                  <w:b/>
                  <w:bCs/>
                  <w:u w:val="single"/>
                </w:rPr>
                <w:noBreakHyphen/>
              </w:r>
              <w:r w:rsidR="009A5125" w:rsidRPr="000A4B96">
                <w:rPr>
                  <w:rStyle w:val="Hyperlink"/>
                  <w:b/>
                  <w:bCs/>
                  <w:u w:val="single"/>
                </w:rPr>
                <w:t>related financial disclosures</w:t>
              </w:r>
            </w:hyperlink>
          </w:p>
          <w:p w14:paraId="15A9C5A1" w14:textId="4555B883" w:rsidR="001E0387" w:rsidRDefault="001E0387" w:rsidP="001E0387">
            <w:pPr>
              <w:pStyle w:val="TableTextLeft"/>
              <w:rPr>
                <w:color w:val="auto"/>
                <w:lang w:eastAsia="en-US"/>
              </w:rPr>
            </w:pPr>
            <w:r w:rsidRPr="00BB5692">
              <w:rPr>
                <w:bCs/>
                <w:color w:val="auto"/>
                <w:lang w:eastAsia="en-US"/>
              </w:rPr>
              <w:t>The Government is implementing mandatory climate</w:t>
            </w:r>
            <w:r w:rsidR="0008745D">
              <w:rPr>
                <w:bCs/>
                <w:color w:val="auto"/>
                <w:lang w:eastAsia="en-US"/>
              </w:rPr>
              <w:noBreakHyphen/>
            </w:r>
            <w:r w:rsidRPr="00BB5692">
              <w:rPr>
                <w:bCs/>
                <w:color w:val="auto"/>
                <w:lang w:eastAsia="en-US"/>
              </w:rPr>
              <w:t xml:space="preserve">related financial disclosure requirements for large businesses and financial institutions. Legislation received </w:t>
            </w:r>
            <w:r>
              <w:rPr>
                <w:bCs/>
                <w:color w:val="auto"/>
                <w:lang w:eastAsia="en-US"/>
              </w:rPr>
              <w:t>R</w:t>
            </w:r>
            <w:r w:rsidRPr="00BB5692">
              <w:rPr>
                <w:bCs/>
                <w:color w:val="auto"/>
                <w:lang w:eastAsia="en-US"/>
              </w:rPr>
              <w:t xml:space="preserve">oyal </w:t>
            </w:r>
            <w:r>
              <w:rPr>
                <w:bCs/>
                <w:color w:val="auto"/>
                <w:lang w:eastAsia="en-US"/>
              </w:rPr>
              <w:t>A</w:t>
            </w:r>
            <w:r w:rsidRPr="00BB5692">
              <w:rPr>
                <w:bCs/>
                <w:color w:val="auto"/>
                <w:lang w:eastAsia="en-US"/>
              </w:rPr>
              <w:t>ssent on 17 September 2024 and requirements will phase in for different</w:t>
            </w:r>
            <w:r w:rsidR="0008745D">
              <w:rPr>
                <w:bCs/>
                <w:color w:val="auto"/>
                <w:lang w:eastAsia="en-US"/>
              </w:rPr>
              <w:noBreakHyphen/>
            </w:r>
            <w:r w:rsidRPr="00BB5692">
              <w:rPr>
                <w:bCs/>
                <w:color w:val="auto"/>
                <w:lang w:eastAsia="en-US"/>
              </w:rPr>
              <w:t>sized entities, commencing 1 January 2025.</w:t>
            </w:r>
            <w:r>
              <w:t xml:space="preserve"> </w:t>
            </w:r>
          </w:p>
          <w:p w14:paraId="308F5ECB" w14:textId="2722B935" w:rsidR="00A12B8A" w:rsidRPr="005B4E8E" w:rsidRDefault="00E824A9" w:rsidP="005B4E8E">
            <w:pPr>
              <w:pStyle w:val="TableLink"/>
              <w:spacing w:line="256" w:lineRule="auto"/>
              <w:rPr>
                <w:b w:val="0"/>
                <w:bCs/>
                <w:color w:val="auto"/>
              </w:rPr>
            </w:pPr>
            <w:r>
              <w:rPr>
                <w:b w:val="0"/>
                <w:bCs/>
                <w:color w:val="auto"/>
                <w:lang w:eastAsia="en-US"/>
              </w:rPr>
              <w:t>ASIC proposes to publish a regulatory guide to help reporting entities comply with the new sustainability reporting obligations and to explain ASIC</w:t>
            </w:r>
            <w:r w:rsidR="0008745D">
              <w:rPr>
                <w:b w:val="0"/>
                <w:bCs/>
                <w:color w:val="auto"/>
                <w:lang w:eastAsia="en-US"/>
              </w:rPr>
              <w:t>’</w:t>
            </w:r>
            <w:r>
              <w:rPr>
                <w:b w:val="0"/>
                <w:bCs/>
                <w:color w:val="auto"/>
                <w:lang w:eastAsia="en-US"/>
              </w:rPr>
              <w:t>s approach to administration of the regime</w:t>
            </w:r>
            <w:r w:rsidR="001E0387">
              <w:rPr>
                <w:b w:val="0"/>
                <w:bCs/>
                <w:color w:val="auto"/>
                <w:lang w:eastAsia="en-US"/>
              </w:rPr>
              <w:t>.</w:t>
            </w:r>
            <w:r w:rsidR="006B4428">
              <w:rPr>
                <w:rFonts w:cs="Calibri Light"/>
                <w:color w:val="00B050"/>
                <w:szCs w:val="16"/>
              </w:rPr>
              <w:t xml:space="preserve"> </w:t>
            </w:r>
          </w:p>
        </w:tc>
        <w:tc>
          <w:tcPr>
            <w:tcW w:w="1270" w:type="dxa"/>
            <w:tcBorders>
              <w:top w:val="single" w:sz="4" w:space="0" w:color="5D779D" w:themeColor="accent3"/>
              <w:bottom w:val="single" w:sz="4" w:space="0" w:color="5D779D" w:themeColor="accent3"/>
            </w:tcBorders>
            <w:shd w:val="clear" w:color="auto" w:fill="DFE4EB"/>
          </w:tcPr>
          <w:p w14:paraId="44EDD1F0" w14:textId="48E70B14" w:rsidR="00A42B14" w:rsidRPr="00B052EB" w:rsidRDefault="2DA6CDDA" w:rsidP="00B052EB">
            <w:pPr>
              <w:pStyle w:val="TableTextLeft"/>
            </w:pPr>
            <w:r w:rsidRPr="00B052EB">
              <w:t>Applies to financial years commencing</w:t>
            </w:r>
            <w:r w:rsidR="009A5125" w:rsidRPr="00B052EB">
              <w:t xml:space="preserve"> 1</w:t>
            </w:r>
            <w:r w:rsidR="008154F1" w:rsidRPr="00B052EB">
              <w:t> </w:t>
            </w:r>
            <w:r w:rsidR="009A5125" w:rsidRPr="00B052EB">
              <w:t>January</w:t>
            </w:r>
            <w:r w:rsidR="008154F1" w:rsidRPr="00B052EB">
              <w:t> </w:t>
            </w:r>
            <w:r w:rsidR="009A5125" w:rsidRPr="00B052EB">
              <w:t>2025</w:t>
            </w:r>
            <w:r w:rsidR="0008745D" w:rsidRPr="00B052EB">
              <w:t xml:space="preserve">. </w:t>
            </w:r>
          </w:p>
          <w:p w14:paraId="07346479" w14:textId="19F68AA6" w:rsidR="00A42B14" w:rsidRPr="00B052EB" w:rsidRDefault="001E0387" w:rsidP="00B052EB">
            <w:pPr>
              <w:pStyle w:val="TableTextLeft"/>
            </w:pPr>
            <w:r w:rsidRPr="00B052EB">
              <w:t>Updated</w:t>
            </w:r>
            <w:r w:rsidR="00E824A9" w:rsidRPr="00B052EB">
              <w:t xml:space="preserve"> guidance published</w:t>
            </w:r>
          </w:p>
        </w:tc>
        <w:tc>
          <w:tcPr>
            <w:tcW w:w="1270" w:type="dxa"/>
            <w:tcBorders>
              <w:top w:val="single" w:sz="4" w:space="0" w:color="5D779D" w:themeColor="accent3"/>
              <w:bottom w:val="single" w:sz="4" w:space="0" w:color="5D779D" w:themeColor="accent3"/>
            </w:tcBorders>
            <w:shd w:val="clear" w:color="auto" w:fill="DFE4EB"/>
          </w:tcPr>
          <w:p w14:paraId="7FFF1772" w14:textId="77777777" w:rsidR="00A42B14" w:rsidRPr="00B052EB" w:rsidRDefault="00A42B14" w:rsidP="00B052EB">
            <w:pPr>
              <w:pStyle w:val="TableTextLeft"/>
            </w:pPr>
          </w:p>
        </w:tc>
        <w:tc>
          <w:tcPr>
            <w:tcW w:w="1270" w:type="dxa"/>
            <w:tcBorders>
              <w:top w:val="single" w:sz="4" w:space="0" w:color="5D779D" w:themeColor="accent3"/>
              <w:bottom w:val="single" w:sz="4" w:space="0" w:color="5D779D" w:themeColor="accent3"/>
            </w:tcBorders>
            <w:shd w:val="clear" w:color="auto" w:fill="DFE4EB"/>
          </w:tcPr>
          <w:p w14:paraId="78337808" w14:textId="77777777" w:rsidR="00A42B14" w:rsidRPr="00B052EB" w:rsidRDefault="00A42B14" w:rsidP="00B052EB">
            <w:pPr>
              <w:pStyle w:val="TableTextLeft"/>
            </w:pPr>
          </w:p>
        </w:tc>
        <w:tc>
          <w:tcPr>
            <w:tcW w:w="1270" w:type="dxa"/>
            <w:tcBorders>
              <w:top w:val="single" w:sz="4" w:space="0" w:color="5D779D" w:themeColor="accent3"/>
              <w:bottom w:val="single" w:sz="4" w:space="0" w:color="5D779D" w:themeColor="accent3"/>
            </w:tcBorders>
            <w:shd w:val="clear" w:color="auto" w:fill="DFE4EB"/>
          </w:tcPr>
          <w:p w14:paraId="6990C26A" w14:textId="77777777" w:rsidR="00A42B14" w:rsidRPr="00B052EB" w:rsidRDefault="00A42B14" w:rsidP="00B052EB">
            <w:pPr>
              <w:pStyle w:val="TableTextLeft"/>
            </w:pPr>
          </w:p>
        </w:tc>
        <w:tc>
          <w:tcPr>
            <w:tcW w:w="1270" w:type="dxa"/>
            <w:tcBorders>
              <w:top w:val="single" w:sz="4" w:space="0" w:color="5D779D" w:themeColor="accent3"/>
              <w:bottom w:val="single" w:sz="4" w:space="0" w:color="5D779D" w:themeColor="accent3"/>
            </w:tcBorders>
            <w:shd w:val="clear" w:color="auto" w:fill="EFF1F5"/>
          </w:tcPr>
          <w:p w14:paraId="717F51EB" w14:textId="77777777" w:rsidR="00A42B14" w:rsidRPr="00CF7C7F" w:rsidRDefault="00A42B14" w:rsidP="00CF7C7F">
            <w:pPr>
              <w:pStyle w:val="TableTextLeft"/>
            </w:pPr>
          </w:p>
        </w:tc>
        <w:tc>
          <w:tcPr>
            <w:tcW w:w="1270" w:type="dxa"/>
            <w:tcBorders>
              <w:top w:val="single" w:sz="4" w:space="0" w:color="5D779D" w:themeColor="accent3"/>
              <w:bottom w:val="single" w:sz="4" w:space="0" w:color="5D779D" w:themeColor="accent3"/>
            </w:tcBorders>
            <w:shd w:val="clear" w:color="auto" w:fill="EFF1F5"/>
          </w:tcPr>
          <w:p w14:paraId="3C76966A" w14:textId="77777777" w:rsidR="00A42B14" w:rsidRPr="00CF7C7F" w:rsidRDefault="00A42B14" w:rsidP="00CF7C7F">
            <w:pPr>
              <w:pStyle w:val="TableTextLeft"/>
            </w:pPr>
          </w:p>
        </w:tc>
      </w:tr>
      <w:tr w:rsidR="00442EED" w:rsidRPr="00AF43B7" w14:paraId="6B703E43" w14:textId="77777777" w:rsidTr="410CE694">
        <w:trPr>
          <w:cantSplit/>
          <w:trHeight w:val="410"/>
        </w:trPr>
        <w:tc>
          <w:tcPr>
            <w:tcW w:w="849" w:type="dxa"/>
            <w:tcBorders>
              <w:top w:val="single" w:sz="4" w:space="0" w:color="5D779D" w:themeColor="accent3"/>
            </w:tcBorders>
            <w:shd w:val="clear" w:color="auto" w:fill="auto"/>
          </w:tcPr>
          <w:p w14:paraId="4960542F" w14:textId="77777777" w:rsidR="009A5125" w:rsidRPr="00E7433A" w:rsidRDefault="009A5125" w:rsidP="00097CAA">
            <w:pPr>
              <w:pStyle w:val="TableLeadAgency"/>
            </w:pPr>
            <w:r w:rsidRPr="00E7433A">
              <w:lastRenderedPageBreak/>
              <w:t xml:space="preserve">TSY </w:t>
            </w:r>
          </w:p>
          <w:p w14:paraId="71879E69" w14:textId="2256E755" w:rsidR="00A42B14" w:rsidRPr="00E7433A" w:rsidRDefault="009A5125" w:rsidP="00097CAA">
            <w:pPr>
              <w:pStyle w:val="TableSecondaryAgency"/>
            </w:pPr>
            <w:r w:rsidRPr="00E7433A">
              <w:t>ACCC</w:t>
            </w:r>
          </w:p>
        </w:tc>
        <w:tc>
          <w:tcPr>
            <w:tcW w:w="1247" w:type="dxa"/>
            <w:tcBorders>
              <w:top w:val="single" w:sz="4" w:space="0" w:color="5D779D" w:themeColor="accent3"/>
            </w:tcBorders>
          </w:tcPr>
          <w:p w14:paraId="7AD51B00" w14:textId="77777777" w:rsidR="00A42B14" w:rsidRPr="002E4362" w:rsidRDefault="00A42B14" w:rsidP="00A56D83">
            <w:pPr>
              <w:pStyle w:val="TableTextLeft"/>
            </w:pPr>
            <w:r w:rsidRPr="002E4362">
              <w:t xml:space="preserve">Banking, </w:t>
            </w:r>
            <w:proofErr w:type="gramStart"/>
            <w:r w:rsidRPr="002E4362">
              <w:t>credit</w:t>
            </w:r>
            <w:proofErr w:type="gramEnd"/>
            <w:r w:rsidRPr="002E4362">
              <w:t xml:space="preserve"> and lending</w:t>
            </w:r>
          </w:p>
        </w:tc>
        <w:tc>
          <w:tcPr>
            <w:tcW w:w="4286" w:type="dxa"/>
            <w:tcBorders>
              <w:top w:val="single" w:sz="4" w:space="0" w:color="5D779D" w:themeColor="accent3"/>
            </w:tcBorders>
          </w:tcPr>
          <w:p w14:paraId="546649EF" w14:textId="29E97DBD" w:rsidR="009A5125" w:rsidRPr="000A4B96" w:rsidRDefault="001D4D7F" w:rsidP="00FD3484">
            <w:pPr>
              <w:pStyle w:val="TableLink"/>
              <w:rPr>
                <w:b w:val="0"/>
                <w:bCs/>
                <w:u w:val="single"/>
              </w:rPr>
            </w:pPr>
            <w:hyperlink r:id="rId78" w:history="1">
              <w:r w:rsidR="009A5125" w:rsidRPr="000A4B96">
                <w:rPr>
                  <w:rStyle w:val="Hyperlink"/>
                  <w:b/>
                  <w:bCs/>
                  <w:u w:val="single"/>
                </w:rPr>
                <w:t xml:space="preserve">Consumer Data Right </w:t>
              </w:r>
              <w:r w:rsidR="00A258C2" w:rsidRPr="000A4B96">
                <w:rPr>
                  <w:rStyle w:val="Hyperlink"/>
                  <w:b/>
                  <w:bCs/>
                  <w:u w:val="single"/>
                </w:rPr>
                <w:t xml:space="preserve">(CDR) </w:t>
              </w:r>
              <w:r w:rsidR="009A5125" w:rsidRPr="000A4B96">
                <w:rPr>
                  <w:rStyle w:val="Hyperlink"/>
                  <w:b/>
                  <w:bCs/>
                  <w:u w:val="single"/>
                </w:rPr>
                <w:t>authentication uplift</w:t>
              </w:r>
            </w:hyperlink>
          </w:p>
          <w:p w14:paraId="47FD906A" w14:textId="34773D0F" w:rsidR="00845FCC" w:rsidRPr="001F7601" w:rsidRDefault="009A5125" w:rsidP="00845FCC">
            <w:pPr>
              <w:pStyle w:val="TableTextLeft"/>
            </w:pPr>
            <w:r w:rsidRPr="009A3724">
              <w:t xml:space="preserve">Changes to the authentication standards (through the Data Standards Body) </w:t>
            </w:r>
            <w:r w:rsidR="0093236A">
              <w:t>will</w:t>
            </w:r>
            <w:r w:rsidR="00AF1F71">
              <w:t xml:space="preserve"> be made</w:t>
            </w:r>
            <w:r w:rsidR="00926A4E">
              <w:t xml:space="preserve"> </w:t>
            </w:r>
            <w:r w:rsidRPr="009A3724">
              <w:t xml:space="preserve">to </w:t>
            </w:r>
            <w:r w:rsidR="00AF1F71" w:rsidRPr="00AF1F71">
              <w:t>meet best practice security requirements, align to international security standards, and address identified security and consumer experience concerns raised due to the current use of one</w:t>
            </w:r>
            <w:r w:rsidR="0008745D">
              <w:noBreakHyphen/>
            </w:r>
            <w:r w:rsidR="00AF1F71" w:rsidRPr="00AF1F71">
              <w:t>time</w:t>
            </w:r>
            <w:r w:rsidR="0008745D">
              <w:noBreakHyphen/>
            </w:r>
            <w:r w:rsidR="00AF1F71" w:rsidRPr="00AF1F71">
              <w:t>passwords.</w:t>
            </w:r>
            <w:r w:rsidR="00661F9E">
              <w:rPr>
                <w:rFonts w:cs="Calibri Light"/>
                <w:color w:val="00B050"/>
                <w:szCs w:val="16"/>
              </w:rPr>
              <w:t xml:space="preserve"> </w:t>
            </w:r>
          </w:p>
        </w:tc>
        <w:tc>
          <w:tcPr>
            <w:tcW w:w="1270" w:type="dxa"/>
            <w:tcBorders>
              <w:top w:val="single" w:sz="4" w:space="0" w:color="5D779D" w:themeColor="accent3"/>
            </w:tcBorders>
            <w:shd w:val="clear" w:color="auto" w:fill="DFE4EB"/>
          </w:tcPr>
          <w:p w14:paraId="659A053A" w14:textId="0E1B72EC" w:rsidR="00A42B14" w:rsidRPr="00CF7C7F" w:rsidRDefault="009A5125" w:rsidP="00CF7C7F">
            <w:pPr>
              <w:pStyle w:val="TableTextLeft"/>
            </w:pPr>
            <w:r w:rsidRPr="00CF7C7F">
              <w:t>Consultation on uplift part 2</w:t>
            </w:r>
          </w:p>
        </w:tc>
        <w:tc>
          <w:tcPr>
            <w:tcW w:w="1270" w:type="dxa"/>
            <w:tcBorders>
              <w:top w:val="single" w:sz="4" w:space="0" w:color="5D779D" w:themeColor="accent3"/>
            </w:tcBorders>
            <w:shd w:val="clear" w:color="auto" w:fill="DFE4EB"/>
          </w:tcPr>
          <w:p w14:paraId="60C7704A" w14:textId="48A75592" w:rsidR="00A42B14" w:rsidRPr="00CF7C7F" w:rsidRDefault="009A5125" w:rsidP="00CF7C7F">
            <w:pPr>
              <w:pStyle w:val="TableTextLeft"/>
            </w:pPr>
            <w:r w:rsidRPr="00CF7C7F">
              <w:t>Consultation on uplift part 3</w:t>
            </w:r>
          </w:p>
        </w:tc>
        <w:tc>
          <w:tcPr>
            <w:tcW w:w="1270" w:type="dxa"/>
            <w:tcBorders>
              <w:top w:val="single" w:sz="4" w:space="0" w:color="5D779D" w:themeColor="accent3"/>
            </w:tcBorders>
            <w:shd w:val="clear" w:color="auto" w:fill="DFE4EB"/>
          </w:tcPr>
          <w:p w14:paraId="5E2BA823" w14:textId="77777777" w:rsidR="00A42B14" w:rsidRPr="00CF7C7F" w:rsidRDefault="00A42B14" w:rsidP="00CF7C7F">
            <w:pPr>
              <w:pStyle w:val="TableTextLeft"/>
            </w:pPr>
          </w:p>
        </w:tc>
        <w:tc>
          <w:tcPr>
            <w:tcW w:w="1270" w:type="dxa"/>
            <w:tcBorders>
              <w:top w:val="single" w:sz="4" w:space="0" w:color="5D779D" w:themeColor="accent3"/>
            </w:tcBorders>
            <w:shd w:val="clear" w:color="auto" w:fill="DFE4EB"/>
          </w:tcPr>
          <w:p w14:paraId="4BDE3E13" w14:textId="77777777" w:rsidR="00A42B14" w:rsidRPr="00CF7C7F" w:rsidRDefault="00A42B14" w:rsidP="00CF7C7F">
            <w:pPr>
              <w:pStyle w:val="TableTextLeft"/>
            </w:pPr>
          </w:p>
        </w:tc>
        <w:tc>
          <w:tcPr>
            <w:tcW w:w="1270" w:type="dxa"/>
            <w:tcBorders>
              <w:top w:val="single" w:sz="4" w:space="0" w:color="5D779D" w:themeColor="accent3"/>
            </w:tcBorders>
            <w:shd w:val="clear" w:color="auto" w:fill="EFF1F5"/>
          </w:tcPr>
          <w:p w14:paraId="2800464E" w14:textId="77777777" w:rsidR="00A42B14" w:rsidRPr="00CF7C7F" w:rsidRDefault="00A42B14" w:rsidP="00CF7C7F">
            <w:pPr>
              <w:pStyle w:val="TableTextLeft"/>
            </w:pPr>
          </w:p>
        </w:tc>
        <w:tc>
          <w:tcPr>
            <w:tcW w:w="1270" w:type="dxa"/>
            <w:tcBorders>
              <w:top w:val="single" w:sz="4" w:space="0" w:color="5D779D" w:themeColor="accent3"/>
            </w:tcBorders>
            <w:shd w:val="clear" w:color="auto" w:fill="EFF1F5"/>
          </w:tcPr>
          <w:p w14:paraId="2D95EB4A" w14:textId="63CFA757" w:rsidR="00A42B14" w:rsidRPr="00CF7C7F" w:rsidRDefault="009A5125" w:rsidP="00CF7C7F">
            <w:pPr>
              <w:pStyle w:val="TableTextLeft"/>
            </w:pPr>
            <w:r w:rsidRPr="00CF7C7F">
              <w:t>Part 1 obligations on banks commence</w:t>
            </w:r>
          </w:p>
        </w:tc>
      </w:tr>
      <w:tr w:rsidR="00442EED" w:rsidRPr="00AF43B7" w14:paraId="57B97D1D" w14:textId="77777777" w:rsidTr="410CE694">
        <w:trPr>
          <w:cantSplit/>
          <w:trHeight w:val="410"/>
        </w:trPr>
        <w:tc>
          <w:tcPr>
            <w:tcW w:w="849" w:type="dxa"/>
            <w:tcBorders>
              <w:top w:val="single" w:sz="4" w:space="0" w:color="5D779D" w:themeColor="accent3"/>
            </w:tcBorders>
            <w:shd w:val="clear" w:color="auto" w:fill="auto"/>
          </w:tcPr>
          <w:p w14:paraId="7CC0CDA6" w14:textId="77777777" w:rsidR="005D6AB8" w:rsidRPr="009C4097" w:rsidRDefault="005D6AB8" w:rsidP="005D6AB8">
            <w:pPr>
              <w:pStyle w:val="TableLeadAgency"/>
            </w:pPr>
            <w:r w:rsidRPr="00DB61F5">
              <w:t xml:space="preserve">TSY </w:t>
            </w:r>
          </w:p>
          <w:p w14:paraId="137C8AF1" w14:textId="0B9E595C" w:rsidR="005D6AB8" w:rsidRPr="0004190B" w:rsidRDefault="005D6AB8" w:rsidP="005D6AB8">
            <w:pPr>
              <w:pStyle w:val="TableLeadAgency"/>
              <w:rPr>
                <w:b w:val="0"/>
                <w:bCs w:val="0"/>
                <w:i/>
                <w:iCs/>
              </w:rPr>
            </w:pPr>
            <w:r w:rsidRPr="0004190B">
              <w:rPr>
                <w:b w:val="0"/>
                <w:bCs w:val="0"/>
                <w:i/>
                <w:iCs/>
              </w:rPr>
              <w:t>ACCC</w:t>
            </w:r>
          </w:p>
        </w:tc>
        <w:tc>
          <w:tcPr>
            <w:tcW w:w="1247" w:type="dxa"/>
            <w:tcBorders>
              <w:top w:val="single" w:sz="4" w:space="0" w:color="5D779D" w:themeColor="accent3"/>
            </w:tcBorders>
          </w:tcPr>
          <w:p w14:paraId="2BEAEFE2" w14:textId="54D6E23B" w:rsidR="005D6AB8" w:rsidRPr="002E4362" w:rsidRDefault="005D6AB8" w:rsidP="005D6AB8">
            <w:pPr>
              <w:pStyle w:val="TableTextLeft"/>
            </w:pPr>
            <w:r w:rsidRPr="00B052EB">
              <w:t xml:space="preserve">Banking, </w:t>
            </w:r>
            <w:proofErr w:type="gramStart"/>
            <w:r w:rsidRPr="00B052EB">
              <w:t>credit</w:t>
            </w:r>
            <w:proofErr w:type="gramEnd"/>
            <w:r w:rsidRPr="00B052EB">
              <w:t xml:space="preserve"> and lending</w:t>
            </w:r>
          </w:p>
        </w:tc>
        <w:tc>
          <w:tcPr>
            <w:tcW w:w="4286" w:type="dxa"/>
            <w:tcBorders>
              <w:top w:val="single" w:sz="4" w:space="0" w:color="5D779D" w:themeColor="accent3"/>
            </w:tcBorders>
          </w:tcPr>
          <w:p w14:paraId="52B1DA08" w14:textId="77777777" w:rsidR="005D6AB8" w:rsidRPr="00FD078B" w:rsidRDefault="001D4D7F" w:rsidP="005D6AB8">
            <w:pPr>
              <w:pStyle w:val="TableTextLeft"/>
              <w:rPr>
                <w:rFonts w:cs="Calibri Light"/>
                <w:u w:val="single"/>
              </w:rPr>
            </w:pPr>
            <w:hyperlink r:id="rId79" w:history="1">
              <w:r w:rsidR="005D6AB8" w:rsidRPr="00FD078B">
                <w:rPr>
                  <w:rStyle w:val="Hyperlink"/>
                  <w:rFonts w:cs="Calibri Light"/>
                  <w:u w:val="single"/>
                </w:rPr>
                <w:t>C</w:t>
              </w:r>
              <w:r w:rsidR="005D6AB8" w:rsidRPr="00A23E96">
                <w:rPr>
                  <w:rStyle w:val="Hyperlink"/>
                  <w:szCs w:val="16"/>
                  <w:u w:val="single"/>
                </w:rPr>
                <w:t>onsumer Data Right (CDR) Rules (Consent amendments and operational enhancements)</w:t>
              </w:r>
            </w:hyperlink>
          </w:p>
          <w:p w14:paraId="6F016AA5" w14:textId="62831F11" w:rsidR="005D6AB8" w:rsidRPr="005B4E8E" w:rsidRDefault="005D6AB8" w:rsidP="005B4E8E">
            <w:pPr>
              <w:pStyle w:val="TableTextLeft"/>
              <w:rPr>
                <w:rFonts w:cs="Calibri Light"/>
              </w:rPr>
            </w:pPr>
            <w:r w:rsidRPr="57BD8B19">
              <w:rPr>
                <w:rFonts w:cs="Calibri Light"/>
              </w:rPr>
              <w:t xml:space="preserve">Changes to the CDR Rules and standards (through the Data Standards Body) </w:t>
            </w:r>
            <w:r>
              <w:rPr>
                <w:rFonts w:cs="Calibri Light"/>
              </w:rPr>
              <w:t xml:space="preserve">aim </w:t>
            </w:r>
            <w:r w:rsidRPr="57BD8B19">
              <w:rPr>
                <w:rFonts w:cs="Calibri Light"/>
              </w:rPr>
              <w:t xml:space="preserve">to simplify the consumer consent process and support key use cases. </w:t>
            </w:r>
            <w:r>
              <w:rPr>
                <w:rFonts w:cs="Calibri Light"/>
              </w:rPr>
              <w:t>The Rules were registered on 11 November 2024.</w:t>
            </w:r>
          </w:p>
        </w:tc>
        <w:tc>
          <w:tcPr>
            <w:tcW w:w="1270" w:type="dxa"/>
            <w:tcBorders>
              <w:top w:val="single" w:sz="4" w:space="0" w:color="5D779D" w:themeColor="accent3"/>
            </w:tcBorders>
            <w:shd w:val="clear" w:color="auto" w:fill="DFE4EB"/>
          </w:tcPr>
          <w:p w14:paraId="246528F7" w14:textId="77777777" w:rsidR="005D6AB8" w:rsidRPr="00CF7C7F" w:rsidRDefault="005D6AB8" w:rsidP="005D6AB8">
            <w:pPr>
              <w:pStyle w:val="TableTextLeft"/>
            </w:pPr>
          </w:p>
        </w:tc>
        <w:tc>
          <w:tcPr>
            <w:tcW w:w="1270" w:type="dxa"/>
            <w:tcBorders>
              <w:top w:val="single" w:sz="4" w:space="0" w:color="5D779D" w:themeColor="accent3"/>
            </w:tcBorders>
            <w:shd w:val="clear" w:color="auto" w:fill="DFE4EB"/>
          </w:tcPr>
          <w:p w14:paraId="57E14A4B" w14:textId="77777777" w:rsidR="005D6AB8" w:rsidRPr="00CF7C7F" w:rsidRDefault="005D6AB8" w:rsidP="005D6AB8">
            <w:pPr>
              <w:pStyle w:val="TableTextLeft"/>
            </w:pPr>
          </w:p>
        </w:tc>
        <w:tc>
          <w:tcPr>
            <w:tcW w:w="1270" w:type="dxa"/>
            <w:tcBorders>
              <w:top w:val="single" w:sz="4" w:space="0" w:color="5D779D" w:themeColor="accent3"/>
            </w:tcBorders>
            <w:shd w:val="clear" w:color="auto" w:fill="DFE4EB"/>
          </w:tcPr>
          <w:p w14:paraId="78EC12C8" w14:textId="61CA2889" w:rsidR="005D6AB8" w:rsidRPr="00CF7C7F" w:rsidRDefault="005D6AB8" w:rsidP="005D6AB8">
            <w:pPr>
              <w:pStyle w:val="TableTextLeft"/>
            </w:pPr>
            <w:r w:rsidRPr="00B052EB">
              <w:t>Obligations commence for data recipients regarding CDR receipts and 90</w:t>
            </w:r>
            <w:r w:rsidRPr="00B052EB">
              <w:noBreakHyphen/>
              <w:t>day notifications</w:t>
            </w:r>
          </w:p>
        </w:tc>
        <w:tc>
          <w:tcPr>
            <w:tcW w:w="1270" w:type="dxa"/>
            <w:tcBorders>
              <w:top w:val="single" w:sz="4" w:space="0" w:color="5D779D" w:themeColor="accent3"/>
            </w:tcBorders>
            <w:shd w:val="clear" w:color="auto" w:fill="DFE4EB"/>
          </w:tcPr>
          <w:p w14:paraId="1399864F" w14:textId="23820961" w:rsidR="005D6AB8" w:rsidRPr="00CF7C7F" w:rsidRDefault="005D6AB8" w:rsidP="005D6AB8">
            <w:pPr>
              <w:pStyle w:val="TableTextLeft"/>
            </w:pPr>
            <w:r w:rsidRPr="00B052EB">
              <w:t xml:space="preserve">Obligations commence for recipients regarding information about supporting </w:t>
            </w:r>
            <w:proofErr w:type="gramStart"/>
            <w:r w:rsidRPr="00B052EB">
              <w:t>parties;</w:t>
            </w:r>
            <w:proofErr w:type="gramEnd"/>
            <w:r w:rsidRPr="00B052EB">
              <w:t xml:space="preserve"> and CDR representatives regarding consumer experience standards. </w:t>
            </w:r>
          </w:p>
        </w:tc>
        <w:tc>
          <w:tcPr>
            <w:tcW w:w="1270" w:type="dxa"/>
            <w:tcBorders>
              <w:top w:val="single" w:sz="4" w:space="0" w:color="5D779D" w:themeColor="accent3"/>
            </w:tcBorders>
            <w:shd w:val="clear" w:color="auto" w:fill="EFF1F5"/>
          </w:tcPr>
          <w:p w14:paraId="03C23DB9" w14:textId="77777777" w:rsidR="005D6AB8" w:rsidRPr="00CF7C7F" w:rsidRDefault="005D6AB8" w:rsidP="005D6AB8">
            <w:pPr>
              <w:pStyle w:val="TableTextLeft"/>
            </w:pPr>
          </w:p>
        </w:tc>
        <w:tc>
          <w:tcPr>
            <w:tcW w:w="1270" w:type="dxa"/>
            <w:tcBorders>
              <w:top w:val="single" w:sz="4" w:space="0" w:color="5D779D" w:themeColor="accent3"/>
            </w:tcBorders>
            <w:shd w:val="clear" w:color="auto" w:fill="EFF1F5"/>
          </w:tcPr>
          <w:p w14:paraId="4DC69E73" w14:textId="77777777" w:rsidR="005D6AB8" w:rsidRPr="00CF7C7F" w:rsidRDefault="005D6AB8" w:rsidP="005D6AB8">
            <w:pPr>
              <w:pStyle w:val="TableTextLeft"/>
            </w:pPr>
          </w:p>
        </w:tc>
      </w:tr>
      <w:tr w:rsidR="00442EED" w:rsidRPr="00AF43B7" w14:paraId="1A7A0DA5" w14:textId="77777777" w:rsidTr="004C44DF">
        <w:trPr>
          <w:cantSplit/>
          <w:trHeight w:val="410"/>
        </w:trPr>
        <w:tc>
          <w:tcPr>
            <w:tcW w:w="849" w:type="dxa"/>
            <w:tcBorders>
              <w:bottom w:val="single" w:sz="4" w:space="0" w:color="5D779D" w:themeColor="accent3"/>
            </w:tcBorders>
            <w:shd w:val="clear" w:color="auto" w:fill="auto"/>
          </w:tcPr>
          <w:p w14:paraId="64F8670B" w14:textId="77777777" w:rsidR="009A5125" w:rsidRPr="00E7433A" w:rsidRDefault="009A5125" w:rsidP="00097CAA">
            <w:pPr>
              <w:pStyle w:val="TableLeadAgency"/>
            </w:pPr>
            <w:r w:rsidRPr="00E7433A">
              <w:t xml:space="preserve">TSY </w:t>
            </w:r>
          </w:p>
          <w:p w14:paraId="4C117C03" w14:textId="32530B60" w:rsidR="009A5125" w:rsidRPr="00E7433A" w:rsidRDefault="009A5125" w:rsidP="00097CAA">
            <w:pPr>
              <w:pStyle w:val="TableSecondaryAgency"/>
            </w:pPr>
            <w:r w:rsidRPr="00E7433A">
              <w:t>ACCC</w:t>
            </w:r>
          </w:p>
        </w:tc>
        <w:tc>
          <w:tcPr>
            <w:tcW w:w="1247" w:type="dxa"/>
            <w:tcBorders>
              <w:bottom w:val="single" w:sz="4" w:space="0" w:color="5D779D" w:themeColor="accent3"/>
            </w:tcBorders>
          </w:tcPr>
          <w:p w14:paraId="55CF59AD" w14:textId="77777777" w:rsidR="009A5125" w:rsidRPr="002E4362" w:rsidRDefault="009A5125" w:rsidP="009A5125">
            <w:pPr>
              <w:pStyle w:val="TableTextLeft"/>
            </w:pPr>
            <w:r w:rsidRPr="002E4362">
              <w:t xml:space="preserve">Banking, </w:t>
            </w:r>
            <w:proofErr w:type="gramStart"/>
            <w:r w:rsidRPr="002E4362">
              <w:t>credit</w:t>
            </w:r>
            <w:proofErr w:type="gramEnd"/>
            <w:r w:rsidRPr="002E4362">
              <w:t xml:space="preserve"> and lending</w:t>
            </w:r>
          </w:p>
        </w:tc>
        <w:tc>
          <w:tcPr>
            <w:tcW w:w="4286" w:type="dxa"/>
            <w:tcBorders>
              <w:bottom w:val="single" w:sz="4" w:space="0" w:color="5D779D" w:themeColor="accent3"/>
            </w:tcBorders>
          </w:tcPr>
          <w:p w14:paraId="1DDC2BD2" w14:textId="1DF52E26" w:rsidR="009A5125" w:rsidRPr="000A4B96" w:rsidRDefault="001D4D7F" w:rsidP="00FD3484">
            <w:pPr>
              <w:pStyle w:val="TableLink"/>
              <w:rPr>
                <w:b w:val="0"/>
                <w:bCs/>
                <w:u w:val="single"/>
              </w:rPr>
            </w:pPr>
            <w:hyperlink r:id="rId80" w:history="1">
              <w:r w:rsidR="009A5125" w:rsidRPr="000A4B96">
                <w:rPr>
                  <w:rStyle w:val="Hyperlink"/>
                  <w:b/>
                  <w:bCs/>
                  <w:u w:val="single"/>
                </w:rPr>
                <w:t xml:space="preserve">Consumer Data Right </w:t>
              </w:r>
              <w:r w:rsidR="00872321" w:rsidRPr="000A4B96">
                <w:rPr>
                  <w:rStyle w:val="Hyperlink"/>
                  <w:b/>
                  <w:bCs/>
                  <w:u w:val="single"/>
                </w:rPr>
                <w:t xml:space="preserve">(CDR) </w:t>
              </w:r>
              <w:r w:rsidR="009A5125" w:rsidRPr="000A4B96">
                <w:rPr>
                  <w:rStyle w:val="Hyperlink"/>
                  <w:b/>
                  <w:bCs/>
                  <w:u w:val="single"/>
                </w:rPr>
                <w:t>standards maintenance iterations</w:t>
              </w:r>
            </w:hyperlink>
          </w:p>
          <w:p w14:paraId="189B38A6" w14:textId="7D9CB38D" w:rsidR="001E1905" w:rsidRPr="001F7601" w:rsidRDefault="009A5125" w:rsidP="001E1905">
            <w:pPr>
              <w:pStyle w:val="TableTextLeft"/>
            </w:pPr>
            <w:r w:rsidRPr="009A3724">
              <w:t>Ongoing maintenance and enhancement of the CDR standards (through the Data Standards Body)</w:t>
            </w:r>
            <w:r w:rsidR="00FA61D5">
              <w:t xml:space="preserve"> will continue</w:t>
            </w:r>
            <w:r w:rsidRPr="009A3724">
              <w:t xml:space="preserve"> to address technical issues and support the functioning of the CDR.</w:t>
            </w:r>
            <w:r w:rsidR="00661F9E">
              <w:rPr>
                <w:rFonts w:cs="Calibri Light"/>
                <w:color w:val="00B050"/>
                <w:szCs w:val="16"/>
              </w:rPr>
              <w:t xml:space="preserve"> </w:t>
            </w:r>
          </w:p>
        </w:tc>
        <w:tc>
          <w:tcPr>
            <w:tcW w:w="1270" w:type="dxa"/>
            <w:tcBorders>
              <w:bottom w:val="single" w:sz="4" w:space="0" w:color="5D779D" w:themeColor="accent3"/>
            </w:tcBorders>
            <w:shd w:val="clear" w:color="auto" w:fill="DFE4EB"/>
          </w:tcPr>
          <w:p w14:paraId="15D90A47" w14:textId="6D420C00" w:rsidR="009A5125" w:rsidRPr="00CF7C7F" w:rsidRDefault="009A5125" w:rsidP="00CF7C7F">
            <w:pPr>
              <w:pStyle w:val="TableTextLeft"/>
            </w:pPr>
            <w:r w:rsidRPr="00CF7C7F">
              <w:t>Maintenance iteration</w:t>
            </w:r>
          </w:p>
        </w:tc>
        <w:tc>
          <w:tcPr>
            <w:tcW w:w="1270" w:type="dxa"/>
            <w:tcBorders>
              <w:bottom w:val="single" w:sz="4" w:space="0" w:color="5D779D" w:themeColor="accent3"/>
            </w:tcBorders>
            <w:shd w:val="clear" w:color="auto" w:fill="DFE4EB"/>
          </w:tcPr>
          <w:p w14:paraId="426C14B1" w14:textId="19D354A3" w:rsidR="009A5125" w:rsidRPr="00CF7C7F" w:rsidRDefault="009A5125" w:rsidP="00CF7C7F">
            <w:pPr>
              <w:pStyle w:val="TableTextLeft"/>
            </w:pPr>
            <w:r w:rsidRPr="00CF7C7F">
              <w:t>Maintenance iteration</w:t>
            </w:r>
          </w:p>
        </w:tc>
        <w:tc>
          <w:tcPr>
            <w:tcW w:w="1270" w:type="dxa"/>
            <w:tcBorders>
              <w:bottom w:val="single" w:sz="4" w:space="0" w:color="5D779D" w:themeColor="accent3"/>
            </w:tcBorders>
            <w:shd w:val="clear" w:color="auto" w:fill="DFE4EB"/>
          </w:tcPr>
          <w:p w14:paraId="4762AE68" w14:textId="5B62B5C6" w:rsidR="009A5125" w:rsidRPr="00CF7C7F" w:rsidRDefault="009A5125" w:rsidP="00CF7C7F">
            <w:pPr>
              <w:pStyle w:val="TableTextLeft"/>
            </w:pPr>
            <w:r w:rsidRPr="00CF7C7F">
              <w:t>Maintenance iteration</w:t>
            </w:r>
          </w:p>
        </w:tc>
        <w:tc>
          <w:tcPr>
            <w:tcW w:w="1270" w:type="dxa"/>
            <w:tcBorders>
              <w:bottom w:val="single" w:sz="4" w:space="0" w:color="5D779D" w:themeColor="accent3"/>
            </w:tcBorders>
            <w:shd w:val="clear" w:color="auto" w:fill="DFE4EB"/>
          </w:tcPr>
          <w:p w14:paraId="2FC99909" w14:textId="74E44E7C" w:rsidR="009A5125" w:rsidRPr="00CF7C7F" w:rsidRDefault="009A5125" w:rsidP="00CF7C7F">
            <w:pPr>
              <w:pStyle w:val="TableTextLeft"/>
            </w:pPr>
            <w:r w:rsidRPr="00CF7C7F">
              <w:t>Maintenance iteration</w:t>
            </w:r>
          </w:p>
        </w:tc>
        <w:tc>
          <w:tcPr>
            <w:tcW w:w="1270" w:type="dxa"/>
            <w:tcBorders>
              <w:bottom w:val="single" w:sz="4" w:space="0" w:color="5D779D" w:themeColor="accent3"/>
            </w:tcBorders>
            <w:shd w:val="clear" w:color="auto" w:fill="EFF1F5"/>
          </w:tcPr>
          <w:p w14:paraId="6400AC29" w14:textId="75A3D7EA" w:rsidR="009A5125" w:rsidRPr="00CF7C7F" w:rsidRDefault="009A5125" w:rsidP="00CF7C7F">
            <w:pPr>
              <w:pStyle w:val="TableTextLeft"/>
            </w:pPr>
            <w:r w:rsidRPr="00CF7C7F">
              <w:t>Maintenance iterations x 2</w:t>
            </w:r>
          </w:p>
        </w:tc>
        <w:tc>
          <w:tcPr>
            <w:tcW w:w="1270" w:type="dxa"/>
            <w:tcBorders>
              <w:bottom w:val="single" w:sz="4" w:space="0" w:color="5D779D" w:themeColor="accent3"/>
            </w:tcBorders>
            <w:shd w:val="clear" w:color="auto" w:fill="EFF1F5"/>
          </w:tcPr>
          <w:p w14:paraId="08D97C16" w14:textId="299F295D" w:rsidR="009A5125" w:rsidRPr="00CF7C7F" w:rsidRDefault="009A5125" w:rsidP="00CF7C7F">
            <w:pPr>
              <w:pStyle w:val="TableTextLeft"/>
            </w:pPr>
            <w:r w:rsidRPr="00CF7C7F">
              <w:t>Maintenance iterations x 2</w:t>
            </w:r>
          </w:p>
        </w:tc>
      </w:tr>
      <w:tr w:rsidR="00442EED" w:rsidRPr="00AF43B7" w14:paraId="1BDA3787" w14:textId="77777777" w:rsidTr="004C44DF">
        <w:trPr>
          <w:cantSplit/>
          <w:trHeight w:val="410"/>
        </w:trPr>
        <w:tc>
          <w:tcPr>
            <w:tcW w:w="849" w:type="dxa"/>
            <w:tcBorders>
              <w:top w:val="single" w:sz="4" w:space="0" w:color="5D779D" w:themeColor="accent3"/>
              <w:bottom w:val="single" w:sz="4" w:space="0" w:color="5D779D" w:themeColor="accent3"/>
            </w:tcBorders>
            <w:shd w:val="clear" w:color="auto" w:fill="auto"/>
          </w:tcPr>
          <w:p w14:paraId="6344BF56" w14:textId="7BE78DE6" w:rsidR="00D740AE" w:rsidRPr="00E7433A" w:rsidRDefault="00D740AE" w:rsidP="00D740AE">
            <w:pPr>
              <w:pStyle w:val="TableLeadAgency"/>
            </w:pPr>
            <w:r w:rsidRPr="00E7433A">
              <w:t>TSY</w:t>
            </w:r>
          </w:p>
        </w:tc>
        <w:tc>
          <w:tcPr>
            <w:tcW w:w="1247" w:type="dxa"/>
            <w:tcBorders>
              <w:top w:val="single" w:sz="4" w:space="0" w:color="5D779D" w:themeColor="accent3"/>
              <w:bottom w:val="single" w:sz="4" w:space="0" w:color="5D779D" w:themeColor="accent3"/>
            </w:tcBorders>
          </w:tcPr>
          <w:p w14:paraId="5F6D2B9E" w14:textId="7D3BA657" w:rsidR="00D740AE" w:rsidRPr="002E4362" w:rsidRDefault="00D740AE" w:rsidP="00D740AE">
            <w:pPr>
              <w:pStyle w:val="TableTextLeft"/>
            </w:pPr>
            <w:r w:rsidRPr="00B052EB">
              <w:t xml:space="preserve">Banking, </w:t>
            </w:r>
            <w:proofErr w:type="gramStart"/>
            <w:r w:rsidRPr="00B052EB">
              <w:t>credit</w:t>
            </w:r>
            <w:proofErr w:type="gramEnd"/>
            <w:r w:rsidRPr="00B052EB">
              <w:t xml:space="preserve"> and lending</w:t>
            </w:r>
          </w:p>
        </w:tc>
        <w:tc>
          <w:tcPr>
            <w:tcW w:w="4286" w:type="dxa"/>
            <w:tcBorders>
              <w:top w:val="single" w:sz="4" w:space="0" w:color="5D779D" w:themeColor="accent3"/>
              <w:bottom w:val="single" w:sz="4" w:space="0" w:color="5D779D" w:themeColor="accent3"/>
            </w:tcBorders>
          </w:tcPr>
          <w:p w14:paraId="7469461F" w14:textId="77777777" w:rsidR="00D740AE" w:rsidRPr="000A4B96" w:rsidRDefault="001D4D7F" w:rsidP="00D740AE">
            <w:pPr>
              <w:pStyle w:val="TableLink"/>
              <w:rPr>
                <w:rStyle w:val="Hyperlink"/>
                <w:b/>
                <w:bCs/>
                <w:u w:val="single"/>
              </w:rPr>
            </w:pPr>
            <w:hyperlink r:id="rId81" w:history="1">
              <w:r w:rsidR="00D740AE" w:rsidRPr="000A4B96">
                <w:rPr>
                  <w:rStyle w:val="Hyperlink"/>
                  <w:b/>
                  <w:bCs/>
                  <w:u w:val="single"/>
                </w:rPr>
                <w:t>Coronavirus SME Guarantee Scheme Phase 1 (SMEG1)</w:t>
              </w:r>
            </w:hyperlink>
          </w:p>
          <w:p w14:paraId="7A2F4362" w14:textId="0DA80E35" w:rsidR="00D740AE" w:rsidRPr="00483648" w:rsidRDefault="00D740AE" w:rsidP="00483648">
            <w:pPr>
              <w:pStyle w:val="TableTextLeft"/>
            </w:pPr>
            <w:r w:rsidRPr="00B052EB">
              <w:t xml:space="preserve">This scheme facilitates the lending of debt finance to small and medium businesses via a </w:t>
            </w:r>
            <w:proofErr w:type="gramStart"/>
            <w:r w:rsidRPr="00B052EB">
              <w:t>Government</w:t>
            </w:r>
            <w:proofErr w:type="gramEnd"/>
            <w:r w:rsidRPr="00B052EB">
              <w:t xml:space="preserve"> guarantee of loans to participating lenders. The final data for lenders to submit a claim under SMEG 1 was 30 September</w:t>
            </w:r>
            <w:r>
              <w:t> </w:t>
            </w:r>
            <w:r w:rsidRPr="00B052EB">
              <w:t>2024. After this date, a reconciliation process will commence, whereby, all lenders who have been paid a claim by the Commonwealth are to submit a Final Claim and Remittance Account to Treasury. This Account will be assessed to verify that the Commonwealth did not under or overpay a lender throughout the life of SMEG 1. Lenders have until 30 March</w:t>
            </w:r>
            <w:r>
              <w:t> </w:t>
            </w:r>
            <w:r w:rsidRPr="00B052EB">
              <w:t>2025 to submit their Account.</w:t>
            </w:r>
          </w:p>
        </w:tc>
        <w:tc>
          <w:tcPr>
            <w:tcW w:w="1270" w:type="dxa"/>
            <w:tcBorders>
              <w:top w:val="single" w:sz="4" w:space="0" w:color="5D779D" w:themeColor="accent3"/>
              <w:bottom w:val="single" w:sz="4" w:space="0" w:color="5D779D" w:themeColor="accent3"/>
            </w:tcBorders>
            <w:shd w:val="clear" w:color="auto" w:fill="DFE4EB"/>
          </w:tcPr>
          <w:p w14:paraId="0238F187" w14:textId="77777777" w:rsidR="00D740AE" w:rsidRPr="00CF7C7F" w:rsidRDefault="00D740AE" w:rsidP="00D740AE">
            <w:pPr>
              <w:pStyle w:val="TableTextLeft"/>
            </w:pPr>
          </w:p>
        </w:tc>
        <w:tc>
          <w:tcPr>
            <w:tcW w:w="1270" w:type="dxa"/>
            <w:tcBorders>
              <w:top w:val="single" w:sz="4" w:space="0" w:color="5D779D" w:themeColor="accent3"/>
              <w:bottom w:val="single" w:sz="4" w:space="0" w:color="5D779D" w:themeColor="accent3"/>
            </w:tcBorders>
            <w:shd w:val="clear" w:color="auto" w:fill="DFE4EB"/>
          </w:tcPr>
          <w:p w14:paraId="5D96834F" w14:textId="2B5576B5" w:rsidR="00D740AE" w:rsidRPr="00CF7C7F" w:rsidRDefault="00D740AE" w:rsidP="00D740AE">
            <w:pPr>
              <w:pStyle w:val="TableTextLeft"/>
            </w:pPr>
            <w:r w:rsidRPr="00B052EB">
              <w:t>Program closure is due to end in April 2025</w:t>
            </w:r>
          </w:p>
        </w:tc>
        <w:tc>
          <w:tcPr>
            <w:tcW w:w="1270" w:type="dxa"/>
            <w:tcBorders>
              <w:top w:val="single" w:sz="4" w:space="0" w:color="5D779D" w:themeColor="accent3"/>
              <w:bottom w:val="single" w:sz="4" w:space="0" w:color="5D779D" w:themeColor="accent3"/>
            </w:tcBorders>
            <w:shd w:val="clear" w:color="auto" w:fill="DFE4EB"/>
          </w:tcPr>
          <w:p w14:paraId="7238618A" w14:textId="77777777" w:rsidR="00D740AE" w:rsidRPr="00CF7C7F" w:rsidRDefault="00D740AE" w:rsidP="00D740AE">
            <w:pPr>
              <w:pStyle w:val="TableTextLeft"/>
            </w:pPr>
          </w:p>
        </w:tc>
        <w:tc>
          <w:tcPr>
            <w:tcW w:w="1270" w:type="dxa"/>
            <w:tcBorders>
              <w:top w:val="single" w:sz="4" w:space="0" w:color="5D779D" w:themeColor="accent3"/>
              <w:bottom w:val="single" w:sz="4" w:space="0" w:color="5D779D" w:themeColor="accent3"/>
            </w:tcBorders>
            <w:shd w:val="clear" w:color="auto" w:fill="DFE4EB"/>
          </w:tcPr>
          <w:p w14:paraId="7802D4EE" w14:textId="77777777" w:rsidR="00D740AE" w:rsidRPr="00CF7C7F" w:rsidRDefault="00D740AE" w:rsidP="00D740AE">
            <w:pPr>
              <w:pStyle w:val="TableTextLeft"/>
            </w:pPr>
          </w:p>
        </w:tc>
        <w:tc>
          <w:tcPr>
            <w:tcW w:w="1270" w:type="dxa"/>
            <w:tcBorders>
              <w:top w:val="single" w:sz="4" w:space="0" w:color="5D779D" w:themeColor="accent3"/>
              <w:bottom w:val="single" w:sz="4" w:space="0" w:color="5D779D" w:themeColor="accent3"/>
            </w:tcBorders>
            <w:shd w:val="clear" w:color="auto" w:fill="EFF1F5"/>
          </w:tcPr>
          <w:p w14:paraId="1FAF9A96" w14:textId="77777777" w:rsidR="00D740AE" w:rsidRPr="00CF7C7F" w:rsidRDefault="00D740AE" w:rsidP="00D740AE">
            <w:pPr>
              <w:pStyle w:val="TableTextLeft"/>
            </w:pPr>
          </w:p>
        </w:tc>
        <w:tc>
          <w:tcPr>
            <w:tcW w:w="1270" w:type="dxa"/>
            <w:tcBorders>
              <w:top w:val="single" w:sz="4" w:space="0" w:color="5D779D" w:themeColor="accent3"/>
              <w:bottom w:val="single" w:sz="4" w:space="0" w:color="5D779D" w:themeColor="accent3"/>
            </w:tcBorders>
            <w:shd w:val="clear" w:color="auto" w:fill="EFF1F5"/>
          </w:tcPr>
          <w:p w14:paraId="2ECA242A" w14:textId="77777777" w:rsidR="00D740AE" w:rsidRPr="00CF7C7F" w:rsidRDefault="00D740AE" w:rsidP="00D740AE">
            <w:pPr>
              <w:pStyle w:val="TableTextLeft"/>
            </w:pPr>
          </w:p>
        </w:tc>
      </w:tr>
      <w:tr w:rsidR="00442EED" w:rsidRPr="00AF43B7" w14:paraId="2EECBF78" w14:textId="77777777" w:rsidTr="004C44DF">
        <w:trPr>
          <w:cantSplit/>
          <w:trHeight w:val="410"/>
        </w:trPr>
        <w:tc>
          <w:tcPr>
            <w:tcW w:w="849" w:type="dxa"/>
            <w:tcBorders>
              <w:top w:val="single" w:sz="4" w:space="0" w:color="5D779D" w:themeColor="accent3"/>
              <w:bottom w:val="single" w:sz="4" w:space="0" w:color="5D779D" w:themeColor="accent3"/>
            </w:tcBorders>
            <w:shd w:val="clear" w:color="auto" w:fill="auto"/>
          </w:tcPr>
          <w:p w14:paraId="104329F3" w14:textId="7D2FB014" w:rsidR="006E6563" w:rsidRPr="00E7433A" w:rsidRDefault="006E6563" w:rsidP="00097CAA">
            <w:pPr>
              <w:pStyle w:val="TableLeadAgency"/>
            </w:pPr>
            <w:r w:rsidRPr="00E7433A">
              <w:lastRenderedPageBreak/>
              <w:t>APRA</w:t>
            </w:r>
          </w:p>
        </w:tc>
        <w:tc>
          <w:tcPr>
            <w:tcW w:w="1247" w:type="dxa"/>
            <w:tcBorders>
              <w:top w:val="single" w:sz="4" w:space="0" w:color="5D779D" w:themeColor="accent3"/>
              <w:bottom w:val="single" w:sz="4" w:space="0" w:color="5D779D" w:themeColor="accent3"/>
            </w:tcBorders>
          </w:tcPr>
          <w:p w14:paraId="2982F550" w14:textId="77777777" w:rsidR="006E6563" w:rsidRDefault="006E6563" w:rsidP="006E6563">
            <w:pPr>
              <w:pStyle w:val="TableTextLeft"/>
            </w:pPr>
            <w:r>
              <w:t xml:space="preserve">Banking, </w:t>
            </w:r>
            <w:proofErr w:type="gramStart"/>
            <w:r>
              <w:t>credit</w:t>
            </w:r>
            <w:proofErr w:type="gramEnd"/>
            <w:r>
              <w:t xml:space="preserve"> and lending</w:t>
            </w:r>
          </w:p>
          <w:p w14:paraId="7BAD1C13" w14:textId="2009D641" w:rsidR="006E6563" w:rsidRPr="002E4362" w:rsidRDefault="006E6563" w:rsidP="006E6563">
            <w:pPr>
              <w:pStyle w:val="TableTextLeft"/>
            </w:pPr>
            <w:r>
              <w:t>Superannuation and retirement income</w:t>
            </w:r>
          </w:p>
        </w:tc>
        <w:tc>
          <w:tcPr>
            <w:tcW w:w="4286" w:type="dxa"/>
            <w:tcBorders>
              <w:top w:val="single" w:sz="4" w:space="0" w:color="5D779D" w:themeColor="accent3"/>
              <w:bottom w:val="single" w:sz="4" w:space="0" w:color="5D779D" w:themeColor="accent3"/>
            </w:tcBorders>
          </w:tcPr>
          <w:p w14:paraId="346D4D70" w14:textId="77777777" w:rsidR="006E6563" w:rsidRPr="00DC259F" w:rsidRDefault="006E6563" w:rsidP="006E6563">
            <w:pPr>
              <w:pStyle w:val="TableTextLeft"/>
              <w:rPr>
                <w:b/>
                <w:bCs/>
              </w:rPr>
            </w:pPr>
            <w:r w:rsidRPr="00DC259F">
              <w:rPr>
                <w:b/>
                <w:bCs/>
              </w:rPr>
              <w:t>System stress test</w:t>
            </w:r>
          </w:p>
          <w:p w14:paraId="3B1B0C13" w14:textId="3DCA53BA" w:rsidR="006E6563" w:rsidRPr="003770A8" w:rsidRDefault="006E6563" w:rsidP="003770A8">
            <w:pPr>
              <w:pStyle w:val="TableTextLeft"/>
            </w:pPr>
            <w:r w:rsidRPr="009A3724">
              <w:t>APRA will undertake a system stress test to understand resilience and risk across the financial system.</w:t>
            </w:r>
            <w:r w:rsidRPr="00DA30BD">
              <w:rPr>
                <w:rFonts w:cs="Calibri Light"/>
                <w:b/>
                <w:color w:val="00B050"/>
                <w:szCs w:val="16"/>
              </w:rPr>
              <w:t xml:space="preserve"> </w:t>
            </w:r>
          </w:p>
        </w:tc>
        <w:tc>
          <w:tcPr>
            <w:tcW w:w="1270" w:type="dxa"/>
            <w:tcBorders>
              <w:top w:val="single" w:sz="4" w:space="0" w:color="5D779D" w:themeColor="accent3"/>
              <w:bottom w:val="single" w:sz="4" w:space="0" w:color="5D779D" w:themeColor="accent3"/>
            </w:tcBorders>
            <w:shd w:val="clear" w:color="auto" w:fill="DFE4EB"/>
          </w:tcPr>
          <w:p w14:paraId="17AB0275" w14:textId="77777777" w:rsidR="006E6563" w:rsidRPr="00CF7C7F" w:rsidRDefault="006E6563" w:rsidP="006E6563">
            <w:pPr>
              <w:pStyle w:val="TableTextLeft"/>
            </w:pPr>
          </w:p>
        </w:tc>
        <w:tc>
          <w:tcPr>
            <w:tcW w:w="1270" w:type="dxa"/>
            <w:tcBorders>
              <w:top w:val="single" w:sz="4" w:space="0" w:color="5D779D" w:themeColor="accent3"/>
              <w:bottom w:val="single" w:sz="4" w:space="0" w:color="5D779D" w:themeColor="accent3"/>
            </w:tcBorders>
            <w:shd w:val="clear" w:color="auto" w:fill="DFE4EB"/>
          </w:tcPr>
          <w:p w14:paraId="1689F5E8" w14:textId="6E3EB9EA" w:rsidR="006E6563" w:rsidRPr="00CF7C7F" w:rsidRDefault="006E6563" w:rsidP="006E6563">
            <w:pPr>
              <w:pStyle w:val="TableTextLeft"/>
            </w:pPr>
            <w:r w:rsidRPr="00F21193">
              <w:t>System stress test commences</w:t>
            </w:r>
          </w:p>
        </w:tc>
        <w:tc>
          <w:tcPr>
            <w:tcW w:w="1270" w:type="dxa"/>
            <w:tcBorders>
              <w:top w:val="single" w:sz="4" w:space="0" w:color="5D779D" w:themeColor="accent3"/>
              <w:bottom w:val="single" w:sz="4" w:space="0" w:color="5D779D" w:themeColor="accent3"/>
            </w:tcBorders>
            <w:shd w:val="clear" w:color="auto" w:fill="DFE4EB"/>
          </w:tcPr>
          <w:p w14:paraId="45AB8FFC" w14:textId="77777777" w:rsidR="006E6563" w:rsidRPr="00CF7C7F" w:rsidRDefault="006E6563" w:rsidP="006E6563">
            <w:pPr>
              <w:pStyle w:val="TableTextLeft"/>
            </w:pPr>
          </w:p>
        </w:tc>
        <w:tc>
          <w:tcPr>
            <w:tcW w:w="1270" w:type="dxa"/>
            <w:tcBorders>
              <w:top w:val="single" w:sz="4" w:space="0" w:color="5D779D" w:themeColor="accent3"/>
              <w:bottom w:val="single" w:sz="4" w:space="0" w:color="5D779D" w:themeColor="accent3"/>
            </w:tcBorders>
            <w:shd w:val="clear" w:color="auto" w:fill="DFE4EB"/>
          </w:tcPr>
          <w:p w14:paraId="61BF940E" w14:textId="77777777" w:rsidR="006E6563" w:rsidRPr="00CF7C7F" w:rsidRDefault="006E6563" w:rsidP="006E6563">
            <w:pPr>
              <w:pStyle w:val="TableTextLeft"/>
            </w:pPr>
          </w:p>
        </w:tc>
        <w:tc>
          <w:tcPr>
            <w:tcW w:w="1270" w:type="dxa"/>
            <w:tcBorders>
              <w:top w:val="single" w:sz="4" w:space="0" w:color="5D779D" w:themeColor="accent3"/>
              <w:bottom w:val="single" w:sz="4" w:space="0" w:color="5D779D" w:themeColor="accent3"/>
            </w:tcBorders>
            <w:shd w:val="clear" w:color="auto" w:fill="EFF1F5"/>
          </w:tcPr>
          <w:p w14:paraId="0D9FD14E" w14:textId="77777777" w:rsidR="006E6563" w:rsidRPr="00CF7C7F" w:rsidRDefault="006E6563" w:rsidP="006E6563">
            <w:pPr>
              <w:pStyle w:val="TableTextLeft"/>
            </w:pPr>
          </w:p>
        </w:tc>
        <w:tc>
          <w:tcPr>
            <w:tcW w:w="1270" w:type="dxa"/>
            <w:tcBorders>
              <w:top w:val="single" w:sz="4" w:space="0" w:color="5D779D" w:themeColor="accent3"/>
              <w:bottom w:val="single" w:sz="4" w:space="0" w:color="5D779D" w:themeColor="accent3"/>
            </w:tcBorders>
            <w:shd w:val="clear" w:color="auto" w:fill="EFF1F5"/>
          </w:tcPr>
          <w:p w14:paraId="472D463F" w14:textId="77777777" w:rsidR="006E6563" w:rsidRPr="00CF7C7F" w:rsidRDefault="006E6563" w:rsidP="006E6563">
            <w:pPr>
              <w:pStyle w:val="TableTextLeft"/>
            </w:pPr>
          </w:p>
        </w:tc>
      </w:tr>
      <w:tr w:rsidR="00442EED" w:rsidRPr="00AF43B7" w14:paraId="7854E3E1" w14:textId="77777777" w:rsidTr="410CE694">
        <w:trPr>
          <w:cantSplit/>
          <w:trHeight w:val="410"/>
        </w:trPr>
        <w:tc>
          <w:tcPr>
            <w:tcW w:w="849" w:type="dxa"/>
            <w:tcBorders>
              <w:top w:val="single" w:sz="4" w:space="0" w:color="5D779D" w:themeColor="accent3"/>
              <w:bottom w:val="single" w:sz="4" w:space="0" w:color="5D779D" w:themeColor="accent3"/>
            </w:tcBorders>
            <w:shd w:val="clear" w:color="auto" w:fill="auto"/>
          </w:tcPr>
          <w:p w14:paraId="4144B4B6" w14:textId="77777777" w:rsidR="006E6563" w:rsidRPr="00E7433A" w:rsidRDefault="006E6563" w:rsidP="00097CAA">
            <w:pPr>
              <w:pStyle w:val="TableLeadAgency"/>
            </w:pPr>
            <w:r w:rsidRPr="00E7433A">
              <w:t>TSY</w:t>
            </w:r>
          </w:p>
          <w:p w14:paraId="21084FD5" w14:textId="6BA30A56" w:rsidR="006E6563" w:rsidRPr="00E7433A" w:rsidRDefault="006E6563" w:rsidP="00097CAA">
            <w:pPr>
              <w:pStyle w:val="TableSecondaryAgency"/>
            </w:pPr>
            <w:r w:rsidRPr="00E7433A">
              <w:t>APRA</w:t>
            </w:r>
          </w:p>
          <w:p w14:paraId="576A2884" w14:textId="68D063CD" w:rsidR="006E6563" w:rsidRPr="00E7433A" w:rsidRDefault="006E6563" w:rsidP="00097CAA">
            <w:pPr>
              <w:pStyle w:val="TableSecondaryAgency"/>
              <w:rPr>
                <w:b/>
              </w:rPr>
            </w:pPr>
            <w:r w:rsidRPr="00E7433A">
              <w:t>ASIC</w:t>
            </w:r>
          </w:p>
        </w:tc>
        <w:tc>
          <w:tcPr>
            <w:tcW w:w="1247" w:type="dxa"/>
            <w:tcBorders>
              <w:top w:val="single" w:sz="4" w:space="0" w:color="5D779D" w:themeColor="accent3"/>
              <w:bottom w:val="single" w:sz="4" w:space="0" w:color="5D779D" w:themeColor="accent3"/>
            </w:tcBorders>
          </w:tcPr>
          <w:p w14:paraId="5C0AFDF8" w14:textId="77777777" w:rsidR="006E6563" w:rsidRPr="009A5125" w:rsidRDefault="006E6563" w:rsidP="006E6563">
            <w:pPr>
              <w:pStyle w:val="TableTextLeft"/>
            </w:pPr>
            <w:r w:rsidRPr="009A5125">
              <w:t xml:space="preserve">Banking, </w:t>
            </w:r>
            <w:proofErr w:type="gramStart"/>
            <w:r w:rsidRPr="009A5125">
              <w:t>credit</w:t>
            </w:r>
            <w:proofErr w:type="gramEnd"/>
            <w:r w:rsidRPr="009A5125">
              <w:t xml:space="preserve"> and lending</w:t>
            </w:r>
          </w:p>
          <w:p w14:paraId="2CBDFB3F" w14:textId="77777777" w:rsidR="006E6563" w:rsidRPr="009A5125" w:rsidRDefault="006E6563" w:rsidP="006E6563">
            <w:pPr>
              <w:pStyle w:val="TableTextLeft"/>
            </w:pPr>
            <w:r w:rsidRPr="009A5125">
              <w:t>Insurance and reinsurance</w:t>
            </w:r>
          </w:p>
          <w:p w14:paraId="1EA124ED" w14:textId="1D91924E" w:rsidR="006E6563" w:rsidRPr="002E4362" w:rsidRDefault="006E6563" w:rsidP="006E6563">
            <w:pPr>
              <w:pStyle w:val="TableTextLeft"/>
            </w:pPr>
            <w:r w:rsidRPr="009A5125">
              <w:t>Superannuation and retirement income</w:t>
            </w:r>
          </w:p>
        </w:tc>
        <w:tc>
          <w:tcPr>
            <w:tcW w:w="4286" w:type="dxa"/>
            <w:tcBorders>
              <w:top w:val="single" w:sz="4" w:space="0" w:color="5D779D" w:themeColor="accent3"/>
              <w:bottom w:val="single" w:sz="4" w:space="0" w:color="5D779D" w:themeColor="accent3"/>
            </w:tcBorders>
          </w:tcPr>
          <w:p w14:paraId="35C24099" w14:textId="77777777" w:rsidR="006E6563" w:rsidRPr="000A4B96" w:rsidRDefault="001D4D7F" w:rsidP="006E6563">
            <w:pPr>
              <w:pStyle w:val="TableLink"/>
              <w:rPr>
                <w:b w:val="0"/>
                <w:bCs/>
                <w:u w:val="single"/>
              </w:rPr>
            </w:pPr>
            <w:hyperlink r:id="rId82" w:history="1">
              <w:r w:rsidR="006E6563" w:rsidRPr="000A4B96">
                <w:rPr>
                  <w:rStyle w:val="Hyperlink"/>
                  <w:b/>
                  <w:bCs/>
                  <w:u w:val="single"/>
                </w:rPr>
                <w:t>Financial Accountability Regime (FAR)</w:t>
              </w:r>
            </w:hyperlink>
          </w:p>
          <w:p w14:paraId="77EA4762" w14:textId="659FD024" w:rsidR="006E6563" w:rsidRPr="001F7601" w:rsidRDefault="006E6563" w:rsidP="006E6563">
            <w:pPr>
              <w:pStyle w:val="TableTextLeft"/>
            </w:pPr>
            <w:r w:rsidRPr="009A3724">
              <w:t>The FAR extends the former Banking Executive Accountability Regime to insurers and superannuation entities. The FAR will apply to insurers and superannuation entities from 15</w:t>
            </w:r>
            <w:r>
              <w:t> </w:t>
            </w:r>
            <w:r w:rsidRPr="009A3724">
              <w:t>March</w:t>
            </w:r>
            <w:r>
              <w:t> </w:t>
            </w:r>
            <w:r w:rsidRPr="009A3724">
              <w:t>2025.</w:t>
            </w:r>
            <w:r>
              <w:rPr>
                <w:rFonts w:cs="Calibri Light"/>
                <w:color w:val="00B050"/>
                <w:szCs w:val="16"/>
              </w:rPr>
              <w:t xml:space="preserve"> </w:t>
            </w:r>
          </w:p>
        </w:tc>
        <w:tc>
          <w:tcPr>
            <w:tcW w:w="1270" w:type="dxa"/>
            <w:tcBorders>
              <w:top w:val="single" w:sz="4" w:space="0" w:color="5D779D" w:themeColor="accent3"/>
              <w:bottom w:val="single" w:sz="4" w:space="0" w:color="5D779D" w:themeColor="accent3"/>
            </w:tcBorders>
            <w:shd w:val="clear" w:color="auto" w:fill="DFE4EB"/>
          </w:tcPr>
          <w:p w14:paraId="71C16B71" w14:textId="34FD7016" w:rsidR="006E6563" w:rsidRPr="00CF7C7F" w:rsidRDefault="006E6563" w:rsidP="006E6563">
            <w:pPr>
              <w:pStyle w:val="TableTextLeft"/>
            </w:pPr>
            <w:r w:rsidRPr="00CF7C7F">
              <w:t>Applies to all entities from 15 March 2025</w:t>
            </w:r>
          </w:p>
        </w:tc>
        <w:tc>
          <w:tcPr>
            <w:tcW w:w="1270" w:type="dxa"/>
            <w:tcBorders>
              <w:top w:val="single" w:sz="4" w:space="0" w:color="5D779D" w:themeColor="accent3"/>
              <w:bottom w:val="single" w:sz="4" w:space="0" w:color="5D779D" w:themeColor="accent3"/>
            </w:tcBorders>
            <w:shd w:val="clear" w:color="auto" w:fill="DFE4EB"/>
          </w:tcPr>
          <w:p w14:paraId="2443BD2C" w14:textId="77777777" w:rsidR="006E6563" w:rsidRPr="00CF7C7F" w:rsidRDefault="006E6563" w:rsidP="006E6563">
            <w:pPr>
              <w:pStyle w:val="TableTextLeft"/>
            </w:pPr>
          </w:p>
        </w:tc>
        <w:tc>
          <w:tcPr>
            <w:tcW w:w="1270" w:type="dxa"/>
            <w:tcBorders>
              <w:top w:val="single" w:sz="4" w:space="0" w:color="5D779D" w:themeColor="accent3"/>
              <w:bottom w:val="single" w:sz="4" w:space="0" w:color="5D779D" w:themeColor="accent3"/>
            </w:tcBorders>
            <w:shd w:val="clear" w:color="auto" w:fill="DFE4EB"/>
          </w:tcPr>
          <w:p w14:paraId="55BD02D8" w14:textId="77777777" w:rsidR="006E6563" w:rsidRPr="00CF7C7F" w:rsidRDefault="006E6563" w:rsidP="006E6563">
            <w:pPr>
              <w:pStyle w:val="TableTextLeft"/>
            </w:pPr>
          </w:p>
        </w:tc>
        <w:tc>
          <w:tcPr>
            <w:tcW w:w="1270" w:type="dxa"/>
            <w:tcBorders>
              <w:top w:val="single" w:sz="4" w:space="0" w:color="5D779D" w:themeColor="accent3"/>
              <w:bottom w:val="single" w:sz="4" w:space="0" w:color="5D779D" w:themeColor="accent3"/>
            </w:tcBorders>
            <w:shd w:val="clear" w:color="auto" w:fill="DFE4EB"/>
          </w:tcPr>
          <w:p w14:paraId="4F230BB5" w14:textId="77777777" w:rsidR="006E6563" w:rsidRPr="00CF7C7F" w:rsidRDefault="006E6563" w:rsidP="006E6563">
            <w:pPr>
              <w:pStyle w:val="TableTextLeft"/>
            </w:pPr>
          </w:p>
        </w:tc>
        <w:tc>
          <w:tcPr>
            <w:tcW w:w="1270" w:type="dxa"/>
            <w:tcBorders>
              <w:top w:val="single" w:sz="4" w:space="0" w:color="5D779D" w:themeColor="accent3"/>
              <w:bottom w:val="single" w:sz="4" w:space="0" w:color="5D779D" w:themeColor="accent3"/>
            </w:tcBorders>
            <w:shd w:val="clear" w:color="auto" w:fill="EFF1F5"/>
          </w:tcPr>
          <w:p w14:paraId="0E850688" w14:textId="77777777" w:rsidR="006E6563" w:rsidRPr="00CF7C7F" w:rsidRDefault="006E6563" w:rsidP="006E6563">
            <w:pPr>
              <w:pStyle w:val="TableTextLeft"/>
            </w:pPr>
          </w:p>
        </w:tc>
        <w:tc>
          <w:tcPr>
            <w:tcW w:w="1270" w:type="dxa"/>
            <w:tcBorders>
              <w:top w:val="single" w:sz="4" w:space="0" w:color="5D779D" w:themeColor="accent3"/>
              <w:bottom w:val="single" w:sz="4" w:space="0" w:color="5D779D" w:themeColor="accent3"/>
            </w:tcBorders>
            <w:shd w:val="clear" w:color="auto" w:fill="EFF1F5"/>
          </w:tcPr>
          <w:p w14:paraId="205858D7" w14:textId="77777777" w:rsidR="006E6563" w:rsidRPr="00CF7C7F" w:rsidRDefault="006E6563" w:rsidP="006E6563">
            <w:pPr>
              <w:pStyle w:val="TableTextLeft"/>
            </w:pPr>
          </w:p>
        </w:tc>
      </w:tr>
      <w:tr w:rsidR="00442EED" w:rsidRPr="00AF43B7" w14:paraId="1158BF46" w14:textId="77777777" w:rsidTr="410CE694">
        <w:trPr>
          <w:cantSplit/>
          <w:trHeight w:val="410"/>
        </w:trPr>
        <w:tc>
          <w:tcPr>
            <w:tcW w:w="849" w:type="dxa"/>
            <w:tcBorders>
              <w:top w:val="single" w:sz="4" w:space="0" w:color="5D779D" w:themeColor="accent3"/>
            </w:tcBorders>
            <w:shd w:val="clear" w:color="auto" w:fill="auto"/>
          </w:tcPr>
          <w:p w14:paraId="53459FD4" w14:textId="55F7133A" w:rsidR="001E0387" w:rsidRPr="00E7433A" w:rsidRDefault="001E0387" w:rsidP="00097CAA">
            <w:pPr>
              <w:pStyle w:val="TableLeadAgency"/>
            </w:pPr>
            <w:r w:rsidRPr="00E7433A">
              <w:t>APRA</w:t>
            </w:r>
          </w:p>
        </w:tc>
        <w:tc>
          <w:tcPr>
            <w:tcW w:w="1247" w:type="dxa"/>
            <w:tcBorders>
              <w:top w:val="single" w:sz="4" w:space="0" w:color="5D779D" w:themeColor="accent3"/>
            </w:tcBorders>
          </w:tcPr>
          <w:p w14:paraId="02A96BEB" w14:textId="77777777" w:rsidR="001E0387" w:rsidRPr="009A5125" w:rsidRDefault="001E0387" w:rsidP="001E0387">
            <w:pPr>
              <w:pStyle w:val="TableTextLeft"/>
            </w:pPr>
            <w:r w:rsidRPr="009A5125">
              <w:t xml:space="preserve">Banking, </w:t>
            </w:r>
            <w:proofErr w:type="gramStart"/>
            <w:r w:rsidRPr="009A5125">
              <w:t>credit</w:t>
            </w:r>
            <w:proofErr w:type="gramEnd"/>
            <w:r w:rsidRPr="009A5125">
              <w:t xml:space="preserve"> and lending</w:t>
            </w:r>
          </w:p>
          <w:p w14:paraId="389DD3AA" w14:textId="77777777" w:rsidR="001E0387" w:rsidRPr="009A5125" w:rsidRDefault="001E0387" w:rsidP="001E0387">
            <w:pPr>
              <w:pStyle w:val="TableTextLeft"/>
            </w:pPr>
            <w:r w:rsidRPr="009A5125">
              <w:t>Insurance and reinsurance</w:t>
            </w:r>
          </w:p>
          <w:p w14:paraId="31117989" w14:textId="19CDEA91" w:rsidR="001E0387" w:rsidRPr="009A5125" w:rsidRDefault="001E0387" w:rsidP="001E0387">
            <w:pPr>
              <w:pStyle w:val="TableTextLeft"/>
            </w:pPr>
            <w:r w:rsidRPr="009A5125">
              <w:t>Superannuation and retirement income</w:t>
            </w:r>
          </w:p>
        </w:tc>
        <w:tc>
          <w:tcPr>
            <w:tcW w:w="4286" w:type="dxa"/>
            <w:tcBorders>
              <w:top w:val="single" w:sz="4" w:space="0" w:color="5D779D" w:themeColor="accent3"/>
            </w:tcBorders>
          </w:tcPr>
          <w:p w14:paraId="0BAC83F0" w14:textId="77777777" w:rsidR="001E0387" w:rsidRPr="00C61C2F" w:rsidRDefault="001E0387" w:rsidP="001E0387">
            <w:pPr>
              <w:pStyle w:val="TableTextLeft"/>
              <w:rPr>
                <w:b/>
                <w:bCs/>
              </w:rPr>
            </w:pPr>
            <w:r w:rsidRPr="00C61C2F">
              <w:rPr>
                <w:b/>
                <w:bCs/>
              </w:rPr>
              <w:t>Transition of data collections from Direct to APRA (D2A) to APRA Connect</w:t>
            </w:r>
          </w:p>
          <w:p w14:paraId="0670375E" w14:textId="69B41355" w:rsidR="001E0387" w:rsidRPr="007230EC" w:rsidRDefault="001E0387" w:rsidP="007230EC">
            <w:pPr>
              <w:pStyle w:val="TableTextLeft"/>
            </w:pPr>
            <w:r w:rsidRPr="00301F93">
              <w:t>Transitioning</w:t>
            </w:r>
            <w:r>
              <w:t xml:space="preserve"> the remaining D2A data collections not related to policy priorities to APRA Connect will enable decommissioning of legacy systems.</w:t>
            </w:r>
            <w:r w:rsidRPr="002E10C8">
              <w:rPr>
                <w:rFonts w:cs="Calibri Light"/>
                <w:b/>
                <w:color w:val="00B050"/>
                <w:szCs w:val="16"/>
              </w:rPr>
              <w:t xml:space="preserve"> </w:t>
            </w:r>
          </w:p>
        </w:tc>
        <w:tc>
          <w:tcPr>
            <w:tcW w:w="1270" w:type="dxa"/>
            <w:tcBorders>
              <w:top w:val="single" w:sz="4" w:space="0" w:color="5D779D" w:themeColor="accent3"/>
            </w:tcBorders>
            <w:shd w:val="clear" w:color="auto" w:fill="DFE4EB"/>
          </w:tcPr>
          <w:p w14:paraId="1A08C646" w14:textId="1F7C88E7" w:rsidR="001E0387" w:rsidRPr="00CF7C7F" w:rsidRDefault="001E0387" w:rsidP="001E0387">
            <w:pPr>
              <w:pStyle w:val="TableTextLeft"/>
            </w:pPr>
            <w:r w:rsidRPr="00CF7C7F">
              <w:t>Finalise strategy</w:t>
            </w:r>
          </w:p>
        </w:tc>
        <w:tc>
          <w:tcPr>
            <w:tcW w:w="1270" w:type="dxa"/>
            <w:tcBorders>
              <w:top w:val="single" w:sz="4" w:space="0" w:color="5D779D" w:themeColor="accent3"/>
            </w:tcBorders>
            <w:shd w:val="clear" w:color="auto" w:fill="DFE4EB"/>
          </w:tcPr>
          <w:p w14:paraId="5DAB3CF3" w14:textId="77777777" w:rsidR="001E0387" w:rsidRPr="00CF7C7F" w:rsidRDefault="001E0387" w:rsidP="001E0387">
            <w:pPr>
              <w:pStyle w:val="TableTextLeft"/>
            </w:pPr>
          </w:p>
        </w:tc>
        <w:tc>
          <w:tcPr>
            <w:tcW w:w="1270" w:type="dxa"/>
            <w:tcBorders>
              <w:top w:val="single" w:sz="4" w:space="0" w:color="5D779D" w:themeColor="accent3"/>
            </w:tcBorders>
            <w:shd w:val="clear" w:color="auto" w:fill="DFE4EB"/>
          </w:tcPr>
          <w:p w14:paraId="0D4E2819" w14:textId="2E60BFC6" w:rsidR="001E0387" w:rsidRPr="00CF7C7F" w:rsidRDefault="001E0387" w:rsidP="001E0387">
            <w:pPr>
              <w:pStyle w:val="TableTextLeft"/>
            </w:pPr>
          </w:p>
        </w:tc>
        <w:tc>
          <w:tcPr>
            <w:tcW w:w="1270" w:type="dxa"/>
            <w:tcBorders>
              <w:top w:val="single" w:sz="4" w:space="0" w:color="5D779D" w:themeColor="accent3"/>
            </w:tcBorders>
            <w:shd w:val="clear" w:color="auto" w:fill="DFE4EB"/>
          </w:tcPr>
          <w:p w14:paraId="0A64F731" w14:textId="77777777" w:rsidR="001E0387" w:rsidRPr="00CF7C7F" w:rsidRDefault="001E0387" w:rsidP="001E0387">
            <w:pPr>
              <w:pStyle w:val="TableTextLeft"/>
            </w:pPr>
          </w:p>
        </w:tc>
        <w:tc>
          <w:tcPr>
            <w:tcW w:w="1270" w:type="dxa"/>
            <w:tcBorders>
              <w:top w:val="single" w:sz="4" w:space="0" w:color="5D779D" w:themeColor="accent3"/>
            </w:tcBorders>
            <w:shd w:val="clear" w:color="auto" w:fill="EFF1F5"/>
          </w:tcPr>
          <w:p w14:paraId="5E6BB770" w14:textId="77777777" w:rsidR="001E0387" w:rsidRPr="00CF7C7F" w:rsidRDefault="001E0387" w:rsidP="001E0387">
            <w:pPr>
              <w:pStyle w:val="TableTextLeft"/>
            </w:pPr>
          </w:p>
        </w:tc>
        <w:tc>
          <w:tcPr>
            <w:tcW w:w="1270" w:type="dxa"/>
            <w:tcBorders>
              <w:top w:val="single" w:sz="4" w:space="0" w:color="5D779D" w:themeColor="accent3"/>
            </w:tcBorders>
            <w:shd w:val="clear" w:color="auto" w:fill="EFF1F5"/>
          </w:tcPr>
          <w:p w14:paraId="65693D12" w14:textId="77777777" w:rsidR="001E0387" w:rsidRPr="00CF7C7F" w:rsidRDefault="001E0387" w:rsidP="001E0387">
            <w:pPr>
              <w:pStyle w:val="TableTextLeft"/>
            </w:pPr>
          </w:p>
        </w:tc>
      </w:tr>
      <w:tr w:rsidR="00442EED" w:rsidRPr="00AF43B7" w14:paraId="73936B00" w14:textId="77777777" w:rsidTr="410CE694">
        <w:trPr>
          <w:cantSplit/>
          <w:trHeight w:val="410"/>
        </w:trPr>
        <w:tc>
          <w:tcPr>
            <w:tcW w:w="849" w:type="dxa"/>
            <w:tcBorders>
              <w:bottom w:val="single" w:sz="4" w:space="0" w:color="5D779D" w:themeColor="accent3"/>
            </w:tcBorders>
            <w:shd w:val="clear" w:color="auto" w:fill="auto"/>
          </w:tcPr>
          <w:p w14:paraId="19AC14AF" w14:textId="2F9630B8" w:rsidR="00DF1234" w:rsidRPr="00E7433A" w:rsidRDefault="00DF1234" w:rsidP="00097CAA">
            <w:pPr>
              <w:pStyle w:val="TableLeadAgency"/>
            </w:pPr>
            <w:r>
              <w:rPr>
                <w:lang w:eastAsia="en-US"/>
              </w:rPr>
              <w:t>ASIC</w:t>
            </w:r>
          </w:p>
        </w:tc>
        <w:tc>
          <w:tcPr>
            <w:tcW w:w="1247" w:type="dxa"/>
            <w:tcBorders>
              <w:bottom w:val="single" w:sz="4" w:space="0" w:color="5D779D" w:themeColor="accent3"/>
            </w:tcBorders>
          </w:tcPr>
          <w:p w14:paraId="2FD7D079" w14:textId="77777777" w:rsidR="00DF1234" w:rsidRDefault="00DF1234" w:rsidP="00DF1234">
            <w:pPr>
              <w:pStyle w:val="TableTextLeft"/>
              <w:spacing w:line="256" w:lineRule="auto"/>
              <w:rPr>
                <w:lang w:eastAsia="en-US"/>
              </w:rPr>
            </w:pPr>
            <w:r>
              <w:rPr>
                <w:lang w:eastAsia="en-US"/>
              </w:rPr>
              <w:t xml:space="preserve">Banking, </w:t>
            </w:r>
            <w:proofErr w:type="gramStart"/>
            <w:r>
              <w:rPr>
                <w:lang w:eastAsia="en-US"/>
              </w:rPr>
              <w:t>credit</w:t>
            </w:r>
            <w:proofErr w:type="gramEnd"/>
            <w:r>
              <w:rPr>
                <w:lang w:eastAsia="en-US"/>
              </w:rPr>
              <w:t xml:space="preserve"> and lending</w:t>
            </w:r>
          </w:p>
          <w:p w14:paraId="1EF9991A" w14:textId="77777777" w:rsidR="00DF1234" w:rsidRDefault="00DF1234" w:rsidP="00DF1234">
            <w:pPr>
              <w:pStyle w:val="TableTextLeft"/>
              <w:spacing w:line="256" w:lineRule="auto"/>
              <w:rPr>
                <w:lang w:eastAsia="en-US"/>
              </w:rPr>
            </w:pPr>
            <w:r>
              <w:rPr>
                <w:lang w:eastAsia="en-US"/>
              </w:rPr>
              <w:t>Collective investment and investment management</w:t>
            </w:r>
          </w:p>
          <w:p w14:paraId="54D8D0DF" w14:textId="77777777" w:rsidR="00895EAD" w:rsidRDefault="00895EAD" w:rsidP="00895EAD">
            <w:pPr>
              <w:pStyle w:val="TableTextLeft"/>
              <w:spacing w:line="256" w:lineRule="auto"/>
              <w:rPr>
                <w:lang w:eastAsia="en-US"/>
              </w:rPr>
            </w:pPr>
            <w:r>
              <w:rPr>
                <w:lang w:eastAsia="en-US"/>
              </w:rPr>
              <w:t xml:space="preserve">Financial advice </w:t>
            </w:r>
          </w:p>
          <w:p w14:paraId="687331F7" w14:textId="77777777" w:rsidR="00DF1234" w:rsidRDefault="00DF1234" w:rsidP="00DF1234">
            <w:pPr>
              <w:pStyle w:val="TableTextLeft"/>
              <w:spacing w:line="256" w:lineRule="auto"/>
              <w:rPr>
                <w:lang w:eastAsia="en-US"/>
              </w:rPr>
            </w:pPr>
            <w:r>
              <w:rPr>
                <w:lang w:eastAsia="en-US"/>
              </w:rPr>
              <w:t>Insurance and reinsurance</w:t>
            </w:r>
          </w:p>
          <w:p w14:paraId="79A24D72" w14:textId="2650C16D" w:rsidR="00DF1234" w:rsidRPr="009A5125" w:rsidRDefault="00DF1234" w:rsidP="00DF1234">
            <w:pPr>
              <w:pStyle w:val="TableTextLeft"/>
            </w:pPr>
            <w:r>
              <w:rPr>
                <w:lang w:eastAsia="en-US"/>
              </w:rPr>
              <w:t>Superannuation and retirement income</w:t>
            </w:r>
          </w:p>
        </w:tc>
        <w:tc>
          <w:tcPr>
            <w:tcW w:w="4286" w:type="dxa"/>
            <w:tcBorders>
              <w:bottom w:val="single" w:sz="4" w:space="0" w:color="5D779D" w:themeColor="accent3"/>
            </w:tcBorders>
          </w:tcPr>
          <w:p w14:paraId="03192D45" w14:textId="6293ECF1" w:rsidR="00DF1234" w:rsidRPr="002E7CCE" w:rsidRDefault="00DF1234" w:rsidP="002E7CCE">
            <w:pPr>
              <w:pStyle w:val="TableTextLeft"/>
            </w:pPr>
            <w:r w:rsidRPr="002E7CCE">
              <w:rPr>
                <w:b/>
                <w:bCs/>
              </w:rPr>
              <w:t xml:space="preserve">Update of Regulatory </w:t>
            </w:r>
            <w:r w:rsidR="001E0387" w:rsidRPr="002E7CCE">
              <w:rPr>
                <w:b/>
                <w:bCs/>
              </w:rPr>
              <w:t>Guide</w:t>
            </w:r>
            <w:r w:rsidRPr="002E7CCE">
              <w:rPr>
                <w:b/>
                <w:bCs/>
              </w:rPr>
              <w:t xml:space="preserve"> 53 </w:t>
            </w:r>
            <w:r w:rsidRPr="002E7CCE">
              <w:rPr>
                <w:b/>
                <w:bCs/>
                <w:i/>
                <w:iCs/>
              </w:rPr>
              <w:t xml:space="preserve">The use of past performance in promotional material </w:t>
            </w:r>
            <w:r w:rsidRPr="002E368D">
              <w:rPr>
                <w:b/>
                <w:bCs/>
              </w:rPr>
              <w:t xml:space="preserve">and </w:t>
            </w:r>
            <w:r w:rsidR="001E0387" w:rsidRPr="002E368D">
              <w:rPr>
                <w:b/>
                <w:bCs/>
              </w:rPr>
              <w:t xml:space="preserve">Regulatory Guide </w:t>
            </w:r>
            <w:r w:rsidRPr="002E368D">
              <w:rPr>
                <w:b/>
                <w:bCs/>
              </w:rPr>
              <w:t>234</w:t>
            </w:r>
            <w:r w:rsidRPr="002E7CCE">
              <w:rPr>
                <w:b/>
                <w:bCs/>
                <w:i/>
                <w:iCs/>
              </w:rPr>
              <w:t xml:space="preserve"> Advertising financial products and services (including credit</w:t>
            </w:r>
            <w:r w:rsidRPr="002E7CCE">
              <w:rPr>
                <w:i/>
                <w:iCs/>
              </w:rPr>
              <w:t>)</w:t>
            </w:r>
            <w:r w:rsidRPr="002E7CCE">
              <w:t xml:space="preserve"> </w:t>
            </w:r>
          </w:p>
          <w:p w14:paraId="77EA6C28" w14:textId="39017202" w:rsidR="00DF1234" w:rsidRDefault="001E0387" w:rsidP="00301F93">
            <w:pPr>
              <w:pStyle w:val="TableTextLeft"/>
            </w:pPr>
            <w:r>
              <w:rPr>
                <w:lang w:eastAsia="en-US"/>
              </w:rPr>
              <w:t>ASIC will update</w:t>
            </w:r>
            <w:r w:rsidR="00DF1234">
              <w:rPr>
                <w:lang w:eastAsia="en-US"/>
              </w:rPr>
              <w:t xml:space="preserve"> </w:t>
            </w:r>
            <w:r w:rsidR="00A93817">
              <w:rPr>
                <w:lang w:eastAsia="en-US"/>
              </w:rPr>
              <w:t>2 </w:t>
            </w:r>
            <w:r w:rsidR="00DF1234">
              <w:rPr>
                <w:lang w:eastAsia="en-US"/>
              </w:rPr>
              <w:t>disclosure</w:t>
            </w:r>
            <w:r w:rsidR="0008745D">
              <w:rPr>
                <w:lang w:eastAsia="en-US"/>
              </w:rPr>
              <w:noBreakHyphen/>
            </w:r>
            <w:r w:rsidR="00DF1234">
              <w:rPr>
                <w:lang w:eastAsia="en-US"/>
              </w:rPr>
              <w:t>related guidance documents:</w:t>
            </w:r>
          </w:p>
          <w:p w14:paraId="77442E4B" w14:textId="77777777" w:rsidR="00DF1234" w:rsidRPr="007E6DAB" w:rsidRDefault="00DF1234" w:rsidP="007E6DAB">
            <w:pPr>
              <w:pStyle w:val="TableTextBullet"/>
              <w:rPr>
                <w:i/>
                <w:iCs/>
                <w:lang w:eastAsia="en-US"/>
              </w:rPr>
            </w:pPr>
            <w:r>
              <w:rPr>
                <w:lang w:eastAsia="en-US"/>
              </w:rPr>
              <w:t xml:space="preserve">Regulatory Guide 53 </w:t>
            </w:r>
            <w:r w:rsidRPr="007E6DAB">
              <w:rPr>
                <w:i/>
                <w:iCs/>
                <w:lang w:eastAsia="en-US"/>
              </w:rPr>
              <w:t xml:space="preserve">The use of past performance in promotional material </w:t>
            </w:r>
          </w:p>
          <w:p w14:paraId="62820061" w14:textId="33C46D76" w:rsidR="00DF1234" w:rsidRPr="007230EC" w:rsidRDefault="00DF1234" w:rsidP="00DF1234">
            <w:pPr>
              <w:pStyle w:val="TableTextBullet"/>
              <w:rPr>
                <w:i/>
                <w:iCs/>
                <w:lang w:eastAsia="en-US"/>
              </w:rPr>
            </w:pPr>
            <w:r>
              <w:rPr>
                <w:lang w:eastAsia="en-US"/>
              </w:rPr>
              <w:t xml:space="preserve">Regulatory Guide 234 </w:t>
            </w:r>
            <w:r w:rsidRPr="007E6DAB">
              <w:rPr>
                <w:i/>
                <w:iCs/>
                <w:lang w:eastAsia="en-US"/>
              </w:rPr>
              <w:t>Advertising financial products and services (including credit): Good practice guidance</w:t>
            </w:r>
            <w:r w:rsidR="00ED6A87" w:rsidRPr="007E6DAB">
              <w:rPr>
                <w:i/>
                <w:iCs/>
                <w:lang w:eastAsia="en-US"/>
              </w:rPr>
              <w:t>.</w:t>
            </w:r>
          </w:p>
        </w:tc>
        <w:tc>
          <w:tcPr>
            <w:tcW w:w="1270" w:type="dxa"/>
            <w:tcBorders>
              <w:bottom w:val="single" w:sz="4" w:space="0" w:color="5D779D" w:themeColor="accent3"/>
            </w:tcBorders>
            <w:shd w:val="clear" w:color="auto" w:fill="DFE4EB"/>
          </w:tcPr>
          <w:p w14:paraId="30556DB8" w14:textId="77777777" w:rsidR="00DF1234" w:rsidRPr="00CF7C7F" w:rsidRDefault="00DF1234" w:rsidP="00DF1234">
            <w:pPr>
              <w:pStyle w:val="TableTextLeft"/>
            </w:pPr>
          </w:p>
        </w:tc>
        <w:tc>
          <w:tcPr>
            <w:tcW w:w="1270" w:type="dxa"/>
            <w:tcBorders>
              <w:bottom w:val="single" w:sz="4" w:space="0" w:color="5D779D" w:themeColor="accent3"/>
            </w:tcBorders>
            <w:shd w:val="clear" w:color="auto" w:fill="DFE4EB"/>
          </w:tcPr>
          <w:p w14:paraId="585EF592" w14:textId="77777777" w:rsidR="00DF1234" w:rsidRPr="00CF7C7F" w:rsidRDefault="00DF1234" w:rsidP="00DF1234">
            <w:pPr>
              <w:pStyle w:val="TableTextLeft"/>
            </w:pPr>
          </w:p>
        </w:tc>
        <w:tc>
          <w:tcPr>
            <w:tcW w:w="1270" w:type="dxa"/>
            <w:tcBorders>
              <w:bottom w:val="single" w:sz="4" w:space="0" w:color="5D779D" w:themeColor="accent3"/>
            </w:tcBorders>
            <w:shd w:val="clear" w:color="auto" w:fill="DFE4EB"/>
          </w:tcPr>
          <w:p w14:paraId="4DFFD80D" w14:textId="77777777" w:rsidR="00DF1234" w:rsidRPr="00CF7C7F" w:rsidDel="00B43AD7" w:rsidRDefault="00DF1234" w:rsidP="00757267">
            <w:pPr>
              <w:pStyle w:val="TableTextLeft"/>
              <w:spacing w:line="256" w:lineRule="auto"/>
            </w:pPr>
          </w:p>
        </w:tc>
        <w:tc>
          <w:tcPr>
            <w:tcW w:w="1270" w:type="dxa"/>
            <w:tcBorders>
              <w:bottom w:val="single" w:sz="4" w:space="0" w:color="5D779D" w:themeColor="accent3"/>
            </w:tcBorders>
            <w:shd w:val="clear" w:color="auto" w:fill="DFE4EB"/>
          </w:tcPr>
          <w:p w14:paraId="6B1047C8" w14:textId="121B0F32" w:rsidR="00DF1234" w:rsidRPr="00CF7C7F" w:rsidRDefault="00757267" w:rsidP="00AA23F5">
            <w:pPr>
              <w:pStyle w:val="TableTextLeft"/>
              <w:spacing w:line="256" w:lineRule="auto"/>
              <w:rPr>
                <w:lang w:eastAsia="en-US"/>
              </w:rPr>
            </w:pPr>
            <w:r>
              <w:rPr>
                <w:lang w:eastAsia="en-US"/>
              </w:rPr>
              <w:t>Consultation commences</w:t>
            </w:r>
          </w:p>
        </w:tc>
        <w:tc>
          <w:tcPr>
            <w:tcW w:w="1270" w:type="dxa"/>
            <w:tcBorders>
              <w:bottom w:val="single" w:sz="4" w:space="0" w:color="5D779D" w:themeColor="accent3"/>
            </w:tcBorders>
            <w:shd w:val="clear" w:color="auto" w:fill="EFF1F5"/>
          </w:tcPr>
          <w:p w14:paraId="6A9EB46C" w14:textId="44F8D677" w:rsidR="00DF1234" w:rsidRPr="00CF7C7F" w:rsidRDefault="00DF1234" w:rsidP="00AA23F5">
            <w:pPr>
              <w:pStyle w:val="TableTextLeft"/>
              <w:spacing w:line="256" w:lineRule="auto"/>
              <w:rPr>
                <w:lang w:eastAsia="en-US"/>
              </w:rPr>
            </w:pPr>
            <w:r>
              <w:rPr>
                <w:lang w:eastAsia="en-US"/>
              </w:rPr>
              <w:t>Updated guidance published</w:t>
            </w:r>
          </w:p>
        </w:tc>
        <w:tc>
          <w:tcPr>
            <w:tcW w:w="1270" w:type="dxa"/>
            <w:tcBorders>
              <w:bottom w:val="single" w:sz="4" w:space="0" w:color="5D779D" w:themeColor="accent3"/>
            </w:tcBorders>
            <w:shd w:val="clear" w:color="auto" w:fill="EFF1F5"/>
          </w:tcPr>
          <w:p w14:paraId="657C7B4F" w14:textId="77777777" w:rsidR="00DF1234" w:rsidRPr="002E4362" w:rsidRDefault="00DF1234" w:rsidP="00DF1234">
            <w:pPr>
              <w:pStyle w:val="TableTextLeft"/>
            </w:pPr>
          </w:p>
        </w:tc>
      </w:tr>
      <w:tr w:rsidR="00442EED" w:rsidRPr="00AF43B7" w14:paraId="3BCC3201" w14:textId="77777777" w:rsidTr="410CE694">
        <w:trPr>
          <w:cantSplit/>
          <w:trHeight w:val="410"/>
        </w:trPr>
        <w:tc>
          <w:tcPr>
            <w:tcW w:w="849" w:type="dxa"/>
            <w:tcBorders>
              <w:top w:val="single" w:sz="4" w:space="0" w:color="5D779D" w:themeColor="accent3"/>
              <w:bottom w:val="single" w:sz="4" w:space="0" w:color="5D779D" w:themeColor="accent3"/>
            </w:tcBorders>
            <w:shd w:val="clear" w:color="auto" w:fill="auto"/>
          </w:tcPr>
          <w:p w14:paraId="73E75D88" w14:textId="65F85F0B" w:rsidR="005C3C8A" w:rsidRDefault="005C3C8A" w:rsidP="00097CAA">
            <w:pPr>
              <w:pStyle w:val="TableLeadAgency"/>
              <w:rPr>
                <w:lang w:eastAsia="en-US"/>
              </w:rPr>
            </w:pPr>
            <w:r>
              <w:rPr>
                <w:lang w:eastAsia="en-US"/>
              </w:rPr>
              <w:lastRenderedPageBreak/>
              <w:t>ASIC</w:t>
            </w:r>
          </w:p>
        </w:tc>
        <w:tc>
          <w:tcPr>
            <w:tcW w:w="1247" w:type="dxa"/>
            <w:tcBorders>
              <w:top w:val="single" w:sz="4" w:space="0" w:color="5D779D" w:themeColor="accent3"/>
              <w:bottom w:val="single" w:sz="4" w:space="0" w:color="5D779D" w:themeColor="accent3"/>
            </w:tcBorders>
          </w:tcPr>
          <w:p w14:paraId="04630C21" w14:textId="77777777" w:rsidR="005C3C8A" w:rsidRDefault="005C3C8A" w:rsidP="005C3C8A">
            <w:pPr>
              <w:pStyle w:val="TableTextLeft"/>
              <w:spacing w:line="256" w:lineRule="auto"/>
              <w:rPr>
                <w:lang w:eastAsia="en-US"/>
              </w:rPr>
            </w:pPr>
            <w:r>
              <w:rPr>
                <w:lang w:eastAsia="en-US"/>
              </w:rPr>
              <w:t xml:space="preserve">Banking, </w:t>
            </w:r>
            <w:proofErr w:type="gramStart"/>
            <w:r>
              <w:rPr>
                <w:lang w:eastAsia="en-US"/>
              </w:rPr>
              <w:t>credit</w:t>
            </w:r>
            <w:proofErr w:type="gramEnd"/>
            <w:r>
              <w:rPr>
                <w:lang w:eastAsia="en-US"/>
              </w:rPr>
              <w:t xml:space="preserve"> and lending</w:t>
            </w:r>
          </w:p>
          <w:p w14:paraId="6B2275E5" w14:textId="77777777" w:rsidR="00C87D83" w:rsidRDefault="00C87D83" w:rsidP="00C87D83">
            <w:pPr>
              <w:pStyle w:val="TableTextLeft"/>
              <w:spacing w:line="256" w:lineRule="auto"/>
              <w:rPr>
                <w:lang w:eastAsia="en-US"/>
              </w:rPr>
            </w:pPr>
            <w:r>
              <w:rPr>
                <w:lang w:eastAsia="en-US"/>
              </w:rPr>
              <w:t>Collective investment and investment management</w:t>
            </w:r>
          </w:p>
          <w:p w14:paraId="66D50D60" w14:textId="77777777" w:rsidR="005C3C8A" w:rsidRDefault="005C3C8A" w:rsidP="005C3C8A">
            <w:pPr>
              <w:pStyle w:val="TableTextLeft"/>
              <w:spacing w:line="256" w:lineRule="auto"/>
              <w:rPr>
                <w:lang w:eastAsia="en-US"/>
              </w:rPr>
            </w:pPr>
            <w:r>
              <w:rPr>
                <w:lang w:eastAsia="en-US"/>
              </w:rPr>
              <w:t xml:space="preserve">Financial advice </w:t>
            </w:r>
          </w:p>
          <w:p w14:paraId="3DAC52EC" w14:textId="77777777" w:rsidR="005C3C8A" w:rsidRDefault="005C3C8A" w:rsidP="005C3C8A">
            <w:pPr>
              <w:pStyle w:val="TableTextLeft"/>
              <w:spacing w:line="256" w:lineRule="auto"/>
              <w:rPr>
                <w:lang w:eastAsia="en-US"/>
              </w:rPr>
            </w:pPr>
            <w:r>
              <w:rPr>
                <w:lang w:eastAsia="en-US"/>
              </w:rPr>
              <w:t>Insurance and reinsurance</w:t>
            </w:r>
          </w:p>
          <w:p w14:paraId="0DFC1A81" w14:textId="16F60B2B" w:rsidR="005C3C8A" w:rsidRDefault="005C3C8A" w:rsidP="005C3C8A">
            <w:pPr>
              <w:pStyle w:val="TableTextLeft"/>
              <w:spacing w:line="256" w:lineRule="auto"/>
              <w:rPr>
                <w:lang w:eastAsia="en-US"/>
              </w:rPr>
            </w:pPr>
            <w:r>
              <w:rPr>
                <w:lang w:eastAsia="en-US"/>
              </w:rPr>
              <w:t>Superannuation and retirement income</w:t>
            </w:r>
          </w:p>
        </w:tc>
        <w:tc>
          <w:tcPr>
            <w:tcW w:w="4286" w:type="dxa"/>
            <w:tcBorders>
              <w:top w:val="single" w:sz="4" w:space="0" w:color="5D779D" w:themeColor="accent3"/>
              <w:bottom w:val="single" w:sz="4" w:space="0" w:color="5D779D" w:themeColor="accent3"/>
            </w:tcBorders>
          </w:tcPr>
          <w:p w14:paraId="78172584" w14:textId="77777777" w:rsidR="005C3C8A" w:rsidRPr="002E7CCE" w:rsidRDefault="005C3C8A" w:rsidP="002E7CCE">
            <w:pPr>
              <w:pStyle w:val="TableTextLeft"/>
              <w:rPr>
                <w:b/>
                <w:bCs/>
              </w:rPr>
            </w:pPr>
            <w:r w:rsidRPr="002E7CCE">
              <w:rPr>
                <w:b/>
                <w:bCs/>
              </w:rPr>
              <w:t xml:space="preserve">Update of Regulatory Guide 183 </w:t>
            </w:r>
            <w:r w:rsidRPr="002E368D">
              <w:rPr>
                <w:b/>
                <w:bCs/>
                <w:i/>
                <w:iCs/>
              </w:rPr>
              <w:t>Approval of financial services sector codes of conduct</w:t>
            </w:r>
            <w:r w:rsidRPr="002E7CCE">
              <w:rPr>
                <w:b/>
                <w:bCs/>
              </w:rPr>
              <w:t xml:space="preserve"> </w:t>
            </w:r>
          </w:p>
          <w:p w14:paraId="1B917027" w14:textId="3256586D" w:rsidR="005C3C8A" w:rsidRDefault="001E0387" w:rsidP="007230EC">
            <w:pPr>
              <w:pStyle w:val="TableTextLeft"/>
              <w:rPr>
                <w:rStyle w:val="normaltextrun"/>
                <w:rFonts w:cs="Calibri"/>
                <w:lang w:eastAsia="en-US"/>
              </w:rPr>
            </w:pPr>
            <w:r>
              <w:rPr>
                <w:lang w:eastAsia="en-US"/>
              </w:rPr>
              <w:t>ASIC will update</w:t>
            </w:r>
            <w:r w:rsidR="005C3C8A">
              <w:rPr>
                <w:lang w:eastAsia="en-US"/>
              </w:rPr>
              <w:t xml:space="preserve"> Regulatory Guide 183 </w:t>
            </w:r>
            <w:r w:rsidR="005C3C8A">
              <w:rPr>
                <w:i/>
                <w:iCs/>
                <w:lang w:eastAsia="en-US"/>
              </w:rPr>
              <w:t>Approval of financial services sector codes of conduct</w:t>
            </w:r>
            <w:r w:rsidR="005C3C8A">
              <w:rPr>
                <w:lang w:eastAsia="en-US"/>
              </w:rPr>
              <w:t xml:space="preserve">, to consider changes such as reforms following the Financial Services Royal Commission to make certain parts of industry codes </w:t>
            </w:r>
            <w:r w:rsidR="0008745D">
              <w:rPr>
                <w:lang w:eastAsia="en-US"/>
              </w:rPr>
              <w:t>‘</w:t>
            </w:r>
            <w:r w:rsidR="005C3C8A">
              <w:rPr>
                <w:lang w:eastAsia="en-US"/>
              </w:rPr>
              <w:t>enforceable code provisions</w:t>
            </w:r>
            <w:r w:rsidR="0008745D">
              <w:rPr>
                <w:lang w:eastAsia="en-US"/>
              </w:rPr>
              <w:t>’</w:t>
            </w:r>
            <w:r w:rsidR="005C3C8A">
              <w:rPr>
                <w:lang w:eastAsia="en-US"/>
              </w:rPr>
              <w:t xml:space="preserve"> and for ASIC to designate those provisions.</w:t>
            </w:r>
          </w:p>
        </w:tc>
        <w:tc>
          <w:tcPr>
            <w:tcW w:w="1270" w:type="dxa"/>
            <w:tcBorders>
              <w:top w:val="single" w:sz="4" w:space="0" w:color="5D779D" w:themeColor="accent3"/>
              <w:bottom w:val="single" w:sz="4" w:space="0" w:color="5D779D" w:themeColor="accent3"/>
            </w:tcBorders>
            <w:shd w:val="clear" w:color="auto" w:fill="DFE4EB"/>
          </w:tcPr>
          <w:p w14:paraId="35883EDE" w14:textId="77777777" w:rsidR="005C3C8A" w:rsidRPr="00CF7C7F" w:rsidRDefault="005C3C8A" w:rsidP="005C3C8A">
            <w:pPr>
              <w:pStyle w:val="TableTextLeft"/>
            </w:pPr>
          </w:p>
        </w:tc>
        <w:tc>
          <w:tcPr>
            <w:tcW w:w="1270" w:type="dxa"/>
            <w:tcBorders>
              <w:top w:val="single" w:sz="4" w:space="0" w:color="5D779D" w:themeColor="accent3"/>
              <w:bottom w:val="single" w:sz="4" w:space="0" w:color="5D779D" w:themeColor="accent3"/>
            </w:tcBorders>
            <w:shd w:val="clear" w:color="auto" w:fill="DFE4EB"/>
          </w:tcPr>
          <w:p w14:paraId="46E0950D" w14:textId="77777777" w:rsidR="005C3C8A" w:rsidRPr="00CF7C7F" w:rsidRDefault="005C3C8A" w:rsidP="005C3C8A">
            <w:pPr>
              <w:pStyle w:val="TableTextLeft"/>
            </w:pPr>
          </w:p>
        </w:tc>
        <w:tc>
          <w:tcPr>
            <w:tcW w:w="1270" w:type="dxa"/>
            <w:tcBorders>
              <w:top w:val="single" w:sz="4" w:space="0" w:color="5D779D" w:themeColor="accent3"/>
              <w:bottom w:val="single" w:sz="4" w:space="0" w:color="5D779D" w:themeColor="accent3"/>
            </w:tcBorders>
            <w:shd w:val="clear" w:color="auto" w:fill="DFE4EB"/>
          </w:tcPr>
          <w:p w14:paraId="30C2FBB9" w14:textId="4E953C02" w:rsidR="005C3C8A" w:rsidRDefault="005C3C8A" w:rsidP="005C3C8A">
            <w:pPr>
              <w:pStyle w:val="TableTextLeft"/>
              <w:spacing w:line="256" w:lineRule="auto"/>
              <w:rPr>
                <w:lang w:eastAsia="en-US"/>
              </w:rPr>
            </w:pPr>
            <w:r>
              <w:rPr>
                <w:lang w:eastAsia="en-US"/>
              </w:rPr>
              <w:t>Consultation commences</w:t>
            </w:r>
          </w:p>
        </w:tc>
        <w:tc>
          <w:tcPr>
            <w:tcW w:w="1270" w:type="dxa"/>
            <w:tcBorders>
              <w:top w:val="single" w:sz="4" w:space="0" w:color="5D779D" w:themeColor="accent3"/>
              <w:bottom w:val="single" w:sz="4" w:space="0" w:color="5D779D" w:themeColor="accent3"/>
            </w:tcBorders>
            <w:shd w:val="clear" w:color="auto" w:fill="DFE4EB"/>
          </w:tcPr>
          <w:p w14:paraId="433FC68B" w14:textId="77777777" w:rsidR="005C3C8A" w:rsidRPr="00CF7C7F" w:rsidRDefault="005C3C8A" w:rsidP="005C3C8A">
            <w:pPr>
              <w:pStyle w:val="TableTextLeft"/>
            </w:pPr>
          </w:p>
        </w:tc>
        <w:tc>
          <w:tcPr>
            <w:tcW w:w="1270" w:type="dxa"/>
            <w:tcBorders>
              <w:top w:val="single" w:sz="4" w:space="0" w:color="5D779D" w:themeColor="accent3"/>
              <w:bottom w:val="single" w:sz="4" w:space="0" w:color="5D779D" w:themeColor="accent3"/>
            </w:tcBorders>
            <w:shd w:val="clear" w:color="auto" w:fill="EFF1F5"/>
          </w:tcPr>
          <w:p w14:paraId="00B09047" w14:textId="4E2C03A6" w:rsidR="005C3C8A" w:rsidRDefault="005C3C8A" w:rsidP="005C3C8A">
            <w:pPr>
              <w:pStyle w:val="TableTextLeft"/>
              <w:spacing w:line="256" w:lineRule="auto"/>
              <w:rPr>
                <w:lang w:eastAsia="en-US"/>
              </w:rPr>
            </w:pPr>
            <w:r>
              <w:rPr>
                <w:lang w:eastAsia="en-US"/>
              </w:rPr>
              <w:t>Updated guidance published</w:t>
            </w:r>
          </w:p>
        </w:tc>
        <w:tc>
          <w:tcPr>
            <w:tcW w:w="1270" w:type="dxa"/>
            <w:tcBorders>
              <w:top w:val="single" w:sz="4" w:space="0" w:color="5D779D" w:themeColor="accent3"/>
              <w:bottom w:val="single" w:sz="4" w:space="0" w:color="5D779D" w:themeColor="accent3"/>
            </w:tcBorders>
            <w:shd w:val="clear" w:color="auto" w:fill="EFF1F5"/>
          </w:tcPr>
          <w:p w14:paraId="109B95BD" w14:textId="77777777" w:rsidR="005C3C8A" w:rsidRPr="002E4362" w:rsidRDefault="005C3C8A" w:rsidP="005C3C8A">
            <w:pPr>
              <w:pStyle w:val="TableTextLeft"/>
            </w:pPr>
          </w:p>
        </w:tc>
      </w:tr>
      <w:tr w:rsidR="00442EED" w:rsidRPr="00AF43B7" w14:paraId="34BD464F" w14:textId="77777777" w:rsidTr="410CE694">
        <w:trPr>
          <w:cantSplit/>
          <w:trHeight w:val="410"/>
        </w:trPr>
        <w:tc>
          <w:tcPr>
            <w:tcW w:w="849" w:type="dxa"/>
            <w:tcBorders>
              <w:top w:val="single" w:sz="4" w:space="0" w:color="5D779D" w:themeColor="accent3"/>
              <w:bottom w:val="single" w:sz="4" w:space="0" w:color="5D779D" w:themeColor="accent3"/>
            </w:tcBorders>
            <w:shd w:val="clear" w:color="auto" w:fill="auto"/>
          </w:tcPr>
          <w:p w14:paraId="70182C2B" w14:textId="77777777" w:rsidR="00BD68D4" w:rsidRDefault="00BD68D4" w:rsidP="00097CAA">
            <w:pPr>
              <w:pStyle w:val="TableLeadAgency"/>
            </w:pPr>
            <w:r>
              <w:t>TSY</w:t>
            </w:r>
          </w:p>
          <w:p w14:paraId="435929F8" w14:textId="6A6368BA" w:rsidR="00BD68D4" w:rsidRPr="00155D74" w:rsidRDefault="00BD68D4" w:rsidP="00097CAA">
            <w:pPr>
              <w:pStyle w:val="TableSecondaryAgency"/>
            </w:pPr>
            <w:r w:rsidRPr="00155D74">
              <w:t>ATO</w:t>
            </w:r>
          </w:p>
        </w:tc>
        <w:tc>
          <w:tcPr>
            <w:tcW w:w="1247" w:type="dxa"/>
            <w:tcBorders>
              <w:top w:val="single" w:sz="4" w:space="0" w:color="5D779D" w:themeColor="accent3"/>
              <w:bottom w:val="single" w:sz="4" w:space="0" w:color="5D779D" w:themeColor="accent3"/>
            </w:tcBorders>
          </w:tcPr>
          <w:p w14:paraId="4EABD9CC" w14:textId="1D22BC45" w:rsidR="00BD68D4" w:rsidRPr="00301F93" w:rsidRDefault="00BD68D4" w:rsidP="00301F93">
            <w:pPr>
              <w:pStyle w:val="TableTextLeft"/>
            </w:pPr>
            <w:r w:rsidRPr="00301F93">
              <w:t>Collective investment and investment</w:t>
            </w:r>
            <w:r w:rsidR="00AD7E23" w:rsidRPr="00301F93">
              <w:t xml:space="preserve"> management</w:t>
            </w:r>
          </w:p>
        </w:tc>
        <w:tc>
          <w:tcPr>
            <w:tcW w:w="4286" w:type="dxa"/>
            <w:tcBorders>
              <w:top w:val="single" w:sz="4" w:space="0" w:color="5D779D" w:themeColor="accent3"/>
              <w:bottom w:val="single" w:sz="4" w:space="0" w:color="5D779D" w:themeColor="accent3"/>
            </w:tcBorders>
          </w:tcPr>
          <w:p w14:paraId="0AB64DDA" w14:textId="05EB8F21" w:rsidR="00BD68D4" w:rsidRDefault="00BD68D4" w:rsidP="00BD68D4">
            <w:pPr>
              <w:pStyle w:val="TableTextLeft"/>
              <w:rPr>
                <w:b/>
                <w:bCs/>
              </w:rPr>
            </w:pPr>
            <w:r>
              <w:rPr>
                <w:b/>
                <w:bCs/>
              </w:rPr>
              <w:t>Foreign investment portal for investors and agents</w:t>
            </w:r>
          </w:p>
          <w:p w14:paraId="31CF449F" w14:textId="71E5E23C" w:rsidR="00BD68D4" w:rsidRPr="00F21DD4" w:rsidRDefault="00BE0581" w:rsidP="00F21DD4">
            <w:pPr>
              <w:pStyle w:val="TableTextLeft"/>
            </w:pPr>
            <w:r w:rsidRPr="00301F93">
              <w:t xml:space="preserve">The Government is </w:t>
            </w:r>
            <w:r w:rsidR="00BD68D4" w:rsidRPr="00301F93">
              <w:t xml:space="preserve">modernising how foreign investment is managed in Australia through the delivery of a new Foreign Investment Portal. Once launched, this portal will replace the current </w:t>
            </w:r>
            <w:r w:rsidRPr="00301F93">
              <w:t>Foreign Investment Review Board (</w:t>
            </w:r>
            <w:r w:rsidR="00BD68D4" w:rsidRPr="00301F93">
              <w:t>FIRB</w:t>
            </w:r>
            <w:r w:rsidRPr="00301F93">
              <w:t>)</w:t>
            </w:r>
            <w:r w:rsidR="00BD68D4" w:rsidRPr="00301F93">
              <w:t xml:space="preserve"> Application Portal.</w:t>
            </w:r>
            <w:r w:rsidR="00B3024D" w:rsidRPr="00301F93">
              <w:t xml:space="preserve"> </w:t>
            </w:r>
            <w:r w:rsidR="00BD68D4" w:rsidRPr="00301F93">
              <w:t xml:space="preserve">The portal will provide a more efficient, functional, transparent, and secure experience for </w:t>
            </w:r>
            <w:r w:rsidR="001E0387" w:rsidRPr="00301F93">
              <w:t>investors and their agents.</w:t>
            </w:r>
          </w:p>
        </w:tc>
        <w:tc>
          <w:tcPr>
            <w:tcW w:w="1270" w:type="dxa"/>
            <w:tcBorders>
              <w:top w:val="single" w:sz="4" w:space="0" w:color="5D779D" w:themeColor="accent3"/>
              <w:bottom w:val="single" w:sz="4" w:space="0" w:color="5D779D" w:themeColor="accent3"/>
            </w:tcBorders>
            <w:shd w:val="clear" w:color="auto" w:fill="DFE4EB"/>
          </w:tcPr>
          <w:p w14:paraId="7788559C" w14:textId="77777777" w:rsidR="00BD68D4" w:rsidRDefault="00BD68D4" w:rsidP="00BD68D4">
            <w:pPr>
              <w:pStyle w:val="TableTextLeft"/>
            </w:pPr>
          </w:p>
        </w:tc>
        <w:tc>
          <w:tcPr>
            <w:tcW w:w="1270" w:type="dxa"/>
            <w:tcBorders>
              <w:top w:val="single" w:sz="4" w:space="0" w:color="5D779D" w:themeColor="accent3"/>
              <w:bottom w:val="single" w:sz="4" w:space="0" w:color="5D779D" w:themeColor="accent3"/>
            </w:tcBorders>
            <w:shd w:val="clear" w:color="auto" w:fill="DFE4EB"/>
          </w:tcPr>
          <w:p w14:paraId="4449374F" w14:textId="7E4ABBD9" w:rsidR="00BD68D4" w:rsidRPr="00CF7C7F" w:rsidRDefault="00BD68D4" w:rsidP="00BD68D4">
            <w:pPr>
              <w:pStyle w:val="TableTextLeft"/>
            </w:pPr>
            <w:r w:rsidRPr="00BD68D4">
              <w:rPr>
                <w:rFonts w:cs="Calibri Light"/>
                <w:szCs w:val="16"/>
              </w:rPr>
              <w:t>Build of new portal</w:t>
            </w:r>
          </w:p>
        </w:tc>
        <w:tc>
          <w:tcPr>
            <w:tcW w:w="1270" w:type="dxa"/>
            <w:tcBorders>
              <w:top w:val="single" w:sz="4" w:space="0" w:color="5D779D" w:themeColor="accent3"/>
              <w:bottom w:val="single" w:sz="4" w:space="0" w:color="5D779D" w:themeColor="accent3"/>
            </w:tcBorders>
            <w:shd w:val="clear" w:color="auto" w:fill="DFE4EB"/>
          </w:tcPr>
          <w:p w14:paraId="47DBB26E" w14:textId="77777777" w:rsidR="00BD68D4" w:rsidRPr="00CF7C7F" w:rsidRDefault="00BD68D4" w:rsidP="00BD68D4">
            <w:pPr>
              <w:pStyle w:val="TableTextLeft"/>
            </w:pPr>
          </w:p>
        </w:tc>
        <w:tc>
          <w:tcPr>
            <w:tcW w:w="1270" w:type="dxa"/>
            <w:tcBorders>
              <w:top w:val="single" w:sz="4" w:space="0" w:color="5D779D" w:themeColor="accent3"/>
              <w:bottom w:val="single" w:sz="4" w:space="0" w:color="5D779D" w:themeColor="accent3"/>
            </w:tcBorders>
            <w:shd w:val="clear" w:color="auto" w:fill="DFE4EB"/>
          </w:tcPr>
          <w:p w14:paraId="525912E8" w14:textId="77777777" w:rsidR="00BD68D4" w:rsidRPr="00CF7C7F" w:rsidRDefault="00BD68D4" w:rsidP="00BD68D4">
            <w:pPr>
              <w:pStyle w:val="TableTextLeft"/>
            </w:pPr>
          </w:p>
        </w:tc>
        <w:tc>
          <w:tcPr>
            <w:tcW w:w="1270" w:type="dxa"/>
            <w:tcBorders>
              <w:top w:val="single" w:sz="4" w:space="0" w:color="5D779D" w:themeColor="accent3"/>
              <w:bottom w:val="single" w:sz="4" w:space="0" w:color="5D779D" w:themeColor="accent3"/>
            </w:tcBorders>
            <w:shd w:val="clear" w:color="auto" w:fill="EFF1F5"/>
          </w:tcPr>
          <w:p w14:paraId="3E372C2B" w14:textId="77777777" w:rsidR="00BD68D4" w:rsidRDefault="00BD68D4" w:rsidP="00BD68D4">
            <w:pPr>
              <w:pStyle w:val="TableTextLeft"/>
            </w:pPr>
          </w:p>
        </w:tc>
        <w:tc>
          <w:tcPr>
            <w:tcW w:w="1270" w:type="dxa"/>
            <w:tcBorders>
              <w:top w:val="single" w:sz="4" w:space="0" w:color="5D779D" w:themeColor="accent3"/>
              <w:bottom w:val="single" w:sz="4" w:space="0" w:color="5D779D" w:themeColor="accent3"/>
            </w:tcBorders>
            <w:shd w:val="clear" w:color="auto" w:fill="EFF1F5"/>
          </w:tcPr>
          <w:p w14:paraId="65A637F3" w14:textId="77777777" w:rsidR="00BD68D4" w:rsidRPr="002E4362" w:rsidRDefault="00BD68D4" w:rsidP="00BD68D4">
            <w:pPr>
              <w:pStyle w:val="TableTextLeft"/>
            </w:pPr>
          </w:p>
        </w:tc>
      </w:tr>
      <w:tr w:rsidR="00442EED" w:rsidRPr="00AF43B7" w14:paraId="4FC9EADE" w14:textId="77777777" w:rsidTr="410CE694">
        <w:trPr>
          <w:cantSplit/>
          <w:trHeight w:val="410"/>
        </w:trPr>
        <w:tc>
          <w:tcPr>
            <w:tcW w:w="849" w:type="dxa"/>
            <w:tcBorders>
              <w:top w:val="single" w:sz="4" w:space="0" w:color="5D779D" w:themeColor="accent3"/>
              <w:bottom w:val="single" w:sz="4" w:space="0" w:color="5D779D" w:themeColor="accent3"/>
            </w:tcBorders>
            <w:shd w:val="clear" w:color="auto" w:fill="auto"/>
          </w:tcPr>
          <w:p w14:paraId="224D71FF" w14:textId="53C752C4" w:rsidR="00604AFC" w:rsidRPr="00E7433A" w:rsidRDefault="00604AFC" w:rsidP="00097CAA">
            <w:pPr>
              <w:pStyle w:val="TableLeadAgency"/>
            </w:pPr>
            <w:r>
              <w:rPr>
                <w:lang w:eastAsia="en-US"/>
              </w:rPr>
              <w:t>ASIC</w:t>
            </w:r>
          </w:p>
        </w:tc>
        <w:tc>
          <w:tcPr>
            <w:tcW w:w="1247" w:type="dxa"/>
            <w:tcBorders>
              <w:top w:val="single" w:sz="4" w:space="0" w:color="5D779D" w:themeColor="accent3"/>
              <w:bottom w:val="single" w:sz="4" w:space="0" w:color="5D779D" w:themeColor="accent3"/>
            </w:tcBorders>
          </w:tcPr>
          <w:p w14:paraId="101B153D" w14:textId="20BF1C85" w:rsidR="00604AFC" w:rsidRPr="00301F93" w:rsidRDefault="00604AFC" w:rsidP="00301F93">
            <w:pPr>
              <w:pStyle w:val="TableTextLeft"/>
            </w:pPr>
            <w:r w:rsidRPr="00301F93">
              <w:t>Collective investment and investment management</w:t>
            </w:r>
          </w:p>
        </w:tc>
        <w:tc>
          <w:tcPr>
            <w:tcW w:w="4286" w:type="dxa"/>
            <w:tcBorders>
              <w:top w:val="single" w:sz="4" w:space="0" w:color="5D779D" w:themeColor="accent3"/>
              <w:bottom w:val="single" w:sz="4" w:space="0" w:color="5D779D" w:themeColor="accent3"/>
            </w:tcBorders>
          </w:tcPr>
          <w:p w14:paraId="49F132CE" w14:textId="27AAE9A2" w:rsidR="00604AFC" w:rsidRPr="00D91E8E" w:rsidRDefault="00604AFC" w:rsidP="00D91E8E">
            <w:pPr>
              <w:pStyle w:val="TableTextLeft"/>
              <w:rPr>
                <w:b/>
                <w:bCs/>
              </w:rPr>
            </w:pPr>
            <w:r w:rsidRPr="00D91E8E">
              <w:rPr>
                <w:b/>
                <w:bCs/>
              </w:rPr>
              <w:t>Review of corporate adviser and private finance fund internal arrangements</w:t>
            </w:r>
          </w:p>
          <w:p w14:paraId="3E9CA518" w14:textId="0952D63A" w:rsidR="003C5AD1" w:rsidRDefault="003C5AD1" w:rsidP="00301F93">
            <w:pPr>
              <w:pStyle w:val="TableTextLeft"/>
              <w:rPr>
                <w:b/>
              </w:rPr>
            </w:pPr>
            <w:r>
              <w:rPr>
                <w:lang w:eastAsia="en-US"/>
              </w:rPr>
              <w:t>ASIC will conduct a r</w:t>
            </w:r>
            <w:r w:rsidRPr="58773D70">
              <w:rPr>
                <w:lang w:eastAsia="en-US"/>
              </w:rPr>
              <w:t xml:space="preserve">eview </w:t>
            </w:r>
            <w:r w:rsidRPr="00FC2CCE">
              <w:rPr>
                <w:lang w:eastAsia="en-US"/>
              </w:rPr>
              <w:t>of governance and practices of selected corporate advisers and private finance fund internal arrangements, including:</w:t>
            </w:r>
          </w:p>
          <w:p w14:paraId="1A76582C" w14:textId="181899DF" w:rsidR="003C5AD1" w:rsidRDefault="003C5AD1" w:rsidP="00E92916">
            <w:pPr>
              <w:pStyle w:val="TableTextBullet"/>
              <w:rPr>
                <w:b/>
                <w:lang w:eastAsia="en-US"/>
              </w:rPr>
            </w:pPr>
            <w:r w:rsidRPr="58773D70">
              <w:rPr>
                <w:lang w:eastAsia="en-US"/>
              </w:rPr>
              <w:t>For corporate advisers, governance arrangements, management of conflicts of interest, staff and insider trading and protection of confidential information</w:t>
            </w:r>
          </w:p>
          <w:p w14:paraId="49214A47" w14:textId="77777777" w:rsidR="003C5AD1" w:rsidRDefault="003C5AD1" w:rsidP="00E92916">
            <w:pPr>
              <w:pStyle w:val="TableTextBullet"/>
              <w:rPr>
                <w:b/>
                <w:lang w:eastAsia="en-US"/>
              </w:rPr>
            </w:pPr>
            <w:r w:rsidRPr="05AB3E8F">
              <w:rPr>
                <w:lang w:eastAsia="en-US"/>
              </w:rPr>
              <w:t>For wholesale private finance funds, governance, valuation practices, management of conflicts of interest, staff and insider trading, protection of confidential information and fair treatment of investors</w:t>
            </w:r>
          </w:p>
          <w:p w14:paraId="7A0A7137" w14:textId="68ADEA34" w:rsidR="00604AFC" w:rsidRPr="00F21DD4" w:rsidRDefault="003C5AD1" w:rsidP="00604AFC">
            <w:pPr>
              <w:pStyle w:val="TableTextBullet"/>
              <w:rPr>
                <w:b/>
                <w:lang w:eastAsia="en-US"/>
              </w:rPr>
            </w:pPr>
            <w:r w:rsidRPr="0855DEAA">
              <w:rPr>
                <w:lang w:eastAsia="en-US"/>
              </w:rPr>
              <w:t xml:space="preserve">For private credit funds that are retail (registered) managed investment schemes (including governance and practices in relation to disclosure, distribution, </w:t>
            </w:r>
            <w:proofErr w:type="gramStart"/>
            <w:r w:rsidRPr="0855DEAA">
              <w:rPr>
                <w:lang w:eastAsia="en-US"/>
              </w:rPr>
              <w:t>valuation</w:t>
            </w:r>
            <w:proofErr w:type="gramEnd"/>
            <w:r w:rsidRPr="0855DEAA">
              <w:rPr>
                <w:lang w:eastAsia="en-US"/>
              </w:rPr>
              <w:t xml:space="preserve"> and credit risk management).</w:t>
            </w:r>
          </w:p>
        </w:tc>
        <w:tc>
          <w:tcPr>
            <w:tcW w:w="1270" w:type="dxa"/>
            <w:tcBorders>
              <w:top w:val="single" w:sz="4" w:space="0" w:color="5D779D" w:themeColor="accent3"/>
              <w:bottom w:val="single" w:sz="4" w:space="0" w:color="5D779D" w:themeColor="accent3"/>
            </w:tcBorders>
            <w:shd w:val="clear" w:color="auto" w:fill="DFE4EB"/>
          </w:tcPr>
          <w:p w14:paraId="7DA643B0" w14:textId="52BEA19D" w:rsidR="00604AFC" w:rsidRDefault="00604AFC" w:rsidP="00604AFC">
            <w:pPr>
              <w:pStyle w:val="TableTextLeft"/>
            </w:pPr>
            <w:r>
              <w:rPr>
                <w:lang w:eastAsia="en-US"/>
              </w:rPr>
              <w:t>Data collection</w:t>
            </w:r>
          </w:p>
        </w:tc>
        <w:tc>
          <w:tcPr>
            <w:tcW w:w="1270" w:type="dxa"/>
            <w:tcBorders>
              <w:top w:val="single" w:sz="4" w:space="0" w:color="5D779D" w:themeColor="accent3"/>
              <w:bottom w:val="single" w:sz="4" w:space="0" w:color="5D779D" w:themeColor="accent3"/>
            </w:tcBorders>
            <w:shd w:val="clear" w:color="auto" w:fill="DFE4EB"/>
          </w:tcPr>
          <w:p w14:paraId="6E7FA8C0" w14:textId="77777777" w:rsidR="00604AFC" w:rsidRPr="00CF7C7F" w:rsidRDefault="00604AFC" w:rsidP="00604AFC">
            <w:pPr>
              <w:pStyle w:val="TableTextLeft"/>
            </w:pPr>
          </w:p>
        </w:tc>
        <w:tc>
          <w:tcPr>
            <w:tcW w:w="1270" w:type="dxa"/>
            <w:tcBorders>
              <w:top w:val="single" w:sz="4" w:space="0" w:color="5D779D" w:themeColor="accent3"/>
              <w:bottom w:val="single" w:sz="4" w:space="0" w:color="5D779D" w:themeColor="accent3"/>
            </w:tcBorders>
            <w:shd w:val="clear" w:color="auto" w:fill="DFE4EB"/>
          </w:tcPr>
          <w:p w14:paraId="3279CAA8" w14:textId="77777777" w:rsidR="00604AFC" w:rsidRPr="00CF7C7F" w:rsidRDefault="00604AFC" w:rsidP="00604AFC">
            <w:pPr>
              <w:pStyle w:val="TableTextLeft"/>
            </w:pPr>
          </w:p>
        </w:tc>
        <w:tc>
          <w:tcPr>
            <w:tcW w:w="1270" w:type="dxa"/>
            <w:tcBorders>
              <w:top w:val="single" w:sz="4" w:space="0" w:color="5D779D" w:themeColor="accent3"/>
              <w:bottom w:val="single" w:sz="4" w:space="0" w:color="5D779D" w:themeColor="accent3"/>
            </w:tcBorders>
            <w:shd w:val="clear" w:color="auto" w:fill="DFE4EB"/>
          </w:tcPr>
          <w:p w14:paraId="05606115" w14:textId="77777777" w:rsidR="00604AFC" w:rsidRPr="00CF7C7F" w:rsidRDefault="00604AFC" w:rsidP="00604AFC">
            <w:pPr>
              <w:pStyle w:val="TableTextLeft"/>
            </w:pPr>
          </w:p>
        </w:tc>
        <w:tc>
          <w:tcPr>
            <w:tcW w:w="1270" w:type="dxa"/>
            <w:tcBorders>
              <w:top w:val="single" w:sz="4" w:space="0" w:color="5D779D" w:themeColor="accent3"/>
              <w:bottom w:val="single" w:sz="4" w:space="0" w:color="5D779D" w:themeColor="accent3"/>
            </w:tcBorders>
            <w:shd w:val="clear" w:color="auto" w:fill="EFF1F5"/>
          </w:tcPr>
          <w:p w14:paraId="5D791222" w14:textId="77777777" w:rsidR="00604AFC" w:rsidRDefault="00604AFC" w:rsidP="00604AFC">
            <w:pPr>
              <w:pStyle w:val="TableTextLeft"/>
            </w:pPr>
          </w:p>
        </w:tc>
        <w:tc>
          <w:tcPr>
            <w:tcW w:w="1270" w:type="dxa"/>
            <w:tcBorders>
              <w:top w:val="single" w:sz="4" w:space="0" w:color="5D779D" w:themeColor="accent3"/>
              <w:bottom w:val="single" w:sz="4" w:space="0" w:color="5D779D" w:themeColor="accent3"/>
            </w:tcBorders>
            <w:shd w:val="clear" w:color="auto" w:fill="EFF1F5"/>
          </w:tcPr>
          <w:p w14:paraId="08B98257" w14:textId="77777777" w:rsidR="00604AFC" w:rsidRPr="002E4362" w:rsidRDefault="00604AFC" w:rsidP="00604AFC">
            <w:pPr>
              <w:pStyle w:val="TableTextLeft"/>
            </w:pPr>
          </w:p>
        </w:tc>
      </w:tr>
      <w:tr w:rsidR="00442EED" w:rsidRPr="00AF43B7" w14:paraId="671A1EC4" w14:textId="77777777" w:rsidTr="410CE694">
        <w:trPr>
          <w:cantSplit/>
          <w:trHeight w:val="410"/>
        </w:trPr>
        <w:tc>
          <w:tcPr>
            <w:tcW w:w="849" w:type="dxa"/>
            <w:tcBorders>
              <w:top w:val="single" w:sz="4" w:space="0" w:color="5D779D" w:themeColor="accent3"/>
            </w:tcBorders>
            <w:shd w:val="clear" w:color="auto" w:fill="auto"/>
          </w:tcPr>
          <w:p w14:paraId="0B6E380E" w14:textId="77777777" w:rsidR="006E6563" w:rsidRPr="00E7433A" w:rsidRDefault="006E6563" w:rsidP="00097CAA">
            <w:pPr>
              <w:pStyle w:val="TableLeadAgency"/>
            </w:pPr>
            <w:r w:rsidRPr="00E7433A">
              <w:lastRenderedPageBreak/>
              <w:t>TSY</w:t>
            </w:r>
          </w:p>
          <w:p w14:paraId="6A9AE056" w14:textId="1E69185A" w:rsidR="006E6563" w:rsidRPr="00E7433A" w:rsidRDefault="006E6563" w:rsidP="00097CAA">
            <w:pPr>
              <w:pStyle w:val="TableSecondaryAgency"/>
            </w:pPr>
            <w:r w:rsidRPr="00E7433A">
              <w:t>ASIC</w:t>
            </w:r>
          </w:p>
        </w:tc>
        <w:tc>
          <w:tcPr>
            <w:tcW w:w="1247" w:type="dxa"/>
            <w:tcBorders>
              <w:top w:val="single" w:sz="4" w:space="0" w:color="5D779D" w:themeColor="accent3"/>
            </w:tcBorders>
          </w:tcPr>
          <w:p w14:paraId="5FE94C1D" w14:textId="77777777" w:rsidR="006E6563" w:rsidRDefault="006E6563" w:rsidP="006E6563">
            <w:pPr>
              <w:pStyle w:val="TableTextLeft"/>
            </w:pPr>
            <w:r>
              <w:t xml:space="preserve">Financial advice </w:t>
            </w:r>
          </w:p>
          <w:p w14:paraId="1419EBC0" w14:textId="77777777" w:rsidR="006E6563" w:rsidRDefault="006E6563" w:rsidP="006E6563">
            <w:pPr>
              <w:pStyle w:val="TableTextLeft"/>
            </w:pPr>
            <w:r>
              <w:t xml:space="preserve">Banking, </w:t>
            </w:r>
            <w:proofErr w:type="gramStart"/>
            <w:r>
              <w:t>credit</w:t>
            </w:r>
            <w:proofErr w:type="gramEnd"/>
            <w:r>
              <w:t xml:space="preserve"> and lending</w:t>
            </w:r>
          </w:p>
          <w:p w14:paraId="529D30C0" w14:textId="36E0EE34" w:rsidR="006E6563" w:rsidRPr="009A5125" w:rsidRDefault="006E6563" w:rsidP="006E6563">
            <w:pPr>
              <w:pStyle w:val="TableTextLeft"/>
            </w:pPr>
            <w:r>
              <w:t>Collective investment and investment management</w:t>
            </w:r>
          </w:p>
        </w:tc>
        <w:tc>
          <w:tcPr>
            <w:tcW w:w="4286" w:type="dxa"/>
            <w:tcBorders>
              <w:top w:val="single" w:sz="4" w:space="0" w:color="5D779D" w:themeColor="accent3"/>
            </w:tcBorders>
          </w:tcPr>
          <w:p w14:paraId="3A5E917C" w14:textId="77777777" w:rsidR="006E6563" w:rsidRPr="000A4B96" w:rsidRDefault="001D4D7F" w:rsidP="006E6563">
            <w:pPr>
              <w:pStyle w:val="TableLink"/>
              <w:rPr>
                <w:b w:val="0"/>
                <w:bCs/>
                <w:u w:val="single"/>
              </w:rPr>
            </w:pPr>
            <w:hyperlink r:id="rId83" w:history="1">
              <w:r w:rsidR="006E6563" w:rsidRPr="000A4B96">
                <w:rPr>
                  <w:rStyle w:val="Hyperlink"/>
                  <w:b/>
                  <w:bCs/>
                  <w:u w:val="single"/>
                </w:rPr>
                <w:t>Compensation Scheme of Last Resort (CSLR)</w:t>
              </w:r>
            </w:hyperlink>
          </w:p>
          <w:p w14:paraId="2F7ABF76" w14:textId="20C6C4E2" w:rsidR="006E6563" w:rsidRPr="009A3724" w:rsidRDefault="006E6563" w:rsidP="005948E4">
            <w:pPr>
              <w:pStyle w:val="TableTextLeft"/>
            </w:pPr>
            <w:r w:rsidRPr="009A3724">
              <w:t>Ongoing work is progressing to facilitate the payment of compensation to eligible consumers who have an unpaid determination from the Australian Financial Complaints Authority (AFCA), primarily due to the insolvency of the relevant financial service provider.</w:t>
            </w:r>
            <w:r>
              <w:t xml:space="preserve"> </w:t>
            </w:r>
          </w:p>
          <w:p w14:paraId="73640E50" w14:textId="23F393B4" w:rsidR="006E6563" w:rsidRPr="009954F3" w:rsidRDefault="006E6563" w:rsidP="006E6563">
            <w:pPr>
              <w:pStyle w:val="TableTextLeft"/>
              <w:rPr>
                <w:rFonts w:cs="Calibri Light"/>
                <w:color w:val="auto"/>
              </w:rPr>
            </w:pPr>
            <w:r>
              <w:t>The CSLR commenced operation on 2 April 2024. The CSLR Operator is working to finalise cost estimates for the 2025</w:t>
            </w:r>
            <w:r w:rsidR="00DC30FB">
              <w:t>–</w:t>
            </w:r>
            <w:r>
              <w:t xml:space="preserve">26 annual levy which is payable by entities in the </w:t>
            </w:r>
            <w:r w:rsidRPr="45FE6907">
              <w:rPr>
                <w:rFonts w:cs="Calibri Light"/>
                <w:color w:val="auto"/>
              </w:rPr>
              <w:t>personal financial advice, credit intermediation, securities dealing and credit provision sub</w:t>
            </w:r>
            <w:r w:rsidR="0008745D">
              <w:rPr>
                <w:rFonts w:cs="Calibri Light"/>
                <w:color w:val="auto"/>
              </w:rPr>
              <w:noBreakHyphen/>
            </w:r>
            <w:r w:rsidRPr="45FE6907">
              <w:rPr>
                <w:rFonts w:cs="Calibri Light"/>
                <w:color w:val="auto"/>
              </w:rPr>
              <w:t>sectors who are required to be AFCA members.</w:t>
            </w:r>
            <w:r>
              <w:rPr>
                <w:rFonts w:cs="Calibri Light"/>
                <w:color w:val="00B050"/>
                <w:szCs w:val="16"/>
              </w:rPr>
              <w:t xml:space="preserve"> </w:t>
            </w:r>
          </w:p>
        </w:tc>
        <w:tc>
          <w:tcPr>
            <w:tcW w:w="1270" w:type="dxa"/>
            <w:tcBorders>
              <w:top w:val="single" w:sz="4" w:space="0" w:color="5D779D" w:themeColor="accent3"/>
            </w:tcBorders>
            <w:shd w:val="clear" w:color="auto" w:fill="DFE4EB"/>
          </w:tcPr>
          <w:p w14:paraId="608607B9" w14:textId="7CB07E2D" w:rsidR="006E6563" w:rsidRPr="00CF7C7F" w:rsidRDefault="006E6563" w:rsidP="006E6563">
            <w:pPr>
              <w:pStyle w:val="TableTextLeft"/>
            </w:pPr>
            <w:r>
              <w:t xml:space="preserve">Estimated costs for </w:t>
            </w:r>
            <w:r w:rsidRPr="00CF7C7F">
              <w:t>2025</w:t>
            </w:r>
            <w:r>
              <w:t>–</w:t>
            </w:r>
            <w:r w:rsidRPr="00CF7C7F">
              <w:t>26 annual levy</w:t>
            </w:r>
            <w:r>
              <w:t xml:space="preserve"> published by CSLR Operator </w:t>
            </w:r>
          </w:p>
        </w:tc>
        <w:tc>
          <w:tcPr>
            <w:tcW w:w="1270" w:type="dxa"/>
            <w:tcBorders>
              <w:top w:val="single" w:sz="4" w:space="0" w:color="5D779D" w:themeColor="accent3"/>
            </w:tcBorders>
            <w:shd w:val="clear" w:color="auto" w:fill="DFE4EB"/>
          </w:tcPr>
          <w:p w14:paraId="10E33D5F" w14:textId="78DBB4B3" w:rsidR="006E6563" w:rsidRPr="00CF7C7F" w:rsidRDefault="006E6563" w:rsidP="006E6563">
            <w:pPr>
              <w:pStyle w:val="TableTextLeft"/>
            </w:pPr>
            <w:r w:rsidRPr="00CF7C7F">
              <w:t>Issuance of 2025</w:t>
            </w:r>
            <w:r>
              <w:t>–</w:t>
            </w:r>
            <w:r w:rsidRPr="00CF7C7F">
              <w:t>26 annual levy</w:t>
            </w:r>
          </w:p>
        </w:tc>
        <w:tc>
          <w:tcPr>
            <w:tcW w:w="1270" w:type="dxa"/>
            <w:tcBorders>
              <w:top w:val="single" w:sz="4" w:space="0" w:color="5D779D" w:themeColor="accent3"/>
            </w:tcBorders>
            <w:shd w:val="clear" w:color="auto" w:fill="DFE4EB"/>
          </w:tcPr>
          <w:p w14:paraId="78B60DF8" w14:textId="77777777" w:rsidR="006E6563" w:rsidRPr="00CF7C7F" w:rsidRDefault="006E6563" w:rsidP="006E6563">
            <w:pPr>
              <w:pStyle w:val="TableTextLeft"/>
            </w:pPr>
          </w:p>
        </w:tc>
        <w:tc>
          <w:tcPr>
            <w:tcW w:w="1270" w:type="dxa"/>
            <w:tcBorders>
              <w:top w:val="single" w:sz="4" w:space="0" w:color="5D779D" w:themeColor="accent3"/>
            </w:tcBorders>
            <w:shd w:val="clear" w:color="auto" w:fill="DFE4EB"/>
          </w:tcPr>
          <w:p w14:paraId="7B42E697" w14:textId="77777777" w:rsidR="006E6563" w:rsidRPr="00CF7C7F" w:rsidRDefault="006E6563" w:rsidP="006E6563">
            <w:pPr>
              <w:pStyle w:val="TableTextLeft"/>
            </w:pPr>
          </w:p>
        </w:tc>
        <w:tc>
          <w:tcPr>
            <w:tcW w:w="1270" w:type="dxa"/>
            <w:tcBorders>
              <w:top w:val="single" w:sz="4" w:space="0" w:color="5D779D" w:themeColor="accent3"/>
            </w:tcBorders>
            <w:shd w:val="clear" w:color="auto" w:fill="EFF1F5"/>
          </w:tcPr>
          <w:p w14:paraId="41CCFE2F" w14:textId="00C0F92D" w:rsidR="006E6563" w:rsidRDefault="006E6563" w:rsidP="006E6563">
            <w:pPr>
              <w:pStyle w:val="TableTextLeft"/>
            </w:pPr>
            <w:r>
              <w:t xml:space="preserve">Estimated costs for </w:t>
            </w:r>
            <w:r w:rsidRPr="00CF7C7F">
              <w:t>202</w:t>
            </w:r>
            <w:r>
              <w:t>6–</w:t>
            </w:r>
            <w:r w:rsidRPr="00CF7C7F">
              <w:t>2</w:t>
            </w:r>
            <w:r>
              <w:t>7</w:t>
            </w:r>
            <w:r w:rsidRPr="00CF7C7F">
              <w:t xml:space="preserve"> annual levy</w:t>
            </w:r>
            <w:r>
              <w:t xml:space="preserve"> published by CSLR Operator </w:t>
            </w:r>
          </w:p>
          <w:p w14:paraId="509526AA" w14:textId="417ADFD2" w:rsidR="006E6563" w:rsidRPr="00CF7C7F" w:rsidRDefault="006E6563" w:rsidP="006E6563">
            <w:pPr>
              <w:pStyle w:val="TableTextLeft"/>
            </w:pPr>
            <w:r w:rsidRPr="00CF7C7F">
              <w:t>Issuance of 2026</w:t>
            </w:r>
            <w:r>
              <w:t>–</w:t>
            </w:r>
            <w:r w:rsidRPr="00CF7C7F">
              <w:t>27 annual levy</w:t>
            </w:r>
          </w:p>
        </w:tc>
        <w:tc>
          <w:tcPr>
            <w:tcW w:w="1270" w:type="dxa"/>
            <w:tcBorders>
              <w:top w:val="single" w:sz="4" w:space="0" w:color="5D779D" w:themeColor="accent3"/>
            </w:tcBorders>
            <w:shd w:val="clear" w:color="auto" w:fill="EFF1F5"/>
          </w:tcPr>
          <w:p w14:paraId="04F932AF" w14:textId="77777777" w:rsidR="006E6563" w:rsidRPr="002E4362" w:rsidRDefault="006E6563" w:rsidP="006E6563">
            <w:pPr>
              <w:pStyle w:val="TableTextLeft"/>
            </w:pPr>
          </w:p>
        </w:tc>
      </w:tr>
      <w:tr w:rsidR="00442EED" w:rsidRPr="00AF43B7" w14:paraId="04A9495A" w14:textId="77777777" w:rsidTr="410CE694">
        <w:trPr>
          <w:cantSplit/>
          <w:trHeight w:val="410"/>
        </w:trPr>
        <w:tc>
          <w:tcPr>
            <w:tcW w:w="849" w:type="dxa"/>
            <w:tcBorders>
              <w:bottom w:val="single" w:sz="4" w:space="0" w:color="5D779D" w:themeColor="accent3"/>
            </w:tcBorders>
            <w:shd w:val="clear" w:color="auto" w:fill="auto"/>
          </w:tcPr>
          <w:p w14:paraId="4BF37582" w14:textId="600D0712" w:rsidR="009534B7" w:rsidRPr="00E7433A" w:rsidRDefault="009534B7" w:rsidP="00097CAA">
            <w:pPr>
              <w:pStyle w:val="TableLeadAgency"/>
            </w:pPr>
            <w:r>
              <w:rPr>
                <w:lang w:eastAsia="en-US"/>
              </w:rPr>
              <w:t>ASIC</w:t>
            </w:r>
          </w:p>
        </w:tc>
        <w:tc>
          <w:tcPr>
            <w:tcW w:w="1247" w:type="dxa"/>
            <w:tcBorders>
              <w:bottom w:val="single" w:sz="4" w:space="0" w:color="5D779D" w:themeColor="accent3"/>
            </w:tcBorders>
          </w:tcPr>
          <w:p w14:paraId="6ED518CD" w14:textId="77777777" w:rsidR="009534B7" w:rsidRDefault="009534B7" w:rsidP="009534B7">
            <w:pPr>
              <w:pStyle w:val="TableTextLeft"/>
              <w:spacing w:line="256" w:lineRule="auto"/>
              <w:rPr>
                <w:lang w:eastAsia="en-US"/>
              </w:rPr>
            </w:pPr>
            <w:r>
              <w:rPr>
                <w:lang w:eastAsia="en-US"/>
              </w:rPr>
              <w:t xml:space="preserve">Financial advice </w:t>
            </w:r>
          </w:p>
          <w:p w14:paraId="00255375" w14:textId="77777777" w:rsidR="009534B7" w:rsidRDefault="009534B7" w:rsidP="009534B7">
            <w:pPr>
              <w:pStyle w:val="TableTextLeft"/>
              <w:spacing w:line="256" w:lineRule="auto"/>
              <w:rPr>
                <w:lang w:eastAsia="en-US"/>
              </w:rPr>
            </w:pPr>
            <w:r>
              <w:rPr>
                <w:lang w:eastAsia="en-US"/>
              </w:rPr>
              <w:t>Collective investment and investment management</w:t>
            </w:r>
          </w:p>
          <w:p w14:paraId="32FF6108" w14:textId="77777777" w:rsidR="009534B7" w:rsidRDefault="009534B7" w:rsidP="009534B7">
            <w:pPr>
              <w:pStyle w:val="TableTextLeft"/>
              <w:spacing w:line="256" w:lineRule="auto"/>
              <w:rPr>
                <w:lang w:eastAsia="en-US"/>
              </w:rPr>
            </w:pPr>
            <w:r>
              <w:rPr>
                <w:lang w:eastAsia="en-US"/>
              </w:rPr>
              <w:t>Insurance and reinsurance</w:t>
            </w:r>
          </w:p>
          <w:p w14:paraId="55EFDED5" w14:textId="0A3A4C39" w:rsidR="009534B7" w:rsidRDefault="009534B7" w:rsidP="009534B7">
            <w:pPr>
              <w:pStyle w:val="TableTextLeft"/>
            </w:pPr>
            <w:r>
              <w:rPr>
                <w:lang w:eastAsia="en-US"/>
              </w:rPr>
              <w:t>Superannuation and retirement income</w:t>
            </w:r>
          </w:p>
        </w:tc>
        <w:tc>
          <w:tcPr>
            <w:tcW w:w="4286" w:type="dxa"/>
            <w:tcBorders>
              <w:bottom w:val="single" w:sz="4" w:space="0" w:color="5D779D" w:themeColor="accent3"/>
            </w:tcBorders>
          </w:tcPr>
          <w:p w14:paraId="798AE02D" w14:textId="246E73E0" w:rsidR="009534B7" w:rsidRPr="00D91E8E" w:rsidRDefault="009534B7" w:rsidP="00D91E8E">
            <w:pPr>
              <w:pStyle w:val="TableTextLeft"/>
              <w:rPr>
                <w:b/>
                <w:bCs/>
              </w:rPr>
            </w:pPr>
            <w:r w:rsidRPr="00D91E8E">
              <w:rPr>
                <w:b/>
                <w:bCs/>
              </w:rPr>
              <w:t xml:space="preserve">Update of Regulatory Guide 168 </w:t>
            </w:r>
            <w:r w:rsidRPr="002E368D">
              <w:rPr>
                <w:b/>
                <w:bCs/>
                <w:i/>
                <w:iCs/>
              </w:rPr>
              <w:t>Product Disclosure Statements (and other disclosure documents)</w:t>
            </w:r>
          </w:p>
          <w:p w14:paraId="6E446CB7" w14:textId="25E726C0" w:rsidR="009534B7" w:rsidRPr="00A3474C" w:rsidRDefault="001E0387" w:rsidP="00A3474C">
            <w:pPr>
              <w:pStyle w:val="TableTextLeft"/>
            </w:pPr>
            <w:r>
              <w:rPr>
                <w:lang w:eastAsia="en-US"/>
              </w:rPr>
              <w:t>ASIC will undertake</w:t>
            </w:r>
            <w:r w:rsidR="009534B7">
              <w:rPr>
                <w:lang w:eastAsia="en-US"/>
              </w:rPr>
              <w:t xml:space="preserve"> a comprehensive update of </w:t>
            </w:r>
            <w:r>
              <w:rPr>
                <w:lang w:eastAsia="en-US"/>
              </w:rPr>
              <w:t>Regulatory Guide 168</w:t>
            </w:r>
            <w:r w:rsidR="009534B7">
              <w:rPr>
                <w:lang w:eastAsia="en-US"/>
              </w:rPr>
              <w:t xml:space="preserve"> </w:t>
            </w:r>
            <w:r w:rsidR="009534B7">
              <w:rPr>
                <w:i/>
                <w:iCs/>
                <w:lang w:eastAsia="en-US"/>
              </w:rPr>
              <w:t>Disclosure: Product Disclosure Statements (and other disclosure obligations)</w:t>
            </w:r>
            <w:r w:rsidR="009534B7">
              <w:rPr>
                <w:lang w:eastAsia="en-US"/>
              </w:rPr>
              <w:t>, including consideration of changes resulting from the Delivering Better Financial Outcomes reforms.</w:t>
            </w:r>
            <w:r w:rsidR="009534B7" w:rsidRPr="00BE5876">
              <w:rPr>
                <w:rFonts w:cs="Calibri Light"/>
                <w:b/>
                <w:i/>
                <w:iCs/>
                <w:color w:val="00B050"/>
                <w:lang w:eastAsia="en-US"/>
              </w:rPr>
              <w:t xml:space="preserve"> </w:t>
            </w:r>
          </w:p>
        </w:tc>
        <w:tc>
          <w:tcPr>
            <w:tcW w:w="1270" w:type="dxa"/>
            <w:tcBorders>
              <w:bottom w:val="single" w:sz="4" w:space="0" w:color="5D779D" w:themeColor="accent3"/>
            </w:tcBorders>
            <w:shd w:val="clear" w:color="auto" w:fill="DFE4EB"/>
          </w:tcPr>
          <w:p w14:paraId="520B926E" w14:textId="77777777" w:rsidR="009534B7" w:rsidRPr="00CF7C7F" w:rsidRDefault="009534B7" w:rsidP="009534B7">
            <w:pPr>
              <w:pStyle w:val="TableTextLeft"/>
            </w:pPr>
          </w:p>
        </w:tc>
        <w:tc>
          <w:tcPr>
            <w:tcW w:w="1270" w:type="dxa"/>
            <w:tcBorders>
              <w:bottom w:val="single" w:sz="4" w:space="0" w:color="5D779D" w:themeColor="accent3"/>
            </w:tcBorders>
            <w:shd w:val="clear" w:color="auto" w:fill="DFE4EB"/>
          </w:tcPr>
          <w:p w14:paraId="520228AE" w14:textId="77777777" w:rsidR="004B332C" w:rsidRDefault="004B332C" w:rsidP="004B332C">
            <w:pPr>
              <w:pStyle w:val="TableTextLeft"/>
              <w:spacing w:line="256" w:lineRule="auto"/>
              <w:rPr>
                <w:lang w:eastAsia="en-US"/>
              </w:rPr>
            </w:pPr>
            <w:r>
              <w:rPr>
                <w:lang w:eastAsia="en-US"/>
              </w:rPr>
              <w:t xml:space="preserve">Consultation </w:t>
            </w:r>
            <w:proofErr w:type="gramStart"/>
            <w:r>
              <w:rPr>
                <w:lang w:eastAsia="en-US"/>
              </w:rPr>
              <w:t>commences</w:t>
            </w:r>
            <w:proofErr w:type="gramEnd"/>
          </w:p>
          <w:p w14:paraId="20FD59CF" w14:textId="77777777" w:rsidR="009534B7" w:rsidRPr="00CF7C7F" w:rsidRDefault="009534B7" w:rsidP="009534B7">
            <w:pPr>
              <w:pStyle w:val="TableTextLeft"/>
            </w:pPr>
          </w:p>
        </w:tc>
        <w:tc>
          <w:tcPr>
            <w:tcW w:w="1270" w:type="dxa"/>
            <w:tcBorders>
              <w:bottom w:val="single" w:sz="4" w:space="0" w:color="5D779D" w:themeColor="accent3"/>
            </w:tcBorders>
            <w:shd w:val="clear" w:color="auto" w:fill="DFE4EB"/>
          </w:tcPr>
          <w:p w14:paraId="326B177E" w14:textId="77777777" w:rsidR="009534B7" w:rsidRPr="00CF7C7F" w:rsidRDefault="009534B7" w:rsidP="004B332C">
            <w:pPr>
              <w:pStyle w:val="TableTextLeft"/>
              <w:spacing w:line="256" w:lineRule="auto"/>
            </w:pPr>
          </w:p>
        </w:tc>
        <w:tc>
          <w:tcPr>
            <w:tcW w:w="1270" w:type="dxa"/>
            <w:tcBorders>
              <w:bottom w:val="single" w:sz="4" w:space="0" w:color="5D779D" w:themeColor="accent3"/>
            </w:tcBorders>
            <w:shd w:val="clear" w:color="auto" w:fill="DFE4EB"/>
          </w:tcPr>
          <w:p w14:paraId="6BAB46C2" w14:textId="77777777" w:rsidR="004B332C" w:rsidRDefault="004B332C" w:rsidP="004B332C">
            <w:pPr>
              <w:pStyle w:val="TableTextLeft"/>
              <w:spacing w:line="256" w:lineRule="auto"/>
              <w:rPr>
                <w:lang w:eastAsia="en-US"/>
              </w:rPr>
            </w:pPr>
            <w:r>
              <w:rPr>
                <w:lang w:eastAsia="en-US"/>
              </w:rPr>
              <w:t xml:space="preserve">Updated guidance </w:t>
            </w:r>
            <w:proofErr w:type="gramStart"/>
            <w:r>
              <w:rPr>
                <w:lang w:eastAsia="en-US"/>
              </w:rPr>
              <w:t>published</w:t>
            </w:r>
            <w:proofErr w:type="gramEnd"/>
          </w:p>
          <w:p w14:paraId="51710694" w14:textId="77777777" w:rsidR="009534B7" w:rsidRPr="00CF7C7F" w:rsidRDefault="009534B7" w:rsidP="009534B7">
            <w:pPr>
              <w:pStyle w:val="TableTextLeft"/>
            </w:pPr>
          </w:p>
        </w:tc>
        <w:tc>
          <w:tcPr>
            <w:tcW w:w="1270" w:type="dxa"/>
            <w:tcBorders>
              <w:bottom w:val="single" w:sz="4" w:space="0" w:color="5D779D" w:themeColor="accent3"/>
            </w:tcBorders>
            <w:shd w:val="clear" w:color="auto" w:fill="EFF1F5"/>
          </w:tcPr>
          <w:p w14:paraId="78163261" w14:textId="77777777" w:rsidR="009534B7" w:rsidRPr="00CF7C7F" w:rsidRDefault="009534B7" w:rsidP="004B332C">
            <w:pPr>
              <w:pStyle w:val="TableTextLeft"/>
              <w:spacing w:line="256" w:lineRule="auto"/>
            </w:pPr>
          </w:p>
        </w:tc>
        <w:tc>
          <w:tcPr>
            <w:tcW w:w="1270" w:type="dxa"/>
            <w:tcBorders>
              <w:bottom w:val="single" w:sz="4" w:space="0" w:color="5D779D" w:themeColor="accent3"/>
            </w:tcBorders>
            <w:shd w:val="clear" w:color="auto" w:fill="EFF1F5"/>
          </w:tcPr>
          <w:p w14:paraId="0697B28C" w14:textId="77777777" w:rsidR="009534B7" w:rsidRPr="002E4362" w:rsidRDefault="009534B7" w:rsidP="009534B7">
            <w:pPr>
              <w:pStyle w:val="TableTextLeft"/>
            </w:pPr>
          </w:p>
        </w:tc>
      </w:tr>
      <w:tr w:rsidR="00442EED" w:rsidRPr="00AF43B7" w14:paraId="659FB4C1" w14:textId="77777777" w:rsidTr="410CE694">
        <w:trPr>
          <w:cantSplit/>
          <w:trHeight w:val="410"/>
        </w:trPr>
        <w:tc>
          <w:tcPr>
            <w:tcW w:w="849" w:type="dxa"/>
            <w:tcBorders>
              <w:bottom w:val="single" w:sz="4" w:space="0" w:color="5D779D" w:themeColor="accent3"/>
            </w:tcBorders>
            <w:shd w:val="clear" w:color="auto" w:fill="auto"/>
          </w:tcPr>
          <w:p w14:paraId="6B37BC35" w14:textId="156D6530" w:rsidR="00293ACC" w:rsidRDefault="00293ACC" w:rsidP="00097CAA">
            <w:pPr>
              <w:pStyle w:val="TableLeadAgency"/>
              <w:rPr>
                <w:lang w:eastAsia="en-US"/>
              </w:rPr>
            </w:pPr>
            <w:r>
              <w:rPr>
                <w:lang w:eastAsia="en-US"/>
              </w:rPr>
              <w:t>ASIC</w:t>
            </w:r>
          </w:p>
        </w:tc>
        <w:tc>
          <w:tcPr>
            <w:tcW w:w="1247" w:type="dxa"/>
            <w:tcBorders>
              <w:bottom w:val="single" w:sz="4" w:space="0" w:color="5D779D" w:themeColor="accent3"/>
            </w:tcBorders>
          </w:tcPr>
          <w:p w14:paraId="20CFA593" w14:textId="77777777" w:rsidR="00293ACC" w:rsidRDefault="00293ACC" w:rsidP="00293ACC">
            <w:pPr>
              <w:pStyle w:val="TableTextLeft"/>
              <w:spacing w:line="256" w:lineRule="auto"/>
              <w:rPr>
                <w:lang w:eastAsia="en-US"/>
              </w:rPr>
            </w:pPr>
            <w:r>
              <w:rPr>
                <w:lang w:eastAsia="en-US"/>
              </w:rPr>
              <w:t xml:space="preserve">Financial advice </w:t>
            </w:r>
          </w:p>
          <w:p w14:paraId="590FC8A6" w14:textId="77777777" w:rsidR="00293ACC" w:rsidRDefault="00293ACC" w:rsidP="00293ACC">
            <w:pPr>
              <w:pStyle w:val="TableTextLeft"/>
              <w:spacing w:line="256" w:lineRule="auto"/>
              <w:rPr>
                <w:lang w:eastAsia="en-US"/>
              </w:rPr>
            </w:pPr>
            <w:r>
              <w:rPr>
                <w:lang w:eastAsia="en-US"/>
              </w:rPr>
              <w:t>Collective investment and investment management</w:t>
            </w:r>
          </w:p>
          <w:p w14:paraId="4D9176C0" w14:textId="77777777" w:rsidR="00293ACC" w:rsidRDefault="00293ACC" w:rsidP="00293ACC">
            <w:pPr>
              <w:pStyle w:val="TableTextLeft"/>
              <w:spacing w:line="256" w:lineRule="auto"/>
              <w:rPr>
                <w:lang w:eastAsia="en-US"/>
              </w:rPr>
            </w:pPr>
            <w:r>
              <w:rPr>
                <w:lang w:eastAsia="en-US"/>
              </w:rPr>
              <w:t>Insurance and reinsurance</w:t>
            </w:r>
          </w:p>
          <w:p w14:paraId="543C20FC" w14:textId="6085738C" w:rsidR="00293ACC" w:rsidRDefault="00293ACC" w:rsidP="00293ACC">
            <w:pPr>
              <w:pStyle w:val="TableTextLeft"/>
              <w:spacing w:line="256" w:lineRule="auto"/>
              <w:rPr>
                <w:lang w:eastAsia="en-US"/>
              </w:rPr>
            </w:pPr>
            <w:r>
              <w:rPr>
                <w:lang w:eastAsia="en-US"/>
              </w:rPr>
              <w:t>Superannuation and retirement income</w:t>
            </w:r>
          </w:p>
        </w:tc>
        <w:tc>
          <w:tcPr>
            <w:tcW w:w="4286" w:type="dxa"/>
            <w:tcBorders>
              <w:bottom w:val="single" w:sz="4" w:space="0" w:color="5D779D" w:themeColor="accent3"/>
            </w:tcBorders>
          </w:tcPr>
          <w:p w14:paraId="7AAEACDB" w14:textId="77777777" w:rsidR="00293ACC" w:rsidRPr="008B23A4" w:rsidRDefault="00293ACC" w:rsidP="008B23A4">
            <w:pPr>
              <w:pStyle w:val="TableTextLeft"/>
              <w:rPr>
                <w:b/>
                <w:bCs/>
                <w:i/>
                <w:iCs/>
              </w:rPr>
            </w:pPr>
            <w:r w:rsidRPr="008B23A4">
              <w:rPr>
                <w:b/>
                <w:bCs/>
              </w:rPr>
              <w:t xml:space="preserve">Update of Regulatory Guide 181 </w:t>
            </w:r>
            <w:r w:rsidRPr="008B23A4">
              <w:rPr>
                <w:b/>
                <w:bCs/>
                <w:i/>
                <w:iCs/>
              </w:rPr>
              <w:t xml:space="preserve">Licensing: Managing conflicts of interest </w:t>
            </w:r>
          </w:p>
          <w:p w14:paraId="21CA3466" w14:textId="07EA8696" w:rsidR="00293ACC" w:rsidRPr="00A3474C" w:rsidRDefault="001E0387" w:rsidP="00A3474C">
            <w:pPr>
              <w:pStyle w:val="TableTextLeft"/>
              <w:rPr>
                <w:rStyle w:val="normaltextrun"/>
              </w:rPr>
            </w:pPr>
            <w:r>
              <w:rPr>
                <w:lang w:eastAsia="en-US"/>
              </w:rPr>
              <w:t>ASIC will update</w:t>
            </w:r>
            <w:r w:rsidR="00293ACC">
              <w:rPr>
                <w:lang w:eastAsia="en-US"/>
              </w:rPr>
              <w:t xml:space="preserve"> Regulatory Guide 181 </w:t>
            </w:r>
            <w:r w:rsidR="00293ACC">
              <w:rPr>
                <w:i/>
                <w:iCs/>
                <w:lang w:eastAsia="en-US"/>
              </w:rPr>
              <w:t>Licensing: Managing conflicts of interest</w:t>
            </w:r>
            <w:r w:rsidR="00293ACC">
              <w:rPr>
                <w:lang w:eastAsia="en-US"/>
              </w:rPr>
              <w:t>, including consideration of case law and law reform (including penalties for breaching the conflicts management obligations).</w:t>
            </w:r>
          </w:p>
        </w:tc>
        <w:tc>
          <w:tcPr>
            <w:tcW w:w="1270" w:type="dxa"/>
            <w:tcBorders>
              <w:bottom w:val="single" w:sz="4" w:space="0" w:color="5D779D" w:themeColor="accent3"/>
            </w:tcBorders>
            <w:shd w:val="clear" w:color="auto" w:fill="DFE4EB"/>
          </w:tcPr>
          <w:p w14:paraId="6548E027" w14:textId="77777777" w:rsidR="00293ACC" w:rsidRPr="00CF7C7F" w:rsidRDefault="00293ACC" w:rsidP="00293ACC">
            <w:pPr>
              <w:pStyle w:val="TableTextLeft"/>
            </w:pPr>
          </w:p>
        </w:tc>
        <w:tc>
          <w:tcPr>
            <w:tcW w:w="1270" w:type="dxa"/>
            <w:tcBorders>
              <w:bottom w:val="single" w:sz="4" w:space="0" w:color="5D779D" w:themeColor="accent3"/>
            </w:tcBorders>
            <w:shd w:val="clear" w:color="auto" w:fill="DFE4EB"/>
          </w:tcPr>
          <w:p w14:paraId="37CC33BA" w14:textId="77777777" w:rsidR="00293ACC" w:rsidRPr="00CF7C7F" w:rsidRDefault="00293ACC" w:rsidP="00293ACC">
            <w:pPr>
              <w:pStyle w:val="TableTextLeft"/>
            </w:pPr>
          </w:p>
        </w:tc>
        <w:tc>
          <w:tcPr>
            <w:tcW w:w="1270" w:type="dxa"/>
            <w:tcBorders>
              <w:bottom w:val="single" w:sz="4" w:space="0" w:color="5D779D" w:themeColor="accent3"/>
            </w:tcBorders>
            <w:shd w:val="clear" w:color="auto" w:fill="DFE4EB"/>
          </w:tcPr>
          <w:p w14:paraId="2FE92E34" w14:textId="7D8D8239" w:rsidR="00293ACC" w:rsidRDefault="00293ACC" w:rsidP="00293ACC">
            <w:pPr>
              <w:pStyle w:val="TableTextLeft"/>
              <w:spacing w:line="256" w:lineRule="auto"/>
              <w:rPr>
                <w:lang w:eastAsia="en-US"/>
              </w:rPr>
            </w:pPr>
            <w:r>
              <w:rPr>
                <w:lang w:eastAsia="en-US"/>
              </w:rPr>
              <w:t>Consultation commences</w:t>
            </w:r>
          </w:p>
        </w:tc>
        <w:tc>
          <w:tcPr>
            <w:tcW w:w="1270" w:type="dxa"/>
            <w:tcBorders>
              <w:bottom w:val="single" w:sz="4" w:space="0" w:color="5D779D" w:themeColor="accent3"/>
            </w:tcBorders>
            <w:shd w:val="clear" w:color="auto" w:fill="DFE4EB"/>
          </w:tcPr>
          <w:p w14:paraId="1F9E4D3F" w14:textId="77777777" w:rsidR="00293ACC" w:rsidRPr="00CF7C7F" w:rsidRDefault="00293ACC" w:rsidP="00293ACC">
            <w:pPr>
              <w:pStyle w:val="TableTextLeft"/>
            </w:pPr>
          </w:p>
        </w:tc>
        <w:tc>
          <w:tcPr>
            <w:tcW w:w="1270" w:type="dxa"/>
            <w:tcBorders>
              <w:bottom w:val="single" w:sz="4" w:space="0" w:color="5D779D" w:themeColor="accent3"/>
            </w:tcBorders>
            <w:shd w:val="clear" w:color="auto" w:fill="EFF1F5"/>
          </w:tcPr>
          <w:p w14:paraId="170620E3" w14:textId="38C9B77F" w:rsidR="00293ACC" w:rsidRDefault="00293ACC" w:rsidP="00293ACC">
            <w:pPr>
              <w:pStyle w:val="TableTextLeft"/>
              <w:spacing w:line="256" w:lineRule="auto"/>
              <w:rPr>
                <w:lang w:eastAsia="en-US"/>
              </w:rPr>
            </w:pPr>
            <w:r>
              <w:rPr>
                <w:lang w:eastAsia="en-US"/>
              </w:rPr>
              <w:t>Updated guidance published</w:t>
            </w:r>
          </w:p>
        </w:tc>
        <w:tc>
          <w:tcPr>
            <w:tcW w:w="1270" w:type="dxa"/>
            <w:tcBorders>
              <w:bottom w:val="single" w:sz="4" w:space="0" w:color="5D779D" w:themeColor="accent3"/>
            </w:tcBorders>
            <w:shd w:val="clear" w:color="auto" w:fill="EFF1F5"/>
          </w:tcPr>
          <w:p w14:paraId="61286461" w14:textId="77777777" w:rsidR="00293ACC" w:rsidRPr="002E4362" w:rsidRDefault="00293ACC" w:rsidP="00293ACC">
            <w:pPr>
              <w:pStyle w:val="TableTextLeft"/>
            </w:pPr>
          </w:p>
        </w:tc>
      </w:tr>
      <w:tr w:rsidR="00442EED" w:rsidRPr="00AF43B7" w14:paraId="63C910F9" w14:textId="77777777" w:rsidTr="410CE694">
        <w:trPr>
          <w:cantSplit/>
          <w:trHeight w:val="410"/>
        </w:trPr>
        <w:tc>
          <w:tcPr>
            <w:tcW w:w="849" w:type="dxa"/>
            <w:tcBorders>
              <w:bottom w:val="single" w:sz="4" w:space="0" w:color="5D779D" w:themeColor="accent3"/>
            </w:tcBorders>
            <w:shd w:val="clear" w:color="auto" w:fill="auto"/>
          </w:tcPr>
          <w:p w14:paraId="0C987593" w14:textId="77777777" w:rsidR="009534B7" w:rsidRPr="00E7433A" w:rsidRDefault="009534B7" w:rsidP="00097CAA">
            <w:pPr>
              <w:pStyle w:val="TableLeadAgency"/>
            </w:pPr>
            <w:r w:rsidRPr="00E7433A">
              <w:t xml:space="preserve">RBA </w:t>
            </w:r>
          </w:p>
          <w:p w14:paraId="4FE33848" w14:textId="77777777" w:rsidR="009534B7" w:rsidRPr="00E7433A" w:rsidRDefault="009534B7" w:rsidP="00097CAA">
            <w:pPr>
              <w:pStyle w:val="TableSecondaryAgency"/>
            </w:pPr>
            <w:r w:rsidRPr="00E7433A">
              <w:t xml:space="preserve">ASIC </w:t>
            </w:r>
          </w:p>
          <w:p w14:paraId="39FD9811" w14:textId="5819C7B1" w:rsidR="009534B7" w:rsidRPr="00E7433A" w:rsidRDefault="009534B7" w:rsidP="00097CAA">
            <w:pPr>
              <w:pStyle w:val="TableSecondaryAgency"/>
              <w:rPr>
                <w:b/>
              </w:rPr>
            </w:pPr>
            <w:r w:rsidRPr="00E7433A">
              <w:t>TSY</w:t>
            </w:r>
          </w:p>
        </w:tc>
        <w:tc>
          <w:tcPr>
            <w:tcW w:w="1247" w:type="dxa"/>
            <w:tcBorders>
              <w:bottom w:val="single" w:sz="4" w:space="0" w:color="5D779D" w:themeColor="accent3"/>
            </w:tcBorders>
          </w:tcPr>
          <w:p w14:paraId="50BF861D" w14:textId="63B9BC6D" w:rsidR="009534B7" w:rsidRPr="002E4362" w:rsidRDefault="009534B7" w:rsidP="009534B7">
            <w:pPr>
              <w:pStyle w:val="TableTextLeft"/>
            </w:pPr>
            <w:r>
              <w:t>Financial markets</w:t>
            </w:r>
          </w:p>
        </w:tc>
        <w:tc>
          <w:tcPr>
            <w:tcW w:w="4286" w:type="dxa"/>
            <w:tcBorders>
              <w:bottom w:val="single" w:sz="4" w:space="0" w:color="5D779D" w:themeColor="accent3"/>
            </w:tcBorders>
          </w:tcPr>
          <w:p w14:paraId="132B93D4" w14:textId="510A7FFE" w:rsidR="009534B7" w:rsidRPr="000A4B96" w:rsidRDefault="001D4D7F" w:rsidP="009534B7">
            <w:pPr>
              <w:pStyle w:val="TableLink"/>
              <w:rPr>
                <w:b w:val="0"/>
                <w:bCs/>
                <w:u w:val="single"/>
              </w:rPr>
            </w:pPr>
            <w:hyperlink r:id="rId84" w:history="1">
              <w:r w:rsidR="009534B7" w:rsidRPr="000A4B96">
                <w:rPr>
                  <w:rStyle w:val="Hyperlink"/>
                  <w:b/>
                  <w:bCs/>
                  <w:u w:val="single"/>
                </w:rPr>
                <w:t>Clearing and settlement facility resolution guidance</w:t>
              </w:r>
            </w:hyperlink>
          </w:p>
          <w:p w14:paraId="432E9EE5" w14:textId="0804DABF" w:rsidR="009534B7" w:rsidRPr="001F7601" w:rsidRDefault="009534B7" w:rsidP="009534B7">
            <w:pPr>
              <w:pStyle w:val="TableTextLeft"/>
            </w:pPr>
            <w:r>
              <w:t>The RBA will provide g</w:t>
            </w:r>
            <w:r w:rsidRPr="009A3724">
              <w:t>uidance for clearing and settlement facilities and market participants describing how and when the RBA expects to use the resolution powers provided by the recent financial market infrastructure (FMI) regulatory reforms.</w:t>
            </w:r>
            <w:r>
              <w:rPr>
                <w:rFonts w:cs="Calibri Light"/>
                <w:color w:val="00B050"/>
                <w:szCs w:val="16"/>
              </w:rPr>
              <w:t xml:space="preserve"> </w:t>
            </w:r>
          </w:p>
        </w:tc>
        <w:tc>
          <w:tcPr>
            <w:tcW w:w="1270" w:type="dxa"/>
            <w:tcBorders>
              <w:bottom w:val="single" w:sz="4" w:space="0" w:color="5D779D" w:themeColor="accent3"/>
            </w:tcBorders>
            <w:shd w:val="clear" w:color="auto" w:fill="DFE4EB"/>
          </w:tcPr>
          <w:p w14:paraId="6E9280FE" w14:textId="77777777" w:rsidR="009534B7" w:rsidRPr="00CF7C7F" w:rsidRDefault="009534B7" w:rsidP="009534B7">
            <w:pPr>
              <w:pStyle w:val="TableTextLeft"/>
            </w:pPr>
          </w:p>
        </w:tc>
        <w:tc>
          <w:tcPr>
            <w:tcW w:w="1270" w:type="dxa"/>
            <w:tcBorders>
              <w:bottom w:val="single" w:sz="4" w:space="0" w:color="5D779D" w:themeColor="accent3"/>
            </w:tcBorders>
            <w:shd w:val="clear" w:color="auto" w:fill="DFE4EB"/>
          </w:tcPr>
          <w:p w14:paraId="056B8D42" w14:textId="62738A8E" w:rsidR="009534B7" w:rsidRPr="00CF7C7F" w:rsidRDefault="009534B7" w:rsidP="009534B7">
            <w:pPr>
              <w:pStyle w:val="TableTextLeft"/>
            </w:pPr>
            <w:r w:rsidRPr="00CF7C7F">
              <w:t xml:space="preserve">Consultation on draft guidance </w:t>
            </w:r>
          </w:p>
        </w:tc>
        <w:tc>
          <w:tcPr>
            <w:tcW w:w="1270" w:type="dxa"/>
            <w:tcBorders>
              <w:bottom w:val="single" w:sz="4" w:space="0" w:color="5D779D" w:themeColor="accent3"/>
            </w:tcBorders>
            <w:shd w:val="clear" w:color="auto" w:fill="DFE4EB"/>
          </w:tcPr>
          <w:p w14:paraId="0A16CF8F" w14:textId="77777777" w:rsidR="009534B7" w:rsidRPr="00CF7C7F" w:rsidRDefault="009534B7" w:rsidP="009534B7">
            <w:pPr>
              <w:pStyle w:val="TableTextLeft"/>
            </w:pPr>
          </w:p>
        </w:tc>
        <w:tc>
          <w:tcPr>
            <w:tcW w:w="1270" w:type="dxa"/>
            <w:tcBorders>
              <w:bottom w:val="single" w:sz="4" w:space="0" w:color="5D779D" w:themeColor="accent3"/>
            </w:tcBorders>
            <w:shd w:val="clear" w:color="auto" w:fill="DFE4EB"/>
          </w:tcPr>
          <w:p w14:paraId="2825455E" w14:textId="77777777" w:rsidR="009534B7" w:rsidRPr="00CF7C7F" w:rsidRDefault="009534B7" w:rsidP="009534B7">
            <w:pPr>
              <w:pStyle w:val="TableTextLeft"/>
            </w:pPr>
          </w:p>
        </w:tc>
        <w:tc>
          <w:tcPr>
            <w:tcW w:w="1270" w:type="dxa"/>
            <w:tcBorders>
              <w:bottom w:val="single" w:sz="4" w:space="0" w:color="5D779D" w:themeColor="accent3"/>
            </w:tcBorders>
            <w:shd w:val="clear" w:color="auto" w:fill="EFF1F5"/>
          </w:tcPr>
          <w:p w14:paraId="38E2E544" w14:textId="77777777" w:rsidR="009534B7" w:rsidRPr="00CF7C7F" w:rsidRDefault="009534B7" w:rsidP="009534B7">
            <w:pPr>
              <w:pStyle w:val="TableTextLeft"/>
            </w:pPr>
          </w:p>
        </w:tc>
        <w:tc>
          <w:tcPr>
            <w:tcW w:w="1270" w:type="dxa"/>
            <w:tcBorders>
              <w:bottom w:val="single" w:sz="4" w:space="0" w:color="5D779D" w:themeColor="accent3"/>
            </w:tcBorders>
            <w:shd w:val="clear" w:color="auto" w:fill="EFF1F5"/>
          </w:tcPr>
          <w:p w14:paraId="73822B6E" w14:textId="77777777" w:rsidR="009534B7" w:rsidRPr="002E4362" w:rsidRDefault="009534B7" w:rsidP="009534B7">
            <w:pPr>
              <w:pStyle w:val="TableTextLeft"/>
            </w:pPr>
          </w:p>
        </w:tc>
      </w:tr>
      <w:tr w:rsidR="00442EED" w:rsidRPr="00AF43B7" w14:paraId="59A5FA88" w14:textId="77777777" w:rsidTr="410CE694">
        <w:trPr>
          <w:cantSplit/>
          <w:trHeight w:val="410"/>
        </w:trPr>
        <w:tc>
          <w:tcPr>
            <w:tcW w:w="849" w:type="dxa"/>
            <w:tcBorders>
              <w:bottom w:val="single" w:sz="4" w:space="0" w:color="5D779D" w:themeColor="accent3"/>
            </w:tcBorders>
            <w:shd w:val="clear" w:color="auto" w:fill="auto"/>
          </w:tcPr>
          <w:p w14:paraId="15C743AC" w14:textId="7B4C5AFC" w:rsidR="001E0387" w:rsidRPr="00097CAA" w:rsidRDefault="001E0387" w:rsidP="00097CAA">
            <w:pPr>
              <w:pStyle w:val="TableLeadAgency"/>
            </w:pPr>
            <w:r w:rsidRPr="00BD1203">
              <w:lastRenderedPageBreak/>
              <w:t xml:space="preserve">ASIC </w:t>
            </w:r>
          </w:p>
        </w:tc>
        <w:tc>
          <w:tcPr>
            <w:tcW w:w="1247" w:type="dxa"/>
            <w:tcBorders>
              <w:bottom w:val="single" w:sz="4" w:space="0" w:color="5D779D" w:themeColor="accent3"/>
            </w:tcBorders>
          </w:tcPr>
          <w:p w14:paraId="187BEC9D" w14:textId="6EA2BA0D" w:rsidR="001E0387" w:rsidRDefault="001E0387" w:rsidP="001E0387">
            <w:pPr>
              <w:pStyle w:val="TableTextLeft"/>
            </w:pPr>
            <w:r>
              <w:t>Financial markets</w:t>
            </w:r>
          </w:p>
        </w:tc>
        <w:tc>
          <w:tcPr>
            <w:tcW w:w="4286" w:type="dxa"/>
            <w:tcBorders>
              <w:bottom w:val="single" w:sz="4" w:space="0" w:color="5D779D" w:themeColor="accent3"/>
            </w:tcBorders>
          </w:tcPr>
          <w:p w14:paraId="274245A2" w14:textId="2A74270C" w:rsidR="001E0387" w:rsidRPr="00754486" w:rsidRDefault="001E0387" w:rsidP="001E0387">
            <w:pPr>
              <w:pStyle w:val="TableTextLeft"/>
              <w:rPr>
                <w:b/>
                <w:bCs/>
              </w:rPr>
            </w:pPr>
            <w:r>
              <w:rPr>
                <w:b/>
                <w:bCs/>
              </w:rPr>
              <w:t xml:space="preserve">Financial </w:t>
            </w:r>
            <w:r w:rsidR="00E50B35">
              <w:rPr>
                <w:b/>
                <w:bCs/>
              </w:rPr>
              <w:t>m</w:t>
            </w:r>
            <w:r w:rsidRPr="00754486">
              <w:rPr>
                <w:b/>
                <w:bCs/>
              </w:rPr>
              <w:t xml:space="preserve">arket </w:t>
            </w:r>
            <w:r w:rsidR="00E50B35">
              <w:rPr>
                <w:b/>
                <w:bCs/>
              </w:rPr>
              <w:t>i</w:t>
            </w:r>
            <w:r>
              <w:rPr>
                <w:b/>
                <w:bCs/>
              </w:rPr>
              <w:t>nfrastructure guidance</w:t>
            </w:r>
          </w:p>
          <w:p w14:paraId="6530EF51" w14:textId="79C37882" w:rsidR="001E0387" w:rsidRDefault="001E0387" w:rsidP="007B3B35">
            <w:pPr>
              <w:pStyle w:val="TableTextLeft"/>
            </w:pPr>
            <w:r w:rsidRPr="00E01479">
              <w:rPr>
                <w:bCs/>
                <w:lang w:eastAsia="en-US"/>
              </w:rPr>
              <w:t xml:space="preserve">ASIC is </w:t>
            </w:r>
            <w:r>
              <w:rPr>
                <w:bCs/>
                <w:lang w:eastAsia="en-US"/>
              </w:rPr>
              <w:t xml:space="preserve">working on </w:t>
            </w:r>
            <w:r w:rsidRPr="00570C8A">
              <w:rPr>
                <w:lang w:eastAsia="en-US"/>
              </w:rPr>
              <w:t>updat</w:t>
            </w:r>
            <w:r>
              <w:rPr>
                <w:lang w:eastAsia="en-US"/>
              </w:rPr>
              <w:t xml:space="preserve">es to regulatory </w:t>
            </w:r>
            <w:r w:rsidRPr="00570C8A">
              <w:rPr>
                <w:lang w:eastAsia="en-US"/>
              </w:rPr>
              <w:t xml:space="preserve">guidance to assist industry to comply with the enhanced regulatory framework for </w:t>
            </w:r>
            <w:r w:rsidR="002835D5">
              <w:rPr>
                <w:lang w:eastAsia="en-US"/>
              </w:rPr>
              <w:t>f</w:t>
            </w:r>
            <w:r w:rsidRPr="00570C8A">
              <w:rPr>
                <w:lang w:eastAsia="en-US"/>
              </w:rPr>
              <w:t xml:space="preserve">inancial </w:t>
            </w:r>
            <w:r w:rsidR="002835D5">
              <w:rPr>
                <w:lang w:eastAsia="en-US"/>
              </w:rPr>
              <w:t>m</w:t>
            </w:r>
            <w:r w:rsidRPr="00570C8A">
              <w:rPr>
                <w:lang w:eastAsia="en-US"/>
              </w:rPr>
              <w:t xml:space="preserve">arket </w:t>
            </w:r>
            <w:r w:rsidR="005F2B3B">
              <w:rPr>
                <w:lang w:eastAsia="en-US"/>
              </w:rPr>
              <w:t>i</w:t>
            </w:r>
            <w:r w:rsidRPr="00570C8A">
              <w:rPr>
                <w:lang w:eastAsia="en-US"/>
              </w:rPr>
              <w:t xml:space="preserve">nfrastructures (FMIs). This follows passage of legislation giving ASIC and the RBA </w:t>
            </w:r>
            <w:r w:rsidR="00FA1330">
              <w:rPr>
                <w:lang w:eastAsia="en-US"/>
              </w:rPr>
              <w:t xml:space="preserve">enhanced </w:t>
            </w:r>
            <w:r w:rsidRPr="00570C8A">
              <w:rPr>
                <w:lang w:eastAsia="en-US"/>
              </w:rPr>
              <w:t>powers to monitor, manage and respond to risks related to FMIs.</w:t>
            </w:r>
            <w:r>
              <w:rPr>
                <w:lang w:eastAsia="en-US"/>
              </w:rPr>
              <w:t xml:space="preserve"> </w:t>
            </w:r>
          </w:p>
        </w:tc>
        <w:tc>
          <w:tcPr>
            <w:tcW w:w="1270" w:type="dxa"/>
            <w:tcBorders>
              <w:bottom w:val="single" w:sz="4" w:space="0" w:color="5D779D" w:themeColor="accent3"/>
            </w:tcBorders>
            <w:shd w:val="clear" w:color="auto" w:fill="DFE4EB"/>
          </w:tcPr>
          <w:p w14:paraId="2159DDAE" w14:textId="77777777" w:rsidR="001E0387" w:rsidRPr="00CF7C7F" w:rsidRDefault="001E0387" w:rsidP="001E0387">
            <w:pPr>
              <w:pStyle w:val="TableTextLeft"/>
            </w:pPr>
          </w:p>
        </w:tc>
        <w:tc>
          <w:tcPr>
            <w:tcW w:w="1270" w:type="dxa"/>
            <w:tcBorders>
              <w:bottom w:val="single" w:sz="4" w:space="0" w:color="5D779D" w:themeColor="accent3"/>
            </w:tcBorders>
            <w:shd w:val="clear" w:color="auto" w:fill="DFE4EB"/>
          </w:tcPr>
          <w:p w14:paraId="0F9A1B3B" w14:textId="77777777" w:rsidR="001E0387" w:rsidRPr="00CF7C7F" w:rsidRDefault="001E0387" w:rsidP="001E0387">
            <w:pPr>
              <w:pStyle w:val="TableTextLeft"/>
            </w:pPr>
          </w:p>
        </w:tc>
        <w:tc>
          <w:tcPr>
            <w:tcW w:w="1270" w:type="dxa"/>
            <w:tcBorders>
              <w:bottom w:val="single" w:sz="4" w:space="0" w:color="5D779D" w:themeColor="accent3"/>
            </w:tcBorders>
            <w:shd w:val="clear" w:color="auto" w:fill="DFE4EB"/>
          </w:tcPr>
          <w:p w14:paraId="261350B2" w14:textId="02B6834F" w:rsidR="001E0387" w:rsidRPr="00CF7C7F" w:rsidRDefault="001E0387" w:rsidP="001E0387">
            <w:pPr>
              <w:pStyle w:val="TableTextLeft"/>
            </w:pPr>
            <w:r>
              <w:t xml:space="preserve">Consultation on guidance </w:t>
            </w:r>
          </w:p>
        </w:tc>
        <w:tc>
          <w:tcPr>
            <w:tcW w:w="1270" w:type="dxa"/>
            <w:tcBorders>
              <w:bottom w:val="single" w:sz="4" w:space="0" w:color="5D779D" w:themeColor="accent3"/>
            </w:tcBorders>
            <w:shd w:val="clear" w:color="auto" w:fill="DFE4EB"/>
          </w:tcPr>
          <w:p w14:paraId="4E0B8139" w14:textId="2ED815B6" w:rsidR="001E0387" w:rsidRPr="00CF7C7F" w:rsidRDefault="001E0387" w:rsidP="001E0387">
            <w:pPr>
              <w:pStyle w:val="TableTextLeft"/>
            </w:pPr>
            <w:r>
              <w:t>Updated guidance published</w:t>
            </w:r>
          </w:p>
        </w:tc>
        <w:tc>
          <w:tcPr>
            <w:tcW w:w="1270" w:type="dxa"/>
            <w:tcBorders>
              <w:bottom w:val="single" w:sz="4" w:space="0" w:color="5D779D" w:themeColor="accent3"/>
            </w:tcBorders>
            <w:shd w:val="clear" w:color="auto" w:fill="EFF1F5"/>
          </w:tcPr>
          <w:p w14:paraId="2A694944" w14:textId="77777777" w:rsidR="001E0387" w:rsidRPr="00CF7C7F" w:rsidRDefault="001E0387" w:rsidP="001E0387">
            <w:pPr>
              <w:pStyle w:val="TableTextLeft"/>
            </w:pPr>
          </w:p>
        </w:tc>
        <w:tc>
          <w:tcPr>
            <w:tcW w:w="1270" w:type="dxa"/>
            <w:tcBorders>
              <w:bottom w:val="single" w:sz="4" w:space="0" w:color="5D779D" w:themeColor="accent3"/>
            </w:tcBorders>
            <w:shd w:val="clear" w:color="auto" w:fill="EFF1F5"/>
          </w:tcPr>
          <w:p w14:paraId="242C7C36" w14:textId="77777777" w:rsidR="001E0387" w:rsidRPr="002E4362" w:rsidRDefault="001E0387" w:rsidP="001E0387">
            <w:pPr>
              <w:pStyle w:val="TableTextLeft"/>
            </w:pPr>
          </w:p>
        </w:tc>
      </w:tr>
      <w:tr w:rsidR="00442EED" w:rsidRPr="00AF43B7" w14:paraId="40FD890E" w14:textId="77777777" w:rsidTr="410CE694">
        <w:trPr>
          <w:cantSplit/>
          <w:trHeight w:val="410"/>
        </w:trPr>
        <w:tc>
          <w:tcPr>
            <w:tcW w:w="849" w:type="dxa"/>
            <w:tcBorders>
              <w:top w:val="single" w:sz="4" w:space="0" w:color="5D779D" w:themeColor="accent3"/>
              <w:bottom w:val="single" w:sz="4" w:space="0" w:color="5D779D" w:themeColor="accent3"/>
            </w:tcBorders>
            <w:shd w:val="clear" w:color="auto" w:fill="auto"/>
          </w:tcPr>
          <w:p w14:paraId="15B8244C" w14:textId="7B949A66" w:rsidR="001E0387" w:rsidRPr="00097CAA" w:rsidRDefault="001E0387" w:rsidP="00097CAA">
            <w:pPr>
              <w:pStyle w:val="TableLeadAgency"/>
            </w:pPr>
            <w:r w:rsidRPr="00BD1203">
              <w:t xml:space="preserve">ASIC </w:t>
            </w:r>
          </w:p>
        </w:tc>
        <w:tc>
          <w:tcPr>
            <w:tcW w:w="1247" w:type="dxa"/>
            <w:tcBorders>
              <w:top w:val="single" w:sz="4" w:space="0" w:color="5D779D" w:themeColor="accent3"/>
              <w:bottom w:val="single" w:sz="4" w:space="0" w:color="5D779D" w:themeColor="accent3"/>
            </w:tcBorders>
          </w:tcPr>
          <w:p w14:paraId="54553067" w14:textId="17D66E30" w:rsidR="001E0387" w:rsidRDefault="001E0387" w:rsidP="001E0387">
            <w:pPr>
              <w:pStyle w:val="TableTextLeft"/>
            </w:pPr>
            <w:r>
              <w:t>Financial markets</w:t>
            </w:r>
          </w:p>
        </w:tc>
        <w:tc>
          <w:tcPr>
            <w:tcW w:w="4286" w:type="dxa"/>
            <w:tcBorders>
              <w:top w:val="single" w:sz="4" w:space="0" w:color="5D779D" w:themeColor="accent3"/>
              <w:bottom w:val="single" w:sz="4" w:space="0" w:color="5D779D" w:themeColor="accent3"/>
            </w:tcBorders>
          </w:tcPr>
          <w:p w14:paraId="2CAC5E8E" w14:textId="72049E76" w:rsidR="001E0387" w:rsidRPr="00754486" w:rsidRDefault="001E0387" w:rsidP="001E0387">
            <w:pPr>
              <w:pStyle w:val="TableTextLeft"/>
              <w:rPr>
                <w:b/>
                <w:bCs/>
              </w:rPr>
            </w:pPr>
            <w:r w:rsidRPr="00754486">
              <w:rPr>
                <w:b/>
                <w:bCs/>
              </w:rPr>
              <w:t>Market integrity rules</w:t>
            </w:r>
            <w:r>
              <w:rPr>
                <w:b/>
                <w:bCs/>
              </w:rPr>
              <w:t xml:space="preserve"> – regulatory guidance</w:t>
            </w:r>
          </w:p>
          <w:p w14:paraId="6BB430A5" w14:textId="2E5E1987" w:rsidR="001E0387" w:rsidRPr="009A3724" w:rsidRDefault="001E0387" w:rsidP="000C4FD5">
            <w:pPr>
              <w:pStyle w:val="TableTextLeft"/>
            </w:pPr>
            <w:r>
              <w:t>Contingent on amendments to ASIC</w:t>
            </w:r>
            <w:r w:rsidR="0008745D">
              <w:t>’</w:t>
            </w:r>
            <w:r>
              <w:t>s Market Integrity Rules related to trading, consult on updates to ASIC</w:t>
            </w:r>
            <w:r w:rsidR="0008745D">
              <w:t>’</w:t>
            </w:r>
            <w:r>
              <w:t xml:space="preserve">s </w:t>
            </w:r>
            <w:r w:rsidRPr="009A3724">
              <w:t>Regulatory Guid</w:t>
            </w:r>
            <w:r>
              <w:t>es</w:t>
            </w:r>
            <w:r w:rsidRPr="009A3724">
              <w:t>, including updating:</w:t>
            </w:r>
          </w:p>
          <w:p w14:paraId="7ABB1995" w14:textId="77777777" w:rsidR="001E0387" w:rsidRPr="001D50FB" w:rsidRDefault="001E0387" w:rsidP="001D50FB">
            <w:pPr>
              <w:pStyle w:val="TableTextBullet"/>
              <w:rPr>
                <w:i/>
                <w:iCs/>
              </w:rPr>
            </w:pPr>
            <w:r>
              <w:t xml:space="preserve">Regulatory Guide (RG) </w:t>
            </w:r>
            <w:r w:rsidRPr="001D50FB">
              <w:rPr>
                <w:i/>
                <w:iCs/>
              </w:rPr>
              <w:t>172 Financial markets: Domestic and overseas operators</w:t>
            </w:r>
          </w:p>
          <w:p w14:paraId="76D15BD7" w14:textId="77777777" w:rsidR="001E0387" w:rsidRPr="001D50FB" w:rsidRDefault="001E0387" w:rsidP="001D50FB">
            <w:pPr>
              <w:pStyle w:val="TableTextBullet"/>
              <w:rPr>
                <w:i/>
                <w:iCs/>
              </w:rPr>
            </w:pPr>
            <w:r>
              <w:t xml:space="preserve">RG 241 </w:t>
            </w:r>
            <w:r w:rsidRPr="001D50FB">
              <w:rPr>
                <w:i/>
                <w:iCs/>
              </w:rPr>
              <w:t>Electronic trading</w:t>
            </w:r>
          </w:p>
          <w:p w14:paraId="58BD4AE7" w14:textId="77777777" w:rsidR="001E0387" w:rsidRPr="001D50FB" w:rsidRDefault="001E0387" w:rsidP="001D50FB">
            <w:pPr>
              <w:pStyle w:val="TableTextBullet"/>
              <w:rPr>
                <w:i/>
                <w:iCs/>
              </w:rPr>
            </w:pPr>
            <w:r>
              <w:t xml:space="preserve">RG 265 </w:t>
            </w:r>
            <w:r w:rsidRPr="001D50FB">
              <w:rPr>
                <w:i/>
                <w:iCs/>
              </w:rPr>
              <w:t>ASIC market integrity rules for participants of securities markets</w:t>
            </w:r>
          </w:p>
          <w:p w14:paraId="632ED37B" w14:textId="03BB00B4" w:rsidR="001E0387" w:rsidRPr="007B3B35" w:rsidRDefault="001E0387" w:rsidP="001E0387">
            <w:pPr>
              <w:pStyle w:val="TableTextBullet"/>
            </w:pPr>
            <w:r>
              <w:t xml:space="preserve">RG 266 </w:t>
            </w:r>
            <w:r w:rsidRPr="001D50FB">
              <w:rPr>
                <w:i/>
                <w:iCs/>
              </w:rPr>
              <w:t>ASIC market integrity rules for participants of futures markets</w:t>
            </w:r>
          </w:p>
        </w:tc>
        <w:tc>
          <w:tcPr>
            <w:tcW w:w="1270" w:type="dxa"/>
            <w:tcBorders>
              <w:top w:val="single" w:sz="4" w:space="0" w:color="5D779D" w:themeColor="accent3"/>
              <w:bottom w:val="single" w:sz="4" w:space="0" w:color="5D779D" w:themeColor="accent3"/>
            </w:tcBorders>
            <w:shd w:val="clear" w:color="auto" w:fill="DFE4EB"/>
          </w:tcPr>
          <w:p w14:paraId="1673FD63" w14:textId="77777777" w:rsidR="001E0387" w:rsidRDefault="001E0387" w:rsidP="001E0387">
            <w:pPr>
              <w:pStyle w:val="TableTextLeft"/>
            </w:pPr>
          </w:p>
        </w:tc>
        <w:tc>
          <w:tcPr>
            <w:tcW w:w="1270" w:type="dxa"/>
            <w:tcBorders>
              <w:top w:val="single" w:sz="4" w:space="0" w:color="5D779D" w:themeColor="accent3"/>
              <w:bottom w:val="single" w:sz="4" w:space="0" w:color="5D779D" w:themeColor="accent3"/>
            </w:tcBorders>
            <w:shd w:val="clear" w:color="auto" w:fill="DFE4EB"/>
          </w:tcPr>
          <w:p w14:paraId="7ACC816C" w14:textId="77777777" w:rsidR="001E0387" w:rsidRDefault="001E0387" w:rsidP="001E0387">
            <w:pPr>
              <w:pStyle w:val="TableTextLeft"/>
            </w:pPr>
          </w:p>
        </w:tc>
        <w:tc>
          <w:tcPr>
            <w:tcW w:w="1270" w:type="dxa"/>
            <w:tcBorders>
              <w:top w:val="single" w:sz="4" w:space="0" w:color="5D779D" w:themeColor="accent3"/>
              <w:bottom w:val="single" w:sz="4" w:space="0" w:color="5D779D" w:themeColor="accent3"/>
            </w:tcBorders>
            <w:shd w:val="clear" w:color="auto" w:fill="DFE4EB"/>
          </w:tcPr>
          <w:p w14:paraId="128E10DC" w14:textId="50CEF6BE" w:rsidR="001E0387" w:rsidRPr="002E4362" w:rsidRDefault="001E0387" w:rsidP="001E0387">
            <w:pPr>
              <w:pStyle w:val="TableTextLeft"/>
              <w:rPr>
                <w:rFonts w:cs="Calibri Light"/>
                <w:sz w:val="14"/>
                <w:szCs w:val="14"/>
              </w:rPr>
            </w:pPr>
            <w:r>
              <w:t>Consultation on changes to RGs</w:t>
            </w:r>
          </w:p>
        </w:tc>
        <w:tc>
          <w:tcPr>
            <w:tcW w:w="1270" w:type="dxa"/>
            <w:tcBorders>
              <w:top w:val="single" w:sz="4" w:space="0" w:color="5D779D" w:themeColor="accent3"/>
              <w:bottom w:val="single" w:sz="4" w:space="0" w:color="5D779D" w:themeColor="accent3"/>
            </w:tcBorders>
            <w:shd w:val="clear" w:color="auto" w:fill="DFE4EB"/>
          </w:tcPr>
          <w:p w14:paraId="6F298EE0" w14:textId="2EDCAF6F" w:rsidR="001E0387" w:rsidRPr="002E4362" w:rsidRDefault="001E0387" w:rsidP="001E0387">
            <w:pPr>
              <w:pStyle w:val="TableTextLeft"/>
              <w:rPr>
                <w:rFonts w:cs="Calibri Light"/>
                <w:sz w:val="14"/>
                <w:szCs w:val="14"/>
              </w:rPr>
            </w:pPr>
            <w:r>
              <w:t>Updated RG published</w:t>
            </w:r>
          </w:p>
        </w:tc>
        <w:tc>
          <w:tcPr>
            <w:tcW w:w="1270" w:type="dxa"/>
            <w:tcBorders>
              <w:top w:val="single" w:sz="4" w:space="0" w:color="5D779D" w:themeColor="accent3"/>
              <w:bottom w:val="single" w:sz="4" w:space="0" w:color="5D779D" w:themeColor="accent3"/>
            </w:tcBorders>
            <w:shd w:val="clear" w:color="auto" w:fill="EFF1F5"/>
          </w:tcPr>
          <w:p w14:paraId="285B281B" w14:textId="77777777" w:rsidR="001E0387" w:rsidRPr="002E4362" w:rsidRDefault="001E0387" w:rsidP="001E0387">
            <w:pPr>
              <w:pStyle w:val="TableTextLeft"/>
              <w:rPr>
                <w:rFonts w:cs="Calibri Light"/>
                <w:sz w:val="14"/>
                <w:szCs w:val="14"/>
              </w:rPr>
            </w:pPr>
          </w:p>
        </w:tc>
        <w:tc>
          <w:tcPr>
            <w:tcW w:w="1270" w:type="dxa"/>
            <w:tcBorders>
              <w:top w:val="single" w:sz="4" w:space="0" w:color="5D779D" w:themeColor="accent3"/>
              <w:bottom w:val="single" w:sz="4" w:space="0" w:color="5D779D" w:themeColor="accent3"/>
            </w:tcBorders>
            <w:shd w:val="clear" w:color="auto" w:fill="EFF1F5"/>
          </w:tcPr>
          <w:p w14:paraId="4C1E49AE" w14:textId="77777777" w:rsidR="001E0387" w:rsidRPr="002E4362" w:rsidRDefault="001E0387" w:rsidP="001E0387">
            <w:pPr>
              <w:pStyle w:val="TableTextLeft"/>
              <w:rPr>
                <w:rFonts w:cs="Calibri Light"/>
                <w:sz w:val="14"/>
                <w:szCs w:val="14"/>
              </w:rPr>
            </w:pPr>
          </w:p>
        </w:tc>
      </w:tr>
      <w:tr w:rsidR="00442EED" w:rsidRPr="00AF43B7" w14:paraId="0EA8EDAB" w14:textId="77777777" w:rsidTr="0098521C">
        <w:trPr>
          <w:cantSplit/>
          <w:trHeight w:val="410"/>
        </w:trPr>
        <w:tc>
          <w:tcPr>
            <w:tcW w:w="849" w:type="dxa"/>
            <w:tcBorders>
              <w:top w:val="single" w:sz="4" w:space="0" w:color="5D779D" w:themeColor="accent3"/>
              <w:bottom w:val="single" w:sz="4" w:space="0" w:color="5D779D" w:themeColor="accent3"/>
            </w:tcBorders>
            <w:shd w:val="clear" w:color="auto" w:fill="auto"/>
          </w:tcPr>
          <w:p w14:paraId="3137C750" w14:textId="1B961BED" w:rsidR="001E0387" w:rsidRPr="00E7433A" w:rsidRDefault="001E0387" w:rsidP="00097CAA">
            <w:pPr>
              <w:pStyle w:val="TableLeadAgency"/>
            </w:pPr>
            <w:r w:rsidRPr="00E7433A">
              <w:t>A</w:t>
            </w:r>
            <w:r>
              <w:t>SIC</w:t>
            </w:r>
          </w:p>
        </w:tc>
        <w:tc>
          <w:tcPr>
            <w:tcW w:w="1247" w:type="dxa"/>
            <w:tcBorders>
              <w:top w:val="single" w:sz="4" w:space="0" w:color="5D779D" w:themeColor="accent3"/>
              <w:bottom w:val="single" w:sz="4" w:space="0" w:color="5D779D" w:themeColor="accent3"/>
            </w:tcBorders>
          </w:tcPr>
          <w:p w14:paraId="43E62473" w14:textId="68BA1A21" w:rsidR="001E0387" w:rsidRDefault="001E0387" w:rsidP="001E0387">
            <w:pPr>
              <w:pStyle w:val="TableTextLeft"/>
            </w:pPr>
            <w:r>
              <w:t>Insurance and reinsurance</w:t>
            </w:r>
          </w:p>
        </w:tc>
        <w:tc>
          <w:tcPr>
            <w:tcW w:w="4286" w:type="dxa"/>
            <w:tcBorders>
              <w:top w:val="single" w:sz="4" w:space="0" w:color="5D779D" w:themeColor="accent3"/>
              <w:bottom w:val="single" w:sz="4" w:space="0" w:color="5D779D" w:themeColor="accent3"/>
            </w:tcBorders>
          </w:tcPr>
          <w:p w14:paraId="46894552" w14:textId="77777777" w:rsidR="001E0387" w:rsidRPr="00301F93" w:rsidRDefault="001E0387" w:rsidP="00301F93">
            <w:pPr>
              <w:pStyle w:val="TableTextLeft"/>
              <w:rPr>
                <w:b/>
                <w:bCs/>
              </w:rPr>
            </w:pPr>
            <w:r w:rsidRPr="00301F93">
              <w:rPr>
                <w:b/>
                <w:bCs/>
              </w:rPr>
              <w:t>Direct sales of life insurance</w:t>
            </w:r>
          </w:p>
          <w:p w14:paraId="6F112831" w14:textId="16B97F1B" w:rsidR="001E0387" w:rsidRPr="00554131" w:rsidRDefault="001E0387" w:rsidP="00554131">
            <w:pPr>
              <w:pStyle w:val="TableTextLeft"/>
            </w:pPr>
            <w:r>
              <w:t xml:space="preserve">ASIC </w:t>
            </w:r>
            <w:r w:rsidRPr="000316E1">
              <w:t xml:space="preserve">will review compliance </w:t>
            </w:r>
            <w:r w:rsidR="00295C15">
              <w:t xml:space="preserve">by selected life insurers </w:t>
            </w:r>
            <w:r w:rsidRPr="000316E1">
              <w:t xml:space="preserve">with the laws relevant to the direct sales of life insurance and seek to identify </w:t>
            </w:r>
            <w:r>
              <w:t xml:space="preserve">areas for improvement and </w:t>
            </w:r>
            <w:r w:rsidRPr="000316E1">
              <w:t xml:space="preserve">better practice. </w:t>
            </w:r>
            <w:r w:rsidRPr="00E527A7">
              <w:rPr>
                <w:rFonts w:cs="Calibri Light"/>
                <w:b/>
                <w:bCs/>
                <w:i/>
                <w:iCs/>
                <w:color w:val="00B050"/>
                <w:szCs w:val="16"/>
              </w:rPr>
              <w:t xml:space="preserve"> </w:t>
            </w:r>
          </w:p>
        </w:tc>
        <w:tc>
          <w:tcPr>
            <w:tcW w:w="1270" w:type="dxa"/>
            <w:tcBorders>
              <w:top w:val="single" w:sz="4" w:space="0" w:color="5D779D" w:themeColor="accent3"/>
              <w:bottom w:val="single" w:sz="4" w:space="0" w:color="5D779D" w:themeColor="accent3"/>
            </w:tcBorders>
            <w:shd w:val="clear" w:color="auto" w:fill="DFE4EB"/>
          </w:tcPr>
          <w:p w14:paraId="003FC688" w14:textId="77777777" w:rsidR="001E0387" w:rsidRDefault="001E0387" w:rsidP="00301F93">
            <w:pPr>
              <w:pStyle w:val="TableTextLeft"/>
            </w:pPr>
          </w:p>
        </w:tc>
        <w:tc>
          <w:tcPr>
            <w:tcW w:w="1270" w:type="dxa"/>
            <w:tcBorders>
              <w:top w:val="single" w:sz="4" w:space="0" w:color="5D779D" w:themeColor="accent3"/>
              <w:bottom w:val="single" w:sz="4" w:space="0" w:color="5D779D" w:themeColor="accent3"/>
            </w:tcBorders>
            <w:shd w:val="clear" w:color="auto" w:fill="DFE4EB"/>
          </w:tcPr>
          <w:p w14:paraId="29B00415" w14:textId="77777777" w:rsidR="001E0387" w:rsidRDefault="001E0387" w:rsidP="00301F93">
            <w:pPr>
              <w:pStyle w:val="TableTextLeft"/>
            </w:pPr>
          </w:p>
        </w:tc>
        <w:tc>
          <w:tcPr>
            <w:tcW w:w="1270" w:type="dxa"/>
            <w:tcBorders>
              <w:top w:val="single" w:sz="4" w:space="0" w:color="5D779D" w:themeColor="accent3"/>
              <w:bottom w:val="single" w:sz="4" w:space="0" w:color="5D779D" w:themeColor="accent3"/>
            </w:tcBorders>
            <w:shd w:val="clear" w:color="auto" w:fill="DFE4EB"/>
          </w:tcPr>
          <w:p w14:paraId="609967B4" w14:textId="099435AE" w:rsidR="001E0387" w:rsidRPr="002E4362" w:rsidRDefault="001E0387" w:rsidP="00301F93">
            <w:pPr>
              <w:pStyle w:val="TableTextLeft"/>
              <w:rPr>
                <w:rFonts w:cs="Calibri Light"/>
                <w:sz w:val="14"/>
                <w:szCs w:val="14"/>
              </w:rPr>
            </w:pPr>
            <w:r>
              <w:t xml:space="preserve">Report published </w:t>
            </w:r>
          </w:p>
        </w:tc>
        <w:tc>
          <w:tcPr>
            <w:tcW w:w="1270" w:type="dxa"/>
            <w:tcBorders>
              <w:top w:val="single" w:sz="4" w:space="0" w:color="5D779D" w:themeColor="accent3"/>
              <w:bottom w:val="single" w:sz="4" w:space="0" w:color="5D779D" w:themeColor="accent3"/>
            </w:tcBorders>
            <w:shd w:val="clear" w:color="auto" w:fill="DFE4EB"/>
          </w:tcPr>
          <w:p w14:paraId="782C56F4" w14:textId="77777777" w:rsidR="001E0387" w:rsidRPr="002E4362" w:rsidRDefault="001E0387" w:rsidP="00301F93">
            <w:pPr>
              <w:pStyle w:val="TableTextLeft"/>
              <w:rPr>
                <w:rFonts w:cs="Calibri Light"/>
                <w:sz w:val="14"/>
                <w:szCs w:val="14"/>
              </w:rPr>
            </w:pPr>
          </w:p>
        </w:tc>
        <w:tc>
          <w:tcPr>
            <w:tcW w:w="1270" w:type="dxa"/>
            <w:tcBorders>
              <w:top w:val="single" w:sz="4" w:space="0" w:color="5D779D" w:themeColor="accent3"/>
              <w:bottom w:val="single" w:sz="4" w:space="0" w:color="5D779D" w:themeColor="accent3"/>
            </w:tcBorders>
            <w:shd w:val="clear" w:color="auto" w:fill="EFF1F5"/>
          </w:tcPr>
          <w:p w14:paraId="5810C46D" w14:textId="77777777" w:rsidR="001E0387" w:rsidRPr="002E4362" w:rsidRDefault="001E0387" w:rsidP="00301F93">
            <w:pPr>
              <w:pStyle w:val="TableTextLeft"/>
              <w:rPr>
                <w:rFonts w:cs="Calibri Light"/>
                <w:sz w:val="14"/>
                <w:szCs w:val="14"/>
              </w:rPr>
            </w:pPr>
          </w:p>
        </w:tc>
        <w:tc>
          <w:tcPr>
            <w:tcW w:w="1270" w:type="dxa"/>
            <w:tcBorders>
              <w:top w:val="single" w:sz="4" w:space="0" w:color="5D779D" w:themeColor="accent3"/>
              <w:bottom w:val="single" w:sz="4" w:space="0" w:color="5D779D" w:themeColor="accent3"/>
            </w:tcBorders>
            <w:shd w:val="clear" w:color="auto" w:fill="EFF1F5"/>
          </w:tcPr>
          <w:p w14:paraId="164C781F" w14:textId="77777777" w:rsidR="001E0387" w:rsidRPr="002E4362" w:rsidRDefault="001E0387" w:rsidP="00301F93">
            <w:pPr>
              <w:pStyle w:val="TableTextLeft"/>
              <w:rPr>
                <w:rFonts w:cs="Calibri Light"/>
                <w:sz w:val="14"/>
                <w:szCs w:val="14"/>
              </w:rPr>
            </w:pPr>
          </w:p>
        </w:tc>
      </w:tr>
      <w:tr w:rsidR="00442EED" w:rsidRPr="00AF43B7" w14:paraId="48BEB38E" w14:textId="77777777" w:rsidTr="0098521C">
        <w:trPr>
          <w:cantSplit/>
          <w:trHeight w:val="410"/>
        </w:trPr>
        <w:tc>
          <w:tcPr>
            <w:tcW w:w="849" w:type="dxa"/>
            <w:tcBorders>
              <w:top w:val="single" w:sz="4" w:space="0" w:color="5D779D" w:themeColor="accent3"/>
              <w:bottom w:val="single" w:sz="4" w:space="0" w:color="5D779D" w:themeColor="accent3"/>
            </w:tcBorders>
            <w:shd w:val="clear" w:color="auto" w:fill="auto"/>
          </w:tcPr>
          <w:p w14:paraId="714AB645" w14:textId="4BA673BA" w:rsidR="00ED13E4" w:rsidRPr="00E7433A" w:rsidRDefault="00ED13E4" w:rsidP="00097CAA">
            <w:pPr>
              <w:pStyle w:val="TableLeadAgency"/>
            </w:pPr>
            <w:r w:rsidRPr="00E7433A">
              <w:t>A</w:t>
            </w:r>
            <w:r>
              <w:t>SIC</w:t>
            </w:r>
          </w:p>
        </w:tc>
        <w:tc>
          <w:tcPr>
            <w:tcW w:w="1247" w:type="dxa"/>
            <w:tcBorders>
              <w:top w:val="single" w:sz="4" w:space="0" w:color="5D779D" w:themeColor="accent3"/>
              <w:bottom w:val="single" w:sz="4" w:space="0" w:color="5D779D" w:themeColor="accent3"/>
            </w:tcBorders>
          </w:tcPr>
          <w:p w14:paraId="5A3F6B4D" w14:textId="4BB27758" w:rsidR="00ED13E4" w:rsidRPr="00A56D83" w:rsidDel="00AF3AA5" w:rsidRDefault="00ED13E4" w:rsidP="00ED13E4">
            <w:pPr>
              <w:pStyle w:val="TableTextLeft"/>
            </w:pPr>
            <w:r>
              <w:t>Insurance and reinsurance</w:t>
            </w:r>
          </w:p>
        </w:tc>
        <w:tc>
          <w:tcPr>
            <w:tcW w:w="4286" w:type="dxa"/>
            <w:tcBorders>
              <w:top w:val="single" w:sz="4" w:space="0" w:color="5D779D" w:themeColor="accent3"/>
              <w:bottom w:val="single" w:sz="4" w:space="0" w:color="5D779D" w:themeColor="accent3"/>
            </w:tcBorders>
          </w:tcPr>
          <w:p w14:paraId="18993D78" w14:textId="77777777" w:rsidR="00ED13E4" w:rsidRPr="00301F93" w:rsidRDefault="00ED13E4" w:rsidP="00301F93">
            <w:pPr>
              <w:pStyle w:val="TableTextLeft"/>
              <w:rPr>
                <w:b/>
                <w:bCs/>
              </w:rPr>
            </w:pPr>
            <w:r w:rsidRPr="00301F93">
              <w:rPr>
                <w:b/>
                <w:bCs/>
              </w:rPr>
              <w:t>Insurance claims handling and floods</w:t>
            </w:r>
          </w:p>
          <w:p w14:paraId="49D7D78B" w14:textId="61E14A0E" w:rsidR="00ED13E4" w:rsidRPr="002D4AC8" w:rsidRDefault="00ED13E4" w:rsidP="000C4FD5">
            <w:pPr>
              <w:pStyle w:val="TableTextLeft"/>
            </w:pPr>
            <w:r w:rsidRPr="25207F9C">
              <w:t xml:space="preserve">ASIC will undertake </w:t>
            </w:r>
            <w:r w:rsidRPr="25207F9C">
              <w:rPr>
                <w:rFonts w:eastAsia="Calibri Light"/>
              </w:rPr>
              <w:t xml:space="preserve">reviews of </w:t>
            </w:r>
            <w:r w:rsidR="008317C6">
              <w:rPr>
                <w:rFonts w:eastAsia="Calibri Light"/>
              </w:rPr>
              <w:t>selected</w:t>
            </w:r>
            <w:r w:rsidR="001E0387" w:rsidRPr="00B955E8">
              <w:rPr>
                <w:rFonts w:eastAsia="Calibri Light"/>
              </w:rPr>
              <w:t xml:space="preserve"> </w:t>
            </w:r>
            <w:r w:rsidRPr="25207F9C">
              <w:rPr>
                <w:rFonts w:eastAsia="Calibri Light"/>
              </w:rPr>
              <w:t>insurers</w:t>
            </w:r>
            <w:r w:rsidR="0008745D">
              <w:rPr>
                <w:rFonts w:eastAsia="Calibri Light"/>
              </w:rPr>
              <w:t>’</w:t>
            </w:r>
            <w:r w:rsidRPr="25207F9C">
              <w:rPr>
                <w:rFonts w:eastAsia="Calibri Light"/>
              </w:rPr>
              <w:t xml:space="preserve"> compliance with their obligations in relation to claims handling (detailed in Information Sheet 253). Specifically, this will include</w:t>
            </w:r>
            <w:r w:rsidRPr="25207F9C">
              <w:t>:</w:t>
            </w:r>
          </w:p>
          <w:p w14:paraId="23F0A97A" w14:textId="507C1AA8" w:rsidR="001E0387" w:rsidRPr="00B955E8" w:rsidRDefault="001E0387" w:rsidP="00F8672B">
            <w:pPr>
              <w:pStyle w:val="TableTextBullet"/>
              <w:rPr>
                <w:szCs w:val="16"/>
              </w:rPr>
            </w:pPr>
            <w:r>
              <w:rPr>
                <w:rFonts w:cs="Calibri Light"/>
                <w:szCs w:val="16"/>
              </w:rPr>
              <w:t>a</w:t>
            </w:r>
            <w:r w:rsidRPr="00B955E8">
              <w:rPr>
                <w:rFonts w:cs="Calibri Light"/>
                <w:szCs w:val="16"/>
              </w:rPr>
              <w:t xml:space="preserve"> </w:t>
            </w:r>
            <w:r w:rsidRPr="00AA23F5">
              <w:t>review of general insurers</w:t>
            </w:r>
            <w:r w:rsidR="0008745D" w:rsidRPr="00AA23F5">
              <w:t>’</w:t>
            </w:r>
            <w:r w:rsidRPr="00AA23F5">
              <w:t xml:space="preserve"> implementation of recommendations in </w:t>
            </w:r>
            <w:hyperlink r:id="rId85">
              <w:r w:rsidR="00ED13E4" w:rsidRPr="00AA23F5">
                <w:t>Report 768 Navigating the storm: ASIC</w:t>
              </w:r>
              <w:r w:rsidR="0008745D" w:rsidRPr="00AA23F5">
                <w:t>’</w:t>
              </w:r>
              <w:r w:rsidR="00ED13E4" w:rsidRPr="00AA23F5">
                <w:t>s review of home insurance claims</w:t>
              </w:r>
            </w:hyperlink>
            <w:r w:rsidRPr="00AA23F5">
              <w:t xml:space="preserve"> (including communication, project management and</w:t>
            </w:r>
            <w:r w:rsidRPr="00B955E8">
              <w:rPr>
                <w:rFonts w:cs="Calibri Light"/>
                <w:szCs w:val="16"/>
              </w:rPr>
              <w:t xml:space="preserve"> the treatment of vulnerable customers)</w:t>
            </w:r>
          </w:p>
          <w:p w14:paraId="4E045B17" w14:textId="7E006D0D" w:rsidR="00ED13E4" w:rsidRPr="004E2A2C" w:rsidRDefault="00ED13E4" w:rsidP="00ED13E4">
            <w:pPr>
              <w:pStyle w:val="TableTextBullet"/>
              <w:rPr>
                <w:rFonts w:cs="Calibri Light"/>
                <w:szCs w:val="16"/>
              </w:rPr>
            </w:pPr>
            <w:r w:rsidRPr="5AF2DAA9">
              <w:rPr>
                <w:rFonts w:cs="Calibri Light"/>
                <w:szCs w:val="16"/>
              </w:rPr>
              <w:t>follow up work arising from the Parliamentary Floods Inquiry.</w:t>
            </w:r>
          </w:p>
        </w:tc>
        <w:tc>
          <w:tcPr>
            <w:tcW w:w="1270" w:type="dxa"/>
            <w:tcBorders>
              <w:top w:val="single" w:sz="4" w:space="0" w:color="5D779D" w:themeColor="accent3"/>
              <w:bottom w:val="single" w:sz="4" w:space="0" w:color="5D779D" w:themeColor="accent3"/>
            </w:tcBorders>
            <w:shd w:val="clear" w:color="auto" w:fill="DFE4EB"/>
          </w:tcPr>
          <w:p w14:paraId="18274D56" w14:textId="0CD9351C" w:rsidR="00ED13E4" w:rsidRPr="002E4362" w:rsidRDefault="00ED13E4" w:rsidP="00301F93">
            <w:pPr>
              <w:pStyle w:val="TableTextLeft"/>
              <w:rPr>
                <w:rFonts w:cs="Calibri Light"/>
                <w:sz w:val="14"/>
                <w:szCs w:val="14"/>
              </w:rPr>
            </w:pPr>
            <w:r>
              <w:t>Compliance monitoring</w:t>
            </w:r>
          </w:p>
        </w:tc>
        <w:tc>
          <w:tcPr>
            <w:tcW w:w="1270" w:type="dxa"/>
            <w:tcBorders>
              <w:top w:val="single" w:sz="4" w:space="0" w:color="5D779D" w:themeColor="accent3"/>
              <w:bottom w:val="single" w:sz="4" w:space="0" w:color="5D779D" w:themeColor="accent3"/>
            </w:tcBorders>
            <w:shd w:val="clear" w:color="auto" w:fill="DFE4EB"/>
          </w:tcPr>
          <w:p w14:paraId="36CE96C3" w14:textId="03D72155" w:rsidR="00ED13E4" w:rsidRPr="002E4362" w:rsidRDefault="00ED13E4" w:rsidP="00301F93">
            <w:pPr>
              <w:pStyle w:val="TableTextLeft"/>
              <w:rPr>
                <w:rFonts w:cs="Calibri Light"/>
                <w:sz w:val="14"/>
                <w:szCs w:val="14"/>
              </w:rPr>
            </w:pPr>
            <w:r>
              <w:t>Compliance monitoring</w:t>
            </w:r>
          </w:p>
        </w:tc>
        <w:tc>
          <w:tcPr>
            <w:tcW w:w="1270" w:type="dxa"/>
            <w:tcBorders>
              <w:top w:val="single" w:sz="4" w:space="0" w:color="5D779D" w:themeColor="accent3"/>
              <w:bottom w:val="single" w:sz="4" w:space="0" w:color="5D779D" w:themeColor="accent3"/>
            </w:tcBorders>
            <w:shd w:val="clear" w:color="auto" w:fill="DFE4EB"/>
          </w:tcPr>
          <w:p w14:paraId="2E7A8B5C" w14:textId="77777777" w:rsidR="00ED13E4" w:rsidRPr="002E4362" w:rsidRDefault="00ED13E4" w:rsidP="00301F93">
            <w:pPr>
              <w:pStyle w:val="TableTextLeft"/>
              <w:rPr>
                <w:rFonts w:cs="Calibri Light"/>
                <w:sz w:val="14"/>
                <w:szCs w:val="14"/>
              </w:rPr>
            </w:pPr>
          </w:p>
        </w:tc>
        <w:tc>
          <w:tcPr>
            <w:tcW w:w="1270" w:type="dxa"/>
            <w:tcBorders>
              <w:top w:val="single" w:sz="4" w:space="0" w:color="5D779D" w:themeColor="accent3"/>
              <w:bottom w:val="single" w:sz="4" w:space="0" w:color="5D779D" w:themeColor="accent3"/>
            </w:tcBorders>
            <w:shd w:val="clear" w:color="auto" w:fill="DFE4EB"/>
          </w:tcPr>
          <w:p w14:paraId="2E411E11" w14:textId="77777777" w:rsidR="00ED13E4" w:rsidRPr="002E4362" w:rsidRDefault="00ED13E4" w:rsidP="00301F93">
            <w:pPr>
              <w:pStyle w:val="TableTextLeft"/>
              <w:rPr>
                <w:rFonts w:cs="Calibri Light"/>
                <w:sz w:val="14"/>
                <w:szCs w:val="14"/>
              </w:rPr>
            </w:pPr>
          </w:p>
        </w:tc>
        <w:tc>
          <w:tcPr>
            <w:tcW w:w="1270" w:type="dxa"/>
            <w:tcBorders>
              <w:top w:val="single" w:sz="4" w:space="0" w:color="5D779D" w:themeColor="accent3"/>
              <w:bottom w:val="single" w:sz="4" w:space="0" w:color="5D779D" w:themeColor="accent3"/>
            </w:tcBorders>
            <w:shd w:val="clear" w:color="auto" w:fill="EFF1F5"/>
          </w:tcPr>
          <w:p w14:paraId="132B3D42" w14:textId="77777777" w:rsidR="00ED13E4" w:rsidRPr="002E4362" w:rsidRDefault="00ED13E4" w:rsidP="00301F93">
            <w:pPr>
              <w:pStyle w:val="TableTextLeft"/>
              <w:rPr>
                <w:rFonts w:cs="Calibri Light"/>
                <w:sz w:val="14"/>
                <w:szCs w:val="14"/>
              </w:rPr>
            </w:pPr>
          </w:p>
        </w:tc>
        <w:tc>
          <w:tcPr>
            <w:tcW w:w="1270" w:type="dxa"/>
            <w:tcBorders>
              <w:top w:val="single" w:sz="4" w:space="0" w:color="5D779D" w:themeColor="accent3"/>
              <w:bottom w:val="single" w:sz="4" w:space="0" w:color="5D779D" w:themeColor="accent3"/>
            </w:tcBorders>
            <w:shd w:val="clear" w:color="auto" w:fill="EFF1F5"/>
          </w:tcPr>
          <w:p w14:paraId="7CD9C099" w14:textId="77777777" w:rsidR="00ED13E4" w:rsidRPr="002E4362" w:rsidRDefault="00ED13E4" w:rsidP="00301F93">
            <w:pPr>
              <w:pStyle w:val="TableTextLeft"/>
              <w:rPr>
                <w:rFonts w:cs="Calibri Light"/>
                <w:sz w:val="14"/>
                <w:szCs w:val="14"/>
              </w:rPr>
            </w:pPr>
          </w:p>
        </w:tc>
      </w:tr>
      <w:tr w:rsidR="00442EED" w:rsidRPr="00AF43B7" w14:paraId="5C3F8228" w14:textId="77777777" w:rsidTr="410CE694">
        <w:trPr>
          <w:cantSplit/>
          <w:trHeight w:val="410"/>
        </w:trPr>
        <w:tc>
          <w:tcPr>
            <w:tcW w:w="849" w:type="dxa"/>
            <w:tcBorders>
              <w:top w:val="single" w:sz="4" w:space="0" w:color="5D779D" w:themeColor="accent3"/>
              <w:bottom w:val="single" w:sz="4" w:space="0" w:color="5D779D" w:themeColor="accent3"/>
            </w:tcBorders>
            <w:shd w:val="clear" w:color="auto" w:fill="auto"/>
          </w:tcPr>
          <w:p w14:paraId="5529B6C8" w14:textId="77777777" w:rsidR="001E0387" w:rsidRPr="00E7433A" w:rsidRDefault="001E0387" w:rsidP="00301F93">
            <w:pPr>
              <w:pStyle w:val="TableTextLeft"/>
              <w:rPr>
                <w:b/>
                <w:bCs/>
              </w:rPr>
            </w:pPr>
            <w:r w:rsidRPr="00E7433A">
              <w:rPr>
                <w:b/>
                <w:bCs/>
              </w:rPr>
              <w:lastRenderedPageBreak/>
              <w:t xml:space="preserve">RBA </w:t>
            </w:r>
          </w:p>
          <w:p w14:paraId="046ED8D5" w14:textId="3C55FE6F" w:rsidR="001E0387" w:rsidRPr="00E7433A" w:rsidRDefault="001E0387" w:rsidP="00097CAA">
            <w:pPr>
              <w:pStyle w:val="TableSecondaryAgency"/>
              <w:rPr>
                <w:b/>
              </w:rPr>
            </w:pPr>
            <w:r w:rsidRPr="00E7433A">
              <w:t>Other</w:t>
            </w:r>
          </w:p>
        </w:tc>
        <w:tc>
          <w:tcPr>
            <w:tcW w:w="1247" w:type="dxa"/>
            <w:tcBorders>
              <w:top w:val="single" w:sz="4" w:space="0" w:color="5D779D" w:themeColor="accent3"/>
              <w:bottom w:val="single" w:sz="4" w:space="0" w:color="5D779D" w:themeColor="accent3"/>
            </w:tcBorders>
          </w:tcPr>
          <w:p w14:paraId="2B8106D2" w14:textId="4A0EB1C1" w:rsidR="001E0387" w:rsidRPr="00A56D83" w:rsidDel="00AF3AA5" w:rsidRDefault="001E0387" w:rsidP="001E0387">
            <w:pPr>
              <w:pStyle w:val="TableTextLeft"/>
            </w:pPr>
            <w:r w:rsidRPr="00A56D83" w:rsidDel="00AF3AA5">
              <w:t>Payment services and digital assets</w:t>
            </w:r>
          </w:p>
        </w:tc>
        <w:tc>
          <w:tcPr>
            <w:tcW w:w="4286" w:type="dxa"/>
            <w:tcBorders>
              <w:top w:val="single" w:sz="4" w:space="0" w:color="5D779D" w:themeColor="accent3"/>
              <w:bottom w:val="single" w:sz="4" w:space="0" w:color="5D779D" w:themeColor="accent3"/>
            </w:tcBorders>
          </w:tcPr>
          <w:p w14:paraId="39DD6BCC" w14:textId="668A240A" w:rsidR="001E0387" w:rsidRPr="004E4C35" w:rsidRDefault="001E0387" w:rsidP="001E0387">
            <w:pPr>
              <w:pStyle w:val="TableTextLeft"/>
              <w:rPr>
                <w:b/>
                <w:bCs/>
              </w:rPr>
            </w:pPr>
            <w:r w:rsidRPr="00F534FF">
              <w:rPr>
                <w:b/>
              </w:rPr>
              <w:t xml:space="preserve">Receipt of </w:t>
            </w:r>
            <w:r w:rsidRPr="004E4C35">
              <w:rPr>
                <w:b/>
                <w:bCs/>
                <w:i/>
                <w:iCs/>
              </w:rPr>
              <w:t>Security of Critical Infrastructure (SOCI) Act</w:t>
            </w:r>
            <w:r w:rsidRPr="004E4C35">
              <w:rPr>
                <w:b/>
                <w:bCs/>
              </w:rPr>
              <w:t xml:space="preserve"> </w:t>
            </w:r>
            <w:r w:rsidRPr="004E4C35">
              <w:rPr>
                <w:b/>
                <w:bCs/>
                <w:i/>
                <w:iCs/>
              </w:rPr>
              <w:t xml:space="preserve">2018 </w:t>
            </w:r>
            <w:r w:rsidRPr="00F534FF">
              <w:rPr>
                <w:b/>
              </w:rPr>
              <w:t>annual attestations</w:t>
            </w:r>
          </w:p>
          <w:p w14:paraId="0FEF7CE9" w14:textId="03A672A2" w:rsidR="001E0387" w:rsidRPr="000E5A64" w:rsidRDefault="001E0387" w:rsidP="009142DE">
            <w:pPr>
              <w:pStyle w:val="TableTextLeft"/>
              <w:rPr>
                <w:b/>
                <w:bCs/>
                <w:u w:val="single"/>
              </w:rPr>
            </w:pPr>
            <w:r w:rsidRPr="000C4FD5">
              <w:t>Under</w:t>
            </w:r>
            <w:r w:rsidRPr="00493923">
              <w:t xml:space="preserve"> the SOCI Act, </w:t>
            </w:r>
            <w:r>
              <w:t xml:space="preserve">the </w:t>
            </w:r>
            <w:r w:rsidRPr="00493923">
              <w:t xml:space="preserve">RBA will receive annual attestations of compliance with the SOCI Act Risk Management Program rules. </w:t>
            </w:r>
            <w:r>
              <w:t xml:space="preserve">The </w:t>
            </w:r>
            <w:r w:rsidRPr="00493923">
              <w:t xml:space="preserve">RBA is establishing a portal on the RBA website to streamline </w:t>
            </w:r>
            <w:r>
              <w:t xml:space="preserve">the </w:t>
            </w:r>
            <w:r w:rsidRPr="00493923">
              <w:t xml:space="preserve">submission process. This item is limited to a focus on critical </w:t>
            </w:r>
            <w:r>
              <w:t xml:space="preserve">infrastructure </w:t>
            </w:r>
            <w:r w:rsidRPr="00493923">
              <w:t xml:space="preserve">payment systems only. </w:t>
            </w:r>
            <w:r>
              <w:t>This c</w:t>
            </w:r>
            <w:r w:rsidRPr="0086284E">
              <w:rPr>
                <w:rFonts w:cs="Calibri Light"/>
                <w:szCs w:val="16"/>
              </w:rPr>
              <w:t xml:space="preserve">ommenced </w:t>
            </w:r>
            <w:r>
              <w:rPr>
                <w:rFonts w:cs="Calibri Light"/>
                <w:szCs w:val="16"/>
              </w:rPr>
              <w:t xml:space="preserve">in </w:t>
            </w:r>
            <w:r w:rsidRPr="0086284E">
              <w:rPr>
                <w:rFonts w:cs="Calibri Light"/>
                <w:szCs w:val="16"/>
              </w:rPr>
              <w:t>September 2024</w:t>
            </w:r>
            <w:r>
              <w:rPr>
                <w:rFonts w:cs="Calibri Light"/>
                <w:szCs w:val="16"/>
              </w:rPr>
              <w:t>.</w:t>
            </w:r>
          </w:p>
        </w:tc>
        <w:tc>
          <w:tcPr>
            <w:tcW w:w="1270" w:type="dxa"/>
            <w:tcBorders>
              <w:top w:val="single" w:sz="4" w:space="0" w:color="5D779D" w:themeColor="accent3"/>
              <w:bottom w:val="single" w:sz="4" w:space="0" w:color="5D779D" w:themeColor="accent3"/>
            </w:tcBorders>
            <w:shd w:val="clear" w:color="auto" w:fill="DFE4EB"/>
          </w:tcPr>
          <w:p w14:paraId="7197A938" w14:textId="77777777" w:rsidR="001E0387" w:rsidRPr="002E4362" w:rsidRDefault="001E0387" w:rsidP="00301F93">
            <w:pPr>
              <w:pStyle w:val="TableTextLeft"/>
              <w:rPr>
                <w:rFonts w:cs="Calibri Light"/>
                <w:sz w:val="14"/>
                <w:szCs w:val="14"/>
              </w:rPr>
            </w:pPr>
          </w:p>
        </w:tc>
        <w:tc>
          <w:tcPr>
            <w:tcW w:w="1270" w:type="dxa"/>
            <w:tcBorders>
              <w:top w:val="single" w:sz="4" w:space="0" w:color="5D779D" w:themeColor="accent3"/>
              <w:bottom w:val="single" w:sz="4" w:space="0" w:color="5D779D" w:themeColor="accent3"/>
            </w:tcBorders>
            <w:shd w:val="clear" w:color="auto" w:fill="DFE4EB"/>
          </w:tcPr>
          <w:p w14:paraId="6243BA7C" w14:textId="77777777" w:rsidR="001E0387" w:rsidRPr="002E4362" w:rsidRDefault="001E0387" w:rsidP="00301F93">
            <w:pPr>
              <w:pStyle w:val="TableTextLeft"/>
              <w:rPr>
                <w:rFonts w:cs="Calibri Light"/>
                <w:sz w:val="14"/>
                <w:szCs w:val="14"/>
              </w:rPr>
            </w:pPr>
          </w:p>
        </w:tc>
        <w:tc>
          <w:tcPr>
            <w:tcW w:w="1270" w:type="dxa"/>
            <w:tcBorders>
              <w:top w:val="single" w:sz="4" w:space="0" w:color="5D779D" w:themeColor="accent3"/>
              <w:bottom w:val="single" w:sz="4" w:space="0" w:color="5D779D" w:themeColor="accent3"/>
            </w:tcBorders>
            <w:shd w:val="clear" w:color="auto" w:fill="DFE4EB"/>
          </w:tcPr>
          <w:p w14:paraId="5B560BAD" w14:textId="51E49DD0" w:rsidR="001E0387" w:rsidRPr="009A3724" w:rsidDel="00612932" w:rsidRDefault="001E0387" w:rsidP="00301F93">
            <w:pPr>
              <w:pStyle w:val="TableTextLeft"/>
              <w:rPr>
                <w:rFonts w:cs="Calibri Light"/>
                <w:szCs w:val="16"/>
              </w:rPr>
            </w:pPr>
            <w:r>
              <w:rPr>
                <w:rFonts w:cs="Calibri Light"/>
                <w:szCs w:val="16"/>
              </w:rPr>
              <w:t>Annual attestations due</w:t>
            </w:r>
          </w:p>
        </w:tc>
        <w:tc>
          <w:tcPr>
            <w:tcW w:w="1270" w:type="dxa"/>
            <w:tcBorders>
              <w:top w:val="single" w:sz="4" w:space="0" w:color="5D779D" w:themeColor="accent3"/>
              <w:bottom w:val="single" w:sz="4" w:space="0" w:color="5D779D" w:themeColor="accent3"/>
            </w:tcBorders>
            <w:shd w:val="clear" w:color="auto" w:fill="DFE4EB"/>
          </w:tcPr>
          <w:p w14:paraId="0F0AC384" w14:textId="77777777" w:rsidR="001E0387" w:rsidRDefault="001E0387" w:rsidP="00301F93">
            <w:pPr>
              <w:pStyle w:val="TableTextLeft"/>
              <w:rPr>
                <w:rStyle w:val="CommentReference"/>
                <w:rFonts w:ascii="Calibri" w:hAnsi="Calibri"/>
                <w:color w:val="auto"/>
              </w:rPr>
            </w:pPr>
          </w:p>
        </w:tc>
        <w:tc>
          <w:tcPr>
            <w:tcW w:w="1270" w:type="dxa"/>
            <w:tcBorders>
              <w:top w:val="single" w:sz="4" w:space="0" w:color="5D779D" w:themeColor="accent3"/>
              <w:bottom w:val="single" w:sz="4" w:space="0" w:color="5D779D" w:themeColor="accent3"/>
            </w:tcBorders>
            <w:shd w:val="clear" w:color="auto" w:fill="EFF1F5"/>
          </w:tcPr>
          <w:p w14:paraId="2AFB665D" w14:textId="77777777" w:rsidR="001E0387" w:rsidRPr="002E4362" w:rsidRDefault="001E0387" w:rsidP="00301F93">
            <w:pPr>
              <w:pStyle w:val="TableTextLeft"/>
              <w:rPr>
                <w:rFonts w:cs="Calibri Light"/>
                <w:sz w:val="14"/>
                <w:szCs w:val="14"/>
              </w:rPr>
            </w:pPr>
          </w:p>
        </w:tc>
        <w:tc>
          <w:tcPr>
            <w:tcW w:w="1270" w:type="dxa"/>
            <w:tcBorders>
              <w:top w:val="single" w:sz="4" w:space="0" w:color="5D779D" w:themeColor="accent3"/>
              <w:bottom w:val="single" w:sz="4" w:space="0" w:color="5D779D" w:themeColor="accent3"/>
            </w:tcBorders>
            <w:shd w:val="clear" w:color="auto" w:fill="EFF1F5"/>
          </w:tcPr>
          <w:p w14:paraId="0992B53C" w14:textId="344D7AEE" w:rsidR="001E0387" w:rsidRPr="002E4362" w:rsidRDefault="001E0387" w:rsidP="00301F93">
            <w:pPr>
              <w:pStyle w:val="TableTextLeft"/>
              <w:rPr>
                <w:rFonts w:cs="Calibri Light"/>
                <w:sz w:val="14"/>
                <w:szCs w:val="14"/>
              </w:rPr>
            </w:pPr>
            <w:r w:rsidRPr="007260DC">
              <w:rPr>
                <w:rFonts w:cs="Calibri Light"/>
                <w:szCs w:val="16"/>
              </w:rPr>
              <w:t>Annual attestations due</w:t>
            </w:r>
          </w:p>
        </w:tc>
      </w:tr>
      <w:tr w:rsidR="00442EED" w:rsidRPr="00AF43B7" w14:paraId="7D9F0888" w14:textId="77777777" w:rsidTr="410CE694">
        <w:trPr>
          <w:cantSplit/>
          <w:trHeight w:val="410"/>
        </w:trPr>
        <w:tc>
          <w:tcPr>
            <w:tcW w:w="849" w:type="dxa"/>
            <w:tcBorders>
              <w:top w:val="single" w:sz="4" w:space="0" w:color="5D779D" w:themeColor="accent3"/>
            </w:tcBorders>
            <w:shd w:val="clear" w:color="auto" w:fill="auto"/>
          </w:tcPr>
          <w:p w14:paraId="138492C7" w14:textId="57465152" w:rsidR="00E6566F" w:rsidRPr="00E7433A" w:rsidRDefault="00E6566F" w:rsidP="00097CAA">
            <w:pPr>
              <w:pStyle w:val="TableLeadAgency"/>
            </w:pPr>
            <w:r w:rsidRPr="00E7433A">
              <w:t>A</w:t>
            </w:r>
            <w:r>
              <w:t>SIC</w:t>
            </w:r>
          </w:p>
        </w:tc>
        <w:tc>
          <w:tcPr>
            <w:tcW w:w="1247" w:type="dxa"/>
            <w:tcBorders>
              <w:top w:val="single" w:sz="4" w:space="0" w:color="5D779D" w:themeColor="accent3"/>
            </w:tcBorders>
          </w:tcPr>
          <w:p w14:paraId="5FFF8AD2" w14:textId="2389A97F" w:rsidR="00E6566F" w:rsidRPr="00A56D83" w:rsidDel="00AF3AA5" w:rsidRDefault="00C806C5" w:rsidP="00E6566F">
            <w:pPr>
              <w:pStyle w:val="TableTextLeft"/>
            </w:pPr>
            <w:r>
              <w:t>Payment services and digital assets</w:t>
            </w:r>
            <w:r w:rsidR="00E6566F">
              <w:t xml:space="preserve"> </w:t>
            </w:r>
          </w:p>
        </w:tc>
        <w:tc>
          <w:tcPr>
            <w:tcW w:w="4286" w:type="dxa"/>
            <w:tcBorders>
              <w:top w:val="single" w:sz="4" w:space="0" w:color="5D779D" w:themeColor="accent3"/>
            </w:tcBorders>
          </w:tcPr>
          <w:p w14:paraId="1171F483" w14:textId="77777777" w:rsidR="00E6566F" w:rsidRPr="00C806C5" w:rsidRDefault="00E6566F" w:rsidP="00E6566F">
            <w:pPr>
              <w:pStyle w:val="TableLink"/>
              <w:rPr>
                <w:color w:val="auto"/>
              </w:rPr>
            </w:pPr>
            <w:r w:rsidRPr="00C806C5">
              <w:rPr>
                <w:color w:val="auto"/>
              </w:rPr>
              <w:t xml:space="preserve">Update crypto assets </w:t>
            </w:r>
            <w:proofErr w:type="gramStart"/>
            <w:r w:rsidRPr="00C806C5">
              <w:rPr>
                <w:color w:val="auto"/>
              </w:rPr>
              <w:t>guidance</w:t>
            </w:r>
            <w:proofErr w:type="gramEnd"/>
            <w:r w:rsidRPr="00C806C5">
              <w:rPr>
                <w:color w:val="auto"/>
              </w:rPr>
              <w:t xml:space="preserve"> </w:t>
            </w:r>
          </w:p>
          <w:p w14:paraId="697D92C6" w14:textId="44DFCAF0" w:rsidR="00E6566F" w:rsidRPr="00EE2B00" w:rsidRDefault="001E0387" w:rsidP="00E6566F">
            <w:pPr>
              <w:pStyle w:val="TableTextLeft"/>
            </w:pPr>
            <w:r>
              <w:t xml:space="preserve">ASIC will </w:t>
            </w:r>
            <w:r w:rsidR="00997A04">
              <w:t>finalise a consultation on possible updates to</w:t>
            </w:r>
            <w:r w:rsidR="00E6566F" w:rsidRPr="0C886121">
              <w:t xml:space="preserve"> </w:t>
            </w:r>
            <w:r w:rsidR="00E6566F" w:rsidRPr="310899F7">
              <w:t>Information Sheet</w:t>
            </w:r>
            <w:r w:rsidR="00E6566F" w:rsidRPr="0C886121">
              <w:t xml:space="preserve"> 225 to clarify ASIC</w:t>
            </w:r>
            <w:r w:rsidR="0008745D">
              <w:t>’</w:t>
            </w:r>
            <w:r w:rsidR="00E6566F" w:rsidRPr="0C886121">
              <w:t>s views about the regulatory perimeter as it applies to crypto assets.</w:t>
            </w:r>
          </w:p>
        </w:tc>
        <w:tc>
          <w:tcPr>
            <w:tcW w:w="1270" w:type="dxa"/>
            <w:tcBorders>
              <w:top w:val="single" w:sz="4" w:space="0" w:color="5D779D" w:themeColor="accent3"/>
            </w:tcBorders>
            <w:shd w:val="clear" w:color="auto" w:fill="DFE4EB"/>
          </w:tcPr>
          <w:p w14:paraId="117492C5" w14:textId="77777777" w:rsidR="00E6566F" w:rsidRPr="00301F93" w:rsidRDefault="00E6566F" w:rsidP="00301F93">
            <w:pPr>
              <w:pStyle w:val="TableTextLeft"/>
            </w:pPr>
          </w:p>
        </w:tc>
        <w:tc>
          <w:tcPr>
            <w:tcW w:w="1270" w:type="dxa"/>
            <w:tcBorders>
              <w:top w:val="single" w:sz="4" w:space="0" w:color="5D779D" w:themeColor="accent3"/>
            </w:tcBorders>
            <w:shd w:val="clear" w:color="auto" w:fill="DFE4EB"/>
          </w:tcPr>
          <w:p w14:paraId="402F4511" w14:textId="17F71C63" w:rsidR="00E6566F" w:rsidRPr="00301F93" w:rsidRDefault="000052DB" w:rsidP="00301F93">
            <w:pPr>
              <w:pStyle w:val="TableTextLeft"/>
            </w:pPr>
            <w:r w:rsidRPr="00301F93">
              <w:t>Publication of any changes to the Information Sheet</w:t>
            </w:r>
          </w:p>
        </w:tc>
        <w:tc>
          <w:tcPr>
            <w:tcW w:w="1270" w:type="dxa"/>
            <w:tcBorders>
              <w:top w:val="single" w:sz="4" w:space="0" w:color="5D779D" w:themeColor="accent3"/>
            </w:tcBorders>
            <w:shd w:val="clear" w:color="auto" w:fill="DFE4EB"/>
          </w:tcPr>
          <w:p w14:paraId="70796B2C" w14:textId="77777777" w:rsidR="00E6566F" w:rsidRPr="00301F93" w:rsidRDefault="00E6566F" w:rsidP="00301F93">
            <w:pPr>
              <w:pStyle w:val="TableTextLeft"/>
            </w:pPr>
          </w:p>
        </w:tc>
        <w:tc>
          <w:tcPr>
            <w:tcW w:w="1270" w:type="dxa"/>
            <w:tcBorders>
              <w:top w:val="single" w:sz="4" w:space="0" w:color="5D779D" w:themeColor="accent3"/>
            </w:tcBorders>
            <w:shd w:val="clear" w:color="auto" w:fill="DFE4EB"/>
          </w:tcPr>
          <w:p w14:paraId="7D117A8E" w14:textId="77777777" w:rsidR="00E6566F" w:rsidRPr="002E4362" w:rsidRDefault="00E6566F" w:rsidP="00E6566F">
            <w:pPr>
              <w:pStyle w:val="TableTextLeft"/>
              <w:rPr>
                <w:rFonts w:cs="Calibri Light"/>
                <w:sz w:val="14"/>
                <w:szCs w:val="14"/>
              </w:rPr>
            </w:pPr>
          </w:p>
        </w:tc>
        <w:tc>
          <w:tcPr>
            <w:tcW w:w="1270" w:type="dxa"/>
            <w:tcBorders>
              <w:top w:val="single" w:sz="4" w:space="0" w:color="5D779D" w:themeColor="accent3"/>
            </w:tcBorders>
            <w:shd w:val="clear" w:color="auto" w:fill="EFF1F5"/>
          </w:tcPr>
          <w:p w14:paraId="2297984B" w14:textId="77777777" w:rsidR="00E6566F" w:rsidRPr="002E4362" w:rsidRDefault="00E6566F" w:rsidP="00E6566F">
            <w:pPr>
              <w:pStyle w:val="TableTextLeft"/>
              <w:rPr>
                <w:rFonts w:cs="Calibri Light"/>
                <w:sz w:val="14"/>
                <w:szCs w:val="14"/>
              </w:rPr>
            </w:pPr>
          </w:p>
        </w:tc>
        <w:tc>
          <w:tcPr>
            <w:tcW w:w="1270" w:type="dxa"/>
            <w:tcBorders>
              <w:top w:val="single" w:sz="4" w:space="0" w:color="5D779D" w:themeColor="accent3"/>
            </w:tcBorders>
            <w:shd w:val="clear" w:color="auto" w:fill="EFF1F5"/>
          </w:tcPr>
          <w:p w14:paraId="2CBA2EB8" w14:textId="77777777" w:rsidR="00E6566F" w:rsidRPr="002E4362" w:rsidRDefault="00E6566F" w:rsidP="00E6566F">
            <w:pPr>
              <w:pStyle w:val="TableTextLeft"/>
              <w:rPr>
                <w:rFonts w:cs="Calibri Light"/>
                <w:sz w:val="14"/>
                <w:szCs w:val="14"/>
              </w:rPr>
            </w:pPr>
          </w:p>
        </w:tc>
      </w:tr>
      <w:tr w:rsidR="00442EED" w:rsidRPr="00AF43B7" w14:paraId="20268EA1" w14:textId="77777777" w:rsidTr="410CE694">
        <w:trPr>
          <w:cantSplit/>
          <w:trHeight w:val="410"/>
        </w:trPr>
        <w:tc>
          <w:tcPr>
            <w:tcW w:w="849" w:type="dxa"/>
            <w:tcBorders>
              <w:bottom w:val="single" w:sz="4" w:space="0" w:color="5D779D" w:themeColor="accent3"/>
            </w:tcBorders>
            <w:shd w:val="clear" w:color="auto" w:fill="auto"/>
          </w:tcPr>
          <w:p w14:paraId="2998F17F" w14:textId="252736F5" w:rsidR="001E0387" w:rsidRPr="009C4097" w:rsidRDefault="001E0387" w:rsidP="00097CAA">
            <w:pPr>
              <w:pStyle w:val="TableLeadAgency"/>
            </w:pPr>
            <w:r w:rsidRPr="00120344">
              <w:t>ASIC</w:t>
            </w:r>
          </w:p>
        </w:tc>
        <w:tc>
          <w:tcPr>
            <w:tcW w:w="1247" w:type="dxa"/>
            <w:tcBorders>
              <w:bottom w:val="single" w:sz="4" w:space="0" w:color="5D779D" w:themeColor="accent3"/>
            </w:tcBorders>
          </w:tcPr>
          <w:p w14:paraId="6B754D41" w14:textId="633035BD" w:rsidR="001E0387" w:rsidRPr="009A5125" w:rsidRDefault="001E0387" w:rsidP="001E0387">
            <w:pPr>
              <w:pStyle w:val="TableTextLeft"/>
            </w:pPr>
            <w:r w:rsidRPr="00120344">
              <w:t>Superannuation and retirement income</w:t>
            </w:r>
          </w:p>
        </w:tc>
        <w:tc>
          <w:tcPr>
            <w:tcW w:w="4286" w:type="dxa"/>
            <w:tcBorders>
              <w:bottom w:val="single" w:sz="4" w:space="0" w:color="5D779D" w:themeColor="accent3"/>
            </w:tcBorders>
          </w:tcPr>
          <w:p w14:paraId="3BEEB76A" w14:textId="77777777" w:rsidR="001E0387" w:rsidRPr="00120344" w:rsidRDefault="001E0387" w:rsidP="001E0387">
            <w:pPr>
              <w:pStyle w:val="TableTextLeft"/>
              <w:rPr>
                <w:b/>
                <w:bCs/>
              </w:rPr>
            </w:pPr>
            <w:r w:rsidRPr="00120344">
              <w:rPr>
                <w:b/>
                <w:bCs/>
              </w:rPr>
              <w:t xml:space="preserve">Member services review </w:t>
            </w:r>
          </w:p>
          <w:p w14:paraId="0E21B8B1" w14:textId="4F961DA3" w:rsidR="001E0387" w:rsidRPr="00EE2B00" w:rsidRDefault="001E0387" w:rsidP="00EE2B00">
            <w:pPr>
              <w:pStyle w:val="TableTextLeft"/>
            </w:pPr>
            <w:r w:rsidRPr="00120344">
              <w:t>This is a multi</w:t>
            </w:r>
            <w:r w:rsidR="0008745D">
              <w:noBreakHyphen/>
            </w:r>
            <w:r w:rsidRPr="00120344">
              <w:t>year project reviewing industry compliance with laws relevant to the delivery of member services</w:t>
            </w:r>
            <w:r w:rsidR="0008745D">
              <w:t xml:space="preserve">. </w:t>
            </w:r>
            <w:r w:rsidRPr="00120344">
              <w:t>The first phase of the review examines</w:t>
            </w:r>
            <w:r w:rsidR="00147299">
              <w:t xml:space="preserve"> selected</w:t>
            </w:r>
            <w:r w:rsidRPr="00120344">
              <w:t xml:space="preserve"> superannuation trustees</w:t>
            </w:r>
            <w:r w:rsidR="0008745D">
              <w:t>’</w:t>
            </w:r>
            <w:r w:rsidRPr="00120344">
              <w:t xml:space="preserve"> death benefit claims handling practices. ASIC will be publishing a report on claims handling practices and then assessing industry progress in implementing improvements identified in the report.</w:t>
            </w:r>
          </w:p>
        </w:tc>
        <w:tc>
          <w:tcPr>
            <w:tcW w:w="1270" w:type="dxa"/>
            <w:tcBorders>
              <w:bottom w:val="single" w:sz="4" w:space="0" w:color="5D779D" w:themeColor="accent3"/>
            </w:tcBorders>
            <w:shd w:val="clear" w:color="auto" w:fill="DFE4EB"/>
          </w:tcPr>
          <w:p w14:paraId="3EB71E5D" w14:textId="093CAFD3" w:rsidR="001E0387" w:rsidRPr="00301F93" w:rsidRDefault="001E0387" w:rsidP="00301F93">
            <w:pPr>
              <w:pStyle w:val="TableTextLeft"/>
            </w:pPr>
            <w:r w:rsidRPr="00301F93">
              <w:t xml:space="preserve">Report published </w:t>
            </w:r>
          </w:p>
        </w:tc>
        <w:tc>
          <w:tcPr>
            <w:tcW w:w="1270" w:type="dxa"/>
            <w:tcBorders>
              <w:bottom w:val="single" w:sz="4" w:space="0" w:color="5D779D" w:themeColor="accent3"/>
            </w:tcBorders>
            <w:shd w:val="clear" w:color="auto" w:fill="DFE4EB"/>
          </w:tcPr>
          <w:p w14:paraId="1214BB3E" w14:textId="77777777" w:rsidR="001E0387" w:rsidRPr="00301F93" w:rsidRDefault="001E0387" w:rsidP="00301F93">
            <w:pPr>
              <w:pStyle w:val="TableTextLeft"/>
            </w:pPr>
          </w:p>
        </w:tc>
        <w:tc>
          <w:tcPr>
            <w:tcW w:w="1270" w:type="dxa"/>
            <w:tcBorders>
              <w:bottom w:val="single" w:sz="4" w:space="0" w:color="5D779D" w:themeColor="accent3"/>
            </w:tcBorders>
            <w:shd w:val="clear" w:color="auto" w:fill="DFE4EB"/>
          </w:tcPr>
          <w:p w14:paraId="405FEAC0" w14:textId="7831F7DC" w:rsidR="001E0387" w:rsidRPr="00301F93" w:rsidRDefault="001E0387" w:rsidP="00301F93">
            <w:pPr>
              <w:pStyle w:val="TableTextLeft"/>
            </w:pPr>
            <w:r w:rsidRPr="00301F93">
              <w:t>Data collection</w:t>
            </w:r>
          </w:p>
        </w:tc>
        <w:tc>
          <w:tcPr>
            <w:tcW w:w="1270" w:type="dxa"/>
            <w:tcBorders>
              <w:bottom w:val="single" w:sz="4" w:space="0" w:color="5D779D" w:themeColor="accent3"/>
            </w:tcBorders>
            <w:shd w:val="clear" w:color="auto" w:fill="DFE4EB"/>
          </w:tcPr>
          <w:p w14:paraId="3ABDAE8D" w14:textId="77777777" w:rsidR="001E0387" w:rsidRPr="002E4362" w:rsidRDefault="001E0387" w:rsidP="001E0387">
            <w:pPr>
              <w:pStyle w:val="TableTextLeft"/>
              <w:rPr>
                <w:rFonts w:cs="Calibri Light"/>
                <w:sz w:val="14"/>
                <w:szCs w:val="14"/>
              </w:rPr>
            </w:pPr>
          </w:p>
        </w:tc>
        <w:tc>
          <w:tcPr>
            <w:tcW w:w="1270" w:type="dxa"/>
            <w:tcBorders>
              <w:bottom w:val="single" w:sz="4" w:space="0" w:color="5D779D" w:themeColor="accent3"/>
            </w:tcBorders>
            <w:shd w:val="clear" w:color="auto" w:fill="EFF1F5"/>
          </w:tcPr>
          <w:p w14:paraId="19DE3928" w14:textId="77777777" w:rsidR="001E0387" w:rsidRPr="002E4362" w:rsidRDefault="001E0387" w:rsidP="001E0387">
            <w:pPr>
              <w:pStyle w:val="TableTextLeft"/>
              <w:rPr>
                <w:rFonts w:cs="Calibri Light"/>
                <w:sz w:val="14"/>
                <w:szCs w:val="14"/>
              </w:rPr>
            </w:pPr>
          </w:p>
        </w:tc>
        <w:tc>
          <w:tcPr>
            <w:tcW w:w="1270" w:type="dxa"/>
            <w:tcBorders>
              <w:bottom w:val="single" w:sz="4" w:space="0" w:color="5D779D" w:themeColor="accent3"/>
            </w:tcBorders>
            <w:shd w:val="clear" w:color="auto" w:fill="EFF1F5"/>
          </w:tcPr>
          <w:p w14:paraId="7D437684" w14:textId="77777777" w:rsidR="001E0387" w:rsidRPr="002E4362" w:rsidRDefault="001E0387" w:rsidP="001E0387">
            <w:pPr>
              <w:pStyle w:val="TableTextLeft"/>
              <w:rPr>
                <w:rFonts w:cs="Calibri Light"/>
                <w:sz w:val="14"/>
                <w:szCs w:val="14"/>
              </w:rPr>
            </w:pPr>
          </w:p>
        </w:tc>
      </w:tr>
      <w:tr w:rsidR="00442EED" w:rsidRPr="00AF43B7" w14:paraId="3A316AED" w14:textId="77777777" w:rsidTr="410CE694">
        <w:trPr>
          <w:cantSplit/>
          <w:trHeight w:val="410"/>
        </w:trPr>
        <w:tc>
          <w:tcPr>
            <w:tcW w:w="849" w:type="dxa"/>
            <w:tcBorders>
              <w:bottom w:val="single" w:sz="4" w:space="0" w:color="5D779D" w:themeColor="accent3"/>
            </w:tcBorders>
            <w:shd w:val="clear" w:color="auto" w:fill="auto"/>
          </w:tcPr>
          <w:p w14:paraId="6C8E89ED" w14:textId="2A87B542" w:rsidR="009534B7" w:rsidRPr="00E7433A" w:rsidRDefault="009534B7" w:rsidP="00097CAA">
            <w:pPr>
              <w:pStyle w:val="TableLeadAgency"/>
            </w:pPr>
            <w:r w:rsidRPr="009C4097">
              <w:t>ASIC</w:t>
            </w:r>
          </w:p>
        </w:tc>
        <w:tc>
          <w:tcPr>
            <w:tcW w:w="1247" w:type="dxa"/>
            <w:tcBorders>
              <w:bottom w:val="single" w:sz="4" w:space="0" w:color="5D779D" w:themeColor="accent3"/>
            </w:tcBorders>
          </w:tcPr>
          <w:p w14:paraId="334E46AE" w14:textId="33416F15" w:rsidR="009534B7" w:rsidRDefault="009534B7" w:rsidP="009534B7">
            <w:pPr>
              <w:pStyle w:val="TableTextLeft"/>
            </w:pPr>
            <w:r w:rsidRPr="009A5125">
              <w:t>Superannuation and retirement income</w:t>
            </w:r>
          </w:p>
        </w:tc>
        <w:tc>
          <w:tcPr>
            <w:tcW w:w="4286" w:type="dxa"/>
            <w:tcBorders>
              <w:bottom w:val="single" w:sz="4" w:space="0" w:color="5D779D" w:themeColor="accent3"/>
            </w:tcBorders>
          </w:tcPr>
          <w:p w14:paraId="704F44C1" w14:textId="41F46030" w:rsidR="009534B7" w:rsidRPr="000A4B96" w:rsidRDefault="001D4D7F" w:rsidP="009534B7">
            <w:pPr>
              <w:pStyle w:val="TableLink"/>
              <w:rPr>
                <w:b w:val="0"/>
                <w:bCs/>
                <w:u w:val="single"/>
              </w:rPr>
            </w:pPr>
            <w:hyperlink r:id="rId86" w:history="1">
              <w:r w:rsidR="00C937E8">
                <w:rPr>
                  <w:rStyle w:val="Hyperlink"/>
                  <w:b/>
                  <w:u w:val="single"/>
                </w:rPr>
                <w:t>Update of</w:t>
              </w:r>
              <w:r w:rsidR="0089536A">
                <w:rPr>
                  <w:rStyle w:val="Hyperlink"/>
                  <w:b/>
                  <w:bCs/>
                  <w:u w:val="single"/>
                </w:rPr>
                <w:t xml:space="preserve"> A</w:t>
              </w:r>
              <w:r w:rsidR="009534B7" w:rsidRPr="000A4B96">
                <w:rPr>
                  <w:rStyle w:val="Hyperlink"/>
                  <w:b/>
                  <w:bCs/>
                  <w:u w:val="single"/>
                </w:rPr>
                <w:t>SIC Regulatory Guidance</w:t>
              </w:r>
              <w:r w:rsidR="0008745D">
                <w:rPr>
                  <w:rStyle w:val="Hyperlink"/>
                  <w:b/>
                  <w:bCs/>
                  <w:u w:val="single"/>
                </w:rPr>
                <w:t xml:space="preserve"> – </w:t>
              </w:r>
              <w:r w:rsidR="009534B7" w:rsidRPr="000A4B96">
                <w:rPr>
                  <w:rStyle w:val="Hyperlink"/>
                  <w:b/>
                  <w:bCs/>
                  <w:u w:val="single"/>
                </w:rPr>
                <w:t>Financial reporting obligations</w:t>
              </w:r>
            </w:hyperlink>
          </w:p>
          <w:p w14:paraId="5CFA452B" w14:textId="6C3B11FF" w:rsidR="009534B7" w:rsidRPr="00633054" w:rsidRDefault="00D225DD" w:rsidP="00633054">
            <w:pPr>
              <w:pStyle w:val="TableTextLeft"/>
            </w:pPr>
            <w:r w:rsidRPr="00914F1E">
              <w:t xml:space="preserve">ASIC will update its Regulatory Guides on financial reporting obligations to include registrable superannuation entities, including Regulatory Guide 34 </w:t>
            </w:r>
            <w:r w:rsidRPr="00914F1E">
              <w:rPr>
                <w:i/>
                <w:iCs/>
              </w:rPr>
              <w:t>Auditor</w:t>
            </w:r>
            <w:r w:rsidR="0008745D">
              <w:rPr>
                <w:i/>
                <w:iCs/>
              </w:rPr>
              <w:t>’</w:t>
            </w:r>
            <w:r w:rsidRPr="00914F1E">
              <w:rPr>
                <w:i/>
                <w:iCs/>
              </w:rPr>
              <w:t>s obligations: Reporting to ASIC</w:t>
            </w:r>
            <w:r w:rsidRPr="00914F1E">
              <w:t xml:space="preserve"> and Regulatory Guide 43 </w:t>
            </w:r>
            <w:r w:rsidRPr="00914F1E">
              <w:rPr>
                <w:i/>
                <w:iCs/>
              </w:rPr>
              <w:t>Financial reports and audit relief</w:t>
            </w:r>
            <w:r w:rsidRPr="00914F1E">
              <w:t>.</w:t>
            </w:r>
          </w:p>
        </w:tc>
        <w:tc>
          <w:tcPr>
            <w:tcW w:w="1270" w:type="dxa"/>
            <w:tcBorders>
              <w:bottom w:val="single" w:sz="4" w:space="0" w:color="5D779D" w:themeColor="accent3"/>
            </w:tcBorders>
            <w:shd w:val="clear" w:color="auto" w:fill="DFE4EB"/>
          </w:tcPr>
          <w:p w14:paraId="083C7929" w14:textId="37916008" w:rsidR="009534B7" w:rsidRPr="002E4362" w:rsidRDefault="009534B7" w:rsidP="009534B7">
            <w:pPr>
              <w:pStyle w:val="TableTextLeft"/>
              <w:rPr>
                <w:rFonts w:cs="Calibri Light"/>
                <w:sz w:val="14"/>
                <w:szCs w:val="14"/>
              </w:rPr>
            </w:pPr>
            <w:r w:rsidRPr="009A5125">
              <w:t>Finalisation of guidance material</w:t>
            </w:r>
          </w:p>
        </w:tc>
        <w:tc>
          <w:tcPr>
            <w:tcW w:w="1270" w:type="dxa"/>
            <w:tcBorders>
              <w:bottom w:val="single" w:sz="4" w:space="0" w:color="5D779D" w:themeColor="accent3"/>
            </w:tcBorders>
            <w:shd w:val="clear" w:color="auto" w:fill="DFE4EB"/>
          </w:tcPr>
          <w:p w14:paraId="1300DB03" w14:textId="77777777" w:rsidR="009534B7" w:rsidRPr="002E4362" w:rsidRDefault="009534B7" w:rsidP="009534B7">
            <w:pPr>
              <w:pStyle w:val="TableTextLeft"/>
              <w:rPr>
                <w:rFonts w:cs="Calibri Light"/>
                <w:sz w:val="14"/>
                <w:szCs w:val="14"/>
              </w:rPr>
            </w:pPr>
          </w:p>
        </w:tc>
        <w:tc>
          <w:tcPr>
            <w:tcW w:w="1270" w:type="dxa"/>
            <w:tcBorders>
              <w:bottom w:val="single" w:sz="4" w:space="0" w:color="5D779D" w:themeColor="accent3"/>
            </w:tcBorders>
            <w:shd w:val="clear" w:color="auto" w:fill="DFE4EB"/>
          </w:tcPr>
          <w:p w14:paraId="22DEAFA6" w14:textId="77777777" w:rsidR="009534B7" w:rsidRPr="002E4362" w:rsidRDefault="009534B7" w:rsidP="009534B7">
            <w:pPr>
              <w:pStyle w:val="TableTextLeft"/>
              <w:rPr>
                <w:rFonts w:cs="Calibri Light"/>
                <w:sz w:val="14"/>
                <w:szCs w:val="14"/>
              </w:rPr>
            </w:pPr>
          </w:p>
        </w:tc>
        <w:tc>
          <w:tcPr>
            <w:tcW w:w="1270" w:type="dxa"/>
            <w:tcBorders>
              <w:bottom w:val="single" w:sz="4" w:space="0" w:color="5D779D" w:themeColor="accent3"/>
            </w:tcBorders>
            <w:shd w:val="clear" w:color="auto" w:fill="DFE4EB"/>
          </w:tcPr>
          <w:p w14:paraId="54053790" w14:textId="77777777" w:rsidR="009534B7" w:rsidRPr="002E4362" w:rsidRDefault="009534B7" w:rsidP="009534B7">
            <w:pPr>
              <w:pStyle w:val="TableTextLeft"/>
              <w:rPr>
                <w:rFonts w:cs="Calibri Light"/>
                <w:sz w:val="14"/>
                <w:szCs w:val="14"/>
              </w:rPr>
            </w:pPr>
          </w:p>
        </w:tc>
        <w:tc>
          <w:tcPr>
            <w:tcW w:w="1270" w:type="dxa"/>
            <w:tcBorders>
              <w:bottom w:val="single" w:sz="4" w:space="0" w:color="5D779D" w:themeColor="accent3"/>
            </w:tcBorders>
            <w:shd w:val="clear" w:color="auto" w:fill="EFF1F5"/>
          </w:tcPr>
          <w:p w14:paraId="67317B5B" w14:textId="77777777" w:rsidR="009534B7" w:rsidRPr="002E4362" w:rsidRDefault="009534B7" w:rsidP="009534B7">
            <w:pPr>
              <w:pStyle w:val="TableTextLeft"/>
              <w:rPr>
                <w:rFonts w:cs="Calibri Light"/>
                <w:sz w:val="14"/>
                <w:szCs w:val="14"/>
              </w:rPr>
            </w:pPr>
          </w:p>
        </w:tc>
        <w:tc>
          <w:tcPr>
            <w:tcW w:w="1270" w:type="dxa"/>
            <w:tcBorders>
              <w:bottom w:val="single" w:sz="4" w:space="0" w:color="5D779D" w:themeColor="accent3"/>
            </w:tcBorders>
            <w:shd w:val="clear" w:color="auto" w:fill="EFF1F5"/>
          </w:tcPr>
          <w:p w14:paraId="70564F69" w14:textId="77777777" w:rsidR="009534B7" w:rsidRPr="002E4362" w:rsidRDefault="009534B7" w:rsidP="009534B7">
            <w:pPr>
              <w:pStyle w:val="TableTextLeft"/>
              <w:rPr>
                <w:rFonts w:cs="Calibri Light"/>
                <w:sz w:val="14"/>
                <w:szCs w:val="14"/>
              </w:rPr>
            </w:pPr>
          </w:p>
        </w:tc>
      </w:tr>
      <w:tr w:rsidR="00442EED" w:rsidRPr="00AF43B7" w14:paraId="723C2222" w14:textId="77777777" w:rsidTr="410CE694">
        <w:trPr>
          <w:cantSplit/>
          <w:trHeight w:val="410"/>
        </w:trPr>
        <w:tc>
          <w:tcPr>
            <w:tcW w:w="849" w:type="dxa"/>
            <w:tcBorders>
              <w:bottom w:val="single" w:sz="4" w:space="0" w:color="5D779D" w:themeColor="accent3"/>
            </w:tcBorders>
            <w:shd w:val="clear" w:color="auto" w:fill="auto"/>
          </w:tcPr>
          <w:p w14:paraId="75E38FE2" w14:textId="2E8C2A39" w:rsidR="001E0387" w:rsidRPr="009C4097" w:rsidRDefault="001E0387" w:rsidP="00097CAA">
            <w:pPr>
              <w:pStyle w:val="TableLeadAgency"/>
            </w:pPr>
            <w:r w:rsidRPr="00E7433A">
              <w:t>ATO</w:t>
            </w:r>
          </w:p>
        </w:tc>
        <w:tc>
          <w:tcPr>
            <w:tcW w:w="1247" w:type="dxa"/>
            <w:tcBorders>
              <w:bottom w:val="single" w:sz="4" w:space="0" w:color="5D779D" w:themeColor="accent3"/>
            </w:tcBorders>
          </w:tcPr>
          <w:p w14:paraId="523CA2F3" w14:textId="77777777" w:rsidR="001E0387" w:rsidRPr="00301F93" w:rsidRDefault="001E0387" w:rsidP="00301F93">
            <w:pPr>
              <w:pStyle w:val="TableTextLeft"/>
            </w:pPr>
            <w:r w:rsidRPr="00301F93">
              <w:t>Superannuation and retirement income</w:t>
            </w:r>
          </w:p>
          <w:p w14:paraId="3613D640" w14:textId="7B4420BC" w:rsidR="001E0387" w:rsidRPr="009A5125" w:rsidRDefault="001E0387" w:rsidP="00301F93">
            <w:pPr>
              <w:pStyle w:val="TableTextLeft"/>
            </w:pPr>
            <w:r w:rsidRPr="00301F93">
              <w:t>Collective investment</w:t>
            </w:r>
            <w:r>
              <w:t xml:space="preserve"> and investment management</w:t>
            </w:r>
          </w:p>
        </w:tc>
        <w:tc>
          <w:tcPr>
            <w:tcW w:w="4286" w:type="dxa"/>
            <w:tcBorders>
              <w:bottom w:val="single" w:sz="4" w:space="0" w:color="5D779D" w:themeColor="accent3"/>
            </w:tcBorders>
          </w:tcPr>
          <w:p w14:paraId="7FA8D20A" w14:textId="0D7FF26E" w:rsidR="001E0387" w:rsidRPr="00E757DC" w:rsidRDefault="001D4D7F" w:rsidP="001E0387">
            <w:pPr>
              <w:pStyle w:val="TableTextLeft"/>
              <w:rPr>
                <w:u w:val="single"/>
              </w:rPr>
            </w:pPr>
            <w:hyperlink r:id="rId87" w:anchor="ato-4182Expenditureincurredunderanonarmslengtharrangementandsuperannuationcontributions" w:history="1">
              <w:hyperlink r:id="rId88" w:anchor="ato-4182Expenditureincurredunderanonarmslengtharrangementandsuperannuationcontributions" w:history="1">
                <w:r w:rsidR="001E0387" w:rsidRPr="00E757DC">
                  <w:rPr>
                    <w:rStyle w:val="Hyperlink"/>
                    <w:u w:val="single"/>
                  </w:rPr>
                  <w:t>Expenditure incurred under a non</w:t>
                </w:r>
                <w:r w:rsidR="0008745D">
                  <w:rPr>
                    <w:rStyle w:val="Hyperlink"/>
                    <w:u w:val="single"/>
                  </w:rPr>
                  <w:noBreakHyphen/>
                </w:r>
                <w:r w:rsidR="001E0387" w:rsidRPr="00E757DC">
                  <w:rPr>
                    <w:rStyle w:val="Hyperlink"/>
                    <w:u w:val="single"/>
                  </w:rPr>
                  <w:t>arm</w:t>
                </w:r>
                <w:r w:rsidR="0008745D">
                  <w:rPr>
                    <w:rStyle w:val="Hyperlink"/>
                    <w:u w:val="single"/>
                  </w:rPr>
                  <w:t>’</w:t>
                </w:r>
                <w:r w:rsidR="001E0387" w:rsidRPr="00E757DC">
                  <w:rPr>
                    <w:rStyle w:val="Hyperlink"/>
                    <w:u w:val="single"/>
                  </w:rPr>
                  <w:t>s length arrangement and superannuation contributions – Updated Guidance (ATO guidance reference number 4182)</w:t>
                </w:r>
              </w:hyperlink>
            </w:hyperlink>
          </w:p>
          <w:p w14:paraId="0A8ED2AE" w14:textId="328BEB43" w:rsidR="001E0387" w:rsidRPr="00167536" w:rsidRDefault="006C4A1E" w:rsidP="00301F93">
            <w:pPr>
              <w:pStyle w:val="TableTextLeft"/>
            </w:pPr>
            <w:r>
              <w:t>The</w:t>
            </w:r>
            <w:r w:rsidR="001E0387">
              <w:t xml:space="preserve"> Commissioner of </w:t>
            </w:r>
            <w:r>
              <w:t xml:space="preserve">Taxation will provide </w:t>
            </w:r>
            <w:r w:rsidR="001E0387">
              <w:t>updated guidance</w:t>
            </w:r>
            <w:r w:rsidR="00692571">
              <w:t>, including</w:t>
            </w:r>
            <w:r w:rsidR="001E0387">
              <w:t xml:space="preserve"> on the application of amendments made by the </w:t>
            </w:r>
            <w:r w:rsidR="001E0387" w:rsidRPr="00167536">
              <w:rPr>
                <w:i/>
                <w:iCs/>
              </w:rPr>
              <w:t>Treasury Laws Amendment (Support for Small Business and Charities and Other Measures) Act 2024</w:t>
            </w:r>
            <w:r w:rsidR="001E0387">
              <w:t xml:space="preserve"> relating to the non</w:t>
            </w:r>
            <w:r w:rsidR="0008745D">
              <w:noBreakHyphen/>
            </w:r>
            <w:r w:rsidR="001E0387">
              <w:t>arm</w:t>
            </w:r>
            <w:r w:rsidR="0008745D">
              <w:t>’</w:t>
            </w:r>
            <w:r w:rsidR="001E0387">
              <w:t>s length expenditure and non</w:t>
            </w:r>
            <w:r w:rsidR="0008745D">
              <w:noBreakHyphen/>
            </w:r>
            <w:r w:rsidR="001E0387">
              <w:t>arm</w:t>
            </w:r>
            <w:r w:rsidR="0008745D">
              <w:t>’</w:t>
            </w:r>
            <w:r w:rsidR="001E0387">
              <w:t>s length component provisions.</w:t>
            </w:r>
          </w:p>
          <w:p w14:paraId="320F268C" w14:textId="38B7C8C6" w:rsidR="001E0387" w:rsidRDefault="001E0387" w:rsidP="00705BE1">
            <w:pPr>
              <w:pStyle w:val="TableTextLeft"/>
            </w:pPr>
            <w:r w:rsidRPr="410CE694">
              <w:rPr>
                <w:lang w:val="en-US"/>
              </w:rPr>
              <w:t>Final guidance is expected to be issued in the upcoming 24 months, following consultation on draft guidance.</w:t>
            </w:r>
          </w:p>
        </w:tc>
        <w:tc>
          <w:tcPr>
            <w:tcW w:w="1270" w:type="dxa"/>
            <w:tcBorders>
              <w:bottom w:val="single" w:sz="4" w:space="0" w:color="5D779D" w:themeColor="accent3"/>
            </w:tcBorders>
            <w:shd w:val="clear" w:color="auto" w:fill="DFE4EB"/>
          </w:tcPr>
          <w:p w14:paraId="0A46A5C6" w14:textId="77777777" w:rsidR="001E0387" w:rsidRPr="009A5125" w:rsidRDefault="001E0387" w:rsidP="001E0387">
            <w:pPr>
              <w:pStyle w:val="TableTextLeft"/>
            </w:pPr>
          </w:p>
        </w:tc>
        <w:tc>
          <w:tcPr>
            <w:tcW w:w="1270" w:type="dxa"/>
            <w:tcBorders>
              <w:bottom w:val="single" w:sz="4" w:space="0" w:color="5D779D" w:themeColor="accent3"/>
            </w:tcBorders>
            <w:shd w:val="clear" w:color="auto" w:fill="DFE4EB"/>
          </w:tcPr>
          <w:p w14:paraId="53525965" w14:textId="77777777" w:rsidR="001E0387" w:rsidRPr="002E4362" w:rsidRDefault="001E0387" w:rsidP="001E0387">
            <w:pPr>
              <w:pStyle w:val="TableTextLeft"/>
              <w:rPr>
                <w:rFonts w:cs="Calibri Light"/>
                <w:sz w:val="14"/>
                <w:szCs w:val="14"/>
              </w:rPr>
            </w:pPr>
          </w:p>
        </w:tc>
        <w:tc>
          <w:tcPr>
            <w:tcW w:w="1270" w:type="dxa"/>
            <w:tcBorders>
              <w:bottom w:val="single" w:sz="4" w:space="0" w:color="5D779D" w:themeColor="accent3"/>
            </w:tcBorders>
            <w:shd w:val="clear" w:color="auto" w:fill="DFE4EB"/>
          </w:tcPr>
          <w:p w14:paraId="193C67F0" w14:textId="77777777" w:rsidR="001E0387" w:rsidRPr="002E4362" w:rsidRDefault="001E0387" w:rsidP="001E0387">
            <w:pPr>
              <w:pStyle w:val="TableTextLeft"/>
              <w:rPr>
                <w:rFonts w:cs="Calibri Light"/>
                <w:sz w:val="14"/>
                <w:szCs w:val="14"/>
              </w:rPr>
            </w:pPr>
          </w:p>
        </w:tc>
        <w:tc>
          <w:tcPr>
            <w:tcW w:w="1270" w:type="dxa"/>
            <w:tcBorders>
              <w:bottom w:val="single" w:sz="4" w:space="0" w:color="5D779D" w:themeColor="accent3"/>
            </w:tcBorders>
            <w:shd w:val="clear" w:color="auto" w:fill="DFE4EB"/>
          </w:tcPr>
          <w:p w14:paraId="3D6C1969" w14:textId="77777777" w:rsidR="001E0387" w:rsidRPr="002E4362" w:rsidRDefault="001E0387" w:rsidP="001E0387">
            <w:pPr>
              <w:pStyle w:val="TableTextLeft"/>
              <w:rPr>
                <w:rFonts w:cs="Calibri Light"/>
                <w:sz w:val="14"/>
                <w:szCs w:val="14"/>
              </w:rPr>
            </w:pPr>
          </w:p>
        </w:tc>
        <w:tc>
          <w:tcPr>
            <w:tcW w:w="1270" w:type="dxa"/>
            <w:tcBorders>
              <w:bottom w:val="single" w:sz="4" w:space="0" w:color="5D779D" w:themeColor="accent3"/>
            </w:tcBorders>
            <w:shd w:val="clear" w:color="auto" w:fill="EFF1F5"/>
          </w:tcPr>
          <w:p w14:paraId="7717A5F6" w14:textId="77777777" w:rsidR="001E0387" w:rsidRPr="002E4362" w:rsidRDefault="001E0387" w:rsidP="001E0387">
            <w:pPr>
              <w:pStyle w:val="TableTextLeft"/>
              <w:rPr>
                <w:rFonts w:cs="Calibri Light"/>
                <w:sz w:val="14"/>
                <w:szCs w:val="14"/>
              </w:rPr>
            </w:pPr>
          </w:p>
        </w:tc>
        <w:tc>
          <w:tcPr>
            <w:tcW w:w="1270" w:type="dxa"/>
            <w:tcBorders>
              <w:bottom w:val="single" w:sz="4" w:space="0" w:color="5D779D" w:themeColor="accent3"/>
            </w:tcBorders>
            <w:shd w:val="clear" w:color="auto" w:fill="EFF1F5"/>
          </w:tcPr>
          <w:p w14:paraId="6146BFE2" w14:textId="77777777" w:rsidR="001E0387" w:rsidRPr="002E4362" w:rsidRDefault="001E0387" w:rsidP="001E0387">
            <w:pPr>
              <w:pStyle w:val="TableTextLeft"/>
              <w:rPr>
                <w:rFonts w:cs="Calibri Light"/>
                <w:sz w:val="14"/>
                <w:szCs w:val="14"/>
              </w:rPr>
            </w:pPr>
          </w:p>
        </w:tc>
      </w:tr>
      <w:tr w:rsidR="00442EED" w:rsidRPr="00AF43B7" w14:paraId="338B4939" w14:textId="77777777" w:rsidTr="410CE694">
        <w:trPr>
          <w:cantSplit/>
          <w:trHeight w:val="410"/>
        </w:trPr>
        <w:tc>
          <w:tcPr>
            <w:tcW w:w="849" w:type="dxa"/>
            <w:tcBorders>
              <w:bottom w:val="single" w:sz="4" w:space="0" w:color="5D779D" w:themeColor="accent3"/>
            </w:tcBorders>
            <w:shd w:val="clear" w:color="auto" w:fill="auto"/>
          </w:tcPr>
          <w:p w14:paraId="0CCBB904" w14:textId="1D42AF05" w:rsidR="001E0387" w:rsidRPr="00120344" w:rsidRDefault="001E0387" w:rsidP="00097CAA">
            <w:pPr>
              <w:pStyle w:val="TableLeadAgency"/>
            </w:pPr>
            <w:r w:rsidRPr="00E7433A">
              <w:lastRenderedPageBreak/>
              <w:t>ATO</w:t>
            </w:r>
          </w:p>
        </w:tc>
        <w:tc>
          <w:tcPr>
            <w:tcW w:w="1247" w:type="dxa"/>
            <w:tcBorders>
              <w:bottom w:val="single" w:sz="4" w:space="0" w:color="5D779D" w:themeColor="accent3"/>
            </w:tcBorders>
          </w:tcPr>
          <w:p w14:paraId="2241179A" w14:textId="77777777" w:rsidR="001E0387" w:rsidRPr="00301F93" w:rsidRDefault="001E0387" w:rsidP="00301F93">
            <w:pPr>
              <w:pStyle w:val="TableTextLeft"/>
            </w:pPr>
            <w:r w:rsidRPr="00301F93">
              <w:t>Superannuation and retirement income</w:t>
            </w:r>
          </w:p>
          <w:p w14:paraId="7E859482" w14:textId="36333F0B" w:rsidR="001E0387" w:rsidRPr="00301F93" w:rsidRDefault="001E0387" w:rsidP="00301F93">
            <w:pPr>
              <w:pStyle w:val="TableTextLeft"/>
            </w:pPr>
            <w:r w:rsidRPr="00301F93">
              <w:t>Financial advice</w:t>
            </w:r>
          </w:p>
        </w:tc>
        <w:tc>
          <w:tcPr>
            <w:tcW w:w="4286" w:type="dxa"/>
            <w:tcBorders>
              <w:bottom w:val="single" w:sz="4" w:space="0" w:color="5D779D" w:themeColor="accent3"/>
            </w:tcBorders>
          </w:tcPr>
          <w:p w14:paraId="67066980" w14:textId="471EE154" w:rsidR="001E0387" w:rsidRPr="000A4B96" w:rsidRDefault="001D4D7F" w:rsidP="001E0387">
            <w:pPr>
              <w:pStyle w:val="TableLink"/>
              <w:rPr>
                <w:b w:val="0"/>
                <w:bCs/>
                <w:u w:val="single"/>
              </w:rPr>
            </w:pPr>
            <w:hyperlink r:id="rId89" w:anchor="ato-4166Advicefeespaidbysuperannuationfundsnew" w:history="1">
              <w:r w:rsidR="001E0387" w:rsidRPr="000A4B96">
                <w:rPr>
                  <w:rStyle w:val="Hyperlink"/>
                  <w:b/>
                  <w:bCs/>
                  <w:u w:val="single"/>
                </w:rPr>
                <w:t>Advice fees paid by superannuation funds –</w:t>
              </w:r>
              <w:r w:rsidR="00AA0DA2">
                <w:rPr>
                  <w:rStyle w:val="Hyperlink"/>
                  <w:b/>
                  <w:bCs/>
                  <w:u w:val="single"/>
                </w:rPr>
                <w:t xml:space="preserve"> </w:t>
              </w:r>
              <w:r w:rsidR="001E0387" w:rsidRPr="000A4B96">
                <w:rPr>
                  <w:rStyle w:val="Hyperlink"/>
                  <w:b/>
                  <w:bCs/>
                  <w:u w:val="single"/>
                </w:rPr>
                <w:t>Practical Compliance Guideline (ATO guidance reference number 4166)</w:t>
              </w:r>
            </w:hyperlink>
          </w:p>
          <w:p w14:paraId="7C0A51E7" w14:textId="77777777" w:rsidR="001E0387" w:rsidRPr="00301F93" w:rsidRDefault="001E0387" w:rsidP="00301F93">
            <w:pPr>
              <w:pStyle w:val="TableTextLeft"/>
            </w:pPr>
            <w:r w:rsidRPr="000C4FD5">
              <w:t>This</w:t>
            </w:r>
            <w:r>
              <w:t xml:space="preserve"> draft Practical Compliance Guideline will provide </w:t>
            </w:r>
            <w:r w:rsidRPr="00301F93">
              <w:t>superannuation funds with guidance on deductions for the payment of advice fees requested by members.</w:t>
            </w:r>
          </w:p>
          <w:p w14:paraId="659F390F" w14:textId="2973173F" w:rsidR="001E0387" w:rsidRPr="000D4FA3" w:rsidRDefault="001E0387" w:rsidP="001E0387">
            <w:pPr>
              <w:pStyle w:val="TableTextLeft"/>
            </w:pPr>
            <w:r w:rsidRPr="00301F93">
              <w:t>Final guidance is expected to be issued in the upcoming 24 months, following consultation on draft guidance.</w:t>
            </w:r>
          </w:p>
        </w:tc>
        <w:tc>
          <w:tcPr>
            <w:tcW w:w="1270" w:type="dxa"/>
            <w:tcBorders>
              <w:bottom w:val="single" w:sz="4" w:space="0" w:color="5D779D" w:themeColor="accent3"/>
            </w:tcBorders>
            <w:shd w:val="clear" w:color="auto" w:fill="DFE4EB"/>
          </w:tcPr>
          <w:p w14:paraId="285CDBC7" w14:textId="4ABE5F9A" w:rsidR="001E0387" w:rsidRPr="00301F93" w:rsidRDefault="001E0387" w:rsidP="00301F93">
            <w:pPr>
              <w:pStyle w:val="TableTextLeft"/>
            </w:pPr>
            <w:r w:rsidRPr="00301F93">
              <w:t>Consultation on draft guidance</w:t>
            </w:r>
          </w:p>
        </w:tc>
        <w:tc>
          <w:tcPr>
            <w:tcW w:w="1270" w:type="dxa"/>
            <w:tcBorders>
              <w:bottom w:val="single" w:sz="4" w:space="0" w:color="5D779D" w:themeColor="accent3"/>
            </w:tcBorders>
            <w:shd w:val="clear" w:color="auto" w:fill="DFE4EB"/>
          </w:tcPr>
          <w:p w14:paraId="0D682748" w14:textId="77777777" w:rsidR="001E0387" w:rsidRPr="00301F93" w:rsidRDefault="001E0387" w:rsidP="00301F93">
            <w:pPr>
              <w:pStyle w:val="TableTextLeft"/>
            </w:pPr>
          </w:p>
        </w:tc>
        <w:tc>
          <w:tcPr>
            <w:tcW w:w="1270" w:type="dxa"/>
            <w:tcBorders>
              <w:bottom w:val="single" w:sz="4" w:space="0" w:color="5D779D" w:themeColor="accent3"/>
            </w:tcBorders>
            <w:shd w:val="clear" w:color="auto" w:fill="DFE4EB"/>
          </w:tcPr>
          <w:p w14:paraId="6FB79B4B" w14:textId="77777777" w:rsidR="001E0387" w:rsidRPr="00301F93" w:rsidRDefault="001E0387" w:rsidP="00301F93">
            <w:pPr>
              <w:pStyle w:val="TableTextLeft"/>
            </w:pPr>
          </w:p>
        </w:tc>
        <w:tc>
          <w:tcPr>
            <w:tcW w:w="1270" w:type="dxa"/>
            <w:tcBorders>
              <w:bottom w:val="single" w:sz="4" w:space="0" w:color="5D779D" w:themeColor="accent3"/>
            </w:tcBorders>
            <w:shd w:val="clear" w:color="auto" w:fill="DFE4EB"/>
          </w:tcPr>
          <w:p w14:paraId="71CD778A" w14:textId="77777777" w:rsidR="001E0387" w:rsidRPr="00301F93" w:rsidRDefault="001E0387" w:rsidP="00301F93">
            <w:pPr>
              <w:pStyle w:val="TableTextLeft"/>
            </w:pPr>
          </w:p>
        </w:tc>
        <w:tc>
          <w:tcPr>
            <w:tcW w:w="1270" w:type="dxa"/>
            <w:tcBorders>
              <w:bottom w:val="single" w:sz="4" w:space="0" w:color="5D779D" w:themeColor="accent3"/>
            </w:tcBorders>
            <w:shd w:val="clear" w:color="auto" w:fill="EFF1F5"/>
          </w:tcPr>
          <w:p w14:paraId="726FED87" w14:textId="77777777" w:rsidR="001E0387" w:rsidRPr="002E4362" w:rsidRDefault="001E0387" w:rsidP="001E0387">
            <w:pPr>
              <w:pStyle w:val="TableTextLeft"/>
              <w:rPr>
                <w:rFonts w:cs="Calibri Light"/>
                <w:sz w:val="14"/>
                <w:szCs w:val="14"/>
              </w:rPr>
            </w:pPr>
          </w:p>
        </w:tc>
        <w:tc>
          <w:tcPr>
            <w:tcW w:w="1270" w:type="dxa"/>
            <w:tcBorders>
              <w:bottom w:val="single" w:sz="4" w:space="0" w:color="5D779D" w:themeColor="accent3"/>
            </w:tcBorders>
            <w:shd w:val="clear" w:color="auto" w:fill="EFF1F5"/>
          </w:tcPr>
          <w:p w14:paraId="4AF852BF" w14:textId="77777777" w:rsidR="001E0387" w:rsidRPr="002E4362" w:rsidRDefault="001E0387" w:rsidP="001E0387">
            <w:pPr>
              <w:pStyle w:val="TableTextLeft"/>
              <w:rPr>
                <w:rFonts w:cs="Calibri Light"/>
                <w:sz w:val="14"/>
                <w:szCs w:val="14"/>
              </w:rPr>
            </w:pPr>
          </w:p>
        </w:tc>
      </w:tr>
      <w:tr w:rsidR="00442EED" w:rsidRPr="00AF43B7" w14:paraId="67185883" w14:textId="77777777" w:rsidTr="410CE694">
        <w:trPr>
          <w:cantSplit/>
          <w:trHeight w:val="410"/>
        </w:trPr>
        <w:tc>
          <w:tcPr>
            <w:tcW w:w="849" w:type="dxa"/>
            <w:tcBorders>
              <w:bottom w:val="single" w:sz="4" w:space="0" w:color="5D779D" w:themeColor="accent3"/>
            </w:tcBorders>
            <w:shd w:val="clear" w:color="auto" w:fill="auto"/>
          </w:tcPr>
          <w:p w14:paraId="132A7DB9" w14:textId="59C8599A" w:rsidR="001E0387" w:rsidRPr="00120344" w:rsidRDefault="001E0387" w:rsidP="00097CAA">
            <w:pPr>
              <w:pStyle w:val="TableLeadAgency"/>
            </w:pPr>
            <w:r w:rsidRPr="00120344">
              <w:t>ASIC</w:t>
            </w:r>
          </w:p>
        </w:tc>
        <w:tc>
          <w:tcPr>
            <w:tcW w:w="1247" w:type="dxa"/>
            <w:tcBorders>
              <w:bottom w:val="single" w:sz="4" w:space="0" w:color="5D779D" w:themeColor="accent3"/>
            </w:tcBorders>
          </w:tcPr>
          <w:p w14:paraId="76225FC7" w14:textId="77777777" w:rsidR="001E0387" w:rsidRPr="00301F93" w:rsidRDefault="001E0387" w:rsidP="00301F93">
            <w:pPr>
              <w:pStyle w:val="TableTextLeft"/>
            </w:pPr>
            <w:r w:rsidRPr="00301F93">
              <w:t>Superannuation and retirement income</w:t>
            </w:r>
          </w:p>
          <w:p w14:paraId="6025D7B4" w14:textId="1FC158A5" w:rsidR="001E0387" w:rsidRPr="00301F93" w:rsidRDefault="001E0387" w:rsidP="00301F93">
            <w:pPr>
              <w:pStyle w:val="TableTextLeft"/>
            </w:pPr>
            <w:r w:rsidRPr="00301F93">
              <w:t>Financial advice</w:t>
            </w:r>
          </w:p>
        </w:tc>
        <w:tc>
          <w:tcPr>
            <w:tcW w:w="4286" w:type="dxa"/>
            <w:tcBorders>
              <w:bottom w:val="single" w:sz="4" w:space="0" w:color="5D779D" w:themeColor="accent3"/>
            </w:tcBorders>
          </w:tcPr>
          <w:p w14:paraId="57727573" w14:textId="1A20D418" w:rsidR="001E0387" w:rsidRPr="00120344" w:rsidRDefault="001E0387" w:rsidP="001E0387">
            <w:pPr>
              <w:pStyle w:val="TableTextLeft"/>
              <w:rPr>
                <w:b/>
                <w:bCs/>
              </w:rPr>
            </w:pPr>
            <w:r w:rsidRPr="00120344">
              <w:rPr>
                <w:b/>
                <w:bCs/>
              </w:rPr>
              <w:t xml:space="preserve">Retirement </w:t>
            </w:r>
            <w:r w:rsidR="008520CD">
              <w:rPr>
                <w:b/>
                <w:bCs/>
              </w:rPr>
              <w:t>i</w:t>
            </w:r>
            <w:r w:rsidRPr="00120344">
              <w:rPr>
                <w:b/>
                <w:bCs/>
              </w:rPr>
              <w:t xml:space="preserve">ncome: </w:t>
            </w:r>
            <w:r w:rsidR="008520CD">
              <w:rPr>
                <w:b/>
                <w:bCs/>
              </w:rPr>
              <w:t>m</w:t>
            </w:r>
            <w:r w:rsidRPr="00120344">
              <w:rPr>
                <w:b/>
                <w:bCs/>
              </w:rPr>
              <w:t xml:space="preserve">ember </w:t>
            </w:r>
            <w:r w:rsidR="008520CD">
              <w:rPr>
                <w:b/>
                <w:bCs/>
              </w:rPr>
              <w:t>c</w:t>
            </w:r>
            <w:r w:rsidRPr="00120344">
              <w:rPr>
                <w:b/>
                <w:bCs/>
              </w:rPr>
              <w:t xml:space="preserve">ommunications </w:t>
            </w:r>
            <w:r w:rsidR="008520CD">
              <w:rPr>
                <w:b/>
                <w:bCs/>
              </w:rPr>
              <w:t>r</w:t>
            </w:r>
            <w:r w:rsidRPr="00120344">
              <w:rPr>
                <w:b/>
                <w:bCs/>
              </w:rPr>
              <w:t>eview</w:t>
            </w:r>
          </w:p>
          <w:p w14:paraId="26D108C2" w14:textId="73D7D624" w:rsidR="001E0387" w:rsidRPr="000B29F1" w:rsidRDefault="001E0387" w:rsidP="001E0387">
            <w:pPr>
              <w:pStyle w:val="TableTextLeft"/>
            </w:pPr>
            <w:r w:rsidRPr="00120344">
              <w:t xml:space="preserve">ASIC will review </w:t>
            </w:r>
            <w:r w:rsidR="00625885">
              <w:t xml:space="preserve">a sample </w:t>
            </w:r>
            <w:r w:rsidRPr="00120344">
              <w:t>of superannuation trustees</w:t>
            </w:r>
            <w:r w:rsidR="0008745D">
              <w:t>’</w:t>
            </w:r>
            <w:r w:rsidRPr="00120344">
              <w:t xml:space="preserve"> retirement focused communications with their members, including decision</w:t>
            </w:r>
            <w:r w:rsidR="0008745D">
              <w:noBreakHyphen/>
            </w:r>
            <w:r w:rsidRPr="00120344">
              <w:t>making processes and guidance tools.</w:t>
            </w:r>
          </w:p>
        </w:tc>
        <w:tc>
          <w:tcPr>
            <w:tcW w:w="1270" w:type="dxa"/>
            <w:tcBorders>
              <w:bottom w:val="single" w:sz="4" w:space="0" w:color="5D779D" w:themeColor="accent3"/>
            </w:tcBorders>
            <w:shd w:val="clear" w:color="auto" w:fill="DFE4EB"/>
          </w:tcPr>
          <w:p w14:paraId="3C49B153" w14:textId="00DB3106" w:rsidR="001E0387" w:rsidRPr="00301F93" w:rsidRDefault="001E0387" w:rsidP="00301F93">
            <w:pPr>
              <w:pStyle w:val="TableTextLeft"/>
            </w:pPr>
            <w:r w:rsidRPr="00301F93">
              <w:t>Data collection</w:t>
            </w:r>
          </w:p>
        </w:tc>
        <w:tc>
          <w:tcPr>
            <w:tcW w:w="1270" w:type="dxa"/>
            <w:tcBorders>
              <w:bottom w:val="single" w:sz="4" w:space="0" w:color="5D779D" w:themeColor="accent3"/>
            </w:tcBorders>
            <w:shd w:val="clear" w:color="auto" w:fill="DFE4EB"/>
          </w:tcPr>
          <w:p w14:paraId="7224957D" w14:textId="73F45B0A" w:rsidR="001E0387" w:rsidRPr="00301F93" w:rsidRDefault="001E0387" w:rsidP="00301F93">
            <w:pPr>
              <w:pStyle w:val="TableTextLeft"/>
            </w:pPr>
            <w:r w:rsidRPr="00301F93">
              <w:t xml:space="preserve">Consultation with stakeholders </w:t>
            </w:r>
          </w:p>
        </w:tc>
        <w:tc>
          <w:tcPr>
            <w:tcW w:w="1270" w:type="dxa"/>
            <w:tcBorders>
              <w:bottom w:val="single" w:sz="4" w:space="0" w:color="5D779D" w:themeColor="accent3"/>
            </w:tcBorders>
            <w:shd w:val="clear" w:color="auto" w:fill="DFE4EB"/>
          </w:tcPr>
          <w:p w14:paraId="0087E289" w14:textId="005580C1" w:rsidR="001E0387" w:rsidRPr="00301F93" w:rsidRDefault="001E0387" w:rsidP="00301F93">
            <w:pPr>
              <w:pStyle w:val="TableTextLeft"/>
            </w:pPr>
            <w:r w:rsidRPr="00301F93">
              <w:t>Report published</w:t>
            </w:r>
          </w:p>
        </w:tc>
        <w:tc>
          <w:tcPr>
            <w:tcW w:w="1270" w:type="dxa"/>
            <w:tcBorders>
              <w:bottom w:val="single" w:sz="4" w:space="0" w:color="5D779D" w:themeColor="accent3"/>
            </w:tcBorders>
            <w:shd w:val="clear" w:color="auto" w:fill="DFE4EB"/>
          </w:tcPr>
          <w:p w14:paraId="780A5AA3" w14:textId="77777777" w:rsidR="001E0387" w:rsidRPr="00301F93" w:rsidRDefault="001E0387" w:rsidP="00301F93">
            <w:pPr>
              <w:pStyle w:val="TableTextLeft"/>
            </w:pPr>
          </w:p>
        </w:tc>
        <w:tc>
          <w:tcPr>
            <w:tcW w:w="1270" w:type="dxa"/>
            <w:tcBorders>
              <w:bottom w:val="single" w:sz="4" w:space="0" w:color="5D779D" w:themeColor="accent3"/>
            </w:tcBorders>
            <w:shd w:val="clear" w:color="auto" w:fill="EFF1F5"/>
          </w:tcPr>
          <w:p w14:paraId="40441A40" w14:textId="77777777" w:rsidR="001E0387" w:rsidRPr="002E4362" w:rsidRDefault="001E0387" w:rsidP="001E0387">
            <w:pPr>
              <w:pStyle w:val="TableTextLeft"/>
              <w:rPr>
                <w:rFonts w:cs="Calibri Light"/>
                <w:sz w:val="14"/>
                <w:szCs w:val="14"/>
              </w:rPr>
            </w:pPr>
          </w:p>
        </w:tc>
        <w:tc>
          <w:tcPr>
            <w:tcW w:w="1270" w:type="dxa"/>
            <w:tcBorders>
              <w:bottom w:val="single" w:sz="4" w:space="0" w:color="5D779D" w:themeColor="accent3"/>
            </w:tcBorders>
            <w:shd w:val="clear" w:color="auto" w:fill="EFF1F5"/>
          </w:tcPr>
          <w:p w14:paraId="0FAFD202" w14:textId="77777777" w:rsidR="001E0387" w:rsidRPr="002E4362" w:rsidRDefault="001E0387" w:rsidP="001E0387">
            <w:pPr>
              <w:pStyle w:val="TableTextLeft"/>
              <w:rPr>
                <w:rFonts w:cs="Calibri Light"/>
                <w:sz w:val="14"/>
                <w:szCs w:val="14"/>
              </w:rPr>
            </w:pPr>
          </w:p>
        </w:tc>
      </w:tr>
      <w:tr w:rsidR="00442EED" w:rsidRPr="00AF43B7" w14:paraId="3D05EABE" w14:textId="77777777" w:rsidTr="410CE694">
        <w:trPr>
          <w:cantSplit/>
          <w:trHeight w:val="410"/>
        </w:trPr>
        <w:tc>
          <w:tcPr>
            <w:tcW w:w="849" w:type="dxa"/>
            <w:tcBorders>
              <w:bottom w:val="single" w:sz="4" w:space="0" w:color="5D779D" w:themeColor="accent3"/>
            </w:tcBorders>
            <w:shd w:val="clear" w:color="auto" w:fill="auto"/>
          </w:tcPr>
          <w:p w14:paraId="0DBBDD94" w14:textId="61CBE31B" w:rsidR="002D45BF" w:rsidRPr="00E7433A" w:rsidRDefault="002D45BF" w:rsidP="00097CAA">
            <w:pPr>
              <w:pStyle w:val="TableLeadAgency"/>
            </w:pPr>
            <w:r w:rsidRPr="002346D9">
              <w:t>ASIC</w:t>
            </w:r>
          </w:p>
        </w:tc>
        <w:tc>
          <w:tcPr>
            <w:tcW w:w="1247" w:type="dxa"/>
            <w:tcBorders>
              <w:bottom w:val="single" w:sz="4" w:space="0" w:color="5D779D" w:themeColor="accent3"/>
            </w:tcBorders>
          </w:tcPr>
          <w:p w14:paraId="65D47286" w14:textId="77777777" w:rsidR="002D45BF" w:rsidRPr="00301F93" w:rsidRDefault="002D45BF" w:rsidP="00301F93">
            <w:pPr>
              <w:pStyle w:val="TableTextLeft"/>
            </w:pPr>
            <w:r w:rsidRPr="00301F93">
              <w:t>Superannuation and retirement income</w:t>
            </w:r>
          </w:p>
          <w:p w14:paraId="7B304177" w14:textId="223A7837" w:rsidR="002D45BF" w:rsidRPr="00301F93" w:rsidRDefault="002D45BF" w:rsidP="00301F93">
            <w:pPr>
              <w:pStyle w:val="TableTextLeft"/>
            </w:pPr>
            <w:r w:rsidRPr="00301F93">
              <w:t>Financial advice</w:t>
            </w:r>
          </w:p>
        </w:tc>
        <w:tc>
          <w:tcPr>
            <w:tcW w:w="4286" w:type="dxa"/>
            <w:tcBorders>
              <w:bottom w:val="single" w:sz="4" w:space="0" w:color="5D779D" w:themeColor="accent3"/>
            </w:tcBorders>
          </w:tcPr>
          <w:p w14:paraId="3822A149" w14:textId="1085246C" w:rsidR="001E0387" w:rsidRPr="002346D9" w:rsidRDefault="001E0387" w:rsidP="001E0387">
            <w:pPr>
              <w:pStyle w:val="TableTextLeft"/>
              <w:rPr>
                <w:b/>
                <w:bCs/>
              </w:rPr>
            </w:pPr>
            <w:r w:rsidRPr="002346D9">
              <w:rPr>
                <w:b/>
                <w:bCs/>
              </w:rPr>
              <w:t xml:space="preserve">Review of </w:t>
            </w:r>
            <w:r w:rsidR="00790F58">
              <w:rPr>
                <w:b/>
                <w:bCs/>
              </w:rPr>
              <w:t>s</w:t>
            </w:r>
            <w:r>
              <w:rPr>
                <w:b/>
                <w:bCs/>
              </w:rPr>
              <w:t>elf</w:t>
            </w:r>
            <w:r w:rsidR="0008745D">
              <w:rPr>
                <w:b/>
                <w:bCs/>
              </w:rPr>
              <w:noBreakHyphen/>
            </w:r>
            <w:r w:rsidR="00790F58">
              <w:rPr>
                <w:b/>
                <w:bCs/>
              </w:rPr>
              <w:t>m</w:t>
            </w:r>
            <w:r>
              <w:rPr>
                <w:b/>
                <w:bCs/>
              </w:rPr>
              <w:t xml:space="preserve">anaged </w:t>
            </w:r>
            <w:r w:rsidR="00790F58">
              <w:rPr>
                <w:b/>
                <w:bCs/>
              </w:rPr>
              <w:t>s</w:t>
            </w:r>
            <w:r>
              <w:rPr>
                <w:b/>
                <w:bCs/>
              </w:rPr>
              <w:t>uper</w:t>
            </w:r>
            <w:r w:rsidR="00204D2B">
              <w:rPr>
                <w:b/>
                <w:bCs/>
              </w:rPr>
              <w:t>annuation</w:t>
            </w:r>
            <w:r>
              <w:rPr>
                <w:b/>
                <w:bCs/>
              </w:rPr>
              <w:t xml:space="preserve"> </w:t>
            </w:r>
            <w:r w:rsidR="00790F58">
              <w:rPr>
                <w:b/>
                <w:bCs/>
              </w:rPr>
              <w:t>f</w:t>
            </w:r>
            <w:r>
              <w:rPr>
                <w:b/>
                <w:bCs/>
              </w:rPr>
              <w:t>unds</w:t>
            </w:r>
            <w:r w:rsidRPr="002346D9" w:rsidDel="001B4B28">
              <w:rPr>
                <w:b/>
                <w:bCs/>
              </w:rPr>
              <w:t xml:space="preserve"> </w:t>
            </w:r>
            <w:r w:rsidRPr="002346D9">
              <w:rPr>
                <w:b/>
                <w:bCs/>
              </w:rPr>
              <w:t>establishment advice</w:t>
            </w:r>
          </w:p>
          <w:p w14:paraId="054C761C" w14:textId="060720DF" w:rsidR="002D45BF" w:rsidRDefault="001E0387" w:rsidP="00D7612F">
            <w:pPr>
              <w:pStyle w:val="TableTextLeft"/>
            </w:pPr>
            <w:r w:rsidRPr="000C4FD5">
              <w:t>ASIC</w:t>
            </w:r>
            <w:r>
              <w:t xml:space="preserve"> will </w:t>
            </w:r>
            <w:r w:rsidR="00DE4181">
              <w:t>finalise</w:t>
            </w:r>
            <w:r w:rsidRPr="002346D9">
              <w:t xml:space="preserve"> a surveillance of personal advice provided to retail clients about the establishment of </w:t>
            </w:r>
            <w:r w:rsidR="004F0CDF">
              <w:t>s</w:t>
            </w:r>
            <w:r>
              <w:t>elf</w:t>
            </w:r>
            <w:r w:rsidR="0008745D">
              <w:noBreakHyphen/>
            </w:r>
            <w:r w:rsidR="004F0CDF">
              <w:t>m</w:t>
            </w:r>
            <w:r>
              <w:t xml:space="preserve">anaged </w:t>
            </w:r>
            <w:r w:rsidR="004F0CDF">
              <w:t>s</w:t>
            </w:r>
            <w:r>
              <w:t>uper</w:t>
            </w:r>
            <w:r w:rsidR="004F0CDF">
              <w:t>annuation</w:t>
            </w:r>
            <w:r>
              <w:t xml:space="preserve"> </w:t>
            </w:r>
            <w:r w:rsidR="004F0CDF">
              <w:t>f</w:t>
            </w:r>
            <w:r>
              <w:t>und</w:t>
            </w:r>
            <w:r w:rsidRPr="002346D9">
              <w:t xml:space="preserve">s </w:t>
            </w:r>
            <w:r>
              <w:t xml:space="preserve">(SMSFs) </w:t>
            </w:r>
            <w:r w:rsidRPr="002346D9">
              <w:t xml:space="preserve">that assesses the quality of advice by </w:t>
            </w:r>
            <w:r w:rsidR="00D1598F">
              <w:t xml:space="preserve">selected </w:t>
            </w:r>
            <w:r w:rsidRPr="002346D9">
              <w:t>financial advisers and considers the role of A</w:t>
            </w:r>
            <w:r>
              <w:t xml:space="preserve">ustralian </w:t>
            </w:r>
            <w:r w:rsidRPr="002346D9">
              <w:t>F</w:t>
            </w:r>
            <w:r>
              <w:t xml:space="preserve">inancial </w:t>
            </w:r>
            <w:r w:rsidRPr="002346D9">
              <w:t>S</w:t>
            </w:r>
            <w:r>
              <w:t>ervices</w:t>
            </w:r>
            <w:r w:rsidRPr="002346D9">
              <w:t xml:space="preserve"> licensees.</w:t>
            </w:r>
          </w:p>
        </w:tc>
        <w:tc>
          <w:tcPr>
            <w:tcW w:w="1270" w:type="dxa"/>
            <w:tcBorders>
              <w:bottom w:val="single" w:sz="4" w:space="0" w:color="5D779D" w:themeColor="accent3"/>
            </w:tcBorders>
            <w:shd w:val="clear" w:color="auto" w:fill="DFE4EB"/>
          </w:tcPr>
          <w:p w14:paraId="615BB7A8" w14:textId="77777777" w:rsidR="002D45BF" w:rsidRPr="00301F93" w:rsidRDefault="002D45BF" w:rsidP="00301F93">
            <w:pPr>
              <w:pStyle w:val="TableTextLeft"/>
            </w:pPr>
          </w:p>
        </w:tc>
        <w:tc>
          <w:tcPr>
            <w:tcW w:w="1270" w:type="dxa"/>
            <w:tcBorders>
              <w:bottom w:val="single" w:sz="4" w:space="0" w:color="5D779D" w:themeColor="accent3"/>
            </w:tcBorders>
            <w:shd w:val="clear" w:color="auto" w:fill="DFE4EB"/>
          </w:tcPr>
          <w:p w14:paraId="16A19DAC" w14:textId="77777777" w:rsidR="002D45BF" w:rsidRPr="00301F93" w:rsidRDefault="002D45BF" w:rsidP="00301F93">
            <w:pPr>
              <w:pStyle w:val="TableTextLeft"/>
            </w:pPr>
          </w:p>
        </w:tc>
        <w:tc>
          <w:tcPr>
            <w:tcW w:w="1270" w:type="dxa"/>
            <w:tcBorders>
              <w:bottom w:val="single" w:sz="4" w:space="0" w:color="5D779D" w:themeColor="accent3"/>
            </w:tcBorders>
            <w:shd w:val="clear" w:color="auto" w:fill="DFE4EB"/>
          </w:tcPr>
          <w:p w14:paraId="512A89B4" w14:textId="76C0218E" w:rsidR="002D45BF" w:rsidRPr="00301F93" w:rsidRDefault="002D45BF" w:rsidP="00301F93">
            <w:pPr>
              <w:pStyle w:val="TableTextLeft"/>
            </w:pPr>
            <w:r w:rsidRPr="00301F93">
              <w:t>Report published</w:t>
            </w:r>
          </w:p>
        </w:tc>
        <w:tc>
          <w:tcPr>
            <w:tcW w:w="1270" w:type="dxa"/>
            <w:tcBorders>
              <w:bottom w:val="single" w:sz="4" w:space="0" w:color="5D779D" w:themeColor="accent3"/>
            </w:tcBorders>
            <w:shd w:val="clear" w:color="auto" w:fill="DFE4EB"/>
          </w:tcPr>
          <w:p w14:paraId="67F19D66" w14:textId="77777777" w:rsidR="002D45BF" w:rsidRPr="00301F93" w:rsidRDefault="002D45BF" w:rsidP="00301F93">
            <w:pPr>
              <w:pStyle w:val="TableTextLeft"/>
            </w:pPr>
          </w:p>
        </w:tc>
        <w:tc>
          <w:tcPr>
            <w:tcW w:w="1270" w:type="dxa"/>
            <w:tcBorders>
              <w:bottom w:val="single" w:sz="4" w:space="0" w:color="5D779D" w:themeColor="accent3"/>
            </w:tcBorders>
            <w:shd w:val="clear" w:color="auto" w:fill="EFF1F5"/>
          </w:tcPr>
          <w:p w14:paraId="3B30382F" w14:textId="77777777" w:rsidR="002D45BF" w:rsidRPr="002E4362" w:rsidRDefault="002D45BF" w:rsidP="002D45BF">
            <w:pPr>
              <w:pStyle w:val="TableTextLeft"/>
              <w:rPr>
                <w:rFonts w:cs="Calibri Light"/>
                <w:sz w:val="14"/>
                <w:szCs w:val="14"/>
              </w:rPr>
            </w:pPr>
          </w:p>
        </w:tc>
        <w:tc>
          <w:tcPr>
            <w:tcW w:w="1270" w:type="dxa"/>
            <w:tcBorders>
              <w:bottom w:val="single" w:sz="4" w:space="0" w:color="5D779D" w:themeColor="accent3"/>
            </w:tcBorders>
            <w:shd w:val="clear" w:color="auto" w:fill="EFF1F5"/>
          </w:tcPr>
          <w:p w14:paraId="43E82CA7" w14:textId="77777777" w:rsidR="002D45BF" w:rsidRPr="002E4362" w:rsidRDefault="002D45BF" w:rsidP="002D45BF">
            <w:pPr>
              <w:pStyle w:val="TableTextLeft"/>
              <w:rPr>
                <w:rFonts w:cs="Calibri Light"/>
                <w:sz w:val="14"/>
                <w:szCs w:val="14"/>
              </w:rPr>
            </w:pPr>
          </w:p>
        </w:tc>
      </w:tr>
      <w:tr w:rsidR="00442EED" w:rsidRPr="00AF43B7" w14:paraId="6A0A79E7" w14:textId="77777777" w:rsidTr="410CE694">
        <w:trPr>
          <w:cantSplit/>
          <w:trHeight w:val="410"/>
        </w:trPr>
        <w:tc>
          <w:tcPr>
            <w:tcW w:w="849" w:type="dxa"/>
            <w:tcBorders>
              <w:bottom w:val="single" w:sz="4" w:space="0" w:color="5D779D" w:themeColor="accent3"/>
            </w:tcBorders>
            <w:shd w:val="clear" w:color="auto" w:fill="auto"/>
          </w:tcPr>
          <w:p w14:paraId="684516B7" w14:textId="31A5538A" w:rsidR="008344CF" w:rsidRPr="002346D9" w:rsidRDefault="008344CF" w:rsidP="00097CAA">
            <w:pPr>
              <w:pStyle w:val="TableLeadAgency"/>
            </w:pPr>
            <w:r w:rsidRPr="00E7433A">
              <w:t>A</w:t>
            </w:r>
            <w:r>
              <w:t>SIC</w:t>
            </w:r>
          </w:p>
        </w:tc>
        <w:tc>
          <w:tcPr>
            <w:tcW w:w="1247" w:type="dxa"/>
            <w:tcBorders>
              <w:bottom w:val="single" w:sz="4" w:space="0" w:color="5D779D" w:themeColor="accent3"/>
            </w:tcBorders>
          </w:tcPr>
          <w:p w14:paraId="2E82B20C" w14:textId="77777777" w:rsidR="008344CF" w:rsidRDefault="008344CF" w:rsidP="008344CF">
            <w:pPr>
              <w:pStyle w:val="TableTextLeft"/>
            </w:pPr>
            <w:r>
              <w:t>Superannuation and retirement income</w:t>
            </w:r>
          </w:p>
          <w:p w14:paraId="66F532D3" w14:textId="77777777" w:rsidR="008344CF" w:rsidRDefault="008344CF" w:rsidP="008344CF">
            <w:pPr>
              <w:pStyle w:val="TableTextLeft"/>
            </w:pPr>
            <w:r>
              <w:t>Other</w:t>
            </w:r>
          </w:p>
          <w:p w14:paraId="3D855C12" w14:textId="77777777" w:rsidR="008344CF" w:rsidRPr="002346D9" w:rsidRDefault="008344CF" w:rsidP="008344CF">
            <w:pPr>
              <w:pStyle w:val="TableTextLeft"/>
            </w:pPr>
          </w:p>
        </w:tc>
        <w:tc>
          <w:tcPr>
            <w:tcW w:w="4286" w:type="dxa"/>
            <w:tcBorders>
              <w:bottom w:val="single" w:sz="4" w:space="0" w:color="5D779D" w:themeColor="accent3"/>
            </w:tcBorders>
          </w:tcPr>
          <w:p w14:paraId="67ABB8E5" w14:textId="77777777" w:rsidR="008344CF" w:rsidRPr="00301F93" w:rsidRDefault="008344CF" w:rsidP="00301F93">
            <w:pPr>
              <w:pStyle w:val="TableTextLeft"/>
              <w:rPr>
                <w:b/>
                <w:bCs/>
              </w:rPr>
            </w:pPr>
            <w:r w:rsidRPr="00301F93">
              <w:rPr>
                <w:b/>
                <w:bCs/>
              </w:rPr>
              <w:t xml:space="preserve">Financial reporting and audit surveillance </w:t>
            </w:r>
          </w:p>
          <w:p w14:paraId="41E106C7" w14:textId="7F6C281B" w:rsidR="008344CF" w:rsidRDefault="001E0387" w:rsidP="000C4FD5">
            <w:pPr>
              <w:pStyle w:val="TableTextLeft"/>
            </w:pPr>
            <w:r>
              <w:t>ASIC will c</w:t>
            </w:r>
            <w:r w:rsidRPr="00F07650">
              <w:t xml:space="preserve">onduct </w:t>
            </w:r>
            <w:r>
              <w:t>a surveillance of:</w:t>
            </w:r>
          </w:p>
          <w:p w14:paraId="70CDD51C" w14:textId="416EDF03" w:rsidR="008344CF" w:rsidRPr="00DC5331" w:rsidRDefault="008344CF" w:rsidP="00740C72">
            <w:pPr>
              <w:pStyle w:val="TableTextBullet"/>
            </w:pPr>
            <w:r w:rsidRPr="00DC5331">
              <w:t>financial reports of listed entities and superannuation funds and other public interest entities including previously grandfathered large proprietary companies on a risk basis</w:t>
            </w:r>
          </w:p>
          <w:p w14:paraId="237584B1" w14:textId="77777777" w:rsidR="008344CF" w:rsidRDefault="008344CF" w:rsidP="00740C72">
            <w:pPr>
              <w:pStyle w:val="TableTextBullet"/>
            </w:pPr>
            <w:r w:rsidRPr="00DC5331">
              <w:t>audit surveillances across audit firms, selected on a risk basis from the financial reports noted above.</w:t>
            </w:r>
          </w:p>
          <w:p w14:paraId="402A0677" w14:textId="6D4EE578" w:rsidR="008344CF" w:rsidRPr="001D2339" w:rsidRDefault="008344CF" w:rsidP="008344CF">
            <w:pPr>
              <w:pStyle w:val="TableTextLeft"/>
            </w:pPr>
            <w:r>
              <w:t>ASIC</w:t>
            </w:r>
            <w:r w:rsidR="0008745D">
              <w:t>’</w:t>
            </w:r>
            <w:r>
              <w:t>s findings will be published in a public report.</w:t>
            </w:r>
          </w:p>
        </w:tc>
        <w:tc>
          <w:tcPr>
            <w:tcW w:w="1270" w:type="dxa"/>
            <w:tcBorders>
              <w:bottom w:val="single" w:sz="4" w:space="0" w:color="5D779D" w:themeColor="accent3"/>
            </w:tcBorders>
            <w:shd w:val="clear" w:color="auto" w:fill="DFE4EB"/>
          </w:tcPr>
          <w:p w14:paraId="2746DA99" w14:textId="6DCA6BB1" w:rsidR="008344CF" w:rsidRPr="00301F93" w:rsidRDefault="008344CF" w:rsidP="00301F93">
            <w:pPr>
              <w:pStyle w:val="TableTextLeft"/>
            </w:pPr>
            <w:r w:rsidRPr="00301F93">
              <w:t xml:space="preserve">Compliance monitoring </w:t>
            </w:r>
          </w:p>
        </w:tc>
        <w:tc>
          <w:tcPr>
            <w:tcW w:w="1270" w:type="dxa"/>
            <w:tcBorders>
              <w:bottom w:val="single" w:sz="4" w:space="0" w:color="5D779D" w:themeColor="accent3"/>
            </w:tcBorders>
            <w:shd w:val="clear" w:color="auto" w:fill="DFE4EB"/>
          </w:tcPr>
          <w:p w14:paraId="643CF17A" w14:textId="0992565F" w:rsidR="008344CF" w:rsidRPr="00301F93" w:rsidRDefault="008344CF" w:rsidP="00301F93">
            <w:pPr>
              <w:pStyle w:val="TableTextLeft"/>
            </w:pPr>
            <w:r w:rsidRPr="00301F93">
              <w:t>Compliance monitoring</w:t>
            </w:r>
          </w:p>
        </w:tc>
        <w:tc>
          <w:tcPr>
            <w:tcW w:w="1270" w:type="dxa"/>
            <w:tcBorders>
              <w:bottom w:val="single" w:sz="4" w:space="0" w:color="5D779D" w:themeColor="accent3"/>
            </w:tcBorders>
            <w:shd w:val="clear" w:color="auto" w:fill="DFE4EB"/>
          </w:tcPr>
          <w:p w14:paraId="1108C39E" w14:textId="4E0831BC" w:rsidR="008344CF" w:rsidRPr="00301F93" w:rsidRDefault="008344CF" w:rsidP="00301F93">
            <w:pPr>
              <w:pStyle w:val="TableTextLeft"/>
            </w:pPr>
            <w:r w:rsidRPr="00301F93">
              <w:t>Compliance monitoring</w:t>
            </w:r>
          </w:p>
        </w:tc>
        <w:tc>
          <w:tcPr>
            <w:tcW w:w="1270" w:type="dxa"/>
            <w:tcBorders>
              <w:bottom w:val="single" w:sz="4" w:space="0" w:color="5D779D" w:themeColor="accent3"/>
            </w:tcBorders>
            <w:shd w:val="clear" w:color="auto" w:fill="DFE4EB"/>
          </w:tcPr>
          <w:p w14:paraId="18454643" w14:textId="2B68CE1E" w:rsidR="008344CF" w:rsidRPr="00301F93" w:rsidRDefault="008344CF" w:rsidP="00301F93">
            <w:pPr>
              <w:pStyle w:val="TableTextLeft"/>
            </w:pPr>
            <w:r w:rsidRPr="00301F93">
              <w:t>Report published</w:t>
            </w:r>
          </w:p>
        </w:tc>
        <w:tc>
          <w:tcPr>
            <w:tcW w:w="1270" w:type="dxa"/>
            <w:tcBorders>
              <w:bottom w:val="single" w:sz="4" w:space="0" w:color="5D779D" w:themeColor="accent3"/>
            </w:tcBorders>
            <w:shd w:val="clear" w:color="auto" w:fill="EFF1F5"/>
          </w:tcPr>
          <w:p w14:paraId="34A54538" w14:textId="77777777" w:rsidR="008344CF" w:rsidRPr="002E4362" w:rsidRDefault="008344CF" w:rsidP="008344CF">
            <w:pPr>
              <w:pStyle w:val="TableTextLeft"/>
              <w:rPr>
                <w:rFonts w:cs="Calibri Light"/>
                <w:sz w:val="14"/>
                <w:szCs w:val="14"/>
              </w:rPr>
            </w:pPr>
          </w:p>
        </w:tc>
        <w:tc>
          <w:tcPr>
            <w:tcW w:w="1270" w:type="dxa"/>
            <w:tcBorders>
              <w:bottom w:val="single" w:sz="4" w:space="0" w:color="5D779D" w:themeColor="accent3"/>
            </w:tcBorders>
            <w:shd w:val="clear" w:color="auto" w:fill="EFF1F5"/>
          </w:tcPr>
          <w:p w14:paraId="435D36C2" w14:textId="77777777" w:rsidR="008344CF" w:rsidRPr="002E4362" w:rsidRDefault="008344CF" w:rsidP="008344CF">
            <w:pPr>
              <w:pStyle w:val="TableTextLeft"/>
              <w:rPr>
                <w:rFonts w:cs="Calibri Light"/>
                <w:sz w:val="14"/>
                <w:szCs w:val="14"/>
              </w:rPr>
            </w:pPr>
          </w:p>
        </w:tc>
      </w:tr>
    </w:tbl>
    <w:p w14:paraId="6E20AC3E" w14:textId="77777777" w:rsidR="00A42B14" w:rsidRPr="00A42B14" w:rsidRDefault="00A42B14" w:rsidP="00A42B14"/>
    <w:p w14:paraId="2A9BCE02" w14:textId="77777777" w:rsidR="00A42B14" w:rsidRPr="00474645" w:rsidRDefault="00A42B14" w:rsidP="00474645">
      <w:r>
        <w:br w:type="page"/>
      </w:r>
    </w:p>
    <w:p w14:paraId="693D857F" w14:textId="6D21E692" w:rsidR="00B54CF6" w:rsidRPr="0031308C" w:rsidRDefault="00B54CF6" w:rsidP="00FC308B">
      <w:pPr>
        <w:pStyle w:val="Heading1Numbered"/>
      </w:pPr>
      <w:bookmarkStart w:id="40" w:name="_Toc183095616"/>
      <w:r w:rsidRPr="0031308C">
        <w:lastRenderedPageBreak/>
        <w:t xml:space="preserve">Review and </w:t>
      </w:r>
      <w:proofErr w:type="gramStart"/>
      <w:r w:rsidR="00AE5232">
        <w:t>e</w:t>
      </w:r>
      <w:r w:rsidRPr="00532C61">
        <w:t>valuation</w:t>
      </w:r>
      <w:bookmarkEnd w:id="40"/>
      <w:proofErr w:type="gramEnd"/>
    </w:p>
    <w:p w14:paraId="125E849D" w14:textId="38891F1D" w:rsidR="00D723F0" w:rsidRPr="003A5852" w:rsidRDefault="00B54CF6" w:rsidP="00B54CF6">
      <w:pPr>
        <w:rPr>
          <w:rFonts w:cs="Calibri Light"/>
          <w:szCs w:val="22"/>
        </w:rPr>
      </w:pPr>
      <w:r w:rsidRPr="00464DE7">
        <w:rPr>
          <w:rFonts w:cs="Calibri Light"/>
          <w:szCs w:val="22"/>
        </w:rPr>
        <w:t xml:space="preserve">This </w:t>
      </w:r>
      <w:r w:rsidR="00C734E8" w:rsidRPr="00464DE7">
        <w:rPr>
          <w:rFonts w:cs="Calibri Light"/>
          <w:szCs w:val="22"/>
        </w:rPr>
        <w:t>c</w:t>
      </w:r>
      <w:r w:rsidR="00C734E8">
        <w:rPr>
          <w:rFonts w:cs="Calibri Light"/>
          <w:szCs w:val="22"/>
        </w:rPr>
        <w:t>atego</w:t>
      </w:r>
      <w:r w:rsidR="00C734E8" w:rsidRPr="00464DE7">
        <w:rPr>
          <w:rFonts w:cs="Calibri Light"/>
          <w:szCs w:val="22"/>
        </w:rPr>
        <w:t>r</w:t>
      </w:r>
      <w:r w:rsidR="00C734E8">
        <w:rPr>
          <w:rFonts w:cs="Calibri Light"/>
          <w:szCs w:val="22"/>
        </w:rPr>
        <w:t>y</w:t>
      </w:r>
      <w:r w:rsidR="00C734E8" w:rsidRPr="00464DE7">
        <w:rPr>
          <w:rFonts w:cs="Calibri Light"/>
          <w:szCs w:val="22"/>
        </w:rPr>
        <w:t xml:space="preserve"> </w:t>
      </w:r>
      <w:r w:rsidRPr="00914F1E">
        <w:rPr>
          <w:rFonts w:cs="Calibri Light"/>
          <w:szCs w:val="22"/>
        </w:rPr>
        <w:t xml:space="preserve">includes </w:t>
      </w:r>
      <w:r w:rsidRPr="00914F1E">
        <w:rPr>
          <w:rFonts w:cs="Calibri Light"/>
          <w:b/>
          <w:bCs/>
          <w:szCs w:val="22"/>
        </w:rPr>
        <w:t>1</w:t>
      </w:r>
      <w:r w:rsidR="00C65C4A" w:rsidRPr="00914F1E">
        <w:rPr>
          <w:rFonts w:cs="Calibri Light"/>
          <w:b/>
          <w:bCs/>
          <w:szCs w:val="22"/>
        </w:rPr>
        <w:t>1</w:t>
      </w:r>
      <w:r w:rsidRPr="00914F1E">
        <w:rPr>
          <w:rFonts w:cs="Calibri Light"/>
          <w:szCs w:val="22"/>
        </w:rPr>
        <w:t xml:space="preserve"> initiatives</w:t>
      </w:r>
      <w:r w:rsidR="00F6016A">
        <w:rPr>
          <w:rFonts w:cs="Calibri Light"/>
          <w:szCs w:val="22"/>
        </w:rPr>
        <w:t>. The initiatives in this section</w:t>
      </w:r>
      <w:r>
        <w:rPr>
          <w:rFonts w:cs="Calibri Light"/>
          <w:szCs w:val="22"/>
        </w:rPr>
        <w:t xml:space="preserve"> </w:t>
      </w:r>
      <w:r w:rsidR="00F6016A">
        <w:rPr>
          <w:rFonts w:cs="Calibri Light"/>
          <w:szCs w:val="22"/>
        </w:rPr>
        <w:t xml:space="preserve">cover those </w:t>
      </w:r>
      <w:r w:rsidR="007F2998">
        <w:rPr>
          <w:rFonts w:cs="Calibri Light"/>
          <w:szCs w:val="22"/>
        </w:rPr>
        <w:t xml:space="preserve">that relate to </w:t>
      </w:r>
      <w:r w:rsidRPr="003A4A0E">
        <w:rPr>
          <w:rFonts w:cs="Calibri Light"/>
          <w:szCs w:val="22"/>
        </w:rPr>
        <w:t xml:space="preserve">the final stage of </w:t>
      </w:r>
      <w:r w:rsidR="00CC1A2D">
        <w:rPr>
          <w:rFonts w:cs="Calibri Light"/>
          <w:szCs w:val="22"/>
        </w:rPr>
        <w:t xml:space="preserve">the </w:t>
      </w:r>
      <w:r w:rsidRPr="003A4A0E">
        <w:rPr>
          <w:rFonts w:cs="Calibri Light"/>
          <w:szCs w:val="22"/>
        </w:rPr>
        <w:t>policy</w:t>
      </w:r>
      <w:r w:rsidR="00CC1A2D">
        <w:rPr>
          <w:rFonts w:cs="Calibri Light"/>
          <w:szCs w:val="22"/>
        </w:rPr>
        <w:t xml:space="preserve"> </w:t>
      </w:r>
      <w:r w:rsidR="00463A7B">
        <w:rPr>
          <w:rFonts w:cs="Calibri Light"/>
          <w:szCs w:val="22"/>
        </w:rPr>
        <w:t xml:space="preserve">development </w:t>
      </w:r>
      <w:r w:rsidR="00CC1A2D">
        <w:rPr>
          <w:rFonts w:cs="Calibri Light"/>
          <w:szCs w:val="22"/>
        </w:rPr>
        <w:t>cycle</w:t>
      </w:r>
      <w:r w:rsidRPr="003A4A0E">
        <w:rPr>
          <w:rFonts w:cs="Calibri Light"/>
          <w:szCs w:val="22"/>
        </w:rPr>
        <w:t xml:space="preserve">, </w:t>
      </w:r>
      <w:r w:rsidR="00CC1A2D">
        <w:rPr>
          <w:rFonts w:cs="Calibri Light"/>
          <w:szCs w:val="22"/>
        </w:rPr>
        <w:t xml:space="preserve">including </w:t>
      </w:r>
      <w:r>
        <w:rPr>
          <w:rFonts w:cs="Calibri Light"/>
          <w:szCs w:val="22"/>
        </w:rPr>
        <w:t>l</w:t>
      </w:r>
      <w:r w:rsidRPr="004039D3">
        <w:rPr>
          <w:rFonts w:cs="Calibri Light"/>
          <w:szCs w:val="22"/>
        </w:rPr>
        <w:t>egislative reviews</w:t>
      </w:r>
      <w:r>
        <w:rPr>
          <w:rFonts w:cs="Calibri Light"/>
          <w:szCs w:val="22"/>
        </w:rPr>
        <w:t>, p</w:t>
      </w:r>
      <w:r w:rsidRPr="004039D3">
        <w:rPr>
          <w:rFonts w:cs="Calibri Light"/>
          <w:szCs w:val="22"/>
        </w:rPr>
        <w:t>olicy reviews</w:t>
      </w:r>
      <w:r>
        <w:rPr>
          <w:rFonts w:cs="Calibri Light"/>
          <w:szCs w:val="22"/>
        </w:rPr>
        <w:t xml:space="preserve">, </w:t>
      </w:r>
      <w:r w:rsidR="00133E6E">
        <w:rPr>
          <w:rFonts w:cs="Calibri Light"/>
          <w:szCs w:val="22"/>
        </w:rPr>
        <w:t xml:space="preserve">reviews of </w:t>
      </w:r>
      <w:r w:rsidR="007333F8">
        <w:rPr>
          <w:rFonts w:cs="Calibri Light"/>
          <w:szCs w:val="22"/>
        </w:rPr>
        <w:t xml:space="preserve">existing </w:t>
      </w:r>
      <w:r w:rsidR="00133E6E">
        <w:rPr>
          <w:rFonts w:cs="Calibri Light"/>
          <w:szCs w:val="22"/>
        </w:rPr>
        <w:t xml:space="preserve">prudential standards, </w:t>
      </w:r>
      <w:r>
        <w:rPr>
          <w:rFonts w:cs="Calibri Light"/>
          <w:szCs w:val="22"/>
        </w:rPr>
        <w:t>g</w:t>
      </w:r>
      <w:r w:rsidRPr="004039D3">
        <w:rPr>
          <w:rFonts w:cs="Calibri Light"/>
          <w:szCs w:val="22"/>
        </w:rPr>
        <w:t>overnment</w:t>
      </w:r>
      <w:r w:rsidR="0008745D">
        <w:rPr>
          <w:rFonts w:cs="Calibri Light"/>
          <w:szCs w:val="22"/>
        </w:rPr>
        <w:noBreakHyphen/>
      </w:r>
      <w:r w:rsidRPr="004039D3">
        <w:rPr>
          <w:rFonts w:cs="Calibri Light"/>
          <w:szCs w:val="22"/>
        </w:rPr>
        <w:t>directed inquiries</w:t>
      </w:r>
      <w:r>
        <w:rPr>
          <w:rFonts w:cs="Calibri Light"/>
          <w:szCs w:val="22"/>
        </w:rPr>
        <w:t xml:space="preserve">, </w:t>
      </w:r>
      <w:proofErr w:type="gramStart"/>
      <w:r>
        <w:rPr>
          <w:rFonts w:cs="Calibri Light"/>
          <w:szCs w:val="22"/>
        </w:rPr>
        <w:t>a</w:t>
      </w:r>
      <w:r w:rsidRPr="004039D3">
        <w:rPr>
          <w:rFonts w:cs="Calibri Light"/>
          <w:szCs w:val="22"/>
        </w:rPr>
        <w:t>udits</w:t>
      </w:r>
      <w:proofErr w:type="gramEnd"/>
      <w:r>
        <w:rPr>
          <w:rFonts w:cs="Calibri Light"/>
          <w:szCs w:val="22"/>
        </w:rPr>
        <w:t xml:space="preserve"> and r</w:t>
      </w:r>
      <w:r w:rsidRPr="004039D3">
        <w:rPr>
          <w:rFonts w:cs="Calibri Light"/>
          <w:szCs w:val="22"/>
        </w:rPr>
        <w:t>eports</w:t>
      </w:r>
      <w:r>
        <w:rPr>
          <w:rFonts w:cs="Calibri Light"/>
          <w:szCs w:val="22"/>
        </w:rPr>
        <w:t>.</w:t>
      </w:r>
    </w:p>
    <w:p w14:paraId="26F87867" w14:textId="12A11CE9" w:rsidR="00D56AA2" w:rsidRPr="0098521C" w:rsidRDefault="00D56AA2" w:rsidP="00B54CF6">
      <w:pPr>
        <w:rPr>
          <w:rStyle w:val="Strong"/>
        </w:rPr>
      </w:pPr>
      <w:r w:rsidRPr="0098521C">
        <w:rPr>
          <w:rStyle w:val="Strong"/>
        </w:rPr>
        <w:t>Forward calendar</w:t>
      </w:r>
    </w:p>
    <w:tbl>
      <w:tblPr>
        <w:tblW w:w="5000" w:type="pct"/>
        <w:tblInd w:w="-1" w:type="dxa"/>
        <w:tblBorders>
          <w:bottom w:val="single" w:sz="4" w:space="0" w:color="90B6F0"/>
          <w:insideH w:val="single" w:sz="4" w:space="0" w:color="4D7861" w:themeColor="accent2"/>
          <w:insideV w:val="single" w:sz="4" w:space="0" w:color="FFFFFF" w:themeColor="background1"/>
        </w:tblBorders>
        <w:tblLayout w:type="fixed"/>
        <w:tblCellMar>
          <w:left w:w="85" w:type="dxa"/>
          <w:right w:w="85" w:type="dxa"/>
        </w:tblCellMar>
        <w:tblLook w:val="04A0" w:firstRow="1" w:lastRow="0" w:firstColumn="1" w:lastColumn="0" w:noHBand="0" w:noVBand="1"/>
      </w:tblPr>
      <w:tblGrid>
        <w:gridCol w:w="849"/>
        <w:gridCol w:w="1247"/>
        <w:gridCol w:w="4286"/>
        <w:gridCol w:w="1270"/>
        <w:gridCol w:w="1270"/>
        <w:gridCol w:w="1270"/>
        <w:gridCol w:w="1270"/>
        <w:gridCol w:w="1270"/>
        <w:gridCol w:w="1270"/>
      </w:tblGrid>
      <w:tr w:rsidR="007A74C9" w:rsidRPr="00AF43B7" w14:paraId="60A6EF44" w14:textId="77777777" w:rsidTr="10AAACD2">
        <w:trPr>
          <w:cantSplit/>
          <w:trHeight w:val="42"/>
          <w:tblHeader/>
        </w:trPr>
        <w:tc>
          <w:tcPr>
            <w:tcW w:w="849" w:type="dxa"/>
            <w:shd w:val="clear" w:color="auto" w:fill="B8C9C0"/>
            <w:hideMark/>
          </w:tcPr>
          <w:p w14:paraId="7D17FF89" w14:textId="77777777" w:rsidR="00CF2AA0" w:rsidRPr="00E7433A" w:rsidRDefault="00CF2AA0" w:rsidP="00A56D83">
            <w:pPr>
              <w:pStyle w:val="TableColumnHeadingLeft"/>
            </w:pPr>
            <w:r w:rsidRPr="00E7433A">
              <w:t>Agency </w:t>
            </w:r>
          </w:p>
        </w:tc>
        <w:tc>
          <w:tcPr>
            <w:tcW w:w="1247" w:type="dxa"/>
            <w:shd w:val="clear" w:color="auto" w:fill="B8C9C0"/>
          </w:tcPr>
          <w:p w14:paraId="1CB31E16" w14:textId="77777777" w:rsidR="00CF2AA0" w:rsidRPr="00AF43B7" w:rsidRDefault="00CF2AA0" w:rsidP="00A56D83">
            <w:pPr>
              <w:pStyle w:val="TableColumnHeadingLeft"/>
            </w:pPr>
            <w:r>
              <w:t>Sector</w:t>
            </w:r>
          </w:p>
        </w:tc>
        <w:tc>
          <w:tcPr>
            <w:tcW w:w="4286" w:type="dxa"/>
            <w:shd w:val="clear" w:color="auto" w:fill="B8C9C0"/>
          </w:tcPr>
          <w:p w14:paraId="7AB5DA0D" w14:textId="744812ED" w:rsidR="00CF2AA0" w:rsidRPr="00AF43B7" w:rsidRDefault="00CF2AA0" w:rsidP="00A56D83">
            <w:pPr>
              <w:pStyle w:val="TableColumnHeadingLeft"/>
            </w:pPr>
            <w:r w:rsidRPr="00AF43B7">
              <w:t>Initiative </w:t>
            </w:r>
          </w:p>
        </w:tc>
        <w:tc>
          <w:tcPr>
            <w:tcW w:w="1270" w:type="dxa"/>
            <w:shd w:val="clear" w:color="auto" w:fill="B8C9C0"/>
            <w:hideMark/>
          </w:tcPr>
          <w:p w14:paraId="2D7B217B" w14:textId="4C2CC1AF" w:rsidR="00CF2AA0" w:rsidRPr="00AF43B7" w:rsidRDefault="00CF2AA0" w:rsidP="00A56D83">
            <w:pPr>
              <w:pStyle w:val="TableColumnHeadingLeft"/>
            </w:pPr>
            <w:r w:rsidRPr="00AF43B7">
              <w:t>Q1 2025</w:t>
            </w:r>
            <w:r w:rsidR="008B4077">
              <w:t xml:space="preserve"> </w:t>
            </w:r>
            <w:r w:rsidR="008B4077" w:rsidRPr="004E39D5">
              <w:t>activity</w:t>
            </w:r>
          </w:p>
        </w:tc>
        <w:tc>
          <w:tcPr>
            <w:tcW w:w="1270" w:type="dxa"/>
            <w:shd w:val="clear" w:color="auto" w:fill="B8C9C0"/>
          </w:tcPr>
          <w:p w14:paraId="67C02FCB" w14:textId="5E514823" w:rsidR="00CF2AA0" w:rsidRPr="00AF43B7" w:rsidRDefault="00CF2AA0" w:rsidP="00A56D83">
            <w:pPr>
              <w:pStyle w:val="TableColumnHeadingLeft"/>
            </w:pPr>
            <w:r w:rsidRPr="00AF43B7">
              <w:t>Q2 2025</w:t>
            </w:r>
            <w:r w:rsidR="008B4077">
              <w:t xml:space="preserve"> </w:t>
            </w:r>
            <w:r w:rsidR="008B4077" w:rsidRPr="004E39D5">
              <w:t>activity</w:t>
            </w:r>
          </w:p>
        </w:tc>
        <w:tc>
          <w:tcPr>
            <w:tcW w:w="1270" w:type="dxa"/>
            <w:shd w:val="clear" w:color="auto" w:fill="B8C9C0"/>
          </w:tcPr>
          <w:p w14:paraId="52F65CDB" w14:textId="2D46AB29" w:rsidR="00CF2AA0" w:rsidRPr="00AF43B7" w:rsidRDefault="00CF2AA0" w:rsidP="00A56D83">
            <w:pPr>
              <w:pStyle w:val="TableColumnHeadingLeft"/>
            </w:pPr>
            <w:r w:rsidRPr="00AF43B7">
              <w:t>Q3 2025</w:t>
            </w:r>
            <w:r w:rsidR="008B4077">
              <w:t xml:space="preserve"> </w:t>
            </w:r>
            <w:r w:rsidR="008B4077" w:rsidRPr="004E39D5">
              <w:t>activity</w:t>
            </w:r>
          </w:p>
        </w:tc>
        <w:tc>
          <w:tcPr>
            <w:tcW w:w="1270" w:type="dxa"/>
            <w:shd w:val="clear" w:color="auto" w:fill="B8C9C0"/>
          </w:tcPr>
          <w:p w14:paraId="50551CCB" w14:textId="2790671A" w:rsidR="00CF2AA0" w:rsidRPr="00AF43B7" w:rsidRDefault="00CF2AA0" w:rsidP="00A56D83">
            <w:pPr>
              <w:pStyle w:val="TableColumnHeadingLeft"/>
            </w:pPr>
            <w:r w:rsidRPr="00AF43B7">
              <w:t>Q4 2025</w:t>
            </w:r>
            <w:r w:rsidR="008B4077">
              <w:t xml:space="preserve"> </w:t>
            </w:r>
            <w:r w:rsidR="008B4077" w:rsidRPr="004E39D5">
              <w:t>activity</w:t>
            </w:r>
          </w:p>
        </w:tc>
        <w:tc>
          <w:tcPr>
            <w:tcW w:w="1270" w:type="dxa"/>
            <w:shd w:val="clear" w:color="auto" w:fill="B8C9C0"/>
          </w:tcPr>
          <w:p w14:paraId="6C3E6C6A" w14:textId="25BB0869" w:rsidR="00CF2AA0" w:rsidRPr="00AF43B7" w:rsidRDefault="00CF2AA0" w:rsidP="00A56D83">
            <w:pPr>
              <w:pStyle w:val="TableColumnHeadingLeft"/>
            </w:pPr>
            <w:r w:rsidRPr="00AF43B7">
              <w:t>H1 2026</w:t>
            </w:r>
            <w:r w:rsidR="008B4077">
              <w:t xml:space="preserve"> </w:t>
            </w:r>
            <w:r w:rsidR="008B4077" w:rsidRPr="004E39D5">
              <w:t>activity</w:t>
            </w:r>
          </w:p>
        </w:tc>
        <w:tc>
          <w:tcPr>
            <w:tcW w:w="1270" w:type="dxa"/>
            <w:shd w:val="clear" w:color="auto" w:fill="B8C9C0"/>
          </w:tcPr>
          <w:p w14:paraId="31D20217" w14:textId="4FAC19F4" w:rsidR="00CF2AA0" w:rsidRPr="00AF43B7" w:rsidRDefault="00CF2AA0" w:rsidP="00A56D83">
            <w:pPr>
              <w:pStyle w:val="TableColumnHeadingLeft"/>
            </w:pPr>
            <w:r w:rsidRPr="00AF43B7">
              <w:t>H2 2026</w:t>
            </w:r>
            <w:r w:rsidR="008B4077">
              <w:t xml:space="preserve"> </w:t>
            </w:r>
            <w:r w:rsidR="008B4077" w:rsidRPr="004E39D5">
              <w:t>activity</w:t>
            </w:r>
          </w:p>
        </w:tc>
      </w:tr>
      <w:tr w:rsidR="007A74C9" w:rsidRPr="00AF43B7" w14:paraId="1C9CA498" w14:textId="77777777" w:rsidTr="10AAACD2">
        <w:trPr>
          <w:cantSplit/>
          <w:trHeight w:val="410"/>
        </w:trPr>
        <w:tc>
          <w:tcPr>
            <w:tcW w:w="849" w:type="dxa"/>
            <w:shd w:val="clear" w:color="auto" w:fill="auto"/>
          </w:tcPr>
          <w:p w14:paraId="28597A02" w14:textId="6B7E40F4" w:rsidR="001B0EEC" w:rsidRPr="00E7433A" w:rsidRDefault="001B0EEC" w:rsidP="00760C4A">
            <w:pPr>
              <w:pStyle w:val="TableLeadAgency"/>
            </w:pPr>
            <w:r>
              <w:t>TSY</w:t>
            </w:r>
          </w:p>
        </w:tc>
        <w:tc>
          <w:tcPr>
            <w:tcW w:w="1247" w:type="dxa"/>
          </w:tcPr>
          <w:p w14:paraId="0BAA6B9B" w14:textId="658EBE8F" w:rsidR="001B0EEC" w:rsidRPr="00301F93" w:rsidRDefault="001B0EEC" w:rsidP="00301F93">
            <w:pPr>
              <w:pStyle w:val="TableTextLeft"/>
            </w:pPr>
            <w:r w:rsidRPr="00301F93">
              <w:t>All</w:t>
            </w:r>
          </w:p>
        </w:tc>
        <w:tc>
          <w:tcPr>
            <w:tcW w:w="4286" w:type="dxa"/>
          </w:tcPr>
          <w:p w14:paraId="30315FC6" w14:textId="77777777" w:rsidR="001B0EEC" w:rsidRPr="006031D2" w:rsidRDefault="001B0EEC" w:rsidP="006031D2">
            <w:pPr>
              <w:pStyle w:val="TableTextLeft"/>
              <w:rPr>
                <w:b/>
                <w:bCs/>
              </w:rPr>
            </w:pPr>
            <w:r w:rsidRPr="006031D2">
              <w:rPr>
                <w:b/>
                <w:bCs/>
              </w:rPr>
              <w:t>Review of the 2020 Foreign Investment reforms</w:t>
            </w:r>
          </w:p>
          <w:p w14:paraId="23EEDAB9" w14:textId="668EA4BB" w:rsidR="001B0EEC" w:rsidRPr="004971E4" w:rsidRDefault="001B0EEC" w:rsidP="004971E4">
            <w:pPr>
              <w:pStyle w:val="TableTextLeft"/>
              <w:rPr>
                <w:b/>
              </w:rPr>
            </w:pPr>
            <w:r w:rsidRPr="00EA4063">
              <w:t>Treasury will undertake a post</w:t>
            </w:r>
            <w:r w:rsidR="0008745D">
              <w:rPr>
                <w:b/>
              </w:rPr>
              <w:noBreakHyphen/>
            </w:r>
            <w:r w:rsidRPr="00EA4063">
              <w:t>implementation review</w:t>
            </w:r>
            <w:r>
              <w:t xml:space="preserve"> </w:t>
            </w:r>
            <w:r w:rsidRPr="00EA4063">
              <w:t xml:space="preserve">to evaluate the effectiveness of the 2020 Foreign Investment reforms. </w:t>
            </w:r>
          </w:p>
        </w:tc>
        <w:tc>
          <w:tcPr>
            <w:tcW w:w="1270" w:type="dxa"/>
            <w:shd w:val="clear" w:color="auto" w:fill="DBE4DF"/>
          </w:tcPr>
          <w:p w14:paraId="1D49B4A4" w14:textId="77777777" w:rsidR="001B0EEC" w:rsidRPr="00301F93" w:rsidRDefault="001B0EEC" w:rsidP="00301F93">
            <w:pPr>
              <w:pStyle w:val="TableTextLeft"/>
            </w:pPr>
          </w:p>
        </w:tc>
        <w:tc>
          <w:tcPr>
            <w:tcW w:w="1270" w:type="dxa"/>
            <w:shd w:val="clear" w:color="auto" w:fill="DBE4DF"/>
          </w:tcPr>
          <w:p w14:paraId="2FA3AB5B" w14:textId="77777777" w:rsidR="001B0EEC" w:rsidRPr="00301F93" w:rsidRDefault="001B0EEC" w:rsidP="00301F93">
            <w:pPr>
              <w:pStyle w:val="TableTextLeft"/>
            </w:pPr>
          </w:p>
        </w:tc>
        <w:tc>
          <w:tcPr>
            <w:tcW w:w="1270" w:type="dxa"/>
            <w:shd w:val="clear" w:color="auto" w:fill="DBE4DF"/>
          </w:tcPr>
          <w:p w14:paraId="34F1893E" w14:textId="77777777" w:rsidR="001B0EEC" w:rsidRPr="00301F93" w:rsidRDefault="001B0EEC" w:rsidP="00301F93">
            <w:pPr>
              <w:pStyle w:val="TableTextLeft"/>
            </w:pPr>
          </w:p>
        </w:tc>
        <w:tc>
          <w:tcPr>
            <w:tcW w:w="1270" w:type="dxa"/>
            <w:shd w:val="clear" w:color="auto" w:fill="DBE4DF"/>
          </w:tcPr>
          <w:p w14:paraId="312AD86E" w14:textId="28AFE486" w:rsidR="001B0EEC" w:rsidRPr="00301F93" w:rsidRDefault="001B0EEC" w:rsidP="00301F93">
            <w:pPr>
              <w:pStyle w:val="TableTextLeft"/>
            </w:pPr>
            <w:r w:rsidRPr="00301F93">
              <w:t>P</w:t>
            </w:r>
            <w:r w:rsidR="00136D26" w:rsidRPr="00301F93">
              <w:t>ost</w:t>
            </w:r>
            <w:r w:rsidR="0008745D" w:rsidRPr="00301F93">
              <w:noBreakHyphen/>
            </w:r>
            <w:r w:rsidR="00136D26" w:rsidRPr="00301F93">
              <w:t>implementation review</w:t>
            </w:r>
            <w:r w:rsidRPr="00301F93">
              <w:t xml:space="preserve"> complete</w:t>
            </w:r>
          </w:p>
        </w:tc>
        <w:tc>
          <w:tcPr>
            <w:tcW w:w="1270" w:type="dxa"/>
            <w:shd w:val="clear" w:color="auto" w:fill="EDF2EF"/>
          </w:tcPr>
          <w:p w14:paraId="53BDC3AF" w14:textId="77777777" w:rsidR="001B0EEC" w:rsidRPr="00301F93" w:rsidRDefault="001B0EEC" w:rsidP="00301F93">
            <w:pPr>
              <w:pStyle w:val="TableTextLeft"/>
            </w:pPr>
          </w:p>
        </w:tc>
        <w:tc>
          <w:tcPr>
            <w:tcW w:w="1270" w:type="dxa"/>
            <w:shd w:val="clear" w:color="auto" w:fill="EDF2EF"/>
          </w:tcPr>
          <w:p w14:paraId="3208F49B" w14:textId="77777777" w:rsidR="001B0EEC" w:rsidRPr="00301F93" w:rsidRDefault="001B0EEC" w:rsidP="00301F93">
            <w:pPr>
              <w:pStyle w:val="TableTextLeft"/>
            </w:pPr>
          </w:p>
        </w:tc>
      </w:tr>
      <w:tr w:rsidR="007A74C9" w:rsidRPr="00AF43B7" w14:paraId="3EFA984B" w14:textId="77777777" w:rsidTr="00A05162">
        <w:trPr>
          <w:cantSplit/>
          <w:trHeight w:val="410"/>
        </w:trPr>
        <w:tc>
          <w:tcPr>
            <w:tcW w:w="849" w:type="dxa"/>
            <w:tcBorders>
              <w:bottom w:val="single" w:sz="4" w:space="0" w:color="4D7861" w:themeColor="accent2"/>
            </w:tcBorders>
            <w:shd w:val="clear" w:color="auto" w:fill="auto"/>
          </w:tcPr>
          <w:p w14:paraId="553A9873" w14:textId="1FB08D79" w:rsidR="00BF4D8E" w:rsidRPr="00E7433A" w:rsidRDefault="00E61B05" w:rsidP="00760C4A">
            <w:pPr>
              <w:pStyle w:val="TableLeadAgency"/>
            </w:pPr>
            <w:r w:rsidRPr="00E7433A">
              <w:t xml:space="preserve">TSY </w:t>
            </w:r>
          </w:p>
          <w:p w14:paraId="2077FD0D" w14:textId="6C723302" w:rsidR="006B7C1C" w:rsidRDefault="006B7C1C" w:rsidP="00760C4A">
            <w:pPr>
              <w:pStyle w:val="TableSecondaryAgency"/>
            </w:pPr>
            <w:r>
              <w:t>ACCC</w:t>
            </w:r>
          </w:p>
          <w:p w14:paraId="349DC01C" w14:textId="77777777" w:rsidR="00E61B05" w:rsidRPr="00E7433A" w:rsidRDefault="00E61B05" w:rsidP="00760C4A">
            <w:pPr>
              <w:pStyle w:val="TableSecondaryAgency"/>
            </w:pPr>
            <w:r w:rsidRPr="00E7433A">
              <w:t>ASIC</w:t>
            </w:r>
          </w:p>
          <w:p w14:paraId="19A20C75" w14:textId="77777777" w:rsidR="00985DC9" w:rsidRPr="00E7433A" w:rsidRDefault="00E61B05" w:rsidP="00760C4A">
            <w:pPr>
              <w:pStyle w:val="TableSecondaryAgency"/>
            </w:pPr>
            <w:r w:rsidRPr="00E7433A">
              <w:t>APRA</w:t>
            </w:r>
          </w:p>
          <w:p w14:paraId="7F35E568" w14:textId="3FF32929" w:rsidR="00CF2AA0" w:rsidRPr="00E7433A" w:rsidRDefault="00985DC9" w:rsidP="00760C4A">
            <w:pPr>
              <w:pStyle w:val="TableSecondaryAgency"/>
              <w:rPr>
                <w:b/>
              </w:rPr>
            </w:pPr>
            <w:r w:rsidRPr="00E7433A">
              <w:t>RBA</w:t>
            </w:r>
            <w:r w:rsidR="00E61B05" w:rsidRPr="00E7433A" w:rsidDel="00C65C4A">
              <w:rPr>
                <w:b/>
                <w:color w:val="0070C0"/>
              </w:rPr>
              <w:t xml:space="preserve"> </w:t>
            </w:r>
          </w:p>
        </w:tc>
        <w:tc>
          <w:tcPr>
            <w:tcW w:w="1247" w:type="dxa"/>
            <w:tcBorders>
              <w:bottom w:val="single" w:sz="4" w:space="0" w:color="4D7861" w:themeColor="accent2"/>
            </w:tcBorders>
          </w:tcPr>
          <w:p w14:paraId="51AEC197" w14:textId="45C5003A" w:rsidR="00CF2AA0" w:rsidRPr="00301F93" w:rsidRDefault="000F014C" w:rsidP="00301F93">
            <w:pPr>
              <w:pStyle w:val="TableTextLeft"/>
            </w:pPr>
            <w:r w:rsidRPr="00301F93">
              <w:t xml:space="preserve">Banking, </w:t>
            </w:r>
            <w:proofErr w:type="gramStart"/>
            <w:r w:rsidRPr="00301F93">
              <w:t>credit</w:t>
            </w:r>
            <w:proofErr w:type="gramEnd"/>
            <w:r w:rsidRPr="00301F93">
              <w:t xml:space="preserve"> and lending</w:t>
            </w:r>
          </w:p>
        </w:tc>
        <w:tc>
          <w:tcPr>
            <w:tcW w:w="4286" w:type="dxa"/>
            <w:tcBorders>
              <w:bottom w:val="single" w:sz="4" w:space="0" w:color="4D7861" w:themeColor="accent2"/>
            </w:tcBorders>
          </w:tcPr>
          <w:p w14:paraId="0C43BFA5" w14:textId="425A1BAA" w:rsidR="00913991" w:rsidRPr="000A4B96" w:rsidRDefault="001D4D7F" w:rsidP="00BC3DBA">
            <w:pPr>
              <w:pStyle w:val="TableLink"/>
              <w:rPr>
                <w:u w:val="single"/>
              </w:rPr>
            </w:pPr>
            <w:hyperlink r:id="rId90" w:history="1">
              <w:r w:rsidR="00913991" w:rsidRPr="000A4B96">
                <w:rPr>
                  <w:rStyle w:val="Hyperlink"/>
                  <w:b/>
                  <w:u w:val="single"/>
                </w:rPr>
                <w:t>Council of Financial Regulators Review into small and medium sized banks</w:t>
              </w:r>
            </w:hyperlink>
          </w:p>
          <w:p w14:paraId="75949D03" w14:textId="770C8A02" w:rsidR="007A05D0" w:rsidRPr="000C4FD5" w:rsidRDefault="00C64813" w:rsidP="000C4FD5">
            <w:pPr>
              <w:pStyle w:val="TableTextLeft"/>
            </w:pPr>
            <w:r w:rsidRPr="000C4FD5">
              <w:t xml:space="preserve">The Council of Financial Regulators in conjunction with the ACCC is conducting a review into how competition and dynamism can be better supported in the small and medium sized banking sectors, as well as steps that may be taken to ensure increased proportionality and balance (between competition, </w:t>
            </w:r>
            <w:proofErr w:type="gramStart"/>
            <w:r w:rsidRPr="000C4FD5">
              <w:t>innovation</w:t>
            </w:r>
            <w:proofErr w:type="gramEnd"/>
            <w:r w:rsidRPr="000C4FD5">
              <w:t xml:space="preserve"> and stability objectives) in regulation.</w:t>
            </w:r>
          </w:p>
          <w:p w14:paraId="5F2FEC79" w14:textId="52739E98" w:rsidR="0059667B" w:rsidRPr="00983D4A" w:rsidRDefault="00913991" w:rsidP="0059667B">
            <w:pPr>
              <w:pStyle w:val="TableTextLeft"/>
            </w:pPr>
            <w:r w:rsidRPr="000C4FD5">
              <w:t>The review</w:t>
            </w:r>
            <w:r w:rsidRPr="009A3724">
              <w:t xml:space="preserve"> was announced on 15</w:t>
            </w:r>
            <w:r w:rsidR="005B1D54">
              <w:t> </w:t>
            </w:r>
            <w:r w:rsidRPr="009A3724">
              <w:t>June</w:t>
            </w:r>
            <w:r w:rsidR="005B1D54">
              <w:t> </w:t>
            </w:r>
            <w:r w:rsidRPr="009A3724">
              <w:t>2024 and is due to report by 1</w:t>
            </w:r>
            <w:r w:rsidR="00C34EBE">
              <w:t> </w:t>
            </w:r>
            <w:r w:rsidRPr="009A3724">
              <w:t>July</w:t>
            </w:r>
            <w:r w:rsidR="00C34EBE">
              <w:t> </w:t>
            </w:r>
            <w:r w:rsidRPr="009A3724">
              <w:t>2025.</w:t>
            </w:r>
            <w:r w:rsidR="00923B7E">
              <w:rPr>
                <w:rFonts w:cs="Calibri Light"/>
                <w:color w:val="00B050"/>
                <w:szCs w:val="16"/>
              </w:rPr>
              <w:t xml:space="preserve"> </w:t>
            </w:r>
          </w:p>
        </w:tc>
        <w:tc>
          <w:tcPr>
            <w:tcW w:w="1270" w:type="dxa"/>
            <w:tcBorders>
              <w:bottom w:val="single" w:sz="4" w:space="0" w:color="4D7861" w:themeColor="accent2"/>
            </w:tcBorders>
            <w:shd w:val="clear" w:color="auto" w:fill="DBE4DF"/>
          </w:tcPr>
          <w:p w14:paraId="4C8FD9D0" w14:textId="7D4AAE38" w:rsidR="00CF2AA0" w:rsidRPr="00301F93" w:rsidRDefault="00237916" w:rsidP="00301F93">
            <w:pPr>
              <w:pStyle w:val="TableTextLeft"/>
            </w:pPr>
            <w:r w:rsidRPr="00301F93">
              <w:t>Consultation</w:t>
            </w:r>
          </w:p>
        </w:tc>
        <w:tc>
          <w:tcPr>
            <w:tcW w:w="1270" w:type="dxa"/>
            <w:tcBorders>
              <w:bottom w:val="single" w:sz="4" w:space="0" w:color="4D7861" w:themeColor="accent2"/>
            </w:tcBorders>
            <w:shd w:val="clear" w:color="auto" w:fill="DBE4DF"/>
          </w:tcPr>
          <w:p w14:paraId="45A3E411" w14:textId="77777777" w:rsidR="00CF2AA0" w:rsidRPr="00301F93" w:rsidRDefault="00CF2AA0" w:rsidP="00301F93">
            <w:pPr>
              <w:pStyle w:val="TableTextLeft"/>
            </w:pPr>
          </w:p>
        </w:tc>
        <w:tc>
          <w:tcPr>
            <w:tcW w:w="1270" w:type="dxa"/>
            <w:tcBorders>
              <w:bottom w:val="single" w:sz="4" w:space="0" w:color="4D7861" w:themeColor="accent2"/>
            </w:tcBorders>
            <w:shd w:val="clear" w:color="auto" w:fill="DBE4DF"/>
          </w:tcPr>
          <w:p w14:paraId="3B714268" w14:textId="409BC47F" w:rsidR="00CF2AA0" w:rsidRPr="00301F93" w:rsidRDefault="00343B7D" w:rsidP="00301F93">
            <w:pPr>
              <w:pStyle w:val="TableTextLeft"/>
            </w:pPr>
            <w:r w:rsidRPr="00301F93">
              <w:t>Final report due</w:t>
            </w:r>
          </w:p>
        </w:tc>
        <w:tc>
          <w:tcPr>
            <w:tcW w:w="1270" w:type="dxa"/>
            <w:tcBorders>
              <w:bottom w:val="single" w:sz="4" w:space="0" w:color="4D7861" w:themeColor="accent2"/>
            </w:tcBorders>
            <w:shd w:val="clear" w:color="auto" w:fill="DBE4DF"/>
          </w:tcPr>
          <w:p w14:paraId="030D6EA5" w14:textId="77777777" w:rsidR="00CF2AA0" w:rsidRPr="00301F93" w:rsidRDefault="00CF2AA0" w:rsidP="00301F93">
            <w:pPr>
              <w:pStyle w:val="TableTextLeft"/>
            </w:pPr>
          </w:p>
        </w:tc>
        <w:tc>
          <w:tcPr>
            <w:tcW w:w="1270" w:type="dxa"/>
            <w:tcBorders>
              <w:bottom w:val="single" w:sz="4" w:space="0" w:color="4D7861" w:themeColor="accent2"/>
            </w:tcBorders>
            <w:shd w:val="clear" w:color="auto" w:fill="EDF2EF"/>
          </w:tcPr>
          <w:p w14:paraId="355A61C5" w14:textId="32CE08B7" w:rsidR="00CF2AA0" w:rsidRPr="00301F93" w:rsidRDefault="00CF2AA0" w:rsidP="00301F93">
            <w:pPr>
              <w:pStyle w:val="TableTextLeft"/>
            </w:pPr>
          </w:p>
        </w:tc>
        <w:tc>
          <w:tcPr>
            <w:tcW w:w="1270" w:type="dxa"/>
            <w:tcBorders>
              <w:bottom w:val="single" w:sz="4" w:space="0" w:color="4D7861" w:themeColor="accent2"/>
            </w:tcBorders>
            <w:shd w:val="clear" w:color="auto" w:fill="EDF2EF"/>
          </w:tcPr>
          <w:p w14:paraId="67659463" w14:textId="25312063" w:rsidR="00CF2AA0" w:rsidRPr="00301F93" w:rsidRDefault="00CF2AA0" w:rsidP="00301F93">
            <w:pPr>
              <w:pStyle w:val="TableTextLeft"/>
            </w:pPr>
          </w:p>
        </w:tc>
      </w:tr>
      <w:tr w:rsidR="007A74C9" w:rsidRPr="00AF43B7" w14:paraId="3A9C1453" w14:textId="77777777" w:rsidTr="00A05162">
        <w:trPr>
          <w:cantSplit/>
          <w:trHeight w:val="410"/>
        </w:trPr>
        <w:tc>
          <w:tcPr>
            <w:tcW w:w="849" w:type="dxa"/>
            <w:tcBorders>
              <w:top w:val="single" w:sz="4" w:space="0" w:color="4D7861" w:themeColor="accent2"/>
              <w:bottom w:val="single" w:sz="4" w:space="0" w:color="4D7861" w:themeColor="accent2"/>
            </w:tcBorders>
            <w:shd w:val="clear" w:color="auto" w:fill="auto"/>
          </w:tcPr>
          <w:p w14:paraId="619D9ADF" w14:textId="399D753F" w:rsidR="00C963BC" w:rsidRPr="00E7433A" w:rsidRDefault="00C963BC" w:rsidP="00760C4A">
            <w:pPr>
              <w:pStyle w:val="TableLeadAgency"/>
            </w:pPr>
            <w:r w:rsidRPr="009C4097">
              <w:t>APRA</w:t>
            </w:r>
          </w:p>
        </w:tc>
        <w:tc>
          <w:tcPr>
            <w:tcW w:w="1247" w:type="dxa"/>
            <w:tcBorders>
              <w:top w:val="single" w:sz="4" w:space="0" w:color="4D7861" w:themeColor="accent2"/>
              <w:bottom w:val="single" w:sz="4" w:space="0" w:color="4D7861" w:themeColor="accent2"/>
            </w:tcBorders>
          </w:tcPr>
          <w:p w14:paraId="764B3EB7" w14:textId="68A7C415" w:rsidR="00C963BC" w:rsidRPr="00301F93" w:rsidRDefault="00C963BC" w:rsidP="00301F93">
            <w:pPr>
              <w:pStyle w:val="TableTextLeft"/>
            </w:pPr>
            <w:r w:rsidRPr="00301F93">
              <w:t xml:space="preserve">Banking, </w:t>
            </w:r>
            <w:proofErr w:type="gramStart"/>
            <w:r w:rsidRPr="00301F93">
              <w:t>credit</w:t>
            </w:r>
            <w:proofErr w:type="gramEnd"/>
            <w:r w:rsidRPr="00301F93">
              <w:t xml:space="preserve"> and lending</w:t>
            </w:r>
          </w:p>
        </w:tc>
        <w:tc>
          <w:tcPr>
            <w:tcW w:w="4286" w:type="dxa"/>
            <w:tcBorders>
              <w:top w:val="single" w:sz="4" w:space="0" w:color="4D7861" w:themeColor="accent2"/>
              <w:bottom w:val="single" w:sz="4" w:space="0" w:color="4D7861" w:themeColor="accent2"/>
            </w:tcBorders>
          </w:tcPr>
          <w:p w14:paraId="071A3D70" w14:textId="77777777" w:rsidR="00C963BC" w:rsidRPr="009A5125" w:rsidRDefault="00C963BC" w:rsidP="00C963BC">
            <w:pPr>
              <w:pStyle w:val="TableTextLeft"/>
              <w:rPr>
                <w:b/>
                <w:bCs/>
              </w:rPr>
            </w:pPr>
            <w:r w:rsidRPr="009A5125">
              <w:rPr>
                <w:b/>
                <w:bCs/>
              </w:rPr>
              <w:t xml:space="preserve">Develop formal licensing </w:t>
            </w:r>
            <w:proofErr w:type="gramStart"/>
            <w:r w:rsidRPr="009A5125">
              <w:rPr>
                <w:b/>
                <w:bCs/>
              </w:rPr>
              <w:t>criteria</w:t>
            </w:r>
            <w:proofErr w:type="gramEnd"/>
          </w:p>
          <w:p w14:paraId="3FB1ED4A" w14:textId="4A4898EC" w:rsidR="00C963BC" w:rsidRPr="00DD1FD7" w:rsidRDefault="00C963BC" w:rsidP="00C963BC">
            <w:pPr>
              <w:pStyle w:val="TableTextLeft"/>
            </w:pPr>
            <w:r w:rsidRPr="009A3724">
              <w:t xml:space="preserve">APRA will review its licensing framework for banks, to support greater clarity and efficiency in </w:t>
            </w:r>
            <w:r>
              <w:t>banks</w:t>
            </w:r>
            <w:r w:rsidR="0008745D">
              <w:t>’</w:t>
            </w:r>
            <w:r w:rsidRPr="009A3724">
              <w:t xml:space="preserve"> licensing process</w:t>
            </w:r>
            <w:r>
              <w:t>es.</w:t>
            </w:r>
          </w:p>
        </w:tc>
        <w:tc>
          <w:tcPr>
            <w:tcW w:w="1270" w:type="dxa"/>
            <w:tcBorders>
              <w:top w:val="single" w:sz="4" w:space="0" w:color="4D7861" w:themeColor="accent2"/>
              <w:bottom w:val="single" w:sz="4" w:space="0" w:color="4D7861" w:themeColor="accent2"/>
            </w:tcBorders>
            <w:shd w:val="clear" w:color="auto" w:fill="DBE4DF"/>
          </w:tcPr>
          <w:p w14:paraId="27E8FEA2" w14:textId="77777777" w:rsidR="00C963BC" w:rsidRPr="00301F93" w:rsidRDefault="00C963BC" w:rsidP="00301F93">
            <w:pPr>
              <w:pStyle w:val="TableTextLeft"/>
            </w:pPr>
          </w:p>
        </w:tc>
        <w:tc>
          <w:tcPr>
            <w:tcW w:w="1270" w:type="dxa"/>
            <w:tcBorders>
              <w:top w:val="single" w:sz="4" w:space="0" w:color="4D7861" w:themeColor="accent2"/>
              <w:bottom w:val="single" w:sz="4" w:space="0" w:color="4D7861" w:themeColor="accent2"/>
            </w:tcBorders>
            <w:shd w:val="clear" w:color="auto" w:fill="DBE4DF"/>
          </w:tcPr>
          <w:p w14:paraId="307D6305" w14:textId="53FD7FBE" w:rsidR="00C963BC" w:rsidRPr="00301F93" w:rsidRDefault="00C963BC" w:rsidP="00301F93">
            <w:pPr>
              <w:pStyle w:val="TableTextLeft"/>
            </w:pPr>
            <w:r w:rsidRPr="00301F93">
              <w:t>Consultation</w:t>
            </w:r>
          </w:p>
        </w:tc>
        <w:tc>
          <w:tcPr>
            <w:tcW w:w="1270" w:type="dxa"/>
            <w:tcBorders>
              <w:top w:val="single" w:sz="4" w:space="0" w:color="4D7861" w:themeColor="accent2"/>
              <w:bottom w:val="single" w:sz="4" w:space="0" w:color="4D7861" w:themeColor="accent2"/>
            </w:tcBorders>
            <w:shd w:val="clear" w:color="auto" w:fill="DBE4DF"/>
          </w:tcPr>
          <w:p w14:paraId="554C8C4F" w14:textId="77777777" w:rsidR="00C963BC" w:rsidRPr="00301F93" w:rsidRDefault="00C963BC" w:rsidP="00301F93">
            <w:pPr>
              <w:pStyle w:val="TableTextLeft"/>
            </w:pPr>
          </w:p>
        </w:tc>
        <w:tc>
          <w:tcPr>
            <w:tcW w:w="1270" w:type="dxa"/>
            <w:tcBorders>
              <w:top w:val="single" w:sz="4" w:space="0" w:color="4D7861" w:themeColor="accent2"/>
              <w:bottom w:val="single" w:sz="4" w:space="0" w:color="4D7861" w:themeColor="accent2"/>
            </w:tcBorders>
            <w:shd w:val="clear" w:color="auto" w:fill="DBE4DF"/>
          </w:tcPr>
          <w:p w14:paraId="74AF9633" w14:textId="77777777" w:rsidR="00C963BC" w:rsidRPr="00301F93" w:rsidRDefault="00C963BC" w:rsidP="00301F93">
            <w:pPr>
              <w:pStyle w:val="TableTextLeft"/>
            </w:pPr>
          </w:p>
        </w:tc>
        <w:tc>
          <w:tcPr>
            <w:tcW w:w="1270" w:type="dxa"/>
            <w:tcBorders>
              <w:top w:val="single" w:sz="4" w:space="0" w:color="4D7861" w:themeColor="accent2"/>
              <w:bottom w:val="single" w:sz="4" w:space="0" w:color="4D7861" w:themeColor="accent2"/>
            </w:tcBorders>
            <w:shd w:val="clear" w:color="auto" w:fill="EDF2EF"/>
          </w:tcPr>
          <w:p w14:paraId="0F222B20" w14:textId="77777777" w:rsidR="00C963BC" w:rsidRPr="00301F93" w:rsidRDefault="00C963BC" w:rsidP="00301F93">
            <w:pPr>
              <w:pStyle w:val="TableTextLeft"/>
            </w:pPr>
          </w:p>
        </w:tc>
        <w:tc>
          <w:tcPr>
            <w:tcW w:w="1270" w:type="dxa"/>
            <w:tcBorders>
              <w:top w:val="single" w:sz="4" w:space="0" w:color="4D7861" w:themeColor="accent2"/>
              <w:bottom w:val="single" w:sz="4" w:space="0" w:color="4D7861" w:themeColor="accent2"/>
            </w:tcBorders>
            <w:shd w:val="clear" w:color="auto" w:fill="EDF2EF"/>
          </w:tcPr>
          <w:p w14:paraId="2CDD2333" w14:textId="77777777" w:rsidR="00C963BC" w:rsidRPr="00301F93" w:rsidRDefault="00C963BC" w:rsidP="00301F93">
            <w:pPr>
              <w:pStyle w:val="TableTextLeft"/>
            </w:pPr>
          </w:p>
        </w:tc>
      </w:tr>
      <w:tr w:rsidR="007A74C9" w:rsidRPr="00AF43B7" w14:paraId="2C0B33CD" w14:textId="77777777" w:rsidTr="004C44DF">
        <w:trPr>
          <w:cantSplit/>
          <w:trHeight w:val="410"/>
        </w:trPr>
        <w:tc>
          <w:tcPr>
            <w:tcW w:w="849" w:type="dxa"/>
            <w:tcBorders>
              <w:top w:val="single" w:sz="4" w:space="0" w:color="4D7861" w:themeColor="accent2"/>
              <w:bottom w:val="single" w:sz="4" w:space="0" w:color="4D7861" w:themeColor="accent2"/>
            </w:tcBorders>
            <w:shd w:val="clear" w:color="auto" w:fill="auto"/>
          </w:tcPr>
          <w:p w14:paraId="31274A9F" w14:textId="4B19D359" w:rsidR="00C963BC" w:rsidRPr="00E7433A" w:rsidRDefault="00C963BC" w:rsidP="00760C4A">
            <w:pPr>
              <w:pStyle w:val="TableLeadAgency"/>
            </w:pPr>
            <w:r w:rsidRPr="00E7433A">
              <w:t>APRA</w:t>
            </w:r>
          </w:p>
        </w:tc>
        <w:tc>
          <w:tcPr>
            <w:tcW w:w="1247" w:type="dxa"/>
            <w:tcBorders>
              <w:top w:val="single" w:sz="4" w:space="0" w:color="4D7861" w:themeColor="accent2"/>
              <w:bottom w:val="single" w:sz="4" w:space="0" w:color="4D7861" w:themeColor="accent2"/>
            </w:tcBorders>
          </w:tcPr>
          <w:p w14:paraId="4B667693" w14:textId="38CDCC88" w:rsidR="00C963BC" w:rsidRPr="00301F93" w:rsidRDefault="00C963BC" w:rsidP="00301F93">
            <w:pPr>
              <w:pStyle w:val="TableTextLeft"/>
            </w:pPr>
            <w:r w:rsidRPr="00301F93">
              <w:t xml:space="preserve">Banking, </w:t>
            </w:r>
            <w:proofErr w:type="gramStart"/>
            <w:r w:rsidRPr="00301F93">
              <w:t>credit</w:t>
            </w:r>
            <w:proofErr w:type="gramEnd"/>
            <w:r w:rsidRPr="00301F93">
              <w:t xml:space="preserve"> and lending</w:t>
            </w:r>
          </w:p>
        </w:tc>
        <w:tc>
          <w:tcPr>
            <w:tcW w:w="4286" w:type="dxa"/>
            <w:tcBorders>
              <w:top w:val="single" w:sz="4" w:space="0" w:color="4D7861" w:themeColor="accent2"/>
              <w:bottom w:val="single" w:sz="4" w:space="0" w:color="4D7861" w:themeColor="accent2"/>
            </w:tcBorders>
          </w:tcPr>
          <w:p w14:paraId="341DD561" w14:textId="77777777" w:rsidR="00C963BC" w:rsidRPr="00926FD7" w:rsidRDefault="00C963BC" w:rsidP="00C963BC">
            <w:pPr>
              <w:pStyle w:val="TableTextLeft"/>
              <w:rPr>
                <w:b/>
                <w:bCs/>
              </w:rPr>
            </w:pPr>
            <w:r w:rsidRPr="00926FD7">
              <w:rPr>
                <w:b/>
                <w:bCs/>
              </w:rPr>
              <w:t>Liquidity</w:t>
            </w:r>
          </w:p>
          <w:p w14:paraId="34DFC3D0" w14:textId="1FB54086" w:rsidR="00C963BC" w:rsidRPr="009A3724" w:rsidRDefault="00C963BC" w:rsidP="00C963BC">
            <w:pPr>
              <w:pStyle w:val="TableTextLeft"/>
            </w:pPr>
            <w:r w:rsidRPr="009A3724">
              <w:t xml:space="preserve">APRA will conduct a review of prudential standard APS 210 Liquidity </w:t>
            </w:r>
            <w:r>
              <w:t>(</w:t>
            </w:r>
            <w:r w:rsidRPr="0086078F">
              <w:t xml:space="preserve">APS 210) </w:t>
            </w:r>
            <w:r w:rsidRPr="009A3724">
              <w:t xml:space="preserve">to </w:t>
            </w:r>
            <w:r w:rsidR="003756AD">
              <w:t>r</w:t>
            </w:r>
            <w:r w:rsidR="003756AD" w:rsidRPr="007D5B87">
              <w:t xml:space="preserve">eflect lessons learned from </w:t>
            </w:r>
            <w:r w:rsidR="0031683C">
              <w:t>the</w:t>
            </w:r>
            <w:r w:rsidR="003756AD" w:rsidRPr="007D5B87">
              <w:t xml:space="preserve"> global banking instability</w:t>
            </w:r>
            <w:r w:rsidR="003756AD">
              <w:t xml:space="preserve"> </w:t>
            </w:r>
            <w:r w:rsidR="0031683C">
              <w:t>in 2023</w:t>
            </w:r>
            <w:r w:rsidR="003756AD">
              <w:t xml:space="preserve"> to ensure the prudential framework remains fit-for-purpose</w:t>
            </w:r>
            <w:r w:rsidR="003756AD" w:rsidRPr="009A3724">
              <w:t>.</w:t>
            </w:r>
          </w:p>
        </w:tc>
        <w:tc>
          <w:tcPr>
            <w:tcW w:w="1270" w:type="dxa"/>
            <w:tcBorders>
              <w:top w:val="single" w:sz="4" w:space="0" w:color="4D7861" w:themeColor="accent2"/>
              <w:bottom w:val="single" w:sz="4" w:space="0" w:color="4D7861" w:themeColor="accent2"/>
            </w:tcBorders>
            <w:shd w:val="clear" w:color="auto" w:fill="DBE4DF"/>
          </w:tcPr>
          <w:p w14:paraId="0767D74F" w14:textId="77777777" w:rsidR="00C963BC" w:rsidRPr="00301F93" w:rsidRDefault="00C963BC" w:rsidP="00301F93">
            <w:pPr>
              <w:pStyle w:val="TableTextLeft"/>
            </w:pPr>
          </w:p>
        </w:tc>
        <w:tc>
          <w:tcPr>
            <w:tcW w:w="1270" w:type="dxa"/>
            <w:tcBorders>
              <w:top w:val="single" w:sz="4" w:space="0" w:color="4D7861" w:themeColor="accent2"/>
              <w:bottom w:val="single" w:sz="4" w:space="0" w:color="4D7861" w:themeColor="accent2"/>
            </w:tcBorders>
            <w:shd w:val="clear" w:color="auto" w:fill="DBE4DF"/>
          </w:tcPr>
          <w:p w14:paraId="35BBB5E3" w14:textId="77777777" w:rsidR="00C963BC" w:rsidRPr="00301F93" w:rsidRDefault="00C963BC" w:rsidP="00301F93">
            <w:pPr>
              <w:pStyle w:val="TableTextLeft"/>
            </w:pPr>
          </w:p>
        </w:tc>
        <w:tc>
          <w:tcPr>
            <w:tcW w:w="1270" w:type="dxa"/>
            <w:tcBorders>
              <w:top w:val="single" w:sz="4" w:space="0" w:color="4D7861" w:themeColor="accent2"/>
              <w:bottom w:val="single" w:sz="4" w:space="0" w:color="4D7861" w:themeColor="accent2"/>
            </w:tcBorders>
            <w:shd w:val="clear" w:color="auto" w:fill="DBE4DF"/>
          </w:tcPr>
          <w:p w14:paraId="7D3D842D" w14:textId="07792096" w:rsidR="00C963BC" w:rsidRPr="00301F93" w:rsidRDefault="00C963BC" w:rsidP="00301F93">
            <w:pPr>
              <w:pStyle w:val="TableTextLeft"/>
            </w:pPr>
            <w:r w:rsidRPr="00301F93">
              <w:t>Consultation</w:t>
            </w:r>
            <w:r w:rsidR="00D0290E">
              <w:t xml:space="preserve"> </w:t>
            </w:r>
            <w:proofErr w:type="gramStart"/>
            <w:r w:rsidR="00D0290E">
              <w:t xml:space="preserve">– </w:t>
            </w:r>
            <w:r w:rsidRPr="00301F93" w:rsidDel="009862B0">
              <w:t xml:space="preserve"> </w:t>
            </w:r>
            <w:r w:rsidRPr="00301F93">
              <w:t>discussion</w:t>
            </w:r>
            <w:proofErr w:type="gramEnd"/>
            <w:r w:rsidRPr="00301F93">
              <w:t xml:space="preserve"> paper </w:t>
            </w:r>
            <w:r w:rsidR="00D0290E">
              <w:t>(</w:t>
            </w:r>
            <w:r w:rsidRPr="00301F93">
              <w:t>released</w:t>
            </w:r>
            <w:r w:rsidR="00267FB8" w:rsidRPr="00301F93">
              <w:t xml:space="preserve"> </w:t>
            </w:r>
            <w:r w:rsidR="00D015AA" w:rsidRPr="00301F93">
              <w:br/>
            </w:r>
            <w:r w:rsidR="00267FB8" w:rsidRPr="00301F93">
              <w:t xml:space="preserve">Q3 2025 at </w:t>
            </w:r>
            <w:r w:rsidR="00FC6495">
              <w:t xml:space="preserve">the </w:t>
            </w:r>
            <w:r w:rsidR="00267FB8" w:rsidRPr="00301F93">
              <w:t>earliest</w:t>
            </w:r>
            <w:r w:rsidR="00FC6495">
              <w:t>)</w:t>
            </w:r>
          </w:p>
        </w:tc>
        <w:tc>
          <w:tcPr>
            <w:tcW w:w="1270" w:type="dxa"/>
            <w:tcBorders>
              <w:top w:val="single" w:sz="4" w:space="0" w:color="4D7861" w:themeColor="accent2"/>
              <w:bottom w:val="single" w:sz="4" w:space="0" w:color="4D7861" w:themeColor="accent2"/>
            </w:tcBorders>
            <w:shd w:val="clear" w:color="auto" w:fill="DBE4DF"/>
          </w:tcPr>
          <w:p w14:paraId="3C04B3D3" w14:textId="77777777" w:rsidR="00C963BC" w:rsidRPr="00301F93" w:rsidRDefault="00C963BC" w:rsidP="00301F93">
            <w:pPr>
              <w:pStyle w:val="TableTextLeft"/>
            </w:pPr>
          </w:p>
        </w:tc>
        <w:tc>
          <w:tcPr>
            <w:tcW w:w="1270" w:type="dxa"/>
            <w:tcBorders>
              <w:top w:val="single" w:sz="4" w:space="0" w:color="4D7861" w:themeColor="accent2"/>
              <w:bottom w:val="single" w:sz="4" w:space="0" w:color="4D7861" w:themeColor="accent2"/>
            </w:tcBorders>
            <w:shd w:val="clear" w:color="auto" w:fill="EDF2EF"/>
          </w:tcPr>
          <w:p w14:paraId="1B737AB3" w14:textId="647CDAF5" w:rsidR="00C963BC" w:rsidRPr="00301F93" w:rsidRDefault="00C963BC" w:rsidP="00301F93">
            <w:pPr>
              <w:pStyle w:val="TableTextLeft"/>
            </w:pPr>
            <w:r w:rsidRPr="00301F93">
              <w:t xml:space="preserve">Consultation </w:t>
            </w:r>
            <w:r w:rsidR="00FC6495">
              <w:t>– draft standards</w:t>
            </w:r>
          </w:p>
        </w:tc>
        <w:tc>
          <w:tcPr>
            <w:tcW w:w="1270" w:type="dxa"/>
            <w:tcBorders>
              <w:top w:val="single" w:sz="4" w:space="0" w:color="4D7861" w:themeColor="accent2"/>
              <w:bottom w:val="single" w:sz="4" w:space="0" w:color="4D7861" w:themeColor="accent2"/>
            </w:tcBorders>
            <w:shd w:val="clear" w:color="auto" w:fill="EDF2EF"/>
          </w:tcPr>
          <w:p w14:paraId="3836DEB9" w14:textId="75D7ED87" w:rsidR="00C963BC" w:rsidRPr="00301F93" w:rsidRDefault="00C963BC" w:rsidP="00301F93">
            <w:pPr>
              <w:pStyle w:val="TableTextLeft"/>
            </w:pPr>
            <w:r w:rsidRPr="00301F93">
              <w:t>Prudential standard updated</w:t>
            </w:r>
          </w:p>
        </w:tc>
      </w:tr>
      <w:tr w:rsidR="007A74C9" w:rsidRPr="00AF43B7" w14:paraId="28513F6B" w14:textId="77777777" w:rsidTr="004C44DF">
        <w:trPr>
          <w:cantSplit/>
          <w:trHeight w:val="410"/>
        </w:trPr>
        <w:tc>
          <w:tcPr>
            <w:tcW w:w="849" w:type="dxa"/>
            <w:tcBorders>
              <w:top w:val="single" w:sz="4" w:space="0" w:color="4D7861" w:themeColor="accent2"/>
              <w:bottom w:val="single" w:sz="4" w:space="0" w:color="4D7861" w:themeColor="accent2"/>
            </w:tcBorders>
            <w:shd w:val="clear" w:color="auto" w:fill="auto"/>
          </w:tcPr>
          <w:p w14:paraId="2EB15887" w14:textId="77777777" w:rsidR="00C963BC" w:rsidRPr="00E7433A" w:rsidRDefault="00C963BC" w:rsidP="00760C4A">
            <w:pPr>
              <w:pStyle w:val="TableLeadAgency"/>
            </w:pPr>
            <w:r w:rsidRPr="00E7433A">
              <w:t>APRA</w:t>
            </w:r>
          </w:p>
        </w:tc>
        <w:tc>
          <w:tcPr>
            <w:tcW w:w="1247" w:type="dxa"/>
            <w:tcBorders>
              <w:top w:val="single" w:sz="4" w:space="0" w:color="4D7861" w:themeColor="accent2"/>
              <w:bottom w:val="single" w:sz="4" w:space="0" w:color="4D7861" w:themeColor="accent2"/>
            </w:tcBorders>
          </w:tcPr>
          <w:p w14:paraId="26000B67" w14:textId="77777777" w:rsidR="00C963BC" w:rsidRPr="00301F93" w:rsidRDefault="00C963BC" w:rsidP="00301F93">
            <w:pPr>
              <w:pStyle w:val="TableTextLeft"/>
            </w:pPr>
            <w:r w:rsidRPr="00301F93">
              <w:t xml:space="preserve">Banking, </w:t>
            </w:r>
            <w:proofErr w:type="gramStart"/>
            <w:r w:rsidRPr="00301F93">
              <w:t>credit</w:t>
            </w:r>
            <w:proofErr w:type="gramEnd"/>
            <w:r w:rsidRPr="00301F93">
              <w:t xml:space="preserve"> and lending</w:t>
            </w:r>
          </w:p>
          <w:p w14:paraId="649E005E" w14:textId="68B42983" w:rsidR="00C963BC" w:rsidRPr="00301F93" w:rsidRDefault="00C963BC" w:rsidP="00301F93">
            <w:pPr>
              <w:pStyle w:val="TableTextLeft"/>
            </w:pPr>
            <w:r w:rsidRPr="00301F93">
              <w:t>Insurance and reinsurance</w:t>
            </w:r>
          </w:p>
        </w:tc>
        <w:tc>
          <w:tcPr>
            <w:tcW w:w="4286" w:type="dxa"/>
            <w:tcBorders>
              <w:top w:val="single" w:sz="4" w:space="0" w:color="4D7861" w:themeColor="accent2"/>
              <w:bottom w:val="single" w:sz="4" w:space="0" w:color="4D7861" w:themeColor="accent2"/>
            </w:tcBorders>
          </w:tcPr>
          <w:p w14:paraId="06CBBA51" w14:textId="77777777" w:rsidR="00C963BC" w:rsidRPr="004D2523" w:rsidRDefault="00C963BC" w:rsidP="00C963BC">
            <w:pPr>
              <w:pStyle w:val="TableTextLeft"/>
              <w:rPr>
                <w:b/>
                <w:bCs/>
              </w:rPr>
            </w:pPr>
            <w:r w:rsidRPr="004D2523">
              <w:rPr>
                <w:b/>
                <w:bCs/>
              </w:rPr>
              <w:t>Additional Tier 1 (AT1) capital</w:t>
            </w:r>
          </w:p>
          <w:p w14:paraId="1C1E7095" w14:textId="7F8892F8" w:rsidR="00C963BC" w:rsidRPr="00983D4A" w:rsidRDefault="00C963BC" w:rsidP="00C963BC">
            <w:pPr>
              <w:pStyle w:val="TableTextLeft"/>
            </w:pPr>
            <w:r w:rsidRPr="009A3724">
              <w:t>APRA will review and adjust the capital prudential standards to reflect lessons learned from the global banking instability in</w:t>
            </w:r>
            <w:r>
              <w:t> </w:t>
            </w:r>
            <w:r w:rsidRPr="009A3724">
              <w:t>2023 to ensure the prudential framework remains fit</w:t>
            </w:r>
            <w:r w:rsidR="0008745D">
              <w:noBreakHyphen/>
            </w:r>
            <w:r w:rsidRPr="009A3724">
              <w:t>for</w:t>
            </w:r>
            <w:r w:rsidR="0008745D">
              <w:noBreakHyphen/>
            </w:r>
            <w:r w:rsidRPr="009A3724">
              <w:t>purpose.</w:t>
            </w:r>
            <w:r>
              <w:rPr>
                <w:rFonts w:cs="Calibri Light"/>
                <w:color w:val="00B050"/>
                <w:szCs w:val="16"/>
              </w:rPr>
              <w:t xml:space="preserve"> </w:t>
            </w:r>
          </w:p>
        </w:tc>
        <w:tc>
          <w:tcPr>
            <w:tcW w:w="1270" w:type="dxa"/>
            <w:tcBorders>
              <w:top w:val="single" w:sz="4" w:space="0" w:color="4D7861" w:themeColor="accent2"/>
              <w:bottom w:val="single" w:sz="4" w:space="0" w:color="4D7861" w:themeColor="accent2"/>
            </w:tcBorders>
            <w:shd w:val="clear" w:color="auto" w:fill="DBE4DF"/>
          </w:tcPr>
          <w:p w14:paraId="56D1BA27" w14:textId="77777777" w:rsidR="00C963BC" w:rsidRPr="00301F93" w:rsidRDefault="00C963BC" w:rsidP="00301F93">
            <w:pPr>
              <w:pStyle w:val="TableTextLeft"/>
            </w:pPr>
          </w:p>
        </w:tc>
        <w:tc>
          <w:tcPr>
            <w:tcW w:w="1270" w:type="dxa"/>
            <w:tcBorders>
              <w:top w:val="single" w:sz="4" w:space="0" w:color="4D7861" w:themeColor="accent2"/>
              <w:bottom w:val="single" w:sz="4" w:space="0" w:color="4D7861" w:themeColor="accent2"/>
            </w:tcBorders>
            <w:shd w:val="clear" w:color="auto" w:fill="DBE4DF"/>
          </w:tcPr>
          <w:p w14:paraId="46DF4295" w14:textId="36F150D0" w:rsidR="00C963BC" w:rsidRPr="00301F93" w:rsidRDefault="00C963BC" w:rsidP="00301F93">
            <w:pPr>
              <w:pStyle w:val="TableTextLeft"/>
            </w:pPr>
            <w:r w:rsidRPr="00301F93">
              <w:t>Consultation</w:t>
            </w:r>
            <w:r w:rsidR="005B31BE">
              <w:t xml:space="preserve"> – draft standards</w:t>
            </w:r>
          </w:p>
        </w:tc>
        <w:tc>
          <w:tcPr>
            <w:tcW w:w="1270" w:type="dxa"/>
            <w:tcBorders>
              <w:top w:val="single" w:sz="4" w:space="0" w:color="4D7861" w:themeColor="accent2"/>
              <w:bottom w:val="single" w:sz="4" w:space="0" w:color="4D7861" w:themeColor="accent2"/>
            </w:tcBorders>
            <w:shd w:val="clear" w:color="auto" w:fill="DBE4DF"/>
          </w:tcPr>
          <w:p w14:paraId="7E0A34DA" w14:textId="77777777" w:rsidR="00C963BC" w:rsidRPr="00301F93" w:rsidRDefault="00C963BC" w:rsidP="00301F93">
            <w:pPr>
              <w:pStyle w:val="TableTextLeft"/>
            </w:pPr>
          </w:p>
        </w:tc>
        <w:tc>
          <w:tcPr>
            <w:tcW w:w="1270" w:type="dxa"/>
            <w:tcBorders>
              <w:top w:val="single" w:sz="4" w:space="0" w:color="4D7861" w:themeColor="accent2"/>
              <w:bottom w:val="single" w:sz="4" w:space="0" w:color="4D7861" w:themeColor="accent2"/>
            </w:tcBorders>
            <w:shd w:val="clear" w:color="auto" w:fill="DBE4DF"/>
          </w:tcPr>
          <w:p w14:paraId="689A9085" w14:textId="4000EAF9" w:rsidR="00C963BC" w:rsidRPr="00301F93" w:rsidRDefault="00C963BC" w:rsidP="00301F93">
            <w:pPr>
              <w:pStyle w:val="TableTextLeft"/>
            </w:pPr>
            <w:r w:rsidRPr="00301F93">
              <w:t>Prudential standards updated</w:t>
            </w:r>
          </w:p>
        </w:tc>
        <w:tc>
          <w:tcPr>
            <w:tcW w:w="1270" w:type="dxa"/>
            <w:tcBorders>
              <w:top w:val="single" w:sz="4" w:space="0" w:color="4D7861" w:themeColor="accent2"/>
              <w:bottom w:val="single" w:sz="4" w:space="0" w:color="4D7861" w:themeColor="accent2"/>
            </w:tcBorders>
            <w:shd w:val="clear" w:color="auto" w:fill="EDF2EF"/>
          </w:tcPr>
          <w:p w14:paraId="0CA72BF1" w14:textId="77777777" w:rsidR="00C963BC" w:rsidRPr="00301F93" w:rsidRDefault="00C963BC" w:rsidP="00301F93">
            <w:pPr>
              <w:pStyle w:val="TableTextLeft"/>
            </w:pPr>
          </w:p>
        </w:tc>
        <w:tc>
          <w:tcPr>
            <w:tcW w:w="1270" w:type="dxa"/>
            <w:tcBorders>
              <w:top w:val="single" w:sz="4" w:space="0" w:color="4D7861" w:themeColor="accent2"/>
              <w:bottom w:val="single" w:sz="4" w:space="0" w:color="4D7861" w:themeColor="accent2"/>
            </w:tcBorders>
            <w:shd w:val="clear" w:color="auto" w:fill="EDF2EF"/>
          </w:tcPr>
          <w:p w14:paraId="044D6611" w14:textId="77777777" w:rsidR="00C963BC" w:rsidRPr="00301F93" w:rsidRDefault="00C963BC" w:rsidP="00301F93">
            <w:pPr>
              <w:pStyle w:val="TableTextLeft"/>
            </w:pPr>
          </w:p>
        </w:tc>
      </w:tr>
      <w:tr w:rsidR="007A74C9" w:rsidRPr="00AF43B7" w14:paraId="24BD5DB6" w14:textId="77777777" w:rsidTr="004C44DF">
        <w:trPr>
          <w:cantSplit/>
          <w:trHeight w:val="410"/>
        </w:trPr>
        <w:tc>
          <w:tcPr>
            <w:tcW w:w="849" w:type="dxa"/>
            <w:tcBorders>
              <w:top w:val="single" w:sz="4" w:space="0" w:color="4D7861" w:themeColor="accent2"/>
              <w:bottom w:val="single" w:sz="4" w:space="0" w:color="4D7861" w:themeColor="accent2"/>
            </w:tcBorders>
            <w:shd w:val="clear" w:color="auto" w:fill="auto"/>
          </w:tcPr>
          <w:p w14:paraId="49675189" w14:textId="145301E2" w:rsidR="00EC7762" w:rsidRPr="00E7433A" w:rsidRDefault="00EC7762" w:rsidP="00EC7762">
            <w:pPr>
              <w:pStyle w:val="TableLeadAgency"/>
            </w:pPr>
            <w:r w:rsidRPr="009C4097">
              <w:lastRenderedPageBreak/>
              <w:t>APRA</w:t>
            </w:r>
          </w:p>
        </w:tc>
        <w:tc>
          <w:tcPr>
            <w:tcW w:w="1247" w:type="dxa"/>
            <w:tcBorders>
              <w:top w:val="single" w:sz="4" w:space="0" w:color="4D7861" w:themeColor="accent2"/>
              <w:bottom w:val="single" w:sz="4" w:space="0" w:color="4D7861" w:themeColor="accent2"/>
            </w:tcBorders>
          </w:tcPr>
          <w:p w14:paraId="4F7BEC7B" w14:textId="77777777" w:rsidR="00EC7762" w:rsidRPr="00301F93" w:rsidRDefault="00EC7762" w:rsidP="00EC7762">
            <w:pPr>
              <w:pStyle w:val="TableTextLeft"/>
            </w:pPr>
            <w:r w:rsidRPr="00301F93">
              <w:t xml:space="preserve">Banking, </w:t>
            </w:r>
            <w:proofErr w:type="gramStart"/>
            <w:r w:rsidRPr="00301F93">
              <w:t>credit</w:t>
            </w:r>
            <w:proofErr w:type="gramEnd"/>
            <w:r w:rsidRPr="00301F93">
              <w:t xml:space="preserve"> and lending</w:t>
            </w:r>
          </w:p>
          <w:p w14:paraId="602BF90F" w14:textId="77777777" w:rsidR="00EC7762" w:rsidRPr="00301F93" w:rsidRDefault="00EC7762" w:rsidP="00EC7762">
            <w:pPr>
              <w:pStyle w:val="TableTextLeft"/>
            </w:pPr>
            <w:r w:rsidRPr="00301F93">
              <w:t>Insurance and reinsurance</w:t>
            </w:r>
          </w:p>
          <w:p w14:paraId="1BAFD7E7" w14:textId="11FE8E24" w:rsidR="00EC7762" w:rsidRPr="00301F93" w:rsidRDefault="00EC7762" w:rsidP="00EC7762">
            <w:pPr>
              <w:pStyle w:val="TableTextLeft"/>
            </w:pPr>
            <w:r w:rsidRPr="00301F93">
              <w:t>Superannuation and retirement income</w:t>
            </w:r>
          </w:p>
        </w:tc>
        <w:tc>
          <w:tcPr>
            <w:tcW w:w="4286" w:type="dxa"/>
            <w:tcBorders>
              <w:top w:val="single" w:sz="4" w:space="0" w:color="4D7861" w:themeColor="accent2"/>
              <w:bottom w:val="single" w:sz="4" w:space="0" w:color="4D7861" w:themeColor="accent2"/>
            </w:tcBorders>
          </w:tcPr>
          <w:p w14:paraId="6D9FBED0" w14:textId="77777777" w:rsidR="00EC7762" w:rsidRPr="00FC390D" w:rsidRDefault="00EC7762" w:rsidP="00EC7762">
            <w:pPr>
              <w:pStyle w:val="TableTextLeft"/>
              <w:rPr>
                <w:b/>
                <w:bCs/>
              </w:rPr>
            </w:pPr>
            <w:r w:rsidRPr="00FC390D">
              <w:rPr>
                <w:b/>
                <w:bCs/>
              </w:rPr>
              <w:t>Climate risk</w:t>
            </w:r>
          </w:p>
          <w:p w14:paraId="43FA784F" w14:textId="60E0726A" w:rsidR="00EC7762" w:rsidRPr="00AB3549" w:rsidRDefault="00EC7762" w:rsidP="00EC7762">
            <w:pPr>
              <w:pStyle w:val="TableTextLeft"/>
            </w:pPr>
            <w:r w:rsidRPr="0000310B">
              <w:t>APRA will consult on amendments to Prudential Standard CPS</w:t>
            </w:r>
            <w:r>
              <w:t> </w:t>
            </w:r>
            <w:r w:rsidRPr="0000310B">
              <w:t>220 Risk Management (CPS 220) to embed climate</w:t>
            </w:r>
            <w:r>
              <w:noBreakHyphen/>
            </w:r>
            <w:r w:rsidRPr="0000310B">
              <w:t>related financial risk considerations more clearly.</w:t>
            </w:r>
            <w:r w:rsidRPr="005363FE">
              <w:rPr>
                <w:color w:val="00B050"/>
              </w:rPr>
              <w:t xml:space="preserve"> </w:t>
            </w:r>
          </w:p>
        </w:tc>
        <w:tc>
          <w:tcPr>
            <w:tcW w:w="1270" w:type="dxa"/>
            <w:tcBorders>
              <w:top w:val="single" w:sz="4" w:space="0" w:color="4D7861" w:themeColor="accent2"/>
              <w:bottom w:val="single" w:sz="4" w:space="0" w:color="4D7861" w:themeColor="accent2"/>
            </w:tcBorders>
            <w:shd w:val="clear" w:color="auto" w:fill="DBE4DF"/>
          </w:tcPr>
          <w:p w14:paraId="7AE63BCC" w14:textId="1682618A" w:rsidR="00EC7762" w:rsidRPr="00301F93" w:rsidRDefault="00EC7762" w:rsidP="00EC7762">
            <w:pPr>
              <w:pStyle w:val="TableTextLeft"/>
            </w:pPr>
          </w:p>
        </w:tc>
        <w:tc>
          <w:tcPr>
            <w:tcW w:w="1270" w:type="dxa"/>
            <w:tcBorders>
              <w:top w:val="single" w:sz="4" w:space="0" w:color="4D7861" w:themeColor="accent2"/>
              <w:bottom w:val="single" w:sz="4" w:space="0" w:color="4D7861" w:themeColor="accent2"/>
            </w:tcBorders>
            <w:shd w:val="clear" w:color="auto" w:fill="DBE4DF"/>
          </w:tcPr>
          <w:p w14:paraId="6D90FDCA" w14:textId="22E4B8B0" w:rsidR="00EC7762" w:rsidRPr="00301F93" w:rsidRDefault="00EC7762" w:rsidP="00EC7762">
            <w:pPr>
              <w:pStyle w:val="TableTextLeft"/>
            </w:pPr>
            <w:r w:rsidRPr="00301F93">
              <w:t>Consultation</w:t>
            </w:r>
            <w:r>
              <w:t xml:space="preserve"> - TBC</w:t>
            </w:r>
          </w:p>
        </w:tc>
        <w:tc>
          <w:tcPr>
            <w:tcW w:w="1270" w:type="dxa"/>
            <w:tcBorders>
              <w:top w:val="single" w:sz="4" w:space="0" w:color="4D7861" w:themeColor="accent2"/>
              <w:bottom w:val="single" w:sz="4" w:space="0" w:color="4D7861" w:themeColor="accent2"/>
            </w:tcBorders>
            <w:shd w:val="clear" w:color="auto" w:fill="DBE4DF"/>
          </w:tcPr>
          <w:p w14:paraId="6E6511CF" w14:textId="005D3987" w:rsidR="00EC7762" w:rsidRPr="00301F93" w:rsidRDefault="00EC7762" w:rsidP="00EC7762">
            <w:pPr>
              <w:pStyle w:val="TableTextLeft"/>
            </w:pPr>
          </w:p>
        </w:tc>
        <w:tc>
          <w:tcPr>
            <w:tcW w:w="1270" w:type="dxa"/>
            <w:tcBorders>
              <w:top w:val="single" w:sz="4" w:space="0" w:color="4D7861" w:themeColor="accent2"/>
              <w:bottom w:val="single" w:sz="4" w:space="0" w:color="4D7861" w:themeColor="accent2"/>
            </w:tcBorders>
            <w:shd w:val="clear" w:color="auto" w:fill="DBE4DF"/>
          </w:tcPr>
          <w:p w14:paraId="366933E7" w14:textId="26E2B498" w:rsidR="00EC7762" w:rsidRPr="00301F93" w:rsidRDefault="00EC7762" w:rsidP="00EC7762">
            <w:pPr>
              <w:pStyle w:val="TableTextLeft"/>
            </w:pPr>
            <w:r w:rsidRPr="00301F93">
              <w:t>Prudential standard updated</w:t>
            </w:r>
          </w:p>
        </w:tc>
        <w:tc>
          <w:tcPr>
            <w:tcW w:w="1270" w:type="dxa"/>
            <w:tcBorders>
              <w:top w:val="single" w:sz="4" w:space="0" w:color="4D7861" w:themeColor="accent2"/>
              <w:bottom w:val="single" w:sz="4" w:space="0" w:color="4D7861" w:themeColor="accent2"/>
            </w:tcBorders>
            <w:shd w:val="clear" w:color="auto" w:fill="EDF2EF"/>
          </w:tcPr>
          <w:p w14:paraId="7CF8E893" w14:textId="77777777" w:rsidR="00EC7762" w:rsidRPr="00301F93" w:rsidRDefault="00EC7762" w:rsidP="00EC7762">
            <w:pPr>
              <w:pStyle w:val="TableTextLeft"/>
            </w:pPr>
          </w:p>
        </w:tc>
        <w:tc>
          <w:tcPr>
            <w:tcW w:w="1270" w:type="dxa"/>
            <w:tcBorders>
              <w:top w:val="single" w:sz="4" w:space="0" w:color="4D7861" w:themeColor="accent2"/>
              <w:bottom w:val="single" w:sz="4" w:space="0" w:color="4D7861" w:themeColor="accent2"/>
            </w:tcBorders>
            <w:shd w:val="clear" w:color="auto" w:fill="EDF2EF"/>
          </w:tcPr>
          <w:p w14:paraId="73FF506D" w14:textId="513C2D00" w:rsidR="00EC7762" w:rsidRPr="00301F93" w:rsidRDefault="00EC7762" w:rsidP="00EC7762">
            <w:pPr>
              <w:pStyle w:val="TableTextLeft"/>
            </w:pPr>
            <w:r w:rsidRPr="00301F93">
              <w:t>Amendments to take effect</w:t>
            </w:r>
          </w:p>
        </w:tc>
      </w:tr>
      <w:tr w:rsidR="007A74C9" w:rsidRPr="00AF43B7" w14:paraId="62D02734" w14:textId="77777777" w:rsidTr="00A05162">
        <w:trPr>
          <w:cantSplit/>
          <w:trHeight w:val="410"/>
        </w:trPr>
        <w:tc>
          <w:tcPr>
            <w:tcW w:w="849" w:type="dxa"/>
            <w:tcBorders>
              <w:top w:val="single" w:sz="4" w:space="0" w:color="4D7861" w:themeColor="accent2"/>
              <w:bottom w:val="single" w:sz="4" w:space="0" w:color="4D7861" w:themeColor="accent2"/>
            </w:tcBorders>
            <w:shd w:val="clear" w:color="auto" w:fill="auto"/>
          </w:tcPr>
          <w:p w14:paraId="4FFAA9E9" w14:textId="77777777" w:rsidR="007970FF" w:rsidRPr="00E7433A" w:rsidRDefault="007970FF" w:rsidP="007970FF">
            <w:pPr>
              <w:pStyle w:val="TableLeadAgency"/>
            </w:pPr>
            <w:r w:rsidRPr="00E7433A">
              <w:t>APRA</w:t>
            </w:r>
          </w:p>
        </w:tc>
        <w:tc>
          <w:tcPr>
            <w:tcW w:w="1247" w:type="dxa"/>
            <w:tcBorders>
              <w:top w:val="single" w:sz="4" w:space="0" w:color="4D7861" w:themeColor="accent2"/>
              <w:bottom w:val="single" w:sz="4" w:space="0" w:color="4D7861" w:themeColor="accent2"/>
            </w:tcBorders>
          </w:tcPr>
          <w:p w14:paraId="6D1BBF50" w14:textId="77777777" w:rsidR="007970FF" w:rsidRPr="00301F93" w:rsidRDefault="007970FF" w:rsidP="007970FF">
            <w:pPr>
              <w:pStyle w:val="TableTextLeft"/>
            </w:pPr>
            <w:r w:rsidRPr="00301F93">
              <w:t xml:space="preserve">Banking, </w:t>
            </w:r>
            <w:proofErr w:type="gramStart"/>
            <w:r w:rsidRPr="00301F93">
              <w:t>credit</w:t>
            </w:r>
            <w:proofErr w:type="gramEnd"/>
            <w:r w:rsidRPr="00301F93">
              <w:t xml:space="preserve"> and lending</w:t>
            </w:r>
          </w:p>
          <w:p w14:paraId="5C874A16" w14:textId="77777777" w:rsidR="007970FF" w:rsidRPr="00301F93" w:rsidRDefault="007970FF" w:rsidP="007970FF">
            <w:pPr>
              <w:pStyle w:val="TableTextLeft"/>
            </w:pPr>
            <w:r w:rsidRPr="00301F93">
              <w:t>Insurance and reinsurance</w:t>
            </w:r>
          </w:p>
          <w:p w14:paraId="5E5538C4" w14:textId="7CE38465" w:rsidR="007970FF" w:rsidRPr="00301F93" w:rsidRDefault="007970FF" w:rsidP="007970FF">
            <w:pPr>
              <w:pStyle w:val="TableTextLeft"/>
            </w:pPr>
            <w:r w:rsidRPr="00301F93">
              <w:t>Superannuation and retirement income</w:t>
            </w:r>
          </w:p>
        </w:tc>
        <w:tc>
          <w:tcPr>
            <w:tcW w:w="4286" w:type="dxa"/>
            <w:tcBorders>
              <w:top w:val="single" w:sz="4" w:space="0" w:color="4D7861" w:themeColor="accent2"/>
              <w:bottom w:val="single" w:sz="4" w:space="0" w:color="4D7861" w:themeColor="accent2"/>
            </w:tcBorders>
          </w:tcPr>
          <w:p w14:paraId="2FE635FD" w14:textId="77777777" w:rsidR="007970FF" w:rsidRPr="005F6606" w:rsidRDefault="007970FF" w:rsidP="007970FF">
            <w:pPr>
              <w:pStyle w:val="TableTextLeft"/>
              <w:rPr>
                <w:b/>
                <w:bCs/>
              </w:rPr>
            </w:pPr>
            <w:r w:rsidRPr="005F6606">
              <w:rPr>
                <w:b/>
                <w:bCs/>
              </w:rPr>
              <w:t>Governance</w:t>
            </w:r>
          </w:p>
          <w:p w14:paraId="64C41148" w14:textId="65F4AF1C" w:rsidR="007970FF" w:rsidRDefault="007970FF" w:rsidP="007970FF">
            <w:pPr>
              <w:pStyle w:val="TableTextLeft"/>
            </w:pPr>
            <w:r w:rsidRPr="009A3724">
              <w:t>APRA will conduct a broad review of governance requirements</w:t>
            </w:r>
            <w:r>
              <w:t xml:space="preserve"> </w:t>
            </w:r>
            <w:r w:rsidRPr="009A3724">
              <w:t>to ensure that the prudential framework remains fit</w:t>
            </w:r>
            <w:r>
              <w:noBreakHyphen/>
            </w:r>
            <w:r w:rsidRPr="009A3724">
              <w:t>for</w:t>
            </w:r>
            <w:r>
              <w:noBreakHyphen/>
            </w:r>
            <w:r w:rsidRPr="009A3724">
              <w:t>purpose</w:t>
            </w:r>
            <w:r>
              <w:t>. The review will include</w:t>
            </w:r>
            <w:r w:rsidRPr="009A3724">
              <w:t xml:space="preserve"> those </w:t>
            </w:r>
            <w:r w:rsidR="00E859A1">
              <w:t xml:space="preserve">requirements </w:t>
            </w:r>
            <w:r w:rsidRPr="009A3724">
              <w:t>set out in</w:t>
            </w:r>
            <w:r>
              <w:t>:</w:t>
            </w:r>
            <w:r w:rsidRPr="009A3724">
              <w:t xml:space="preserve"> </w:t>
            </w:r>
          </w:p>
          <w:p w14:paraId="48B43817" w14:textId="0B88EF5D" w:rsidR="007970FF" w:rsidRDefault="007970FF" w:rsidP="007970FF">
            <w:pPr>
              <w:pStyle w:val="TableTextBullet"/>
            </w:pPr>
            <w:r w:rsidRPr="009A3724">
              <w:t>Prudential Standard CPS 510 Governance (CPS 510)</w:t>
            </w:r>
          </w:p>
          <w:p w14:paraId="1C031341" w14:textId="774F0B5B" w:rsidR="007970FF" w:rsidRDefault="007970FF" w:rsidP="007970FF">
            <w:pPr>
              <w:pStyle w:val="TableTextBullet"/>
            </w:pPr>
            <w:r w:rsidRPr="009A3724">
              <w:t xml:space="preserve">Prudential Standard SPS 510 Governance (SPS 510) </w:t>
            </w:r>
          </w:p>
          <w:p w14:paraId="10F9330B" w14:textId="77777777" w:rsidR="007970FF" w:rsidRDefault="007970FF" w:rsidP="007970FF">
            <w:pPr>
              <w:pStyle w:val="TableTextBullet"/>
            </w:pPr>
            <w:r w:rsidRPr="009A3724">
              <w:t>Prudential Standard CPS 520 Fit and Proper (CPS 520)</w:t>
            </w:r>
          </w:p>
          <w:p w14:paraId="73EF55EA" w14:textId="77777777" w:rsidR="006C7671" w:rsidRDefault="007970FF" w:rsidP="00F67A63">
            <w:pPr>
              <w:pStyle w:val="TableTextBullet"/>
            </w:pPr>
            <w:r w:rsidRPr="009A3724">
              <w:t>Prudential Standard SPS 520 Fit and Proper (SPS 520)</w:t>
            </w:r>
          </w:p>
          <w:p w14:paraId="05F30CEF" w14:textId="5FC6FEFB" w:rsidR="00F67A63" w:rsidRPr="00983D4A" w:rsidRDefault="006C7671" w:rsidP="00F67A63">
            <w:pPr>
              <w:pStyle w:val="TableTextBullet"/>
            </w:pPr>
            <w:r>
              <w:t>Prudential Standard SPS 521 Conflicts of Interest (SPS 521</w:t>
            </w:r>
            <w:r w:rsidR="007970FF" w:rsidRPr="009A3724">
              <w:t>)</w:t>
            </w:r>
            <w:r w:rsidR="007970FF">
              <w:t>.</w:t>
            </w:r>
            <w:r w:rsidR="007970FF" w:rsidRPr="00004063">
              <w:rPr>
                <w:rFonts w:cs="Calibri Light"/>
                <w:color w:val="00B050"/>
                <w:szCs w:val="16"/>
              </w:rPr>
              <w:t xml:space="preserve"> </w:t>
            </w:r>
          </w:p>
        </w:tc>
        <w:tc>
          <w:tcPr>
            <w:tcW w:w="1270" w:type="dxa"/>
            <w:tcBorders>
              <w:top w:val="single" w:sz="4" w:space="0" w:color="4D7861" w:themeColor="accent2"/>
              <w:bottom w:val="single" w:sz="4" w:space="0" w:color="4D7861" w:themeColor="accent2"/>
            </w:tcBorders>
            <w:shd w:val="clear" w:color="auto" w:fill="DBE4DF"/>
          </w:tcPr>
          <w:p w14:paraId="5843D463" w14:textId="1D3A11E0" w:rsidR="007970FF" w:rsidRPr="00301F93" w:rsidRDefault="007970FF" w:rsidP="007970FF">
            <w:pPr>
              <w:pStyle w:val="TableTextLeft"/>
            </w:pPr>
            <w:r w:rsidRPr="00301F93">
              <w:t>Consultation</w:t>
            </w:r>
            <w:r>
              <w:t xml:space="preserve"> – discussion paper</w:t>
            </w:r>
            <w:r w:rsidRPr="00301F93">
              <w:t xml:space="preserve"> </w:t>
            </w:r>
          </w:p>
        </w:tc>
        <w:tc>
          <w:tcPr>
            <w:tcW w:w="1270" w:type="dxa"/>
            <w:tcBorders>
              <w:top w:val="single" w:sz="4" w:space="0" w:color="4D7861" w:themeColor="accent2"/>
              <w:bottom w:val="single" w:sz="4" w:space="0" w:color="4D7861" w:themeColor="accent2"/>
            </w:tcBorders>
            <w:shd w:val="clear" w:color="auto" w:fill="DBE4DF"/>
          </w:tcPr>
          <w:p w14:paraId="3D37B035" w14:textId="77777777" w:rsidR="007970FF" w:rsidRPr="00301F93" w:rsidRDefault="007970FF" w:rsidP="007970FF">
            <w:pPr>
              <w:pStyle w:val="TableTextLeft"/>
            </w:pPr>
          </w:p>
        </w:tc>
        <w:tc>
          <w:tcPr>
            <w:tcW w:w="1270" w:type="dxa"/>
            <w:tcBorders>
              <w:top w:val="single" w:sz="4" w:space="0" w:color="4D7861" w:themeColor="accent2"/>
              <w:bottom w:val="single" w:sz="4" w:space="0" w:color="4D7861" w:themeColor="accent2"/>
            </w:tcBorders>
            <w:shd w:val="clear" w:color="auto" w:fill="DBE4DF"/>
          </w:tcPr>
          <w:p w14:paraId="1C6FBDB8" w14:textId="42A7B27B" w:rsidR="007970FF" w:rsidRPr="00301F93" w:rsidRDefault="007970FF" w:rsidP="007970FF">
            <w:pPr>
              <w:pStyle w:val="TableTextLeft"/>
            </w:pPr>
          </w:p>
        </w:tc>
        <w:tc>
          <w:tcPr>
            <w:tcW w:w="1270" w:type="dxa"/>
            <w:tcBorders>
              <w:top w:val="single" w:sz="4" w:space="0" w:color="4D7861" w:themeColor="accent2"/>
              <w:bottom w:val="single" w:sz="4" w:space="0" w:color="4D7861" w:themeColor="accent2"/>
            </w:tcBorders>
            <w:shd w:val="clear" w:color="auto" w:fill="DBE4DF"/>
          </w:tcPr>
          <w:p w14:paraId="05CDF4DE" w14:textId="54427A87" w:rsidR="007970FF" w:rsidRPr="00301F93" w:rsidRDefault="007970FF" w:rsidP="007970FF">
            <w:pPr>
              <w:pStyle w:val="TableTextLeft"/>
            </w:pPr>
            <w:r w:rsidRPr="00301F93">
              <w:t xml:space="preserve">Consultation </w:t>
            </w:r>
            <w:r>
              <w:t>– draft standards</w:t>
            </w:r>
          </w:p>
        </w:tc>
        <w:tc>
          <w:tcPr>
            <w:tcW w:w="1270" w:type="dxa"/>
            <w:tcBorders>
              <w:top w:val="single" w:sz="4" w:space="0" w:color="4D7861" w:themeColor="accent2"/>
              <w:bottom w:val="single" w:sz="4" w:space="0" w:color="4D7861" w:themeColor="accent2"/>
            </w:tcBorders>
            <w:shd w:val="clear" w:color="auto" w:fill="EDF2EF"/>
          </w:tcPr>
          <w:p w14:paraId="4937A4E4" w14:textId="2568FD0A" w:rsidR="007970FF" w:rsidRPr="00301F93" w:rsidRDefault="007970FF" w:rsidP="007970FF">
            <w:pPr>
              <w:pStyle w:val="TableTextLeft"/>
            </w:pPr>
            <w:r w:rsidRPr="00301F93">
              <w:t>Prudential standards updated</w:t>
            </w:r>
          </w:p>
        </w:tc>
        <w:tc>
          <w:tcPr>
            <w:tcW w:w="1270" w:type="dxa"/>
            <w:tcBorders>
              <w:top w:val="single" w:sz="4" w:space="0" w:color="4D7861" w:themeColor="accent2"/>
              <w:bottom w:val="single" w:sz="4" w:space="0" w:color="4D7861" w:themeColor="accent2"/>
            </w:tcBorders>
            <w:shd w:val="clear" w:color="auto" w:fill="EDF2EF"/>
          </w:tcPr>
          <w:p w14:paraId="76BD9A2A" w14:textId="77777777" w:rsidR="007970FF" w:rsidRPr="00301F93" w:rsidRDefault="007970FF" w:rsidP="007970FF">
            <w:pPr>
              <w:pStyle w:val="TableTextLeft"/>
            </w:pPr>
          </w:p>
        </w:tc>
      </w:tr>
      <w:tr w:rsidR="007A74C9" w:rsidRPr="00AF43B7" w14:paraId="2F5C862C" w14:textId="77777777" w:rsidTr="00A05162">
        <w:trPr>
          <w:cantSplit/>
          <w:trHeight w:val="410"/>
        </w:trPr>
        <w:tc>
          <w:tcPr>
            <w:tcW w:w="849" w:type="dxa"/>
            <w:tcBorders>
              <w:top w:val="single" w:sz="4" w:space="0" w:color="4D7861" w:themeColor="accent2"/>
              <w:bottom w:val="single" w:sz="4" w:space="0" w:color="4D7861" w:themeColor="accent2"/>
            </w:tcBorders>
            <w:shd w:val="clear" w:color="auto" w:fill="auto"/>
          </w:tcPr>
          <w:p w14:paraId="6DDF436F" w14:textId="77777777" w:rsidR="007970FF" w:rsidRPr="00E7433A" w:rsidRDefault="007970FF" w:rsidP="007970FF">
            <w:pPr>
              <w:pStyle w:val="TableLeadAgency"/>
            </w:pPr>
            <w:r w:rsidRPr="00E7433A">
              <w:t>APRA</w:t>
            </w:r>
          </w:p>
        </w:tc>
        <w:tc>
          <w:tcPr>
            <w:tcW w:w="1247" w:type="dxa"/>
            <w:tcBorders>
              <w:top w:val="single" w:sz="4" w:space="0" w:color="4D7861" w:themeColor="accent2"/>
              <w:bottom w:val="single" w:sz="4" w:space="0" w:color="4D7861" w:themeColor="accent2"/>
            </w:tcBorders>
          </w:tcPr>
          <w:p w14:paraId="71E6CF16" w14:textId="77777777" w:rsidR="007970FF" w:rsidRPr="000C4FD5" w:rsidRDefault="007970FF" w:rsidP="007970FF">
            <w:pPr>
              <w:pStyle w:val="TableTextLeft"/>
            </w:pPr>
            <w:r w:rsidRPr="000C4FD5">
              <w:t xml:space="preserve">Banking, </w:t>
            </w:r>
            <w:proofErr w:type="gramStart"/>
            <w:r w:rsidRPr="000C4FD5">
              <w:t>credit</w:t>
            </w:r>
            <w:proofErr w:type="gramEnd"/>
            <w:r w:rsidRPr="000C4FD5">
              <w:t xml:space="preserve"> and lending</w:t>
            </w:r>
          </w:p>
          <w:p w14:paraId="3EA376E1" w14:textId="77777777" w:rsidR="007970FF" w:rsidRPr="000C4FD5" w:rsidRDefault="007970FF" w:rsidP="007970FF">
            <w:pPr>
              <w:pStyle w:val="TableTextLeft"/>
            </w:pPr>
            <w:r w:rsidRPr="000C4FD5">
              <w:t>Insurance and reinsurance</w:t>
            </w:r>
          </w:p>
          <w:p w14:paraId="292AFE06" w14:textId="0B956507" w:rsidR="007970FF" w:rsidRPr="000C4FD5" w:rsidRDefault="007970FF" w:rsidP="007970FF">
            <w:pPr>
              <w:pStyle w:val="TableTextLeft"/>
            </w:pPr>
            <w:r w:rsidRPr="000C4FD5">
              <w:t>Superannuation and retirement income</w:t>
            </w:r>
          </w:p>
        </w:tc>
        <w:tc>
          <w:tcPr>
            <w:tcW w:w="4286" w:type="dxa"/>
            <w:tcBorders>
              <w:top w:val="single" w:sz="4" w:space="0" w:color="4D7861" w:themeColor="accent2"/>
              <w:bottom w:val="single" w:sz="4" w:space="0" w:color="4D7861" w:themeColor="accent2"/>
            </w:tcBorders>
          </w:tcPr>
          <w:p w14:paraId="2273CA22" w14:textId="77777777" w:rsidR="007970FF" w:rsidRPr="00D06353" w:rsidRDefault="007970FF" w:rsidP="007970FF">
            <w:pPr>
              <w:pStyle w:val="TableTextLeft"/>
              <w:rPr>
                <w:b/>
                <w:bCs/>
              </w:rPr>
            </w:pPr>
            <w:r w:rsidRPr="00D06353">
              <w:rPr>
                <w:b/>
                <w:bCs/>
              </w:rPr>
              <w:t>Significant Financial Institution (SFI) thresholds</w:t>
            </w:r>
          </w:p>
          <w:p w14:paraId="0A07D42F" w14:textId="1DE5CC24" w:rsidR="007970FF" w:rsidRPr="00983D4A" w:rsidRDefault="007970FF" w:rsidP="007970FF">
            <w:pPr>
              <w:pStyle w:val="TableTextLeft"/>
            </w:pPr>
            <w:r w:rsidRPr="000C4FD5">
              <w:t>APRA</w:t>
            </w:r>
            <w:r w:rsidRPr="009A3724">
              <w:t xml:space="preserve"> will review the asset thresholds for SFIs to ensure that they remain appropriate.</w:t>
            </w:r>
            <w:r>
              <w:rPr>
                <w:rFonts w:cs="Calibri Light"/>
                <w:color w:val="00B050"/>
                <w:szCs w:val="16"/>
              </w:rPr>
              <w:t xml:space="preserve"> </w:t>
            </w:r>
          </w:p>
        </w:tc>
        <w:tc>
          <w:tcPr>
            <w:tcW w:w="1270" w:type="dxa"/>
            <w:tcBorders>
              <w:top w:val="single" w:sz="4" w:space="0" w:color="4D7861" w:themeColor="accent2"/>
              <w:bottom w:val="single" w:sz="4" w:space="0" w:color="4D7861" w:themeColor="accent2"/>
            </w:tcBorders>
            <w:shd w:val="clear" w:color="auto" w:fill="DBE4DF"/>
          </w:tcPr>
          <w:p w14:paraId="6963C971" w14:textId="1D059EA1" w:rsidR="007970FF" w:rsidRPr="00301F93" w:rsidRDefault="007970FF" w:rsidP="007970FF">
            <w:pPr>
              <w:pStyle w:val="TableTextLeft"/>
            </w:pPr>
            <w:r w:rsidRPr="00301F93">
              <w:t>Consultation</w:t>
            </w:r>
          </w:p>
        </w:tc>
        <w:tc>
          <w:tcPr>
            <w:tcW w:w="1270" w:type="dxa"/>
            <w:tcBorders>
              <w:top w:val="single" w:sz="4" w:space="0" w:color="4D7861" w:themeColor="accent2"/>
              <w:bottom w:val="single" w:sz="4" w:space="0" w:color="4D7861" w:themeColor="accent2"/>
            </w:tcBorders>
            <w:shd w:val="clear" w:color="auto" w:fill="DBE4DF"/>
          </w:tcPr>
          <w:p w14:paraId="3433E0FF" w14:textId="77777777" w:rsidR="007970FF" w:rsidRPr="00301F93" w:rsidRDefault="007970FF" w:rsidP="007970FF">
            <w:pPr>
              <w:pStyle w:val="TableTextLeft"/>
            </w:pPr>
          </w:p>
        </w:tc>
        <w:tc>
          <w:tcPr>
            <w:tcW w:w="1270" w:type="dxa"/>
            <w:tcBorders>
              <w:top w:val="single" w:sz="4" w:space="0" w:color="4D7861" w:themeColor="accent2"/>
              <w:bottom w:val="single" w:sz="4" w:space="0" w:color="4D7861" w:themeColor="accent2"/>
            </w:tcBorders>
            <w:shd w:val="clear" w:color="auto" w:fill="DBE4DF"/>
          </w:tcPr>
          <w:p w14:paraId="454B7486" w14:textId="77777777" w:rsidR="007970FF" w:rsidRPr="00301F93" w:rsidRDefault="007970FF" w:rsidP="007970FF">
            <w:pPr>
              <w:pStyle w:val="TableTextLeft"/>
            </w:pPr>
          </w:p>
        </w:tc>
        <w:tc>
          <w:tcPr>
            <w:tcW w:w="1270" w:type="dxa"/>
            <w:tcBorders>
              <w:top w:val="single" w:sz="4" w:space="0" w:color="4D7861" w:themeColor="accent2"/>
              <w:bottom w:val="single" w:sz="4" w:space="0" w:color="4D7861" w:themeColor="accent2"/>
            </w:tcBorders>
            <w:shd w:val="clear" w:color="auto" w:fill="DBE4DF"/>
          </w:tcPr>
          <w:p w14:paraId="7AC20301" w14:textId="5A6454A3" w:rsidR="007970FF" w:rsidRPr="00301F93" w:rsidRDefault="009D317D" w:rsidP="007970FF">
            <w:pPr>
              <w:pStyle w:val="TableTextLeft"/>
            </w:pPr>
            <w:r>
              <w:t>Prudential standards updated</w:t>
            </w:r>
          </w:p>
        </w:tc>
        <w:tc>
          <w:tcPr>
            <w:tcW w:w="1270" w:type="dxa"/>
            <w:tcBorders>
              <w:top w:val="single" w:sz="4" w:space="0" w:color="4D7861" w:themeColor="accent2"/>
              <w:bottom w:val="single" w:sz="4" w:space="0" w:color="4D7861" w:themeColor="accent2"/>
            </w:tcBorders>
            <w:shd w:val="clear" w:color="auto" w:fill="EDF2EF"/>
          </w:tcPr>
          <w:p w14:paraId="7FFA44C1" w14:textId="3274153E" w:rsidR="007970FF" w:rsidRPr="00301F93" w:rsidRDefault="007970FF" w:rsidP="007970FF">
            <w:pPr>
              <w:pStyle w:val="TableTextLeft"/>
            </w:pPr>
            <w:r w:rsidRPr="00301F93">
              <w:t>Commences</w:t>
            </w:r>
          </w:p>
        </w:tc>
        <w:tc>
          <w:tcPr>
            <w:tcW w:w="1270" w:type="dxa"/>
            <w:tcBorders>
              <w:top w:val="single" w:sz="4" w:space="0" w:color="4D7861" w:themeColor="accent2"/>
              <w:bottom w:val="single" w:sz="4" w:space="0" w:color="4D7861" w:themeColor="accent2"/>
            </w:tcBorders>
            <w:shd w:val="clear" w:color="auto" w:fill="EDF2EF"/>
          </w:tcPr>
          <w:p w14:paraId="3F2CA902" w14:textId="77777777" w:rsidR="007970FF" w:rsidRPr="00301F93" w:rsidRDefault="007970FF" w:rsidP="007970FF">
            <w:pPr>
              <w:pStyle w:val="TableTextLeft"/>
            </w:pPr>
          </w:p>
        </w:tc>
      </w:tr>
      <w:tr w:rsidR="007A74C9" w:rsidRPr="00AF43B7" w14:paraId="007B9659" w14:textId="77777777" w:rsidTr="10AAACD2">
        <w:trPr>
          <w:cantSplit/>
          <w:trHeight w:val="410"/>
        </w:trPr>
        <w:tc>
          <w:tcPr>
            <w:tcW w:w="849" w:type="dxa"/>
            <w:tcBorders>
              <w:top w:val="single" w:sz="4" w:space="0" w:color="4D7861" w:themeColor="accent2"/>
              <w:bottom w:val="single" w:sz="4" w:space="0" w:color="4D7861" w:themeColor="accent2"/>
            </w:tcBorders>
            <w:shd w:val="clear" w:color="auto" w:fill="auto"/>
          </w:tcPr>
          <w:p w14:paraId="5DDD803B" w14:textId="77777777" w:rsidR="007970FF" w:rsidRPr="00E7433A" w:rsidRDefault="007970FF" w:rsidP="007970FF">
            <w:pPr>
              <w:pStyle w:val="TableLeadAgency"/>
            </w:pPr>
            <w:r w:rsidRPr="00E7433A">
              <w:t>APRA</w:t>
            </w:r>
          </w:p>
        </w:tc>
        <w:tc>
          <w:tcPr>
            <w:tcW w:w="1247" w:type="dxa"/>
            <w:tcBorders>
              <w:top w:val="single" w:sz="4" w:space="0" w:color="4D7861" w:themeColor="accent2"/>
              <w:bottom w:val="single" w:sz="4" w:space="0" w:color="4D7861" w:themeColor="accent2"/>
            </w:tcBorders>
          </w:tcPr>
          <w:p w14:paraId="158D479B" w14:textId="77777777" w:rsidR="007970FF" w:rsidRPr="000C4FD5" w:rsidRDefault="007970FF" w:rsidP="007970FF">
            <w:pPr>
              <w:pStyle w:val="TableTextLeft"/>
            </w:pPr>
            <w:r w:rsidRPr="000C4FD5">
              <w:t>Insurance and reinsurance</w:t>
            </w:r>
          </w:p>
        </w:tc>
        <w:tc>
          <w:tcPr>
            <w:tcW w:w="4286" w:type="dxa"/>
            <w:tcBorders>
              <w:top w:val="single" w:sz="4" w:space="0" w:color="4D7861" w:themeColor="accent2"/>
              <w:bottom w:val="single" w:sz="4" w:space="0" w:color="4D7861" w:themeColor="accent2"/>
            </w:tcBorders>
          </w:tcPr>
          <w:p w14:paraId="478D300F" w14:textId="177114F4" w:rsidR="007970FF" w:rsidRPr="004E1B89" w:rsidRDefault="007970FF" w:rsidP="007970FF">
            <w:pPr>
              <w:pStyle w:val="TableTextLeft"/>
              <w:rPr>
                <w:b/>
                <w:bCs/>
              </w:rPr>
            </w:pPr>
            <w:r w:rsidRPr="004E1B89">
              <w:rPr>
                <w:b/>
                <w:bCs/>
              </w:rPr>
              <w:t xml:space="preserve">General </w:t>
            </w:r>
            <w:r>
              <w:rPr>
                <w:b/>
                <w:bCs/>
              </w:rPr>
              <w:t>i</w:t>
            </w:r>
            <w:r w:rsidRPr="004E1B89">
              <w:rPr>
                <w:b/>
                <w:bCs/>
              </w:rPr>
              <w:t xml:space="preserve">nsurance </w:t>
            </w:r>
            <w:r>
              <w:rPr>
                <w:b/>
                <w:bCs/>
              </w:rPr>
              <w:t>r</w:t>
            </w:r>
            <w:r w:rsidRPr="004E1B89">
              <w:rPr>
                <w:b/>
                <w:bCs/>
              </w:rPr>
              <w:t>einsurance: Review reinsurance prudential requirements</w:t>
            </w:r>
          </w:p>
          <w:p w14:paraId="7E422E40" w14:textId="50A2502E" w:rsidR="007970FF" w:rsidRPr="00983D4A" w:rsidRDefault="007970FF" w:rsidP="007970FF">
            <w:pPr>
              <w:pStyle w:val="TableTextLeft"/>
            </w:pPr>
            <w:r w:rsidRPr="000C4FD5">
              <w:t>APRA</w:t>
            </w:r>
            <w:r w:rsidRPr="009A3724">
              <w:t xml:space="preserve"> will consult on reinsurance settings for general insurance to consider the scope to promote access to alternative reinsurance.</w:t>
            </w:r>
            <w:r>
              <w:rPr>
                <w:rFonts w:cs="Calibri Light"/>
                <w:color w:val="00B050"/>
                <w:szCs w:val="16"/>
              </w:rPr>
              <w:t xml:space="preserve"> </w:t>
            </w:r>
          </w:p>
        </w:tc>
        <w:tc>
          <w:tcPr>
            <w:tcW w:w="1270" w:type="dxa"/>
            <w:tcBorders>
              <w:top w:val="single" w:sz="4" w:space="0" w:color="4D7861" w:themeColor="accent2"/>
              <w:bottom w:val="single" w:sz="4" w:space="0" w:color="4D7861" w:themeColor="accent2"/>
            </w:tcBorders>
            <w:shd w:val="clear" w:color="auto" w:fill="DBE4DF"/>
          </w:tcPr>
          <w:p w14:paraId="4BF53E64" w14:textId="1AB66E8D" w:rsidR="007970FF" w:rsidRPr="00301F93" w:rsidRDefault="007970FF" w:rsidP="007970FF">
            <w:pPr>
              <w:pStyle w:val="TableTextLeft"/>
            </w:pPr>
          </w:p>
        </w:tc>
        <w:tc>
          <w:tcPr>
            <w:tcW w:w="1270" w:type="dxa"/>
            <w:tcBorders>
              <w:top w:val="single" w:sz="4" w:space="0" w:color="4D7861" w:themeColor="accent2"/>
              <w:bottom w:val="single" w:sz="4" w:space="0" w:color="4D7861" w:themeColor="accent2"/>
            </w:tcBorders>
            <w:shd w:val="clear" w:color="auto" w:fill="DBE4DF"/>
          </w:tcPr>
          <w:p w14:paraId="1A6766F6" w14:textId="5F511AB3" w:rsidR="007970FF" w:rsidRPr="00301F93" w:rsidRDefault="007970FF" w:rsidP="007970FF">
            <w:pPr>
              <w:pStyle w:val="TableTextLeft"/>
            </w:pPr>
            <w:r w:rsidRPr="00301F93">
              <w:t>Consultation</w:t>
            </w:r>
          </w:p>
        </w:tc>
        <w:tc>
          <w:tcPr>
            <w:tcW w:w="1270" w:type="dxa"/>
            <w:tcBorders>
              <w:top w:val="single" w:sz="4" w:space="0" w:color="4D7861" w:themeColor="accent2"/>
              <w:bottom w:val="single" w:sz="4" w:space="0" w:color="4D7861" w:themeColor="accent2"/>
            </w:tcBorders>
            <w:shd w:val="clear" w:color="auto" w:fill="DBE4DF"/>
          </w:tcPr>
          <w:p w14:paraId="0BE59CAC" w14:textId="63BBD0FE" w:rsidR="007970FF" w:rsidRPr="00301F93" w:rsidRDefault="007970FF" w:rsidP="007970FF">
            <w:pPr>
              <w:pStyle w:val="TableTextLeft"/>
            </w:pPr>
          </w:p>
        </w:tc>
        <w:tc>
          <w:tcPr>
            <w:tcW w:w="1270" w:type="dxa"/>
            <w:tcBorders>
              <w:top w:val="single" w:sz="4" w:space="0" w:color="4D7861" w:themeColor="accent2"/>
              <w:bottom w:val="single" w:sz="4" w:space="0" w:color="4D7861" w:themeColor="accent2"/>
            </w:tcBorders>
            <w:shd w:val="clear" w:color="auto" w:fill="DBE4DF"/>
          </w:tcPr>
          <w:p w14:paraId="02B839E5" w14:textId="3F760ABD" w:rsidR="007970FF" w:rsidRPr="00301F93" w:rsidRDefault="007970FF" w:rsidP="007970FF">
            <w:pPr>
              <w:pStyle w:val="TableTextLeft"/>
            </w:pPr>
            <w:r w:rsidRPr="00301F93">
              <w:t>Prudential requirements updated</w:t>
            </w:r>
          </w:p>
        </w:tc>
        <w:tc>
          <w:tcPr>
            <w:tcW w:w="1270" w:type="dxa"/>
            <w:tcBorders>
              <w:top w:val="single" w:sz="4" w:space="0" w:color="4D7861" w:themeColor="accent2"/>
              <w:bottom w:val="single" w:sz="4" w:space="0" w:color="4D7861" w:themeColor="accent2"/>
            </w:tcBorders>
            <w:shd w:val="clear" w:color="auto" w:fill="EDF2EF"/>
          </w:tcPr>
          <w:p w14:paraId="7091BDA3" w14:textId="66C5D402" w:rsidR="007970FF" w:rsidRPr="00301F93" w:rsidRDefault="007970FF" w:rsidP="007970FF">
            <w:pPr>
              <w:pStyle w:val="TableTextLeft"/>
            </w:pPr>
            <w:r w:rsidRPr="00301F93">
              <w:t>Commences in June 2026</w:t>
            </w:r>
          </w:p>
        </w:tc>
        <w:tc>
          <w:tcPr>
            <w:tcW w:w="1270" w:type="dxa"/>
            <w:tcBorders>
              <w:top w:val="single" w:sz="4" w:space="0" w:color="4D7861" w:themeColor="accent2"/>
              <w:bottom w:val="single" w:sz="4" w:space="0" w:color="4D7861" w:themeColor="accent2"/>
            </w:tcBorders>
            <w:shd w:val="clear" w:color="auto" w:fill="EDF2EF"/>
          </w:tcPr>
          <w:p w14:paraId="2224FFF1" w14:textId="3294993C" w:rsidR="007970FF" w:rsidRPr="00301F93" w:rsidRDefault="007970FF" w:rsidP="007970FF">
            <w:pPr>
              <w:pStyle w:val="TableTextLeft"/>
            </w:pPr>
          </w:p>
        </w:tc>
      </w:tr>
      <w:tr w:rsidR="007A74C9" w:rsidRPr="00AF43B7" w14:paraId="551E9C2D" w14:textId="77777777" w:rsidTr="10AAACD2">
        <w:trPr>
          <w:cantSplit/>
          <w:trHeight w:val="410"/>
        </w:trPr>
        <w:tc>
          <w:tcPr>
            <w:tcW w:w="849" w:type="dxa"/>
            <w:tcBorders>
              <w:top w:val="single" w:sz="4" w:space="0" w:color="4D7861" w:themeColor="accent2"/>
              <w:bottom w:val="single" w:sz="4" w:space="0" w:color="4D7861" w:themeColor="accent2"/>
            </w:tcBorders>
            <w:shd w:val="clear" w:color="auto" w:fill="auto"/>
          </w:tcPr>
          <w:p w14:paraId="204386FC" w14:textId="77777777" w:rsidR="007970FF" w:rsidRPr="00E7433A" w:rsidRDefault="007970FF" w:rsidP="007970FF">
            <w:pPr>
              <w:pStyle w:val="TableLeadAgency"/>
            </w:pPr>
            <w:r w:rsidRPr="00E7433A">
              <w:lastRenderedPageBreak/>
              <w:t>ACCC</w:t>
            </w:r>
          </w:p>
        </w:tc>
        <w:tc>
          <w:tcPr>
            <w:tcW w:w="1247" w:type="dxa"/>
            <w:tcBorders>
              <w:top w:val="single" w:sz="4" w:space="0" w:color="4D7861" w:themeColor="accent2"/>
              <w:bottom w:val="single" w:sz="4" w:space="0" w:color="4D7861" w:themeColor="accent2"/>
            </w:tcBorders>
          </w:tcPr>
          <w:p w14:paraId="599E434B" w14:textId="77777777" w:rsidR="007970FF" w:rsidRPr="000C4FD5" w:rsidRDefault="007970FF" w:rsidP="007970FF">
            <w:pPr>
              <w:pStyle w:val="TableTextLeft"/>
            </w:pPr>
            <w:r w:rsidRPr="000C4FD5">
              <w:t>Insurance and reinsurance</w:t>
            </w:r>
          </w:p>
        </w:tc>
        <w:tc>
          <w:tcPr>
            <w:tcW w:w="4286" w:type="dxa"/>
            <w:tcBorders>
              <w:top w:val="single" w:sz="4" w:space="0" w:color="4D7861" w:themeColor="accent2"/>
              <w:bottom w:val="single" w:sz="4" w:space="0" w:color="4D7861" w:themeColor="accent2"/>
            </w:tcBorders>
          </w:tcPr>
          <w:p w14:paraId="07381B5D" w14:textId="698E1759" w:rsidR="007970FF" w:rsidRPr="000A4B96" w:rsidRDefault="001D4D7F" w:rsidP="007970FF">
            <w:pPr>
              <w:pStyle w:val="TableLink"/>
              <w:rPr>
                <w:b w:val="0"/>
                <w:bCs/>
                <w:u w:val="single"/>
              </w:rPr>
            </w:pPr>
            <w:hyperlink r:id="rId91" w:history="1">
              <w:r w:rsidR="007970FF" w:rsidRPr="000A4B96">
                <w:rPr>
                  <w:rStyle w:val="Hyperlink"/>
                  <w:b/>
                  <w:bCs/>
                  <w:u w:val="single"/>
                </w:rPr>
                <w:t>Insurance monitoring</w:t>
              </w:r>
            </w:hyperlink>
          </w:p>
          <w:p w14:paraId="0E7E79FB" w14:textId="01FAF537" w:rsidR="007970FF" w:rsidRPr="000C4FD5" w:rsidRDefault="007970FF" w:rsidP="007970FF">
            <w:pPr>
              <w:pStyle w:val="TableTextLeft"/>
            </w:pPr>
            <w:r w:rsidRPr="000C4FD5">
              <w:t>The ACCC is monitoring the prices, costs and profits of home, contents, strata, and certain commercial insurance policies, before and after the introduction of the cyclone reinsurance pool.</w:t>
            </w:r>
          </w:p>
          <w:p w14:paraId="3AA76486" w14:textId="0020E1A2" w:rsidR="007970FF" w:rsidRPr="00CB303C" w:rsidRDefault="007970FF" w:rsidP="007970FF">
            <w:pPr>
              <w:pStyle w:val="TableTextLeft"/>
            </w:pPr>
            <w:r w:rsidRPr="000C4FD5">
              <w:t>The</w:t>
            </w:r>
            <w:r w:rsidRPr="009A3724">
              <w:t xml:space="preserve"> ACCC is required to report at least once each calendar year until 30</w:t>
            </w:r>
            <w:r>
              <w:t> </w:t>
            </w:r>
            <w:r w:rsidRPr="009A3724">
              <w:t>June</w:t>
            </w:r>
            <w:r>
              <w:t> </w:t>
            </w:r>
            <w:r w:rsidRPr="009A3724">
              <w:t>2026.</w:t>
            </w:r>
            <w:r>
              <w:rPr>
                <w:rFonts w:cs="Calibri Light"/>
                <w:color w:val="00B050"/>
                <w:szCs w:val="16"/>
              </w:rPr>
              <w:t xml:space="preserve"> </w:t>
            </w:r>
          </w:p>
        </w:tc>
        <w:tc>
          <w:tcPr>
            <w:tcW w:w="1270" w:type="dxa"/>
            <w:tcBorders>
              <w:top w:val="single" w:sz="4" w:space="0" w:color="4D7861" w:themeColor="accent2"/>
              <w:bottom w:val="single" w:sz="4" w:space="0" w:color="4D7861" w:themeColor="accent2"/>
            </w:tcBorders>
            <w:shd w:val="clear" w:color="auto" w:fill="DBE4DF"/>
          </w:tcPr>
          <w:p w14:paraId="42C844EB" w14:textId="77777777" w:rsidR="007970FF" w:rsidRPr="00301F93" w:rsidRDefault="007970FF" w:rsidP="007970FF">
            <w:pPr>
              <w:pStyle w:val="TableTextLeft"/>
            </w:pPr>
          </w:p>
        </w:tc>
        <w:tc>
          <w:tcPr>
            <w:tcW w:w="1270" w:type="dxa"/>
            <w:tcBorders>
              <w:top w:val="single" w:sz="4" w:space="0" w:color="4D7861" w:themeColor="accent2"/>
              <w:bottom w:val="single" w:sz="4" w:space="0" w:color="4D7861" w:themeColor="accent2"/>
            </w:tcBorders>
            <w:shd w:val="clear" w:color="auto" w:fill="DBE4DF"/>
          </w:tcPr>
          <w:p w14:paraId="1808B5DA" w14:textId="77777777" w:rsidR="007970FF" w:rsidRPr="00301F93" w:rsidRDefault="007970FF" w:rsidP="007970FF">
            <w:pPr>
              <w:pStyle w:val="TableTextLeft"/>
            </w:pPr>
          </w:p>
        </w:tc>
        <w:tc>
          <w:tcPr>
            <w:tcW w:w="1270" w:type="dxa"/>
            <w:tcBorders>
              <w:top w:val="single" w:sz="4" w:space="0" w:color="4D7861" w:themeColor="accent2"/>
              <w:bottom w:val="single" w:sz="4" w:space="0" w:color="4D7861" w:themeColor="accent2"/>
            </w:tcBorders>
            <w:shd w:val="clear" w:color="auto" w:fill="DBE4DF"/>
          </w:tcPr>
          <w:p w14:paraId="213534CE" w14:textId="77777777" w:rsidR="007970FF" w:rsidRPr="00301F93" w:rsidRDefault="007970FF" w:rsidP="007970FF">
            <w:pPr>
              <w:pStyle w:val="TableTextLeft"/>
            </w:pPr>
          </w:p>
        </w:tc>
        <w:tc>
          <w:tcPr>
            <w:tcW w:w="1270" w:type="dxa"/>
            <w:tcBorders>
              <w:top w:val="single" w:sz="4" w:space="0" w:color="4D7861" w:themeColor="accent2"/>
              <w:bottom w:val="single" w:sz="4" w:space="0" w:color="4D7861" w:themeColor="accent2"/>
            </w:tcBorders>
            <w:shd w:val="clear" w:color="auto" w:fill="DBE4DF"/>
          </w:tcPr>
          <w:p w14:paraId="113776B1" w14:textId="32AE93A5" w:rsidR="007970FF" w:rsidRPr="00301F93" w:rsidRDefault="007970FF" w:rsidP="007970FF">
            <w:pPr>
              <w:pStyle w:val="TableTextLeft"/>
            </w:pPr>
            <w:r w:rsidRPr="00301F93">
              <w:t>Reporting requirement for 2025 due by end of calendar year</w:t>
            </w:r>
          </w:p>
        </w:tc>
        <w:tc>
          <w:tcPr>
            <w:tcW w:w="1270" w:type="dxa"/>
            <w:tcBorders>
              <w:top w:val="single" w:sz="4" w:space="0" w:color="4D7861" w:themeColor="accent2"/>
              <w:bottom w:val="single" w:sz="4" w:space="0" w:color="4D7861" w:themeColor="accent2"/>
            </w:tcBorders>
            <w:shd w:val="clear" w:color="auto" w:fill="EDF2EF"/>
          </w:tcPr>
          <w:p w14:paraId="17D10C17" w14:textId="6E62E041" w:rsidR="007970FF" w:rsidRPr="00301F93" w:rsidRDefault="007970FF" w:rsidP="007970FF">
            <w:pPr>
              <w:pStyle w:val="TableTextLeft"/>
            </w:pPr>
            <w:r w:rsidRPr="00301F93">
              <w:t>Final report due by 30 June 2026</w:t>
            </w:r>
          </w:p>
        </w:tc>
        <w:tc>
          <w:tcPr>
            <w:tcW w:w="1270" w:type="dxa"/>
            <w:tcBorders>
              <w:top w:val="single" w:sz="4" w:space="0" w:color="4D7861" w:themeColor="accent2"/>
              <w:bottom w:val="single" w:sz="4" w:space="0" w:color="4D7861" w:themeColor="accent2"/>
            </w:tcBorders>
            <w:shd w:val="clear" w:color="auto" w:fill="EDF2EF"/>
          </w:tcPr>
          <w:p w14:paraId="49C99324" w14:textId="77777777" w:rsidR="007970FF" w:rsidRPr="00301F93" w:rsidRDefault="007970FF" w:rsidP="007970FF">
            <w:pPr>
              <w:pStyle w:val="TableTextLeft"/>
            </w:pPr>
          </w:p>
        </w:tc>
      </w:tr>
      <w:tr w:rsidR="007A74C9" w:rsidRPr="00AF43B7" w14:paraId="5476F735" w14:textId="77777777" w:rsidTr="10AAACD2">
        <w:trPr>
          <w:cantSplit/>
          <w:trHeight w:val="410"/>
        </w:trPr>
        <w:tc>
          <w:tcPr>
            <w:tcW w:w="849" w:type="dxa"/>
            <w:tcBorders>
              <w:top w:val="single" w:sz="4" w:space="0" w:color="4D7861" w:themeColor="accent2"/>
              <w:bottom w:val="single" w:sz="4" w:space="0" w:color="4D7861" w:themeColor="accent2"/>
            </w:tcBorders>
            <w:shd w:val="clear" w:color="auto" w:fill="auto"/>
          </w:tcPr>
          <w:p w14:paraId="07BAC3AE" w14:textId="5D35DCC8" w:rsidR="007970FF" w:rsidRPr="00E7433A" w:rsidRDefault="007970FF" w:rsidP="007970FF">
            <w:pPr>
              <w:pStyle w:val="TableLeadAgency"/>
            </w:pPr>
            <w:r w:rsidRPr="00E7433A">
              <w:t xml:space="preserve">RBA </w:t>
            </w:r>
          </w:p>
        </w:tc>
        <w:tc>
          <w:tcPr>
            <w:tcW w:w="1247" w:type="dxa"/>
            <w:tcBorders>
              <w:top w:val="single" w:sz="4" w:space="0" w:color="4D7861" w:themeColor="accent2"/>
              <w:bottom w:val="single" w:sz="4" w:space="0" w:color="4D7861" w:themeColor="accent2"/>
            </w:tcBorders>
          </w:tcPr>
          <w:p w14:paraId="13842B04" w14:textId="65A5F98A" w:rsidR="007970FF" w:rsidRPr="000C4FD5" w:rsidRDefault="007970FF" w:rsidP="007970FF">
            <w:pPr>
              <w:pStyle w:val="TableTextLeft"/>
            </w:pPr>
            <w:r w:rsidRPr="00CB303C">
              <w:t xml:space="preserve">Payment services and digital </w:t>
            </w:r>
            <w:r w:rsidRPr="000C4FD5">
              <w:t>assets</w:t>
            </w:r>
          </w:p>
          <w:p w14:paraId="22F1954C" w14:textId="0CBB34FA" w:rsidR="007970FF" w:rsidRPr="00CB303C" w:rsidRDefault="007970FF" w:rsidP="007970FF">
            <w:pPr>
              <w:pStyle w:val="TableTextLeft"/>
            </w:pPr>
            <w:r w:rsidRPr="000C4FD5">
              <w:t xml:space="preserve">Banking, </w:t>
            </w:r>
            <w:proofErr w:type="gramStart"/>
            <w:r w:rsidRPr="000C4FD5">
              <w:t>credit</w:t>
            </w:r>
            <w:proofErr w:type="gramEnd"/>
            <w:r w:rsidRPr="000C4FD5">
              <w:t xml:space="preserve"> and lend</w:t>
            </w:r>
            <w:r w:rsidRPr="00BB7DF7">
              <w:t>ing</w:t>
            </w:r>
          </w:p>
        </w:tc>
        <w:tc>
          <w:tcPr>
            <w:tcW w:w="4286" w:type="dxa"/>
            <w:tcBorders>
              <w:top w:val="single" w:sz="4" w:space="0" w:color="4D7861" w:themeColor="accent2"/>
              <w:bottom w:val="single" w:sz="4" w:space="0" w:color="4D7861" w:themeColor="accent2"/>
            </w:tcBorders>
          </w:tcPr>
          <w:p w14:paraId="2C595BE9" w14:textId="3E287B52" w:rsidR="007970FF" w:rsidRPr="000A4B96" w:rsidRDefault="001D4D7F" w:rsidP="007970FF">
            <w:pPr>
              <w:pStyle w:val="TableLink"/>
              <w:rPr>
                <w:b w:val="0"/>
                <w:bCs/>
                <w:u w:val="single"/>
              </w:rPr>
            </w:pPr>
            <w:hyperlink r:id="rId92" w:history="1">
              <w:r w:rsidR="007970FF" w:rsidRPr="000A4B96">
                <w:rPr>
                  <w:rStyle w:val="Hyperlink"/>
                  <w:b/>
                  <w:bCs/>
                  <w:u w:val="single"/>
                </w:rPr>
                <w:t>Review of retail payments regulation</w:t>
              </w:r>
              <w:r w:rsidR="007970FF">
                <w:rPr>
                  <w:rStyle w:val="Hyperlink"/>
                  <w:b/>
                  <w:bCs/>
                  <w:u w:val="single"/>
                </w:rPr>
                <w:t xml:space="preserve"> – </w:t>
              </w:r>
              <w:r w:rsidR="007970FF" w:rsidRPr="000A4B96">
                <w:rPr>
                  <w:rStyle w:val="Hyperlink"/>
                  <w:b/>
                  <w:bCs/>
                  <w:u w:val="single"/>
                </w:rPr>
                <w:t>merchant card payment costs and surcharging</w:t>
              </w:r>
            </w:hyperlink>
          </w:p>
          <w:p w14:paraId="7B27B941" w14:textId="13391E88" w:rsidR="007970FF" w:rsidRPr="000C4FD5" w:rsidRDefault="007970FF" w:rsidP="007970FF">
            <w:pPr>
              <w:pStyle w:val="TableTextLeft"/>
            </w:pPr>
            <w:r w:rsidRPr="009A3724">
              <w:t xml:space="preserve">The RBA will review merchant card payment costs and </w:t>
            </w:r>
            <w:r w:rsidRPr="000C4FD5">
              <w:t xml:space="preserve">surcharging, to see whether new regulations or amendments to existing regulations are warranted to promote competition, </w:t>
            </w:r>
            <w:proofErr w:type="gramStart"/>
            <w:r w:rsidRPr="000C4FD5">
              <w:t>efficiency</w:t>
            </w:r>
            <w:proofErr w:type="gramEnd"/>
            <w:r w:rsidRPr="000C4FD5">
              <w:t xml:space="preserve"> and safety in the payments system.</w:t>
            </w:r>
          </w:p>
          <w:p w14:paraId="0EC3B955" w14:textId="325DE698" w:rsidR="007970FF" w:rsidRPr="00667A54" w:rsidRDefault="007970FF" w:rsidP="007970FF">
            <w:pPr>
              <w:pStyle w:val="TableTextLeft"/>
            </w:pPr>
            <w:r w:rsidRPr="000C4FD5">
              <w:t>First</w:t>
            </w:r>
            <w:r>
              <w:t xml:space="preserve"> phase</w:t>
            </w:r>
            <w:r w:rsidRPr="009A3724">
              <w:t xml:space="preserve"> milestones are outlined. </w:t>
            </w:r>
            <w:r>
              <w:t>The s</w:t>
            </w:r>
            <w:r w:rsidRPr="009A3724">
              <w:t>econd</w:t>
            </w:r>
            <w:r>
              <w:noBreakHyphen/>
              <w:t xml:space="preserve">phase </w:t>
            </w:r>
            <w:r w:rsidRPr="009A3724">
              <w:t xml:space="preserve">activities will depend on the passage of reforms to the </w:t>
            </w:r>
            <w:r w:rsidRPr="009A3724">
              <w:rPr>
                <w:i/>
                <w:iCs/>
              </w:rPr>
              <w:t>Payment Systems (Regulation) Act</w:t>
            </w:r>
            <w:r>
              <w:rPr>
                <w:i/>
                <w:iCs/>
              </w:rPr>
              <w:t> </w:t>
            </w:r>
            <w:r w:rsidRPr="009A3724">
              <w:rPr>
                <w:i/>
                <w:iCs/>
              </w:rPr>
              <w:t>1998</w:t>
            </w:r>
            <w:r w:rsidRPr="009A3724">
              <w:t>.</w:t>
            </w:r>
          </w:p>
        </w:tc>
        <w:tc>
          <w:tcPr>
            <w:tcW w:w="1270" w:type="dxa"/>
            <w:tcBorders>
              <w:top w:val="single" w:sz="4" w:space="0" w:color="4D7861" w:themeColor="accent2"/>
              <w:bottom w:val="single" w:sz="4" w:space="0" w:color="4D7861" w:themeColor="accent2"/>
            </w:tcBorders>
            <w:shd w:val="clear" w:color="auto" w:fill="DBE4DF"/>
          </w:tcPr>
          <w:p w14:paraId="05A9A210" w14:textId="2C14A598" w:rsidR="007970FF" w:rsidRPr="00CB303C" w:rsidRDefault="007970FF" w:rsidP="007970FF">
            <w:pPr>
              <w:pStyle w:val="TableTextLeft"/>
            </w:pPr>
          </w:p>
        </w:tc>
        <w:tc>
          <w:tcPr>
            <w:tcW w:w="1270" w:type="dxa"/>
            <w:tcBorders>
              <w:top w:val="single" w:sz="4" w:space="0" w:color="4D7861" w:themeColor="accent2"/>
              <w:bottom w:val="single" w:sz="4" w:space="0" w:color="4D7861" w:themeColor="accent2"/>
            </w:tcBorders>
            <w:shd w:val="clear" w:color="auto" w:fill="DBE4DF"/>
          </w:tcPr>
          <w:p w14:paraId="57BAEB6B" w14:textId="5C105124" w:rsidR="007970FF" w:rsidRPr="00301F93" w:rsidRDefault="007970FF" w:rsidP="007970FF">
            <w:pPr>
              <w:pStyle w:val="TableTextLeft"/>
            </w:pPr>
            <w:r w:rsidRPr="00301F93">
              <w:t>Consultation paper published (first phase)</w:t>
            </w:r>
          </w:p>
        </w:tc>
        <w:tc>
          <w:tcPr>
            <w:tcW w:w="1270" w:type="dxa"/>
            <w:tcBorders>
              <w:top w:val="single" w:sz="4" w:space="0" w:color="4D7861" w:themeColor="accent2"/>
              <w:bottom w:val="single" w:sz="4" w:space="0" w:color="4D7861" w:themeColor="accent2"/>
            </w:tcBorders>
            <w:shd w:val="clear" w:color="auto" w:fill="DBE4DF"/>
          </w:tcPr>
          <w:p w14:paraId="38E65D22" w14:textId="77777777" w:rsidR="007970FF" w:rsidRPr="00301F93" w:rsidRDefault="007970FF" w:rsidP="007970FF">
            <w:pPr>
              <w:pStyle w:val="TableTextLeft"/>
            </w:pPr>
          </w:p>
        </w:tc>
        <w:tc>
          <w:tcPr>
            <w:tcW w:w="1270" w:type="dxa"/>
            <w:tcBorders>
              <w:top w:val="single" w:sz="4" w:space="0" w:color="4D7861" w:themeColor="accent2"/>
              <w:bottom w:val="single" w:sz="4" w:space="0" w:color="4D7861" w:themeColor="accent2"/>
            </w:tcBorders>
            <w:shd w:val="clear" w:color="auto" w:fill="DBE4DF"/>
          </w:tcPr>
          <w:p w14:paraId="788FC574" w14:textId="0B77BDCE" w:rsidR="007970FF" w:rsidRPr="00301F93" w:rsidRDefault="007970FF" w:rsidP="007970FF">
            <w:pPr>
              <w:pStyle w:val="TableTextLeft"/>
            </w:pPr>
            <w:r w:rsidRPr="00301F93">
              <w:t>Conclusions paper published (first phase)</w:t>
            </w:r>
          </w:p>
        </w:tc>
        <w:tc>
          <w:tcPr>
            <w:tcW w:w="1270" w:type="dxa"/>
            <w:tcBorders>
              <w:top w:val="single" w:sz="4" w:space="0" w:color="4D7861" w:themeColor="accent2"/>
              <w:bottom w:val="single" w:sz="4" w:space="0" w:color="4D7861" w:themeColor="accent2"/>
            </w:tcBorders>
            <w:shd w:val="clear" w:color="auto" w:fill="EDF2EF"/>
          </w:tcPr>
          <w:p w14:paraId="3E96E6C1" w14:textId="058BFB14" w:rsidR="007970FF" w:rsidRPr="00CB303C" w:rsidRDefault="007970FF" w:rsidP="007970FF">
            <w:pPr>
              <w:pStyle w:val="TableTextLeft"/>
            </w:pPr>
          </w:p>
        </w:tc>
        <w:tc>
          <w:tcPr>
            <w:tcW w:w="1270" w:type="dxa"/>
            <w:tcBorders>
              <w:top w:val="single" w:sz="4" w:space="0" w:color="4D7861" w:themeColor="accent2"/>
              <w:bottom w:val="single" w:sz="4" w:space="0" w:color="4D7861" w:themeColor="accent2"/>
            </w:tcBorders>
            <w:shd w:val="clear" w:color="auto" w:fill="EDF2EF"/>
          </w:tcPr>
          <w:p w14:paraId="3E1F5E71" w14:textId="77777777" w:rsidR="007970FF" w:rsidRPr="00CB303C" w:rsidRDefault="007970FF" w:rsidP="007970FF">
            <w:pPr>
              <w:pStyle w:val="TableTextLeft"/>
            </w:pPr>
          </w:p>
        </w:tc>
      </w:tr>
    </w:tbl>
    <w:p w14:paraId="1F2214DC" w14:textId="7E3C1A15" w:rsidR="00744912" w:rsidRPr="00BC3DBA" w:rsidRDefault="00744912" w:rsidP="00BC3DBA"/>
    <w:sectPr w:rsidR="00744912" w:rsidRPr="00BC3DBA" w:rsidSect="00F534FF">
      <w:headerReference w:type="even" r:id="rId93"/>
      <w:headerReference w:type="default" r:id="rId94"/>
      <w:footerReference w:type="even" r:id="rId95"/>
      <w:footerReference w:type="default" r:id="rId96"/>
      <w:headerReference w:type="first" r:id="rId97"/>
      <w:footerReference w:type="first" r:id="rId98"/>
      <w:pgSz w:w="16838" w:h="11906" w:orient="landscape" w:code="9"/>
      <w:pgMar w:top="1843" w:right="1418" w:bottom="1021"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AA6E6" w14:textId="77777777" w:rsidR="003C7CE3" w:rsidRDefault="003C7CE3">
      <w:pPr>
        <w:spacing w:before="0" w:after="0"/>
      </w:pPr>
      <w:r>
        <w:separator/>
      </w:r>
    </w:p>
  </w:endnote>
  <w:endnote w:type="continuationSeparator" w:id="0">
    <w:p w14:paraId="2745C2CD" w14:textId="77777777" w:rsidR="003C7CE3" w:rsidRDefault="003C7CE3">
      <w:pPr>
        <w:spacing w:before="0" w:after="0"/>
      </w:pPr>
      <w:r>
        <w:continuationSeparator/>
      </w:r>
    </w:p>
  </w:endnote>
  <w:endnote w:type="continuationNotice" w:id="1">
    <w:p w14:paraId="051110D1" w14:textId="77777777" w:rsidR="003C7CE3" w:rsidRDefault="003C7CE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5190A120" w14:paraId="281C33E2" w14:textId="77777777" w:rsidTr="5190A120">
      <w:trPr>
        <w:trHeight w:val="300"/>
      </w:trPr>
      <w:tc>
        <w:tcPr>
          <w:tcW w:w="4665" w:type="dxa"/>
        </w:tcPr>
        <w:p w14:paraId="4E83F0E4" w14:textId="2D4EF798" w:rsidR="5190A120" w:rsidRDefault="5190A120" w:rsidP="5190A120">
          <w:pPr>
            <w:pStyle w:val="Header"/>
            <w:ind w:left="-115"/>
            <w:jc w:val="left"/>
          </w:pPr>
        </w:p>
      </w:tc>
      <w:tc>
        <w:tcPr>
          <w:tcW w:w="4665" w:type="dxa"/>
        </w:tcPr>
        <w:p w14:paraId="4CFCCF1F" w14:textId="6B079592" w:rsidR="5190A120" w:rsidRDefault="5190A120" w:rsidP="5190A120">
          <w:pPr>
            <w:pStyle w:val="Header"/>
            <w:jc w:val="center"/>
          </w:pPr>
        </w:p>
      </w:tc>
      <w:tc>
        <w:tcPr>
          <w:tcW w:w="4665" w:type="dxa"/>
        </w:tcPr>
        <w:p w14:paraId="425D9BED" w14:textId="14483D14" w:rsidR="5190A120" w:rsidRDefault="5190A120" w:rsidP="5190A120">
          <w:pPr>
            <w:pStyle w:val="Header"/>
            <w:ind w:right="-115"/>
          </w:pPr>
        </w:p>
      </w:tc>
    </w:tr>
  </w:tbl>
  <w:p w14:paraId="7BC06859" w14:textId="668381BC" w:rsidR="0053272D" w:rsidRDefault="0053272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7581" w14:textId="4BF50B76" w:rsidR="00822849" w:rsidRDefault="0082284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50EB4" w14:textId="576350A1" w:rsidR="00D329F1" w:rsidRPr="00434E3C" w:rsidRDefault="00434E3C" w:rsidP="00D5567B">
    <w:pPr>
      <w:pStyle w:val="FooterEven"/>
    </w:pPr>
    <w:r>
      <w:rPr>
        <w:spacing w:val="-2"/>
      </w:rPr>
      <w:t>R</w:t>
    </w:r>
    <w:r w:rsidRPr="00434E3C">
      <w:rPr>
        <w:spacing w:val="-2"/>
      </w:rPr>
      <w:t xml:space="preserve">egulatory </w:t>
    </w:r>
    <w:r>
      <w:rPr>
        <w:spacing w:val="-2"/>
      </w:rPr>
      <w:t>I</w:t>
    </w:r>
    <w:r w:rsidRPr="00434E3C">
      <w:rPr>
        <w:spacing w:val="-2"/>
      </w:rPr>
      <w:t xml:space="preserve">nitiatives </w:t>
    </w:r>
    <w:r>
      <w:rPr>
        <w:spacing w:val="-2"/>
      </w:rPr>
      <w:t>G</w:t>
    </w:r>
    <w:r w:rsidRPr="00434E3C">
      <w:rPr>
        <w:spacing w:val="-2"/>
      </w:rPr>
      <w:t>rid |</w:t>
    </w:r>
    <w:r>
      <w:rPr>
        <w:spacing w:val="-2"/>
      </w:rPr>
      <w:t xml:space="preserve"> </w:t>
    </w:r>
    <w:r w:rsidRPr="00434E3C">
      <w:rPr>
        <w:spacing w:val="-2"/>
      </w:rPr>
      <w:t>December 2024</w:t>
    </w:r>
    <w:r>
      <w:tab/>
    </w:r>
    <w:r w:rsidR="001D4D7F">
      <w:fldChar w:fldCharType="begin"/>
    </w:r>
    <w:r w:rsidR="001D4D7F">
      <w:instrText>STYLEREF  "Heading 1"  \* MERGEFORMAT</w:instrText>
    </w:r>
    <w:r w:rsidR="001D4D7F">
      <w:fldChar w:fldCharType="separate"/>
    </w:r>
    <w:r w:rsidR="001D4D7F">
      <w:t>Foreword</w:t>
    </w:r>
    <w:r w:rsidR="001D4D7F">
      <w:fldChar w:fldCharType="end"/>
    </w:r>
    <w:r>
      <w:t xml:space="preserve"> | </w:t>
    </w:r>
    <w:r>
      <w:fldChar w:fldCharType="begin"/>
    </w:r>
    <w:r>
      <w:instrText xml:space="preserve"> PAGE   \* MERGEFORMAT </w:instrText>
    </w:r>
    <w:r>
      <w:fldChar w:fldCharType="separate"/>
    </w:r>
    <w:r>
      <w:t>2</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5D0F7" w14:textId="5D75A269" w:rsidR="00822849" w:rsidRDefault="0082284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60C7B" w14:textId="3AFBFC0F" w:rsidR="00672B5D" w:rsidRPr="00434E3C" w:rsidRDefault="00434E3C" w:rsidP="00434E3C">
    <w:pPr>
      <w:pStyle w:val="FooterOdd"/>
      <w:tabs>
        <w:tab w:val="clear" w:pos="9072"/>
        <w:tab w:val="right" w:pos="14002"/>
      </w:tabs>
      <w:jc w:val="left"/>
    </w:pPr>
    <w:r>
      <w:rPr>
        <w:spacing w:val="-2"/>
      </w:rPr>
      <w:t>R</w:t>
    </w:r>
    <w:r w:rsidRPr="00434E3C">
      <w:rPr>
        <w:spacing w:val="-2"/>
      </w:rPr>
      <w:t xml:space="preserve">egulatory </w:t>
    </w:r>
    <w:r>
      <w:rPr>
        <w:spacing w:val="-2"/>
      </w:rPr>
      <w:t>I</w:t>
    </w:r>
    <w:r w:rsidRPr="00434E3C">
      <w:rPr>
        <w:spacing w:val="-2"/>
      </w:rPr>
      <w:t xml:space="preserve">nitiatives </w:t>
    </w:r>
    <w:r>
      <w:rPr>
        <w:spacing w:val="-2"/>
      </w:rPr>
      <w:t>G</w:t>
    </w:r>
    <w:r w:rsidRPr="00434E3C">
      <w:rPr>
        <w:spacing w:val="-2"/>
      </w:rPr>
      <w:t>rid | December 2024</w:t>
    </w:r>
    <w:r>
      <w:tab/>
    </w:r>
    <w:r w:rsidR="001D4D7F">
      <w:fldChar w:fldCharType="begin"/>
    </w:r>
    <w:r w:rsidR="001D4D7F">
      <w:instrText>STYLEREF  "Heading 1"  \* MERGEFORMAT</w:instrText>
    </w:r>
    <w:r w:rsidR="001D4D7F">
      <w:fldChar w:fldCharType="separate"/>
    </w:r>
    <w:r w:rsidR="00F47E6F">
      <w:rPr>
        <w:noProof/>
      </w:rPr>
      <w:t>Foreword</w:t>
    </w:r>
    <w:r w:rsidR="001D4D7F">
      <w:rPr>
        <w:noProof/>
      </w:rPr>
      <w:fldChar w:fldCharType="end"/>
    </w:r>
    <w:r>
      <w:rPr>
        <w:noProof/>
      </w:rPr>
      <w:t xml:space="preserve"> </w:t>
    </w:r>
    <w:r>
      <w:t xml:space="preserve">| </w:t>
    </w:r>
    <w:r>
      <w:fldChar w:fldCharType="begin"/>
    </w:r>
    <w:r>
      <w:instrText xml:space="preserve"> PAGE   \* MERGEFORMAT </w:instrText>
    </w:r>
    <w:r>
      <w:fldChar w:fldCharType="separate"/>
    </w:r>
    <w:r>
      <w:t>1</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CDC87" w14:textId="02F5073B" w:rsidR="00822849" w:rsidRDefault="003444C1" w:rsidP="00DB6A47">
    <w:pPr>
      <w:pStyle w:val="FooterEven"/>
    </w:pPr>
    <w:r>
      <w:rPr>
        <w:spacing w:val="-2"/>
      </w:rPr>
      <w:t>R</w:t>
    </w:r>
    <w:r w:rsidRPr="00434E3C">
      <w:rPr>
        <w:spacing w:val="-2"/>
      </w:rPr>
      <w:t xml:space="preserve">egulatory </w:t>
    </w:r>
    <w:r w:rsidRPr="00DB6A47">
      <w:t>Initiatives</w:t>
    </w:r>
    <w:r w:rsidRPr="00434E3C">
      <w:rPr>
        <w:spacing w:val="-2"/>
      </w:rPr>
      <w:t xml:space="preserve"> </w:t>
    </w:r>
    <w:r>
      <w:rPr>
        <w:spacing w:val="-2"/>
      </w:rPr>
      <w:t>G</w:t>
    </w:r>
    <w:r w:rsidRPr="00434E3C">
      <w:rPr>
        <w:spacing w:val="-2"/>
      </w:rPr>
      <w:t>rid |</w:t>
    </w:r>
    <w:r>
      <w:rPr>
        <w:spacing w:val="-2"/>
      </w:rPr>
      <w:t xml:space="preserve"> </w:t>
    </w:r>
    <w:r w:rsidRPr="00434E3C">
      <w:rPr>
        <w:spacing w:val="-2"/>
      </w:rPr>
      <w:t>December 2024</w:t>
    </w:r>
    <w:r>
      <w:tab/>
    </w:r>
    <w:r w:rsidR="001D4D7F">
      <w:fldChar w:fldCharType="begin"/>
    </w:r>
    <w:r w:rsidR="001D4D7F">
      <w:instrText>STYLEREF  "Heading 1"  \* MERGEFORMAT</w:instrText>
    </w:r>
    <w:r w:rsidR="001D4D7F">
      <w:fldChar w:fldCharType="separate"/>
    </w:r>
    <w:r w:rsidR="001D4D7F">
      <w:t>Snapshot of regulatory initiatives</w:t>
    </w:r>
    <w:r w:rsidR="001D4D7F">
      <w:fldChar w:fldCharType="end"/>
    </w:r>
    <w:r>
      <w:t xml:space="preserve"> | </w:t>
    </w:r>
    <w:r>
      <w:fldChar w:fldCharType="begin"/>
    </w:r>
    <w:r>
      <w:instrText xml:space="preserve"> PAGE   \* MERGEFORMAT </w:instrText>
    </w:r>
    <w:r>
      <w:fldChar w:fldCharType="separate"/>
    </w:r>
    <w:r>
      <w:t>1</w:t>
    </w:r>
    <w:r>
      <w:fldChar w:fldCharType="end"/>
    </w:r>
    <w:r w:rsidR="00053534">
      <mc:AlternateContent>
        <mc:Choice Requires="wps">
          <w:drawing>
            <wp:anchor distT="0" distB="0" distL="114300" distR="114300" simplePos="0" relativeHeight="251658240" behindDoc="1" locked="0" layoutInCell="1" allowOverlap="1" wp14:anchorId="207FD8D4" wp14:editId="0AE0A0B8">
              <wp:simplePos x="0" y="0"/>
              <wp:positionH relativeFrom="page">
                <wp:align>center</wp:align>
              </wp:positionH>
              <wp:positionV relativeFrom="page">
                <wp:align>center</wp:align>
              </wp:positionV>
              <wp:extent cx="10724400" cy="7570800"/>
              <wp:effectExtent l="0" t="0" r="1270" b="0"/>
              <wp:wrapNone/>
              <wp:docPr id="1421049705" name="Rectangle 14210497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724400" cy="7570800"/>
                      </a:xfrm>
                      <a:prstGeom prst="rect">
                        <a:avLst/>
                      </a:prstGeom>
                      <a:solidFill>
                        <a:schemeClr val="accent5">
                          <a:lumMod val="20000"/>
                          <a:lumOff val="80000"/>
                          <a:alpha val="3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04472" id="Rectangle 1421049705" o:spid="_x0000_s1026" alt="&quot;&quot;" style="position:absolute;margin-left:0;margin-top:0;width:844.45pt;height:596.15pt;z-index:-2516582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" fillcolor="#e8f0fc [664]" stroked="f" strokeweight="2pt">
              <v:fill opacity="19789f"/>
              <w10:wrap anchorx="page" anchory="page"/>
            </v:rect>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3DD4" w14:textId="41EE66B2" w:rsidR="00095D88" w:rsidRPr="00095D88" w:rsidRDefault="00095D88" w:rsidP="00095D88">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2A4B7" w14:textId="0245CEA3" w:rsidR="00565631" w:rsidRPr="00E34DAB" w:rsidRDefault="00547963" w:rsidP="00E34DAB">
    <w:pPr>
      <w:pStyle w:val="FooterOdd"/>
      <w:tabs>
        <w:tab w:val="clear" w:pos="9072"/>
        <w:tab w:val="right" w:pos="14002"/>
      </w:tabs>
      <w:jc w:val="left"/>
    </w:pPr>
    <w:r>
      <w:rPr>
        <w:spacing w:val="-2"/>
      </w:rPr>
      <w:t>R</w:t>
    </w:r>
    <w:r w:rsidRPr="00434E3C">
      <w:rPr>
        <w:spacing w:val="-2"/>
      </w:rPr>
      <w:t xml:space="preserve">egulatory </w:t>
    </w:r>
    <w:r>
      <w:rPr>
        <w:spacing w:val="-2"/>
      </w:rPr>
      <w:t>I</w:t>
    </w:r>
    <w:r w:rsidRPr="00434E3C">
      <w:rPr>
        <w:spacing w:val="-2"/>
      </w:rPr>
      <w:t xml:space="preserve">nitiatives </w:t>
    </w:r>
    <w:r>
      <w:rPr>
        <w:spacing w:val="-2"/>
      </w:rPr>
      <w:t>G</w:t>
    </w:r>
    <w:r w:rsidRPr="00434E3C">
      <w:rPr>
        <w:spacing w:val="-2"/>
      </w:rPr>
      <w:t>rid |</w:t>
    </w:r>
    <w:r>
      <w:rPr>
        <w:spacing w:val="-2"/>
      </w:rPr>
      <w:t xml:space="preserve"> </w:t>
    </w:r>
    <w:r w:rsidRPr="00434E3C">
      <w:rPr>
        <w:spacing w:val="-2"/>
      </w:rPr>
      <w:t>December 2024</w:t>
    </w:r>
    <w:r w:rsidR="00565631">
      <w:tab/>
    </w:r>
    <w:r w:rsidR="001D4D7F">
      <w:fldChar w:fldCharType="begin"/>
    </w:r>
    <w:r w:rsidR="001D4D7F">
      <w:instrText>STYLEREF  "Heading 1"  \* MERGEFORMAT</w:instrText>
    </w:r>
    <w:r w:rsidR="001D4D7F">
      <w:fldChar w:fldCharType="separate"/>
    </w:r>
    <w:r w:rsidR="00F47E6F">
      <w:rPr>
        <w:noProof/>
      </w:rPr>
      <w:t>Introduction</w:t>
    </w:r>
    <w:r w:rsidR="001D4D7F">
      <w:rPr>
        <w:noProof/>
      </w:rPr>
      <w:fldChar w:fldCharType="end"/>
    </w:r>
    <w:r w:rsidR="00565631">
      <w:rPr>
        <w:noProof/>
      </w:rPr>
      <w:t xml:space="preserve"> </w:t>
    </w:r>
    <w:r w:rsidR="00565631">
      <w:t xml:space="preserve">| </w:t>
    </w:r>
    <w:r w:rsidR="00565631">
      <w:fldChar w:fldCharType="begin"/>
    </w:r>
    <w:r w:rsidR="00565631">
      <w:instrText xml:space="preserve"> PAGE   \* MERGEFORMAT </w:instrText>
    </w:r>
    <w:r w:rsidR="00565631">
      <w:fldChar w:fldCharType="separate"/>
    </w:r>
    <w:r w:rsidR="00565631">
      <w:t>7</w:t>
    </w:r>
    <w:r w:rsidR="00565631">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C1085" w14:textId="205E815D" w:rsidR="00565631" w:rsidRPr="00B1504E" w:rsidRDefault="00547963" w:rsidP="00DB6A47">
    <w:pPr>
      <w:pStyle w:val="FooterEven"/>
    </w:pPr>
    <w:r w:rsidRPr="00B1504E">
      <w:t xml:space="preserve">Regulatory </w:t>
    </w:r>
    <w:r w:rsidRPr="00DB6A47">
      <w:t>Initiatives</w:t>
    </w:r>
    <w:r w:rsidRPr="00B1504E">
      <w:t xml:space="preserve"> </w:t>
    </w:r>
    <w:r w:rsidRPr="00DB6A47">
      <w:t>Grid</w:t>
    </w:r>
    <w:r w:rsidRPr="00B1504E">
      <w:t xml:space="preserve"> | </w:t>
    </w:r>
    <w:r w:rsidRPr="00DB6A47">
      <w:t>December</w:t>
    </w:r>
    <w:r w:rsidRPr="00B1504E">
      <w:t xml:space="preserve"> 2024</w:t>
    </w:r>
    <w:r w:rsidR="00565631" w:rsidRPr="00B1504E">
      <w:tab/>
    </w:r>
    <w:r w:rsidR="001D4D7F">
      <w:fldChar w:fldCharType="begin"/>
    </w:r>
    <w:r w:rsidR="001D4D7F">
      <w:instrText>STYLEREF  "Heading 1 Numbered"  \* MERGEFORMAT</w:instrText>
    </w:r>
    <w:r w:rsidR="001D4D7F">
      <w:fldChar w:fldCharType="separate"/>
    </w:r>
    <w:r w:rsidR="001D4D7F">
      <w:t>Development of legislation, regulations and instruments</w:t>
    </w:r>
    <w:r w:rsidR="001D4D7F">
      <w:fldChar w:fldCharType="end"/>
    </w:r>
    <w:r w:rsidR="00565631" w:rsidRPr="00B1504E">
      <w:t xml:space="preserve"> | </w:t>
    </w:r>
    <w:r w:rsidR="00565631" w:rsidRPr="00B1504E">
      <w:fldChar w:fldCharType="begin"/>
    </w:r>
    <w:r w:rsidR="00565631" w:rsidRPr="00B1504E">
      <w:instrText xml:space="preserve"> PAGE   \* MERGEFORMAT </w:instrText>
    </w:r>
    <w:r w:rsidR="00565631" w:rsidRPr="00B1504E">
      <w:fldChar w:fldCharType="separate"/>
    </w:r>
    <w:r w:rsidR="00565631" w:rsidRPr="00B1504E">
      <w:t>8</w:t>
    </w:r>
    <w:r w:rsidR="00565631" w:rsidRPr="00B1504E">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6A785" w14:textId="6C4F3C3A" w:rsidR="00822849" w:rsidRDefault="00822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5190A120" w14:paraId="1956032D" w14:textId="77777777" w:rsidTr="5190A120">
      <w:trPr>
        <w:trHeight w:val="300"/>
      </w:trPr>
      <w:tc>
        <w:tcPr>
          <w:tcW w:w="4665" w:type="dxa"/>
        </w:tcPr>
        <w:p w14:paraId="7B71D4DA" w14:textId="15D691F0" w:rsidR="5190A120" w:rsidRDefault="5190A120" w:rsidP="5190A120">
          <w:pPr>
            <w:pStyle w:val="Header"/>
            <w:ind w:left="-115"/>
            <w:jc w:val="left"/>
          </w:pPr>
        </w:p>
      </w:tc>
      <w:tc>
        <w:tcPr>
          <w:tcW w:w="4665" w:type="dxa"/>
        </w:tcPr>
        <w:p w14:paraId="63021465" w14:textId="13926F6A" w:rsidR="5190A120" w:rsidRDefault="5190A120" w:rsidP="5190A120">
          <w:pPr>
            <w:pStyle w:val="Header"/>
            <w:jc w:val="center"/>
          </w:pPr>
        </w:p>
      </w:tc>
      <w:tc>
        <w:tcPr>
          <w:tcW w:w="4665" w:type="dxa"/>
        </w:tcPr>
        <w:p w14:paraId="6A97AF48" w14:textId="32E7230A" w:rsidR="5190A120" w:rsidRDefault="5190A120" w:rsidP="5190A120">
          <w:pPr>
            <w:pStyle w:val="Header"/>
            <w:ind w:right="-115"/>
          </w:pPr>
        </w:p>
      </w:tc>
    </w:tr>
  </w:tbl>
  <w:p w14:paraId="7BBB0E59" w14:textId="40F9CEBD" w:rsidR="0053272D" w:rsidRDefault="005327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5190A120" w14:paraId="0026719D" w14:textId="77777777" w:rsidTr="5190A120">
      <w:trPr>
        <w:trHeight w:val="300"/>
      </w:trPr>
      <w:tc>
        <w:tcPr>
          <w:tcW w:w="4665" w:type="dxa"/>
        </w:tcPr>
        <w:p w14:paraId="4399B915" w14:textId="24B17ACE" w:rsidR="5190A120" w:rsidRDefault="5190A120" w:rsidP="5190A120">
          <w:pPr>
            <w:pStyle w:val="Header"/>
            <w:ind w:left="-115"/>
            <w:jc w:val="left"/>
          </w:pPr>
        </w:p>
      </w:tc>
      <w:tc>
        <w:tcPr>
          <w:tcW w:w="4665" w:type="dxa"/>
        </w:tcPr>
        <w:p w14:paraId="588E3F6A" w14:textId="1D34E11B" w:rsidR="5190A120" w:rsidRDefault="5190A120" w:rsidP="5190A120">
          <w:pPr>
            <w:pStyle w:val="Header"/>
            <w:jc w:val="center"/>
          </w:pPr>
        </w:p>
      </w:tc>
      <w:tc>
        <w:tcPr>
          <w:tcW w:w="4665" w:type="dxa"/>
        </w:tcPr>
        <w:p w14:paraId="5EC20C08" w14:textId="25552978" w:rsidR="5190A120" w:rsidRDefault="5190A120" w:rsidP="5190A120">
          <w:pPr>
            <w:pStyle w:val="Header"/>
            <w:ind w:right="-115"/>
          </w:pPr>
        </w:p>
      </w:tc>
    </w:tr>
  </w:tbl>
  <w:p w14:paraId="04672B3F" w14:textId="1FF99E4B" w:rsidR="0053272D" w:rsidRDefault="005327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040"/>
      <w:gridCol w:w="2040"/>
      <w:gridCol w:w="2040"/>
    </w:tblGrid>
    <w:tr w:rsidR="5190A120" w14:paraId="6D5F797B" w14:textId="77777777" w:rsidTr="5190A120">
      <w:trPr>
        <w:trHeight w:val="300"/>
      </w:trPr>
      <w:tc>
        <w:tcPr>
          <w:tcW w:w="2040" w:type="dxa"/>
        </w:tcPr>
        <w:p w14:paraId="37A28EDC" w14:textId="07CB31BB" w:rsidR="5190A120" w:rsidRDefault="5190A120" w:rsidP="5190A120">
          <w:pPr>
            <w:pStyle w:val="Header"/>
            <w:ind w:left="-115"/>
            <w:jc w:val="left"/>
          </w:pPr>
        </w:p>
      </w:tc>
      <w:tc>
        <w:tcPr>
          <w:tcW w:w="2040" w:type="dxa"/>
        </w:tcPr>
        <w:p w14:paraId="4C3BCF1C" w14:textId="3D917B69" w:rsidR="5190A120" w:rsidRDefault="5190A120" w:rsidP="5190A120">
          <w:pPr>
            <w:pStyle w:val="Header"/>
            <w:jc w:val="center"/>
          </w:pPr>
        </w:p>
      </w:tc>
      <w:tc>
        <w:tcPr>
          <w:tcW w:w="2040" w:type="dxa"/>
        </w:tcPr>
        <w:p w14:paraId="43391351" w14:textId="3E875557" w:rsidR="5190A120" w:rsidRDefault="5190A120" w:rsidP="5190A120">
          <w:pPr>
            <w:pStyle w:val="Header"/>
            <w:ind w:right="-115"/>
          </w:pPr>
        </w:p>
      </w:tc>
    </w:tr>
  </w:tbl>
  <w:p w14:paraId="6156EEFC" w14:textId="4782100A" w:rsidR="0053272D" w:rsidRDefault="0053272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040"/>
      <w:gridCol w:w="2040"/>
      <w:gridCol w:w="2040"/>
    </w:tblGrid>
    <w:tr w:rsidR="5190A120" w14:paraId="7190F172" w14:textId="77777777" w:rsidTr="5190A120">
      <w:trPr>
        <w:trHeight w:val="300"/>
      </w:trPr>
      <w:tc>
        <w:tcPr>
          <w:tcW w:w="2040" w:type="dxa"/>
        </w:tcPr>
        <w:p w14:paraId="54FFC592" w14:textId="4A1C7DDF" w:rsidR="5190A120" w:rsidRDefault="5190A120" w:rsidP="5190A120">
          <w:pPr>
            <w:pStyle w:val="Header"/>
            <w:ind w:left="-115"/>
            <w:jc w:val="left"/>
          </w:pPr>
        </w:p>
      </w:tc>
      <w:tc>
        <w:tcPr>
          <w:tcW w:w="2040" w:type="dxa"/>
        </w:tcPr>
        <w:p w14:paraId="22E05F61" w14:textId="7386F213" w:rsidR="5190A120" w:rsidRDefault="5190A120" w:rsidP="5190A120">
          <w:pPr>
            <w:pStyle w:val="Header"/>
            <w:jc w:val="center"/>
          </w:pPr>
        </w:p>
      </w:tc>
      <w:tc>
        <w:tcPr>
          <w:tcW w:w="2040" w:type="dxa"/>
        </w:tcPr>
        <w:p w14:paraId="55B94AF9" w14:textId="529EB8BB" w:rsidR="5190A120" w:rsidRDefault="5190A120" w:rsidP="5190A120">
          <w:pPr>
            <w:pStyle w:val="Header"/>
            <w:ind w:right="-115"/>
          </w:pPr>
        </w:p>
      </w:tc>
    </w:tr>
  </w:tbl>
  <w:p w14:paraId="3E0DDBEB" w14:textId="3B455E39" w:rsidR="0053272D" w:rsidRDefault="0053272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C8EA8" w14:textId="688B8B66" w:rsidR="0053272D" w:rsidRDefault="0053272D" w:rsidP="00D5567B">
    <w:pPr>
      <w:pStyle w:val="FooterEven"/>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44133" w14:textId="128E45D4" w:rsidR="00B55B04" w:rsidRDefault="00B55B04" w:rsidP="00D5567B">
    <w:pPr>
      <w:pStyle w:val="FooterEven"/>
    </w:pPr>
    <w:r>
      <w:drawing>
        <wp:anchor distT="0" distB="0" distL="114300" distR="114300" simplePos="0" relativeHeight="251658244" behindDoc="1" locked="0" layoutInCell="1" allowOverlap="0" wp14:anchorId="104885E1" wp14:editId="5568990E">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2103841781" name="Picture 21038417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r w:rsidR="001D4D7F">
      <w:fldChar w:fldCharType="begin"/>
    </w:r>
    <w:r w:rsidR="001D4D7F">
      <w:instrText>STYLEREF  "Heading 1"  \* MERGEFORMAT</w:instrText>
    </w:r>
    <w:r w:rsidR="001D4D7F">
      <w:fldChar w:fldCharType="separate"/>
    </w:r>
    <w:r w:rsidR="00BE63D4">
      <w:t>Contents</w:t>
    </w:r>
    <w:r w:rsidR="001D4D7F">
      <w:fldChar w:fldCharType="end"/>
    </w:r>
    <w:r>
      <w:t xml:space="preserve"> | </w:t>
    </w:r>
    <w:r>
      <w:rPr>
        <w:noProof w:val="0"/>
      </w:rPr>
      <w:fldChar w:fldCharType="begin"/>
    </w:r>
    <w:r>
      <w:instrText xml:space="preserve"> PAGE   \* MERGEFORMAT </w:instrText>
    </w:r>
    <w:r>
      <w:rPr>
        <w:noProof w:val="0"/>
      </w:rPr>
      <w:fldChar w:fldCharType="separate"/>
    </w:r>
    <w:r>
      <w:t>3</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4663A" w14:textId="6AD112A0" w:rsidR="00822849" w:rsidRDefault="0082284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0A1FD" w14:textId="3FAB8BB5" w:rsidR="00B55B04" w:rsidRDefault="00434E3C" w:rsidP="00D5567B">
    <w:pPr>
      <w:pStyle w:val="FooterEven"/>
    </w:pPr>
    <w:r>
      <w:rPr>
        <w:spacing w:val="-2"/>
      </w:rPr>
      <w:t>R</w:t>
    </w:r>
    <w:r w:rsidRPr="00434E3C">
      <w:rPr>
        <w:spacing w:val="-2"/>
      </w:rPr>
      <w:t xml:space="preserve">egulatory </w:t>
    </w:r>
    <w:r>
      <w:rPr>
        <w:spacing w:val="-2"/>
      </w:rPr>
      <w:t>I</w:t>
    </w:r>
    <w:r w:rsidRPr="00434E3C">
      <w:rPr>
        <w:spacing w:val="-2"/>
      </w:rPr>
      <w:t xml:space="preserve">nitiatives </w:t>
    </w:r>
    <w:r>
      <w:rPr>
        <w:spacing w:val="-2"/>
      </w:rPr>
      <w:t>G</w:t>
    </w:r>
    <w:r w:rsidRPr="00434E3C">
      <w:rPr>
        <w:spacing w:val="-2"/>
      </w:rPr>
      <w:t>rid</w:t>
    </w:r>
    <w:r>
      <w:rPr>
        <w:spacing w:val="-2"/>
      </w:rPr>
      <w:t xml:space="preserve"> </w:t>
    </w:r>
    <w:r w:rsidRPr="00434E3C">
      <w:rPr>
        <w:spacing w:val="-2"/>
      </w:rPr>
      <w:t>| December 2024</w:t>
    </w:r>
    <w:r w:rsidR="00103F3C">
      <w:tab/>
    </w:r>
    <w:r w:rsidR="001D4D7F">
      <w:fldChar w:fldCharType="begin"/>
    </w:r>
    <w:r w:rsidR="001D4D7F">
      <w:instrText>STYLEREF  "Heading 1"  \* MERGEFORMAT</w:instrText>
    </w:r>
    <w:r w:rsidR="001D4D7F">
      <w:fldChar w:fldCharType="separate"/>
    </w:r>
    <w:r w:rsidR="001D4D7F">
      <w:t>Contents</w:t>
    </w:r>
    <w:r w:rsidR="001D4D7F">
      <w:fldChar w:fldCharType="end"/>
    </w:r>
    <w:r w:rsidR="00B55B04">
      <w:t xml:space="preserve"> | </w:t>
    </w:r>
    <w:r w:rsidR="00B55B04">
      <w:fldChar w:fldCharType="begin"/>
    </w:r>
    <w:r w:rsidR="00B55B04">
      <w:instrText xml:space="preserve"> PAGE   \* MERGEFORMAT </w:instrText>
    </w:r>
    <w:r w:rsidR="00B55B04">
      <w:fldChar w:fldCharType="separate"/>
    </w:r>
    <w:r w:rsidR="00B55B04">
      <w:t>2</w:t>
    </w:r>
    <w:r w:rsidR="00B55B0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25C0C" w14:textId="77777777" w:rsidR="003C7CE3" w:rsidRPr="00ED5A20" w:rsidRDefault="003C7CE3" w:rsidP="000F6233">
      <w:pPr>
        <w:rPr>
          <w:color w:val="4D7861" w:themeColor="accent2"/>
        </w:rPr>
      </w:pPr>
      <w:r w:rsidRPr="00ED5A20">
        <w:rPr>
          <w:color w:val="4D7861" w:themeColor="accent2"/>
        </w:rPr>
        <w:separator/>
      </w:r>
    </w:p>
  </w:footnote>
  <w:footnote w:type="continuationSeparator" w:id="0">
    <w:p w14:paraId="43563F50" w14:textId="77777777" w:rsidR="003C7CE3" w:rsidRPr="00B737EB" w:rsidRDefault="003C7CE3">
      <w:pPr>
        <w:spacing w:before="0" w:after="0"/>
        <w:rPr>
          <w:color w:val="2C384A" w:themeColor="accent1"/>
        </w:rPr>
      </w:pPr>
      <w:r w:rsidRPr="00B737EB">
        <w:rPr>
          <w:color w:val="2C384A" w:themeColor="accent1"/>
        </w:rPr>
        <w:continuationSeparator/>
      </w:r>
    </w:p>
  </w:footnote>
  <w:footnote w:type="continuationNotice" w:id="1">
    <w:p w14:paraId="2D8757DC" w14:textId="77777777" w:rsidR="003C7CE3" w:rsidRDefault="003C7CE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5190A120" w14:paraId="27BF90E6" w14:textId="77777777" w:rsidTr="5190A120">
      <w:trPr>
        <w:trHeight w:val="300"/>
      </w:trPr>
      <w:tc>
        <w:tcPr>
          <w:tcW w:w="4665" w:type="dxa"/>
        </w:tcPr>
        <w:p w14:paraId="06A946D5" w14:textId="4EBDC4DF" w:rsidR="5190A120" w:rsidRDefault="5190A120" w:rsidP="5190A120">
          <w:pPr>
            <w:pStyle w:val="Header"/>
            <w:ind w:left="-115"/>
            <w:jc w:val="left"/>
          </w:pPr>
        </w:p>
      </w:tc>
      <w:tc>
        <w:tcPr>
          <w:tcW w:w="4665" w:type="dxa"/>
        </w:tcPr>
        <w:p w14:paraId="56741ED8" w14:textId="3E6D89FA" w:rsidR="5190A120" w:rsidRDefault="5190A120" w:rsidP="5190A120">
          <w:pPr>
            <w:pStyle w:val="Header"/>
            <w:jc w:val="center"/>
          </w:pPr>
        </w:p>
      </w:tc>
      <w:tc>
        <w:tcPr>
          <w:tcW w:w="4665" w:type="dxa"/>
        </w:tcPr>
        <w:p w14:paraId="74AE8678" w14:textId="3704206B" w:rsidR="5190A120" w:rsidRDefault="5190A120" w:rsidP="5190A120">
          <w:pPr>
            <w:pStyle w:val="Header"/>
            <w:ind w:right="-115"/>
          </w:pPr>
        </w:p>
      </w:tc>
    </w:tr>
  </w:tbl>
  <w:p w14:paraId="6D0E3391" w14:textId="4F906D60" w:rsidR="0053272D" w:rsidRDefault="0053272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ABC9F" w14:textId="1EFB0AB4" w:rsidR="00822849" w:rsidRDefault="00E46B8C">
    <w:pPr>
      <w:pStyle w:val="Header"/>
    </w:pPr>
    <w:r>
      <w:rPr>
        <w:noProof/>
      </w:rPr>
      <w:drawing>
        <wp:anchor distT="0" distB="0" distL="114300" distR="114300" simplePos="0" relativeHeight="251658251" behindDoc="1" locked="1" layoutInCell="1" allowOverlap="1" wp14:anchorId="1FD65D7B" wp14:editId="5D7BE750">
          <wp:simplePos x="0" y="0"/>
          <wp:positionH relativeFrom="page">
            <wp:align>center</wp:align>
          </wp:positionH>
          <wp:positionV relativeFrom="page">
            <wp:align>top</wp:align>
          </wp:positionV>
          <wp:extent cx="10677525" cy="721995"/>
          <wp:effectExtent l="0" t="0" r="0" b="1905"/>
          <wp:wrapNone/>
          <wp:docPr id="503954623" name="Picture 5039546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686985" name="Picture 41168698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77600" cy="722401"/>
                  </a:xfrm>
                  <a:prstGeom prst="rect">
                    <a:avLst/>
                  </a:prstGeom>
                </pic:spPr>
              </pic:pic>
            </a:graphicData>
          </a:graphic>
          <wp14:sizeRelH relativeFrom="margin">
            <wp14:pctWidth>0</wp14:pctWidth>
          </wp14:sizeRelH>
          <wp14:sizeRelV relativeFrom="margin">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90C3E" w14:textId="30781E6C" w:rsidR="00B55B04" w:rsidRPr="00F60198" w:rsidRDefault="004472C0" w:rsidP="00A12F62">
    <w:pPr>
      <w:pStyle w:val="HeaderOdd"/>
    </w:pPr>
    <w:r>
      <w:rPr>
        <w:noProof/>
      </w:rPr>
      <mc:AlternateContent>
        <mc:Choice Requires="wps">
          <w:drawing>
            <wp:anchor distT="0" distB="0" distL="114300" distR="114300" simplePos="0" relativeHeight="251658241" behindDoc="1" locked="0" layoutInCell="1" allowOverlap="1" wp14:anchorId="05E46926" wp14:editId="6F86C362">
              <wp:simplePos x="0" y="0"/>
              <wp:positionH relativeFrom="page">
                <wp:posOffset>-41275</wp:posOffset>
              </wp:positionH>
              <wp:positionV relativeFrom="page">
                <wp:posOffset>-36195</wp:posOffset>
              </wp:positionV>
              <wp:extent cx="10724400" cy="7570800"/>
              <wp:effectExtent l="0" t="0" r="1270" b="0"/>
              <wp:wrapNone/>
              <wp:docPr id="1031860308" name="Rectangle 10318603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724400" cy="7570800"/>
                      </a:xfrm>
                      <a:prstGeom prst="rect">
                        <a:avLst/>
                      </a:prstGeom>
                      <a:solidFill>
                        <a:schemeClr val="accent5">
                          <a:lumMod val="20000"/>
                          <a:lumOff val="80000"/>
                          <a:alpha val="3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6DD15D" id="Rectangle 1031860308" o:spid="_x0000_s1026" alt="&quot;&quot;" style="position:absolute;margin-left:-3.25pt;margin-top:-2.85pt;width:844.45pt;height:596.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" fillcolor="#e8f0fc [664]" stroked="f" strokeweight="2pt">
              <v:fill opacity="19789f"/>
              <w10:wrap anchorx="page" anchory="page"/>
            </v:rect>
          </w:pict>
        </mc:Fallback>
      </mc:AlternateContent>
    </w:r>
    <w:r w:rsidR="00B55B04">
      <w:rPr>
        <w:noProof/>
      </w:rPr>
      <w:drawing>
        <wp:anchor distT="0" distB="0" distL="114300" distR="114300" simplePos="0" relativeHeight="251658243" behindDoc="1" locked="1" layoutInCell="1" allowOverlap="1" wp14:anchorId="7A758478" wp14:editId="75C61D93">
          <wp:simplePos x="0" y="0"/>
          <wp:positionH relativeFrom="page">
            <wp:align>center</wp:align>
          </wp:positionH>
          <wp:positionV relativeFrom="page">
            <wp:align>top</wp:align>
          </wp:positionV>
          <wp:extent cx="10674350" cy="721995"/>
          <wp:effectExtent l="0" t="0" r="0" b="1905"/>
          <wp:wrapNone/>
          <wp:docPr id="1991505770" name="Picture 19915057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461743" name="Picture 156446174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74428" cy="722401"/>
                  </a:xfrm>
                  <a:prstGeom prst="rect">
                    <a:avLst/>
                  </a:prstGeom>
                </pic:spPr>
              </pic:pic>
            </a:graphicData>
          </a:graphic>
          <wp14:sizeRelH relativeFrom="margin">
            <wp14:pctWidth>0</wp14:pctWidth>
          </wp14:sizeRelH>
          <wp14:sizeRelV relativeFrom="margin">
            <wp14:pctHeight>0</wp14:pctHeight>
          </wp14:sizeRelV>
        </wp:anchor>
      </w:drawing>
    </w:r>
    <w:r w:rsidR="00B55B04" w:rsidRPr="00F60198">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239FF" w14:textId="1D97A0AC" w:rsidR="00822849" w:rsidRDefault="0082284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B2B1" w14:textId="140FFFDD" w:rsidR="00672B5D" w:rsidRPr="00AC75E2" w:rsidRDefault="004472C0" w:rsidP="00AC75E2">
    <w:pPr>
      <w:pStyle w:val="HeaderEven"/>
    </w:pPr>
    <w:r>
      <w:rPr>
        <w:noProof/>
      </w:rPr>
      <mc:AlternateContent>
        <mc:Choice Requires="wps">
          <w:drawing>
            <wp:anchor distT="0" distB="0" distL="114300" distR="114300" simplePos="0" relativeHeight="251658242" behindDoc="1" locked="0" layoutInCell="1" allowOverlap="1" wp14:anchorId="39FB62F4" wp14:editId="60DFF2A7">
              <wp:simplePos x="0" y="0"/>
              <wp:positionH relativeFrom="page">
                <wp:posOffset>5080</wp:posOffset>
              </wp:positionH>
              <wp:positionV relativeFrom="page">
                <wp:posOffset>1905</wp:posOffset>
              </wp:positionV>
              <wp:extent cx="10724400" cy="7570800"/>
              <wp:effectExtent l="0" t="0" r="1270" b="0"/>
              <wp:wrapNone/>
              <wp:docPr id="1690949819" name="Rectangle 16909498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724400" cy="7570800"/>
                      </a:xfrm>
                      <a:prstGeom prst="rect">
                        <a:avLst/>
                      </a:prstGeom>
                      <a:solidFill>
                        <a:schemeClr val="accent5">
                          <a:lumMod val="20000"/>
                          <a:lumOff val="80000"/>
                          <a:alpha val="3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6BED1" id="Rectangle 1690949819" o:spid="_x0000_s1026" alt="&quot;&quot;" style="position:absolute;margin-left:.4pt;margin-top:.15pt;width:844.45pt;height:596.1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" fillcolor="#e8f0fc [664]" stroked="f" strokeweight="2pt">
              <v:fill opacity="19789f"/>
              <w10:wrap anchorx="page" anchory="page"/>
            </v:rect>
          </w:pict>
        </mc:Fallback>
      </mc:AlternateContent>
    </w:r>
    <w:r w:rsidR="008E24D2">
      <w:t xml:space="preserve"> </w:t>
    </w:r>
    <w:r w:rsidR="00CC3AF8">
      <w:rPr>
        <w:noProof/>
      </w:rPr>
      <w:drawing>
        <wp:anchor distT="0" distB="0" distL="114300" distR="114300" simplePos="0" relativeHeight="251658245" behindDoc="1" locked="1" layoutInCell="1" allowOverlap="1" wp14:anchorId="3F6137CA" wp14:editId="08320703">
          <wp:simplePos x="0" y="0"/>
          <wp:positionH relativeFrom="page">
            <wp:align>center</wp:align>
          </wp:positionH>
          <wp:positionV relativeFrom="page">
            <wp:align>top</wp:align>
          </wp:positionV>
          <wp:extent cx="10677525" cy="721995"/>
          <wp:effectExtent l="0" t="0" r="0" b="1905"/>
          <wp:wrapNone/>
          <wp:docPr id="509311217" name="Picture 509311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77596" cy="722401"/>
                  </a:xfrm>
                  <a:prstGeom prst="rect">
                    <a:avLst/>
                  </a:prstGeom>
                </pic:spPr>
              </pic:pic>
            </a:graphicData>
          </a:graphic>
          <wp14:sizeRelH relativeFrom="margin">
            <wp14:pctWidth>0</wp14:pctWidth>
          </wp14:sizeRelH>
          <wp14:sizeRelV relativeFrom="margin">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BBC68" w14:textId="49E76F9F" w:rsidR="00822849" w:rsidRDefault="00E46B8C">
    <w:pPr>
      <w:pStyle w:val="Header"/>
    </w:pPr>
    <w:r>
      <w:rPr>
        <w:noProof/>
      </w:rPr>
      <w:drawing>
        <wp:anchor distT="0" distB="0" distL="114300" distR="114300" simplePos="0" relativeHeight="251658250" behindDoc="1" locked="1" layoutInCell="1" allowOverlap="1" wp14:anchorId="4EB1FD74" wp14:editId="20688F42">
          <wp:simplePos x="0" y="0"/>
          <wp:positionH relativeFrom="page">
            <wp:posOffset>9525</wp:posOffset>
          </wp:positionH>
          <wp:positionV relativeFrom="page">
            <wp:posOffset>0</wp:posOffset>
          </wp:positionV>
          <wp:extent cx="10668000" cy="721995"/>
          <wp:effectExtent l="0" t="0" r="0" b="1905"/>
          <wp:wrapNone/>
          <wp:docPr id="1077049962" name="Picture 10770499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265756" name="Picture 80226575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68000" cy="721995"/>
                  </a:xfrm>
                  <a:prstGeom prst="rect">
                    <a:avLst/>
                  </a:prstGeom>
                </pic:spPr>
              </pic:pic>
            </a:graphicData>
          </a:graphic>
          <wp14:sizeRelH relativeFrom="margin">
            <wp14:pctWidth>0</wp14:pctWidth>
          </wp14:sizeRelH>
          <wp14:sizeRelV relativeFrom="margin">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A3D32" w14:textId="5224E262" w:rsidR="00095D88" w:rsidRPr="00095D88" w:rsidRDefault="00095D88" w:rsidP="00095D8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E8E8" w14:textId="7E5EAF7B" w:rsidR="00E10AB3" w:rsidRPr="00AC75E2" w:rsidRDefault="00E10AB3" w:rsidP="00AC75E2">
    <w:pPr>
      <w:pStyle w:val="HeaderEven"/>
    </w:pPr>
    <w:r>
      <w:t xml:space="preserve"> </w:t>
    </w:r>
    <w:r>
      <w:rPr>
        <w:noProof/>
      </w:rPr>
      <w:drawing>
        <wp:anchor distT="0" distB="0" distL="114300" distR="114300" simplePos="0" relativeHeight="251658249" behindDoc="1" locked="1" layoutInCell="1" allowOverlap="1" wp14:anchorId="0342DE42" wp14:editId="2C3576B6">
          <wp:simplePos x="0" y="0"/>
          <wp:positionH relativeFrom="page">
            <wp:align>center</wp:align>
          </wp:positionH>
          <wp:positionV relativeFrom="page">
            <wp:align>top</wp:align>
          </wp:positionV>
          <wp:extent cx="10677525" cy="721995"/>
          <wp:effectExtent l="0" t="0" r="0" b="1905"/>
          <wp:wrapNone/>
          <wp:docPr id="312822560" name="Picture 3128225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57409" name="Picture 3875740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77596" cy="722401"/>
                  </a:xfrm>
                  <a:prstGeom prst="rect">
                    <a:avLst/>
                  </a:prstGeom>
                </pic:spPr>
              </pic:pic>
            </a:graphicData>
          </a:graphic>
          <wp14:sizeRelH relativeFrom="margin">
            <wp14:pctWidth>0</wp14:pctWidth>
          </wp14:sizeRelH>
          <wp14:sizeRelV relativeFrom="margin">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0E1E0" w14:textId="4355AC04" w:rsidR="00E10AB3" w:rsidRPr="00F60198" w:rsidRDefault="00E10AB3" w:rsidP="00A12F62">
    <w:pPr>
      <w:pStyle w:val="HeaderOdd"/>
    </w:pPr>
    <w:r>
      <w:rPr>
        <w:noProof/>
      </w:rPr>
      <w:drawing>
        <wp:anchor distT="0" distB="0" distL="114300" distR="114300" simplePos="0" relativeHeight="251658248" behindDoc="1" locked="1" layoutInCell="1" allowOverlap="1" wp14:anchorId="715DD36D" wp14:editId="6B355B57">
          <wp:simplePos x="0" y="0"/>
          <wp:positionH relativeFrom="page">
            <wp:align>center</wp:align>
          </wp:positionH>
          <wp:positionV relativeFrom="page">
            <wp:align>top</wp:align>
          </wp:positionV>
          <wp:extent cx="10674350" cy="721995"/>
          <wp:effectExtent l="0" t="0" r="0" b="1905"/>
          <wp:wrapNone/>
          <wp:docPr id="1950109478" name="Picture 19501094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109478" name="Picture 195010947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74428" cy="722401"/>
                  </a:xfrm>
                  <a:prstGeom prst="rect">
                    <a:avLst/>
                  </a:prstGeom>
                </pic:spPr>
              </pic:pic>
            </a:graphicData>
          </a:graphic>
          <wp14:sizeRelH relativeFrom="margin">
            <wp14:pctWidth>0</wp14:pctWidth>
          </wp14:sizeRelH>
          <wp14:sizeRelV relativeFrom="margin">
            <wp14:pctHeight>0</wp14:pctHeight>
          </wp14:sizeRelV>
        </wp:anchor>
      </w:drawing>
    </w:r>
    <w:r w:rsidRPr="00F60198">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5D3B6" w14:textId="245BB7EF" w:rsidR="00822849" w:rsidRDefault="008228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5190A120" w14:paraId="334FB9EF" w14:textId="77777777" w:rsidTr="5190A120">
      <w:trPr>
        <w:trHeight w:val="300"/>
      </w:trPr>
      <w:tc>
        <w:tcPr>
          <w:tcW w:w="4665" w:type="dxa"/>
        </w:tcPr>
        <w:p w14:paraId="574C778C" w14:textId="387853B9" w:rsidR="5190A120" w:rsidRDefault="5190A120" w:rsidP="5190A120">
          <w:pPr>
            <w:pStyle w:val="Header"/>
            <w:ind w:left="-115"/>
            <w:jc w:val="left"/>
          </w:pPr>
        </w:p>
      </w:tc>
      <w:tc>
        <w:tcPr>
          <w:tcW w:w="4665" w:type="dxa"/>
        </w:tcPr>
        <w:p w14:paraId="33E85D5E" w14:textId="4582C1A6" w:rsidR="5190A120" w:rsidRDefault="5190A120" w:rsidP="5190A120">
          <w:pPr>
            <w:pStyle w:val="Header"/>
            <w:jc w:val="center"/>
          </w:pPr>
        </w:p>
      </w:tc>
      <w:tc>
        <w:tcPr>
          <w:tcW w:w="4665" w:type="dxa"/>
        </w:tcPr>
        <w:p w14:paraId="5DC9A016" w14:textId="257F66D8" w:rsidR="5190A120" w:rsidRDefault="5190A120" w:rsidP="5190A120">
          <w:pPr>
            <w:pStyle w:val="Header"/>
            <w:ind w:right="-115"/>
          </w:pPr>
        </w:p>
      </w:tc>
    </w:tr>
  </w:tbl>
  <w:p w14:paraId="0109B043" w14:textId="0066CB09" w:rsidR="0053272D" w:rsidRDefault="005327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5190A120" w14:paraId="79232EF2" w14:textId="77777777" w:rsidTr="5190A120">
      <w:trPr>
        <w:trHeight w:val="300"/>
      </w:trPr>
      <w:tc>
        <w:tcPr>
          <w:tcW w:w="4665" w:type="dxa"/>
        </w:tcPr>
        <w:p w14:paraId="39402AB9" w14:textId="67F84A4F" w:rsidR="5190A120" w:rsidRDefault="5190A120" w:rsidP="5190A120">
          <w:pPr>
            <w:pStyle w:val="Header"/>
            <w:ind w:left="-115"/>
            <w:jc w:val="left"/>
          </w:pPr>
        </w:p>
      </w:tc>
      <w:tc>
        <w:tcPr>
          <w:tcW w:w="4665" w:type="dxa"/>
        </w:tcPr>
        <w:p w14:paraId="47359670" w14:textId="61283D62" w:rsidR="5190A120" w:rsidRDefault="5190A120" w:rsidP="5190A120">
          <w:pPr>
            <w:pStyle w:val="Header"/>
            <w:jc w:val="center"/>
          </w:pPr>
        </w:p>
      </w:tc>
      <w:tc>
        <w:tcPr>
          <w:tcW w:w="4665" w:type="dxa"/>
        </w:tcPr>
        <w:p w14:paraId="35FDD6C1" w14:textId="6B447FD4" w:rsidR="5190A120" w:rsidRDefault="5190A120" w:rsidP="5190A120">
          <w:pPr>
            <w:pStyle w:val="Header"/>
            <w:ind w:right="-115"/>
          </w:pPr>
        </w:p>
      </w:tc>
    </w:tr>
  </w:tbl>
  <w:p w14:paraId="61D4326E" w14:textId="0707AFB7" w:rsidR="0053272D" w:rsidRDefault="005327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040"/>
      <w:gridCol w:w="2040"/>
      <w:gridCol w:w="2040"/>
    </w:tblGrid>
    <w:tr w:rsidR="5190A120" w14:paraId="135EE329" w14:textId="77777777" w:rsidTr="5190A120">
      <w:trPr>
        <w:trHeight w:val="300"/>
      </w:trPr>
      <w:tc>
        <w:tcPr>
          <w:tcW w:w="2040" w:type="dxa"/>
        </w:tcPr>
        <w:p w14:paraId="517AB25C" w14:textId="081B1F95" w:rsidR="5190A120" w:rsidRDefault="5190A120" w:rsidP="5190A120">
          <w:pPr>
            <w:pStyle w:val="Header"/>
            <w:ind w:left="-115"/>
            <w:jc w:val="left"/>
          </w:pPr>
        </w:p>
      </w:tc>
      <w:tc>
        <w:tcPr>
          <w:tcW w:w="2040" w:type="dxa"/>
        </w:tcPr>
        <w:p w14:paraId="46800401" w14:textId="2AF02F45" w:rsidR="5190A120" w:rsidRDefault="5190A120" w:rsidP="5190A120">
          <w:pPr>
            <w:pStyle w:val="Header"/>
            <w:jc w:val="center"/>
          </w:pPr>
        </w:p>
      </w:tc>
      <w:tc>
        <w:tcPr>
          <w:tcW w:w="2040" w:type="dxa"/>
        </w:tcPr>
        <w:p w14:paraId="281ECB05" w14:textId="48E839C1" w:rsidR="5190A120" w:rsidRDefault="5190A120" w:rsidP="5190A120">
          <w:pPr>
            <w:pStyle w:val="Header"/>
            <w:ind w:right="-115"/>
          </w:pPr>
        </w:p>
      </w:tc>
    </w:tr>
  </w:tbl>
  <w:p w14:paraId="7C7B7A9E" w14:textId="6705C5C2" w:rsidR="0053272D" w:rsidRDefault="0053272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040"/>
      <w:gridCol w:w="2040"/>
      <w:gridCol w:w="2040"/>
    </w:tblGrid>
    <w:tr w:rsidR="5190A120" w14:paraId="6A97A45F" w14:textId="77777777" w:rsidTr="5190A120">
      <w:trPr>
        <w:trHeight w:val="300"/>
      </w:trPr>
      <w:tc>
        <w:tcPr>
          <w:tcW w:w="2040" w:type="dxa"/>
        </w:tcPr>
        <w:p w14:paraId="6E745F0C" w14:textId="1387252F" w:rsidR="5190A120" w:rsidRDefault="5190A120" w:rsidP="5190A120">
          <w:pPr>
            <w:pStyle w:val="Header"/>
            <w:ind w:left="-115"/>
            <w:jc w:val="left"/>
          </w:pPr>
        </w:p>
      </w:tc>
      <w:tc>
        <w:tcPr>
          <w:tcW w:w="2040" w:type="dxa"/>
        </w:tcPr>
        <w:p w14:paraId="02CC246E" w14:textId="1C5C1673" w:rsidR="5190A120" w:rsidRDefault="5190A120" w:rsidP="5190A120">
          <w:pPr>
            <w:pStyle w:val="Header"/>
            <w:jc w:val="center"/>
          </w:pPr>
        </w:p>
      </w:tc>
      <w:tc>
        <w:tcPr>
          <w:tcW w:w="2040" w:type="dxa"/>
        </w:tcPr>
        <w:p w14:paraId="19C9A978" w14:textId="1D48DF76" w:rsidR="5190A120" w:rsidRDefault="5190A120" w:rsidP="5190A120">
          <w:pPr>
            <w:pStyle w:val="Header"/>
            <w:ind w:right="-115"/>
          </w:pPr>
        </w:p>
      </w:tc>
    </w:tr>
  </w:tbl>
  <w:p w14:paraId="7C3A0DD5" w14:textId="24F21CA8" w:rsidR="0053272D" w:rsidRDefault="0053272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555AC" w14:textId="6B0BF131" w:rsidR="0053272D" w:rsidRDefault="0053272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F0DD5" w14:textId="1DD289DE" w:rsidR="00095D88" w:rsidRPr="00095D88" w:rsidRDefault="00E10AB3" w:rsidP="00095D88">
    <w:pPr>
      <w:pStyle w:val="Header"/>
    </w:pPr>
    <w:r>
      <w:rPr>
        <w:noProof/>
      </w:rPr>
      <mc:AlternateContent>
        <mc:Choice Requires="wps">
          <w:drawing>
            <wp:anchor distT="0" distB="0" distL="114300" distR="114300" simplePos="0" relativeHeight="251658246" behindDoc="1" locked="0" layoutInCell="1" allowOverlap="1" wp14:anchorId="575D6C41" wp14:editId="5E1549D2">
              <wp:simplePos x="0" y="0"/>
              <wp:positionH relativeFrom="page">
                <wp:posOffset>5080</wp:posOffset>
              </wp:positionH>
              <wp:positionV relativeFrom="page">
                <wp:posOffset>1905</wp:posOffset>
              </wp:positionV>
              <wp:extent cx="10724400" cy="7570800"/>
              <wp:effectExtent l="0" t="0" r="1270" b="0"/>
              <wp:wrapNone/>
              <wp:docPr id="2075033694" name="Rectangle 20750336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724400" cy="7570800"/>
                      </a:xfrm>
                      <a:prstGeom prst="rect">
                        <a:avLst/>
                      </a:prstGeom>
                      <a:solidFill>
                        <a:schemeClr val="accent5">
                          <a:lumMod val="20000"/>
                          <a:lumOff val="80000"/>
                          <a:alpha val="3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65F05" id="Rectangle 2075033694" o:spid="_x0000_s1026" alt="&quot;&quot;" style="position:absolute;margin-left:.4pt;margin-top:.15pt;width:844.45pt;height:596.1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" fillcolor="#e8f0fc [664]" stroked="f" strokeweight="2pt">
              <v:fill opacity="19789f"/>
              <w10:wrap anchorx="page" anchory="page"/>
            </v:rect>
          </w:pict>
        </mc:Fallback>
      </mc:AlternateContent>
    </w:r>
    <w:r>
      <w:rPr>
        <w:noProof/>
      </w:rPr>
      <w:drawing>
        <wp:anchor distT="0" distB="0" distL="114300" distR="114300" simplePos="0" relativeHeight="251658247" behindDoc="1" locked="1" layoutInCell="1" allowOverlap="1" wp14:anchorId="734E49BD" wp14:editId="0BAF96A9">
          <wp:simplePos x="0" y="0"/>
          <wp:positionH relativeFrom="page">
            <wp:align>center</wp:align>
          </wp:positionH>
          <wp:positionV relativeFrom="page">
            <wp:align>top</wp:align>
          </wp:positionV>
          <wp:extent cx="10677525" cy="721995"/>
          <wp:effectExtent l="0" t="0" r="0" b="1905"/>
          <wp:wrapNone/>
          <wp:docPr id="1189830113" name="Picture 11898301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3742" name="Picture 620374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77600" cy="722401"/>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85CA" w14:textId="7C4010AD" w:rsidR="00095D88" w:rsidRPr="00095D88" w:rsidRDefault="00095D88" w:rsidP="00095D8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58411" w14:textId="6C5FE063" w:rsidR="00095D88" w:rsidRPr="00095D88" w:rsidRDefault="00095D88" w:rsidP="00095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4A6"/>
    <w:multiLevelType w:val="hybridMultilevel"/>
    <w:tmpl w:val="0B10A8F4"/>
    <w:lvl w:ilvl="0" w:tplc="12D85F2E">
      <w:start w:val="1"/>
      <w:numFmt w:val="decimal"/>
      <w:lvlText w:val="%1."/>
      <w:lvlJc w:val="left"/>
      <w:pPr>
        <w:ind w:left="720" w:hanging="360"/>
      </w:pPr>
    </w:lvl>
    <w:lvl w:ilvl="1" w:tplc="F6A847FE">
      <w:start w:val="1"/>
      <w:numFmt w:val="decimal"/>
      <w:lvlText w:val="%2."/>
      <w:lvlJc w:val="left"/>
      <w:pPr>
        <w:ind w:left="720" w:hanging="360"/>
      </w:pPr>
    </w:lvl>
    <w:lvl w:ilvl="2" w:tplc="4F8AE0BE">
      <w:start w:val="1"/>
      <w:numFmt w:val="decimal"/>
      <w:lvlText w:val="%3."/>
      <w:lvlJc w:val="left"/>
      <w:pPr>
        <w:ind w:left="720" w:hanging="360"/>
      </w:pPr>
    </w:lvl>
    <w:lvl w:ilvl="3" w:tplc="6C4AE908">
      <w:start w:val="1"/>
      <w:numFmt w:val="decimal"/>
      <w:lvlText w:val="%4."/>
      <w:lvlJc w:val="left"/>
      <w:pPr>
        <w:ind w:left="720" w:hanging="360"/>
      </w:pPr>
    </w:lvl>
    <w:lvl w:ilvl="4" w:tplc="910E7170">
      <w:start w:val="1"/>
      <w:numFmt w:val="decimal"/>
      <w:lvlText w:val="%5."/>
      <w:lvlJc w:val="left"/>
      <w:pPr>
        <w:ind w:left="720" w:hanging="360"/>
      </w:pPr>
    </w:lvl>
    <w:lvl w:ilvl="5" w:tplc="58DECA4A">
      <w:start w:val="1"/>
      <w:numFmt w:val="decimal"/>
      <w:lvlText w:val="%6."/>
      <w:lvlJc w:val="left"/>
      <w:pPr>
        <w:ind w:left="720" w:hanging="360"/>
      </w:pPr>
    </w:lvl>
    <w:lvl w:ilvl="6" w:tplc="29A2A156">
      <w:start w:val="1"/>
      <w:numFmt w:val="decimal"/>
      <w:lvlText w:val="%7."/>
      <w:lvlJc w:val="left"/>
      <w:pPr>
        <w:ind w:left="720" w:hanging="360"/>
      </w:pPr>
    </w:lvl>
    <w:lvl w:ilvl="7" w:tplc="EF72738C">
      <w:start w:val="1"/>
      <w:numFmt w:val="decimal"/>
      <w:lvlText w:val="%8."/>
      <w:lvlJc w:val="left"/>
      <w:pPr>
        <w:ind w:left="720" w:hanging="360"/>
      </w:pPr>
    </w:lvl>
    <w:lvl w:ilvl="8" w:tplc="390CEA8C">
      <w:start w:val="1"/>
      <w:numFmt w:val="decimal"/>
      <w:lvlText w:val="%9."/>
      <w:lvlJc w:val="left"/>
      <w:pPr>
        <w:ind w:left="720" w:hanging="360"/>
      </w:pPr>
    </w:lvl>
  </w:abstractNum>
  <w:abstractNum w:abstractNumId="1" w15:restartNumberingAfterBreak="0">
    <w:nsid w:val="0172103C"/>
    <w:multiLevelType w:val="hybridMultilevel"/>
    <w:tmpl w:val="FA7C33DC"/>
    <w:lvl w:ilvl="0" w:tplc="D924F1A4">
      <w:start w:val="1"/>
      <w:numFmt w:val="decimal"/>
      <w:lvlText w:val="%1."/>
      <w:lvlJc w:val="left"/>
      <w:pPr>
        <w:ind w:left="1020" w:hanging="360"/>
      </w:pPr>
    </w:lvl>
    <w:lvl w:ilvl="1" w:tplc="B0C05E68">
      <w:start w:val="1"/>
      <w:numFmt w:val="decimal"/>
      <w:lvlText w:val="%2."/>
      <w:lvlJc w:val="left"/>
      <w:pPr>
        <w:ind w:left="1020" w:hanging="360"/>
      </w:pPr>
    </w:lvl>
    <w:lvl w:ilvl="2" w:tplc="1B04BEA2">
      <w:start w:val="1"/>
      <w:numFmt w:val="decimal"/>
      <w:lvlText w:val="%3."/>
      <w:lvlJc w:val="left"/>
      <w:pPr>
        <w:ind w:left="1020" w:hanging="360"/>
      </w:pPr>
    </w:lvl>
    <w:lvl w:ilvl="3" w:tplc="DB3C3160">
      <w:start w:val="1"/>
      <w:numFmt w:val="decimal"/>
      <w:lvlText w:val="%4."/>
      <w:lvlJc w:val="left"/>
      <w:pPr>
        <w:ind w:left="1020" w:hanging="360"/>
      </w:pPr>
    </w:lvl>
    <w:lvl w:ilvl="4" w:tplc="9FEE1760">
      <w:start w:val="1"/>
      <w:numFmt w:val="decimal"/>
      <w:lvlText w:val="%5."/>
      <w:lvlJc w:val="left"/>
      <w:pPr>
        <w:ind w:left="1020" w:hanging="360"/>
      </w:pPr>
    </w:lvl>
    <w:lvl w:ilvl="5" w:tplc="20085CCC">
      <w:start w:val="1"/>
      <w:numFmt w:val="decimal"/>
      <w:lvlText w:val="%6."/>
      <w:lvlJc w:val="left"/>
      <w:pPr>
        <w:ind w:left="1020" w:hanging="360"/>
      </w:pPr>
    </w:lvl>
    <w:lvl w:ilvl="6" w:tplc="6180D4F0">
      <w:start w:val="1"/>
      <w:numFmt w:val="decimal"/>
      <w:lvlText w:val="%7."/>
      <w:lvlJc w:val="left"/>
      <w:pPr>
        <w:ind w:left="1020" w:hanging="360"/>
      </w:pPr>
    </w:lvl>
    <w:lvl w:ilvl="7" w:tplc="99DC05C8">
      <w:start w:val="1"/>
      <w:numFmt w:val="decimal"/>
      <w:lvlText w:val="%8."/>
      <w:lvlJc w:val="left"/>
      <w:pPr>
        <w:ind w:left="1020" w:hanging="360"/>
      </w:pPr>
    </w:lvl>
    <w:lvl w:ilvl="8" w:tplc="45DC5492">
      <w:start w:val="1"/>
      <w:numFmt w:val="decimal"/>
      <w:lvlText w:val="%9."/>
      <w:lvlJc w:val="left"/>
      <w:pPr>
        <w:ind w:left="1020" w:hanging="360"/>
      </w:pPr>
    </w:lvl>
  </w:abstractNum>
  <w:abstractNum w:abstractNumId="2" w15:restartNumberingAfterBreak="0">
    <w:nsid w:val="06506053"/>
    <w:multiLevelType w:val="hybridMultilevel"/>
    <w:tmpl w:val="1E3AF8CA"/>
    <w:lvl w:ilvl="0" w:tplc="EE221836">
      <w:start w:val="1"/>
      <w:numFmt w:val="decimal"/>
      <w:lvlText w:val="%1."/>
      <w:lvlJc w:val="left"/>
      <w:pPr>
        <w:ind w:left="1020" w:hanging="360"/>
      </w:pPr>
    </w:lvl>
    <w:lvl w:ilvl="1" w:tplc="22DE2630">
      <w:start w:val="1"/>
      <w:numFmt w:val="decimal"/>
      <w:lvlText w:val="%2."/>
      <w:lvlJc w:val="left"/>
      <w:pPr>
        <w:ind w:left="1020" w:hanging="360"/>
      </w:pPr>
    </w:lvl>
    <w:lvl w:ilvl="2" w:tplc="89560AA8">
      <w:start w:val="1"/>
      <w:numFmt w:val="decimal"/>
      <w:lvlText w:val="%3."/>
      <w:lvlJc w:val="left"/>
      <w:pPr>
        <w:ind w:left="1020" w:hanging="360"/>
      </w:pPr>
    </w:lvl>
    <w:lvl w:ilvl="3" w:tplc="1F3CA17C">
      <w:start w:val="1"/>
      <w:numFmt w:val="decimal"/>
      <w:lvlText w:val="%4."/>
      <w:lvlJc w:val="left"/>
      <w:pPr>
        <w:ind w:left="1020" w:hanging="360"/>
      </w:pPr>
    </w:lvl>
    <w:lvl w:ilvl="4" w:tplc="C33A3682">
      <w:start w:val="1"/>
      <w:numFmt w:val="decimal"/>
      <w:lvlText w:val="%5."/>
      <w:lvlJc w:val="left"/>
      <w:pPr>
        <w:ind w:left="1020" w:hanging="360"/>
      </w:pPr>
    </w:lvl>
    <w:lvl w:ilvl="5" w:tplc="8EA8709A">
      <w:start w:val="1"/>
      <w:numFmt w:val="decimal"/>
      <w:lvlText w:val="%6."/>
      <w:lvlJc w:val="left"/>
      <w:pPr>
        <w:ind w:left="1020" w:hanging="360"/>
      </w:pPr>
    </w:lvl>
    <w:lvl w:ilvl="6" w:tplc="47527752">
      <w:start w:val="1"/>
      <w:numFmt w:val="decimal"/>
      <w:lvlText w:val="%7."/>
      <w:lvlJc w:val="left"/>
      <w:pPr>
        <w:ind w:left="1020" w:hanging="360"/>
      </w:pPr>
    </w:lvl>
    <w:lvl w:ilvl="7" w:tplc="E4983626">
      <w:start w:val="1"/>
      <w:numFmt w:val="decimal"/>
      <w:lvlText w:val="%8."/>
      <w:lvlJc w:val="left"/>
      <w:pPr>
        <w:ind w:left="1020" w:hanging="360"/>
      </w:pPr>
    </w:lvl>
    <w:lvl w:ilvl="8" w:tplc="AADA0042">
      <w:start w:val="1"/>
      <w:numFmt w:val="decimal"/>
      <w:lvlText w:val="%9."/>
      <w:lvlJc w:val="left"/>
      <w:pPr>
        <w:ind w:left="1020" w:hanging="360"/>
      </w:pPr>
    </w:lvl>
  </w:abstractNum>
  <w:abstractNum w:abstractNumId="3"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6" w15:restartNumberingAfterBreak="0">
    <w:nsid w:val="17DF7717"/>
    <w:multiLevelType w:val="multilevel"/>
    <w:tmpl w:val="69463974"/>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9" w15:restartNumberingAfterBreak="0">
    <w:nsid w:val="3238442C"/>
    <w:multiLevelType w:val="multilevel"/>
    <w:tmpl w:val="20C6D62C"/>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10D2021"/>
    <w:multiLevelType w:val="multilevel"/>
    <w:tmpl w:val="72F8140E"/>
    <w:styleLink w:val="ChartandTableFootnoteAlpha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DBF32FF"/>
    <w:multiLevelType w:val="hybridMultilevel"/>
    <w:tmpl w:val="3E40AB9A"/>
    <w:lvl w:ilvl="0" w:tplc="E778A6D6">
      <w:start w:val="1"/>
      <w:numFmt w:val="decimal"/>
      <w:lvlText w:val="%1."/>
      <w:lvlJc w:val="left"/>
      <w:pPr>
        <w:ind w:left="1020" w:hanging="360"/>
      </w:pPr>
    </w:lvl>
    <w:lvl w:ilvl="1" w:tplc="050288A6">
      <w:start w:val="1"/>
      <w:numFmt w:val="decimal"/>
      <w:lvlText w:val="%2."/>
      <w:lvlJc w:val="left"/>
      <w:pPr>
        <w:ind w:left="1020" w:hanging="360"/>
      </w:pPr>
    </w:lvl>
    <w:lvl w:ilvl="2" w:tplc="B6F67F0C">
      <w:start w:val="1"/>
      <w:numFmt w:val="decimal"/>
      <w:lvlText w:val="%3."/>
      <w:lvlJc w:val="left"/>
      <w:pPr>
        <w:ind w:left="1020" w:hanging="360"/>
      </w:pPr>
    </w:lvl>
    <w:lvl w:ilvl="3" w:tplc="5D446758">
      <w:start w:val="1"/>
      <w:numFmt w:val="decimal"/>
      <w:lvlText w:val="%4."/>
      <w:lvlJc w:val="left"/>
      <w:pPr>
        <w:ind w:left="1020" w:hanging="360"/>
      </w:pPr>
    </w:lvl>
    <w:lvl w:ilvl="4" w:tplc="07129DA0">
      <w:start w:val="1"/>
      <w:numFmt w:val="decimal"/>
      <w:lvlText w:val="%5."/>
      <w:lvlJc w:val="left"/>
      <w:pPr>
        <w:ind w:left="1020" w:hanging="360"/>
      </w:pPr>
    </w:lvl>
    <w:lvl w:ilvl="5" w:tplc="A9829028">
      <w:start w:val="1"/>
      <w:numFmt w:val="decimal"/>
      <w:lvlText w:val="%6."/>
      <w:lvlJc w:val="left"/>
      <w:pPr>
        <w:ind w:left="1020" w:hanging="360"/>
      </w:pPr>
    </w:lvl>
    <w:lvl w:ilvl="6" w:tplc="F72038B8">
      <w:start w:val="1"/>
      <w:numFmt w:val="decimal"/>
      <w:lvlText w:val="%7."/>
      <w:lvlJc w:val="left"/>
      <w:pPr>
        <w:ind w:left="1020" w:hanging="360"/>
      </w:pPr>
    </w:lvl>
    <w:lvl w:ilvl="7" w:tplc="5980E544">
      <w:start w:val="1"/>
      <w:numFmt w:val="decimal"/>
      <w:lvlText w:val="%8."/>
      <w:lvlJc w:val="left"/>
      <w:pPr>
        <w:ind w:left="1020" w:hanging="360"/>
      </w:pPr>
    </w:lvl>
    <w:lvl w:ilvl="8" w:tplc="F00EFEE4">
      <w:start w:val="1"/>
      <w:numFmt w:val="decimal"/>
      <w:lvlText w:val="%9."/>
      <w:lvlJc w:val="left"/>
      <w:pPr>
        <w:ind w:left="1020" w:hanging="360"/>
      </w:pPr>
    </w:lvl>
  </w:abstractNum>
  <w:abstractNum w:abstractNumId="13" w15:restartNumberingAfterBreak="0">
    <w:nsid w:val="65135E8B"/>
    <w:multiLevelType w:val="hybridMultilevel"/>
    <w:tmpl w:val="7A103014"/>
    <w:lvl w:ilvl="0" w:tplc="B99ABE96">
      <w:start w:val="1"/>
      <w:numFmt w:val="decimal"/>
      <w:lvlText w:val="%1."/>
      <w:lvlJc w:val="left"/>
      <w:pPr>
        <w:ind w:left="720" w:hanging="360"/>
      </w:pPr>
    </w:lvl>
    <w:lvl w:ilvl="1" w:tplc="0B6A1C34">
      <w:start w:val="1"/>
      <w:numFmt w:val="decimal"/>
      <w:lvlText w:val="%2."/>
      <w:lvlJc w:val="left"/>
      <w:pPr>
        <w:ind w:left="720" w:hanging="360"/>
      </w:pPr>
    </w:lvl>
    <w:lvl w:ilvl="2" w:tplc="4A04E73A">
      <w:start w:val="1"/>
      <w:numFmt w:val="decimal"/>
      <w:lvlText w:val="%3."/>
      <w:lvlJc w:val="left"/>
      <w:pPr>
        <w:ind w:left="720" w:hanging="360"/>
      </w:pPr>
    </w:lvl>
    <w:lvl w:ilvl="3" w:tplc="253E1A62">
      <w:start w:val="1"/>
      <w:numFmt w:val="decimal"/>
      <w:lvlText w:val="%4."/>
      <w:lvlJc w:val="left"/>
      <w:pPr>
        <w:ind w:left="720" w:hanging="360"/>
      </w:pPr>
    </w:lvl>
    <w:lvl w:ilvl="4" w:tplc="8C7CECCA">
      <w:start w:val="1"/>
      <w:numFmt w:val="decimal"/>
      <w:lvlText w:val="%5."/>
      <w:lvlJc w:val="left"/>
      <w:pPr>
        <w:ind w:left="720" w:hanging="360"/>
      </w:pPr>
    </w:lvl>
    <w:lvl w:ilvl="5" w:tplc="C528447C">
      <w:start w:val="1"/>
      <w:numFmt w:val="decimal"/>
      <w:lvlText w:val="%6."/>
      <w:lvlJc w:val="left"/>
      <w:pPr>
        <w:ind w:left="720" w:hanging="360"/>
      </w:pPr>
    </w:lvl>
    <w:lvl w:ilvl="6" w:tplc="C6E27648">
      <w:start w:val="1"/>
      <w:numFmt w:val="decimal"/>
      <w:lvlText w:val="%7."/>
      <w:lvlJc w:val="left"/>
      <w:pPr>
        <w:ind w:left="720" w:hanging="360"/>
      </w:pPr>
    </w:lvl>
    <w:lvl w:ilvl="7" w:tplc="2DDC98F4">
      <w:start w:val="1"/>
      <w:numFmt w:val="decimal"/>
      <w:lvlText w:val="%8."/>
      <w:lvlJc w:val="left"/>
      <w:pPr>
        <w:ind w:left="720" w:hanging="360"/>
      </w:pPr>
    </w:lvl>
    <w:lvl w:ilvl="8" w:tplc="452E6E7A">
      <w:start w:val="1"/>
      <w:numFmt w:val="decimal"/>
      <w:lvlText w:val="%9."/>
      <w:lvlJc w:val="left"/>
      <w:pPr>
        <w:ind w:left="720" w:hanging="360"/>
      </w:pPr>
    </w:lvl>
  </w:abstractNum>
  <w:abstractNum w:abstractNumId="14" w15:restartNumberingAfterBreak="0">
    <w:nsid w:val="655B2509"/>
    <w:multiLevelType w:val="multilevel"/>
    <w:tmpl w:val="B4B0357A"/>
    <w:name w:val="StandardNumberedList"/>
    <w:lvl w:ilvl="0">
      <w:start w:val="1"/>
      <w:numFmt w:val="bullet"/>
      <w:lvlText w:val=""/>
      <w:lvlJc w:val="left"/>
      <w:pPr>
        <w:tabs>
          <w:tab w:val="num" w:pos="567"/>
        </w:tabs>
        <w:ind w:left="567" w:hanging="567"/>
      </w:pPr>
      <w:rPr>
        <w:rFonts w:ascii="Symbol" w:hAnsi="Symbol" w:hint="default"/>
      </w:r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A89534C"/>
    <w:multiLevelType w:val="hybridMultilevel"/>
    <w:tmpl w:val="88D039D6"/>
    <w:lvl w:ilvl="0" w:tplc="4BE295DE">
      <w:start w:val="1"/>
      <w:numFmt w:val="decimal"/>
      <w:lvlText w:val="%1."/>
      <w:lvlJc w:val="left"/>
      <w:pPr>
        <w:ind w:left="720" w:hanging="360"/>
      </w:pPr>
    </w:lvl>
    <w:lvl w:ilvl="1" w:tplc="F93AB988">
      <w:start w:val="1"/>
      <w:numFmt w:val="decimal"/>
      <w:lvlText w:val="%2."/>
      <w:lvlJc w:val="left"/>
      <w:pPr>
        <w:ind w:left="720" w:hanging="360"/>
      </w:pPr>
    </w:lvl>
    <w:lvl w:ilvl="2" w:tplc="046A9338">
      <w:start w:val="1"/>
      <w:numFmt w:val="decimal"/>
      <w:lvlText w:val="%3."/>
      <w:lvlJc w:val="left"/>
      <w:pPr>
        <w:ind w:left="720" w:hanging="360"/>
      </w:pPr>
    </w:lvl>
    <w:lvl w:ilvl="3" w:tplc="3A588C76">
      <w:start w:val="1"/>
      <w:numFmt w:val="decimal"/>
      <w:lvlText w:val="%4."/>
      <w:lvlJc w:val="left"/>
      <w:pPr>
        <w:ind w:left="720" w:hanging="360"/>
      </w:pPr>
    </w:lvl>
    <w:lvl w:ilvl="4" w:tplc="1310A300">
      <w:start w:val="1"/>
      <w:numFmt w:val="decimal"/>
      <w:lvlText w:val="%5."/>
      <w:lvlJc w:val="left"/>
      <w:pPr>
        <w:ind w:left="720" w:hanging="360"/>
      </w:pPr>
    </w:lvl>
    <w:lvl w:ilvl="5" w:tplc="CD8CF902">
      <w:start w:val="1"/>
      <w:numFmt w:val="decimal"/>
      <w:lvlText w:val="%6."/>
      <w:lvlJc w:val="left"/>
      <w:pPr>
        <w:ind w:left="720" w:hanging="360"/>
      </w:pPr>
    </w:lvl>
    <w:lvl w:ilvl="6" w:tplc="5B5C484E">
      <w:start w:val="1"/>
      <w:numFmt w:val="decimal"/>
      <w:lvlText w:val="%7."/>
      <w:lvlJc w:val="left"/>
      <w:pPr>
        <w:ind w:left="720" w:hanging="360"/>
      </w:pPr>
    </w:lvl>
    <w:lvl w:ilvl="7" w:tplc="489CD912">
      <w:start w:val="1"/>
      <w:numFmt w:val="decimal"/>
      <w:lvlText w:val="%8."/>
      <w:lvlJc w:val="left"/>
      <w:pPr>
        <w:ind w:left="720" w:hanging="360"/>
      </w:pPr>
    </w:lvl>
    <w:lvl w:ilvl="8" w:tplc="27E613E6">
      <w:start w:val="1"/>
      <w:numFmt w:val="decimal"/>
      <w:lvlText w:val="%9."/>
      <w:lvlJc w:val="left"/>
      <w:pPr>
        <w:ind w:left="720" w:hanging="360"/>
      </w:pPr>
    </w:lvl>
  </w:abstractNum>
  <w:abstractNum w:abstractNumId="16" w15:restartNumberingAfterBreak="0">
    <w:nsid w:val="6C042B02"/>
    <w:multiLevelType w:val="hybridMultilevel"/>
    <w:tmpl w:val="6C9E48C2"/>
    <w:lvl w:ilvl="0" w:tplc="D578DB1A">
      <w:start w:val="1"/>
      <w:numFmt w:val="bullet"/>
      <w:pStyle w:val="Table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8" w15:restartNumberingAfterBreak="0">
    <w:nsid w:val="78203BDE"/>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09446909">
    <w:abstractNumId w:val="8"/>
  </w:num>
  <w:num w:numId="2" w16cid:durableId="230386874">
    <w:abstractNumId w:val="3"/>
  </w:num>
  <w:num w:numId="3" w16cid:durableId="1716855291">
    <w:abstractNumId w:val="10"/>
  </w:num>
  <w:num w:numId="4" w16cid:durableId="797724066">
    <w:abstractNumId w:val="4"/>
  </w:num>
  <w:num w:numId="5" w16cid:durableId="306596971">
    <w:abstractNumId w:val="11"/>
  </w:num>
  <w:num w:numId="6" w16cid:durableId="1043020558">
    <w:abstractNumId w:val="6"/>
  </w:num>
  <w:num w:numId="7" w16cid:durableId="832991063">
    <w:abstractNumId w:val="7"/>
  </w:num>
  <w:num w:numId="8" w16cid:durableId="143200778">
    <w:abstractNumId w:val="9"/>
  </w:num>
  <w:num w:numId="9" w16cid:durableId="1017973052">
    <w:abstractNumId w:val="5"/>
  </w:num>
  <w:num w:numId="10" w16cid:durableId="1534227257">
    <w:abstractNumId w:val="17"/>
  </w:num>
  <w:num w:numId="11" w16cid:durableId="466092301">
    <w:abstractNumId w:val="16"/>
  </w:num>
  <w:num w:numId="12" w16cid:durableId="1739129519">
    <w:abstractNumId w:val="9"/>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3" w16cid:durableId="1798260311">
    <w:abstractNumId w:val="1"/>
  </w:num>
  <w:num w:numId="14" w16cid:durableId="1725909791">
    <w:abstractNumId w:val="13"/>
  </w:num>
  <w:num w:numId="15" w16cid:durableId="405231145">
    <w:abstractNumId w:val="2"/>
  </w:num>
  <w:num w:numId="16" w16cid:durableId="1036661378">
    <w:abstractNumId w:val="0"/>
  </w:num>
  <w:num w:numId="17" w16cid:durableId="312879082">
    <w:abstractNumId w:val="12"/>
  </w:num>
  <w:num w:numId="18" w16cid:durableId="1821605641">
    <w:abstractNumId w:val="15"/>
  </w:num>
  <w:num w:numId="19" w16cid:durableId="108206215">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586D9D"/>
    <w:rsid w:val="0000027C"/>
    <w:rsid w:val="00000343"/>
    <w:rsid w:val="00000650"/>
    <w:rsid w:val="00000878"/>
    <w:rsid w:val="00000952"/>
    <w:rsid w:val="00000B0C"/>
    <w:rsid w:val="00000C18"/>
    <w:rsid w:val="00000EC0"/>
    <w:rsid w:val="000013D2"/>
    <w:rsid w:val="00001829"/>
    <w:rsid w:val="0000190A"/>
    <w:rsid w:val="000019CD"/>
    <w:rsid w:val="00001A3B"/>
    <w:rsid w:val="00001B33"/>
    <w:rsid w:val="00001B41"/>
    <w:rsid w:val="00001BBF"/>
    <w:rsid w:val="00001D11"/>
    <w:rsid w:val="0000207F"/>
    <w:rsid w:val="0000209F"/>
    <w:rsid w:val="000021CA"/>
    <w:rsid w:val="00002551"/>
    <w:rsid w:val="00002730"/>
    <w:rsid w:val="000027E9"/>
    <w:rsid w:val="000029CA"/>
    <w:rsid w:val="00002D2C"/>
    <w:rsid w:val="00002DA2"/>
    <w:rsid w:val="00002DB8"/>
    <w:rsid w:val="00003194"/>
    <w:rsid w:val="00003216"/>
    <w:rsid w:val="00003226"/>
    <w:rsid w:val="00003239"/>
    <w:rsid w:val="00003278"/>
    <w:rsid w:val="00003307"/>
    <w:rsid w:val="00003492"/>
    <w:rsid w:val="00003C8C"/>
    <w:rsid w:val="00003E07"/>
    <w:rsid w:val="00003F0C"/>
    <w:rsid w:val="00003F0E"/>
    <w:rsid w:val="00004063"/>
    <w:rsid w:val="000041B6"/>
    <w:rsid w:val="000042CF"/>
    <w:rsid w:val="00004338"/>
    <w:rsid w:val="00004423"/>
    <w:rsid w:val="0000443B"/>
    <w:rsid w:val="000045F3"/>
    <w:rsid w:val="0000476A"/>
    <w:rsid w:val="0000492F"/>
    <w:rsid w:val="000049A9"/>
    <w:rsid w:val="000049E8"/>
    <w:rsid w:val="000049F4"/>
    <w:rsid w:val="00004ABF"/>
    <w:rsid w:val="00005179"/>
    <w:rsid w:val="000052DB"/>
    <w:rsid w:val="0000533D"/>
    <w:rsid w:val="000054DB"/>
    <w:rsid w:val="000057A1"/>
    <w:rsid w:val="00005902"/>
    <w:rsid w:val="00005AF3"/>
    <w:rsid w:val="00005B95"/>
    <w:rsid w:val="00005CD9"/>
    <w:rsid w:val="00005D02"/>
    <w:rsid w:val="00005D5F"/>
    <w:rsid w:val="00005D86"/>
    <w:rsid w:val="00005F2D"/>
    <w:rsid w:val="00006178"/>
    <w:rsid w:val="0000628B"/>
    <w:rsid w:val="0000652A"/>
    <w:rsid w:val="000068D5"/>
    <w:rsid w:val="00006C5A"/>
    <w:rsid w:val="00006C86"/>
    <w:rsid w:val="00006CA0"/>
    <w:rsid w:val="00006F26"/>
    <w:rsid w:val="000070CE"/>
    <w:rsid w:val="000070FD"/>
    <w:rsid w:val="000073DB"/>
    <w:rsid w:val="0000754F"/>
    <w:rsid w:val="000077C6"/>
    <w:rsid w:val="00007A22"/>
    <w:rsid w:val="00007AD4"/>
    <w:rsid w:val="00007BDC"/>
    <w:rsid w:val="00007C53"/>
    <w:rsid w:val="00007C8E"/>
    <w:rsid w:val="0001029F"/>
    <w:rsid w:val="000103D5"/>
    <w:rsid w:val="0001045B"/>
    <w:rsid w:val="00010516"/>
    <w:rsid w:val="000106FB"/>
    <w:rsid w:val="000109BE"/>
    <w:rsid w:val="000109F3"/>
    <w:rsid w:val="00010AAE"/>
    <w:rsid w:val="00010F0E"/>
    <w:rsid w:val="00011070"/>
    <w:rsid w:val="00011338"/>
    <w:rsid w:val="00011414"/>
    <w:rsid w:val="00011725"/>
    <w:rsid w:val="000119C7"/>
    <w:rsid w:val="00011B9A"/>
    <w:rsid w:val="00011C46"/>
    <w:rsid w:val="00011F75"/>
    <w:rsid w:val="000122E7"/>
    <w:rsid w:val="0001230C"/>
    <w:rsid w:val="00012349"/>
    <w:rsid w:val="0001258E"/>
    <w:rsid w:val="00012723"/>
    <w:rsid w:val="000127A1"/>
    <w:rsid w:val="00012800"/>
    <w:rsid w:val="00012822"/>
    <w:rsid w:val="00012954"/>
    <w:rsid w:val="000129C5"/>
    <w:rsid w:val="000129DA"/>
    <w:rsid w:val="00012AD0"/>
    <w:rsid w:val="00012C62"/>
    <w:rsid w:val="00012D9E"/>
    <w:rsid w:val="00012E6C"/>
    <w:rsid w:val="00012F83"/>
    <w:rsid w:val="00012F8D"/>
    <w:rsid w:val="00012F96"/>
    <w:rsid w:val="00013135"/>
    <w:rsid w:val="0001318C"/>
    <w:rsid w:val="000132AC"/>
    <w:rsid w:val="000132BB"/>
    <w:rsid w:val="00013318"/>
    <w:rsid w:val="0001338F"/>
    <w:rsid w:val="00013438"/>
    <w:rsid w:val="0001353B"/>
    <w:rsid w:val="00013571"/>
    <w:rsid w:val="000136CF"/>
    <w:rsid w:val="00013718"/>
    <w:rsid w:val="00013953"/>
    <w:rsid w:val="0001396A"/>
    <w:rsid w:val="00013981"/>
    <w:rsid w:val="00013B63"/>
    <w:rsid w:val="00013F0A"/>
    <w:rsid w:val="00013F2C"/>
    <w:rsid w:val="00013F45"/>
    <w:rsid w:val="00013F78"/>
    <w:rsid w:val="000140DE"/>
    <w:rsid w:val="00014356"/>
    <w:rsid w:val="000146AB"/>
    <w:rsid w:val="000148E8"/>
    <w:rsid w:val="00014ABE"/>
    <w:rsid w:val="00014B27"/>
    <w:rsid w:val="00014BA3"/>
    <w:rsid w:val="00015015"/>
    <w:rsid w:val="00015032"/>
    <w:rsid w:val="00015216"/>
    <w:rsid w:val="00015302"/>
    <w:rsid w:val="00015760"/>
    <w:rsid w:val="000157ED"/>
    <w:rsid w:val="00015908"/>
    <w:rsid w:val="00015939"/>
    <w:rsid w:val="00015AC7"/>
    <w:rsid w:val="00015B4A"/>
    <w:rsid w:val="00015EA9"/>
    <w:rsid w:val="00015F9E"/>
    <w:rsid w:val="00015FEA"/>
    <w:rsid w:val="00016445"/>
    <w:rsid w:val="0001670C"/>
    <w:rsid w:val="0001671C"/>
    <w:rsid w:val="00016CD2"/>
    <w:rsid w:val="000170A3"/>
    <w:rsid w:val="0001746F"/>
    <w:rsid w:val="0001788B"/>
    <w:rsid w:val="00017B73"/>
    <w:rsid w:val="00017C4C"/>
    <w:rsid w:val="00017E4A"/>
    <w:rsid w:val="0002007E"/>
    <w:rsid w:val="000202AD"/>
    <w:rsid w:val="000204C0"/>
    <w:rsid w:val="000206B4"/>
    <w:rsid w:val="000206E8"/>
    <w:rsid w:val="00020BC4"/>
    <w:rsid w:val="00020C61"/>
    <w:rsid w:val="00020F49"/>
    <w:rsid w:val="00020FF1"/>
    <w:rsid w:val="00021180"/>
    <w:rsid w:val="00021371"/>
    <w:rsid w:val="00021727"/>
    <w:rsid w:val="00021AB1"/>
    <w:rsid w:val="00021C95"/>
    <w:rsid w:val="00021ECB"/>
    <w:rsid w:val="000223CD"/>
    <w:rsid w:val="00022926"/>
    <w:rsid w:val="00022A68"/>
    <w:rsid w:val="00022B96"/>
    <w:rsid w:val="00022E99"/>
    <w:rsid w:val="0002304A"/>
    <w:rsid w:val="00023140"/>
    <w:rsid w:val="000231D8"/>
    <w:rsid w:val="000231E0"/>
    <w:rsid w:val="00023375"/>
    <w:rsid w:val="00023381"/>
    <w:rsid w:val="00023489"/>
    <w:rsid w:val="00023608"/>
    <w:rsid w:val="00023631"/>
    <w:rsid w:val="0002372D"/>
    <w:rsid w:val="0002373A"/>
    <w:rsid w:val="00023746"/>
    <w:rsid w:val="00023926"/>
    <w:rsid w:val="0002395F"/>
    <w:rsid w:val="00023BE4"/>
    <w:rsid w:val="00023CA7"/>
    <w:rsid w:val="00023CFC"/>
    <w:rsid w:val="00023D1E"/>
    <w:rsid w:val="00023F87"/>
    <w:rsid w:val="000244BF"/>
    <w:rsid w:val="000244EF"/>
    <w:rsid w:val="00024569"/>
    <w:rsid w:val="0002473F"/>
    <w:rsid w:val="000247A0"/>
    <w:rsid w:val="00024865"/>
    <w:rsid w:val="00024ACA"/>
    <w:rsid w:val="00024C01"/>
    <w:rsid w:val="000250B9"/>
    <w:rsid w:val="00025252"/>
    <w:rsid w:val="0002534D"/>
    <w:rsid w:val="0002538D"/>
    <w:rsid w:val="000253D9"/>
    <w:rsid w:val="0002544D"/>
    <w:rsid w:val="000254B7"/>
    <w:rsid w:val="000255E0"/>
    <w:rsid w:val="00025896"/>
    <w:rsid w:val="00025950"/>
    <w:rsid w:val="00025FAB"/>
    <w:rsid w:val="0002621E"/>
    <w:rsid w:val="000262C7"/>
    <w:rsid w:val="0002645C"/>
    <w:rsid w:val="000266A3"/>
    <w:rsid w:val="00026885"/>
    <w:rsid w:val="000268CF"/>
    <w:rsid w:val="00026AB0"/>
    <w:rsid w:val="00026B55"/>
    <w:rsid w:val="00026B58"/>
    <w:rsid w:val="00026C8D"/>
    <w:rsid w:val="00026CF1"/>
    <w:rsid w:val="00026F32"/>
    <w:rsid w:val="00026F8E"/>
    <w:rsid w:val="00026FAB"/>
    <w:rsid w:val="000271CE"/>
    <w:rsid w:val="00027664"/>
    <w:rsid w:val="0002784E"/>
    <w:rsid w:val="00027914"/>
    <w:rsid w:val="00027DC4"/>
    <w:rsid w:val="00027ED4"/>
    <w:rsid w:val="00030040"/>
    <w:rsid w:val="00030080"/>
    <w:rsid w:val="00030153"/>
    <w:rsid w:val="0003018D"/>
    <w:rsid w:val="00030439"/>
    <w:rsid w:val="0003092B"/>
    <w:rsid w:val="00030C47"/>
    <w:rsid w:val="00030E4C"/>
    <w:rsid w:val="00030EFF"/>
    <w:rsid w:val="00031164"/>
    <w:rsid w:val="000312ED"/>
    <w:rsid w:val="0003194B"/>
    <w:rsid w:val="00031A89"/>
    <w:rsid w:val="00031C27"/>
    <w:rsid w:val="00031C85"/>
    <w:rsid w:val="00031DBB"/>
    <w:rsid w:val="00031DF4"/>
    <w:rsid w:val="00031F26"/>
    <w:rsid w:val="00032042"/>
    <w:rsid w:val="000320AC"/>
    <w:rsid w:val="00032132"/>
    <w:rsid w:val="00032456"/>
    <w:rsid w:val="00032A21"/>
    <w:rsid w:val="00032ACA"/>
    <w:rsid w:val="00032AE8"/>
    <w:rsid w:val="00032C71"/>
    <w:rsid w:val="00032CF4"/>
    <w:rsid w:val="00032F70"/>
    <w:rsid w:val="0003308E"/>
    <w:rsid w:val="00033489"/>
    <w:rsid w:val="000334DD"/>
    <w:rsid w:val="00033567"/>
    <w:rsid w:val="00033612"/>
    <w:rsid w:val="00033F72"/>
    <w:rsid w:val="000341C6"/>
    <w:rsid w:val="000342EA"/>
    <w:rsid w:val="0003435F"/>
    <w:rsid w:val="00034395"/>
    <w:rsid w:val="000345C8"/>
    <w:rsid w:val="0003467D"/>
    <w:rsid w:val="00034993"/>
    <w:rsid w:val="000349D4"/>
    <w:rsid w:val="00034BC7"/>
    <w:rsid w:val="00034D9D"/>
    <w:rsid w:val="00034DA1"/>
    <w:rsid w:val="0003502D"/>
    <w:rsid w:val="000351FD"/>
    <w:rsid w:val="000352F0"/>
    <w:rsid w:val="00035440"/>
    <w:rsid w:val="0003553D"/>
    <w:rsid w:val="000358EE"/>
    <w:rsid w:val="00035BDE"/>
    <w:rsid w:val="000361AD"/>
    <w:rsid w:val="0003622C"/>
    <w:rsid w:val="00036308"/>
    <w:rsid w:val="000367CD"/>
    <w:rsid w:val="0003680D"/>
    <w:rsid w:val="000368AB"/>
    <w:rsid w:val="00036959"/>
    <w:rsid w:val="00036A89"/>
    <w:rsid w:val="00036DC5"/>
    <w:rsid w:val="00036DFF"/>
    <w:rsid w:val="00036E5D"/>
    <w:rsid w:val="00037083"/>
    <w:rsid w:val="0003709C"/>
    <w:rsid w:val="00037673"/>
    <w:rsid w:val="0003779F"/>
    <w:rsid w:val="000378F5"/>
    <w:rsid w:val="00037908"/>
    <w:rsid w:val="00037A38"/>
    <w:rsid w:val="00037A82"/>
    <w:rsid w:val="00037C0A"/>
    <w:rsid w:val="00037EEB"/>
    <w:rsid w:val="000400F1"/>
    <w:rsid w:val="0004035E"/>
    <w:rsid w:val="00040399"/>
    <w:rsid w:val="00040736"/>
    <w:rsid w:val="00040A0D"/>
    <w:rsid w:val="00040A43"/>
    <w:rsid w:val="00040A9D"/>
    <w:rsid w:val="00040B3A"/>
    <w:rsid w:val="00040E83"/>
    <w:rsid w:val="00041100"/>
    <w:rsid w:val="00041528"/>
    <w:rsid w:val="0004162A"/>
    <w:rsid w:val="0004190B"/>
    <w:rsid w:val="000419EE"/>
    <w:rsid w:val="00041A57"/>
    <w:rsid w:val="00041AFB"/>
    <w:rsid w:val="00041B3E"/>
    <w:rsid w:val="00041E06"/>
    <w:rsid w:val="00041F3A"/>
    <w:rsid w:val="00041FC8"/>
    <w:rsid w:val="00042017"/>
    <w:rsid w:val="000421F6"/>
    <w:rsid w:val="0004274D"/>
    <w:rsid w:val="00042A62"/>
    <w:rsid w:val="00042B7E"/>
    <w:rsid w:val="00042EC7"/>
    <w:rsid w:val="00043131"/>
    <w:rsid w:val="00043262"/>
    <w:rsid w:val="00043348"/>
    <w:rsid w:val="00043BA4"/>
    <w:rsid w:val="00043C84"/>
    <w:rsid w:val="00043CCA"/>
    <w:rsid w:val="00043D93"/>
    <w:rsid w:val="00043DC1"/>
    <w:rsid w:val="00043F7B"/>
    <w:rsid w:val="00044015"/>
    <w:rsid w:val="00044036"/>
    <w:rsid w:val="000441F9"/>
    <w:rsid w:val="00044297"/>
    <w:rsid w:val="0004483F"/>
    <w:rsid w:val="000448C4"/>
    <w:rsid w:val="00044A2F"/>
    <w:rsid w:val="00044AB8"/>
    <w:rsid w:val="00044D10"/>
    <w:rsid w:val="00044DAC"/>
    <w:rsid w:val="00044E4D"/>
    <w:rsid w:val="0004549D"/>
    <w:rsid w:val="0004550C"/>
    <w:rsid w:val="0004559D"/>
    <w:rsid w:val="00045672"/>
    <w:rsid w:val="00045E1C"/>
    <w:rsid w:val="00045EE6"/>
    <w:rsid w:val="00046042"/>
    <w:rsid w:val="0004618B"/>
    <w:rsid w:val="000463B6"/>
    <w:rsid w:val="0004641D"/>
    <w:rsid w:val="0004647C"/>
    <w:rsid w:val="0004657A"/>
    <w:rsid w:val="00046A52"/>
    <w:rsid w:val="00046C9E"/>
    <w:rsid w:val="00046CB4"/>
    <w:rsid w:val="00046E31"/>
    <w:rsid w:val="00046EBC"/>
    <w:rsid w:val="00047060"/>
    <w:rsid w:val="00047301"/>
    <w:rsid w:val="0004757A"/>
    <w:rsid w:val="000475DE"/>
    <w:rsid w:val="000475F3"/>
    <w:rsid w:val="000475FE"/>
    <w:rsid w:val="0004760E"/>
    <w:rsid w:val="000478D0"/>
    <w:rsid w:val="000479AA"/>
    <w:rsid w:val="00047A61"/>
    <w:rsid w:val="0005034D"/>
    <w:rsid w:val="00050690"/>
    <w:rsid w:val="00050A54"/>
    <w:rsid w:val="00050E38"/>
    <w:rsid w:val="00050FB3"/>
    <w:rsid w:val="000510D8"/>
    <w:rsid w:val="00051238"/>
    <w:rsid w:val="0005123F"/>
    <w:rsid w:val="0005138B"/>
    <w:rsid w:val="00051476"/>
    <w:rsid w:val="00051618"/>
    <w:rsid w:val="000516EB"/>
    <w:rsid w:val="00051726"/>
    <w:rsid w:val="00051776"/>
    <w:rsid w:val="0005179C"/>
    <w:rsid w:val="00051B14"/>
    <w:rsid w:val="00051B9F"/>
    <w:rsid w:val="00051D23"/>
    <w:rsid w:val="00051F5E"/>
    <w:rsid w:val="00051FEC"/>
    <w:rsid w:val="000522B7"/>
    <w:rsid w:val="000522C0"/>
    <w:rsid w:val="000522C6"/>
    <w:rsid w:val="00052558"/>
    <w:rsid w:val="0005279B"/>
    <w:rsid w:val="00052C2A"/>
    <w:rsid w:val="00052C3B"/>
    <w:rsid w:val="00052E52"/>
    <w:rsid w:val="00052FB9"/>
    <w:rsid w:val="0005334D"/>
    <w:rsid w:val="000533D7"/>
    <w:rsid w:val="000534A4"/>
    <w:rsid w:val="000534C5"/>
    <w:rsid w:val="00053534"/>
    <w:rsid w:val="000536BE"/>
    <w:rsid w:val="000536DB"/>
    <w:rsid w:val="00053717"/>
    <w:rsid w:val="00053926"/>
    <w:rsid w:val="00053BE5"/>
    <w:rsid w:val="00054527"/>
    <w:rsid w:val="00054721"/>
    <w:rsid w:val="00054E31"/>
    <w:rsid w:val="000550DB"/>
    <w:rsid w:val="000550EA"/>
    <w:rsid w:val="00055284"/>
    <w:rsid w:val="00055288"/>
    <w:rsid w:val="00055907"/>
    <w:rsid w:val="00055996"/>
    <w:rsid w:val="00055B87"/>
    <w:rsid w:val="00055E37"/>
    <w:rsid w:val="00055E54"/>
    <w:rsid w:val="00055FE3"/>
    <w:rsid w:val="000560FB"/>
    <w:rsid w:val="00056706"/>
    <w:rsid w:val="0005676F"/>
    <w:rsid w:val="00056880"/>
    <w:rsid w:val="0005692D"/>
    <w:rsid w:val="00057091"/>
    <w:rsid w:val="000571AF"/>
    <w:rsid w:val="000572D0"/>
    <w:rsid w:val="000574C2"/>
    <w:rsid w:val="00057549"/>
    <w:rsid w:val="00057615"/>
    <w:rsid w:val="00057694"/>
    <w:rsid w:val="00057864"/>
    <w:rsid w:val="00057869"/>
    <w:rsid w:val="00057887"/>
    <w:rsid w:val="000579A8"/>
    <w:rsid w:val="00057ACE"/>
    <w:rsid w:val="00057B50"/>
    <w:rsid w:val="00057C37"/>
    <w:rsid w:val="00057F34"/>
    <w:rsid w:val="0006023C"/>
    <w:rsid w:val="000603BB"/>
    <w:rsid w:val="0006045F"/>
    <w:rsid w:val="00060B9D"/>
    <w:rsid w:val="00060CC9"/>
    <w:rsid w:val="00060EA0"/>
    <w:rsid w:val="00061044"/>
    <w:rsid w:val="000610F8"/>
    <w:rsid w:val="0006122D"/>
    <w:rsid w:val="00061256"/>
    <w:rsid w:val="000618D1"/>
    <w:rsid w:val="000619BB"/>
    <w:rsid w:val="00061BB0"/>
    <w:rsid w:val="00061EB8"/>
    <w:rsid w:val="00062132"/>
    <w:rsid w:val="000621ED"/>
    <w:rsid w:val="000624CB"/>
    <w:rsid w:val="000624E4"/>
    <w:rsid w:val="00062574"/>
    <w:rsid w:val="0006261C"/>
    <w:rsid w:val="00062670"/>
    <w:rsid w:val="000626A8"/>
    <w:rsid w:val="00062782"/>
    <w:rsid w:val="000627E0"/>
    <w:rsid w:val="00062F3E"/>
    <w:rsid w:val="0006303E"/>
    <w:rsid w:val="0006311C"/>
    <w:rsid w:val="0006321F"/>
    <w:rsid w:val="00063538"/>
    <w:rsid w:val="00063588"/>
    <w:rsid w:val="000638FA"/>
    <w:rsid w:val="00063916"/>
    <w:rsid w:val="00063CBC"/>
    <w:rsid w:val="00063E1A"/>
    <w:rsid w:val="00063F5B"/>
    <w:rsid w:val="00064035"/>
    <w:rsid w:val="00064288"/>
    <w:rsid w:val="000644B4"/>
    <w:rsid w:val="00064502"/>
    <w:rsid w:val="00064987"/>
    <w:rsid w:val="00064AC8"/>
    <w:rsid w:val="00064D15"/>
    <w:rsid w:val="00064E48"/>
    <w:rsid w:val="00064EDF"/>
    <w:rsid w:val="000650F3"/>
    <w:rsid w:val="0006542B"/>
    <w:rsid w:val="0006547B"/>
    <w:rsid w:val="000654A9"/>
    <w:rsid w:val="00065560"/>
    <w:rsid w:val="00065713"/>
    <w:rsid w:val="00065E86"/>
    <w:rsid w:val="00066033"/>
    <w:rsid w:val="0006606F"/>
    <w:rsid w:val="00066365"/>
    <w:rsid w:val="000663C1"/>
    <w:rsid w:val="00066C8B"/>
    <w:rsid w:val="00066CAA"/>
    <w:rsid w:val="000670CA"/>
    <w:rsid w:val="00067324"/>
    <w:rsid w:val="000673EA"/>
    <w:rsid w:val="000674A7"/>
    <w:rsid w:val="000675D1"/>
    <w:rsid w:val="0006769F"/>
    <w:rsid w:val="00067774"/>
    <w:rsid w:val="00067820"/>
    <w:rsid w:val="000679B6"/>
    <w:rsid w:val="00067B85"/>
    <w:rsid w:val="00067B8E"/>
    <w:rsid w:val="00067CDF"/>
    <w:rsid w:val="00067DD4"/>
    <w:rsid w:val="00067F3F"/>
    <w:rsid w:val="00067FED"/>
    <w:rsid w:val="00070310"/>
    <w:rsid w:val="000703AF"/>
    <w:rsid w:val="00070475"/>
    <w:rsid w:val="000704C1"/>
    <w:rsid w:val="000705C3"/>
    <w:rsid w:val="00070787"/>
    <w:rsid w:val="00070A79"/>
    <w:rsid w:val="00070CBE"/>
    <w:rsid w:val="00070EFA"/>
    <w:rsid w:val="000711F3"/>
    <w:rsid w:val="00071298"/>
    <w:rsid w:val="000712E6"/>
    <w:rsid w:val="000713A5"/>
    <w:rsid w:val="00071766"/>
    <w:rsid w:val="00071876"/>
    <w:rsid w:val="0007188C"/>
    <w:rsid w:val="0007198D"/>
    <w:rsid w:val="00071A26"/>
    <w:rsid w:val="00071C4D"/>
    <w:rsid w:val="00071D41"/>
    <w:rsid w:val="00071E28"/>
    <w:rsid w:val="0007202C"/>
    <w:rsid w:val="00072127"/>
    <w:rsid w:val="0007228C"/>
    <w:rsid w:val="00072337"/>
    <w:rsid w:val="0007253F"/>
    <w:rsid w:val="00072581"/>
    <w:rsid w:val="000725FD"/>
    <w:rsid w:val="00072A9D"/>
    <w:rsid w:val="00072D07"/>
    <w:rsid w:val="00072DF1"/>
    <w:rsid w:val="00072F85"/>
    <w:rsid w:val="00072FB2"/>
    <w:rsid w:val="00073077"/>
    <w:rsid w:val="00073082"/>
    <w:rsid w:val="00073346"/>
    <w:rsid w:val="00073521"/>
    <w:rsid w:val="00073678"/>
    <w:rsid w:val="000736E2"/>
    <w:rsid w:val="00073825"/>
    <w:rsid w:val="00073B0E"/>
    <w:rsid w:val="00073B2C"/>
    <w:rsid w:val="00073B84"/>
    <w:rsid w:val="00073CC9"/>
    <w:rsid w:val="00073FC7"/>
    <w:rsid w:val="00073FE6"/>
    <w:rsid w:val="00074094"/>
    <w:rsid w:val="000742A9"/>
    <w:rsid w:val="0007485A"/>
    <w:rsid w:val="00074C10"/>
    <w:rsid w:val="00074C12"/>
    <w:rsid w:val="00074D9B"/>
    <w:rsid w:val="00074FB4"/>
    <w:rsid w:val="00075294"/>
    <w:rsid w:val="0007535D"/>
    <w:rsid w:val="0007549A"/>
    <w:rsid w:val="00075503"/>
    <w:rsid w:val="00075A66"/>
    <w:rsid w:val="0007607B"/>
    <w:rsid w:val="000763F7"/>
    <w:rsid w:val="0007648D"/>
    <w:rsid w:val="0007650A"/>
    <w:rsid w:val="0007664B"/>
    <w:rsid w:val="0007667F"/>
    <w:rsid w:val="00076797"/>
    <w:rsid w:val="000767EC"/>
    <w:rsid w:val="00076844"/>
    <w:rsid w:val="00076962"/>
    <w:rsid w:val="00076F41"/>
    <w:rsid w:val="00077329"/>
    <w:rsid w:val="00077522"/>
    <w:rsid w:val="00077557"/>
    <w:rsid w:val="000775DE"/>
    <w:rsid w:val="0007768F"/>
    <w:rsid w:val="0007777A"/>
    <w:rsid w:val="000777D5"/>
    <w:rsid w:val="00077917"/>
    <w:rsid w:val="00077A2B"/>
    <w:rsid w:val="00077B13"/>
    <w:rsid w:val="00077B61"/>
    <w:rsid w:val="00077CB7"/>
    <w:rsid w:val="00077CC9"/>
    <w:rsid w:val="00077D80"/>
    <w:rsid w:val="00077D9D"/>
    <w:rsid w:val="00077F7D"/>
    <w:rsid w:val="0008039F"/>
    <w:rsid w:val="000804C8"/>
    <w:rsid w:val="00080504"/>
    <w:rsid w:val="000809F2"/>
    <w:rsid w:val="00080B29"/>
    <w:rsid w:val="00080CA1"/>
    <w:rsid w:val="00080DF2"/>
    <w:rsid w:val="00080F29"/>
    <w:rsid w:val="000813D0"/>
    <w:rsid w:val="0008140E"/>
    <w:rsid w:val="000814C4"/>
    <w:rsid w:val="000816D8"/>
    <w:rsid w:val="00081752"/>
    <w:rsid w:val="00081C36"/>
    <w:rsid w:val="00081C6D"/>
    <w:rsid w:val="00081D9C"/>
    <w:rsid w:val="00081E92"/>
    <w:rsid w:val="0008204D"/>
    <w:rsid w:val="00082157"/>
    <w:rsid w:val="000821AC"/>
    <w:rsid w:val="000823EB"/>
    <w:rsid w:val="000824A4"/>
    <w:rsid w:val="00082675"/>
    <w:rsid w:val="00082703"/>
    <w:rsid w:val="00082737"/>
    <w:rsid w:val="000828DF"/>
    <w:rsid w:val="00082A7B"/>
    <w:rsid w:val="00082DC7"/>
    <w:rsid w:val="00082DDC"/>
    <w:rsid w:val="000831C9"/>
    <w:rsid w:val="00083415"/>
    <w:rsid w:val="00083A99"/>
    <w:rsid w:val="00083C02"/>
    <w:rsid w:val="00084255"/>
    <w:rsid w:val="0008433D"/>
    <w:rsid w:val="000845AE"/>
    <w:rsid w:val="0008462C"/>
    <w:rsid w:val="00084712"/>
    <w:rsid w:val="000849BA"/>
    <w:rsid w:val="00084D12"/>
    <w:rsid w:val="00084DE7"/>
    <w:rsid w:val="00084E45"/>
    <w:rsid w:val="000850A8"/>
    <w:rsid w:val="000852E9"/>
    <w:rsid w:val="00085328"/>
    <w:rsid w:val="00085586"/>
    <w:rsid w:val="000856B0"/>
    <w:rsid w:val="00085BF2"/>
    <w:rsid w:val="00085CBD"/>
    <w:rsid w:val="00086065"/>
    <w:rsid w:val="0008613E"/>
    <w:rsid w:val="000867FC"/>
    <w:rsid w:val="00086938"/>
    <w:rsid w:val="00086982"/>
    <w:rsid w:val="00086AE1"/>
    <w:rsid w:val="00086B15"/>
    <w:rsid w:val="00086B33"/>
    <w:rsid w:val="00086C7A"/>
    <w:rsid w:val="00086E63"/>
    <w:rsid w:val="00086F4B"/>
    <w:rsid w:val="00086FC7"/>
    <w:rsid w:val="000872CC"/>
    <w:rsid w:val="0008734E"/>
    <w:rsid w:val="0008745D"/>
    <w:rsid w:val="000875D6"/>
    <w:rsid w:val="00087706"/>
    <w:rsid w:val="00087A48"/>
    <w:rsid w:val="00087A64"/>
    <w:rsid w:val="00087C16"/>
    <w:rsid w:val="00087E04"/>
    <w:rsid w:val="00087F59"/>
    <w:rsid w:val="00087FAF"/>
    <w:rsid w:val="000901C3"/>
    <w:rsid w:val="000901CC"/>
    <w:rsid w:val="000902E2"/>
    <w:rsid w:val="000906A8"/>
    <w:rsid w:val="000909FB"/>
    <w:rsid w:val="00090A45"/>
    <w:rsid w:val="00090B19"/>
    <w:rsid w:val="00090F5C"/>
    <w:rsid w:val="000910A5"/>
    <w:rsid w:val="0009123B"/>
    <w:rsid w:val="0009181F"/>
    <w:rsid w:val="0009187A"/>
    <w:rsid w:val="00091977"/>
    <w:rsid w:val="00091FBF"/>
    <w:rsid w:val="00092758"/>
    <w:rsid w:val="0009284A"/>
    <w:rsid w:val="00092B99"/>
    <w:rsid w:val="00092BD4"/>
    <w:rsid w:val="00092E19"/>
    <w:rsid w:val="00092E5E"/>
    <w:rsid w:val="00093081"/>
    <w:rsid w:val="000938AD"/>
    <w:rsid w:val="000938F7"/>
    <w:rsid w:val="00093A8F"/>
    <w:rsid w:val="00093B4C"/>
    <w:rsid w:val="00093C05"/>
    <w:rsid w:val="00093D16"/>
    <w:rsid w:val="00094202"/>
    <w:rsid w:val="0009460D"/>
    <w:rsid w:val="000947DD"/>
    <w:rsid w:val="000948F8"/>
    <w:rsid w:val="000949CE"/>
    <w:rsid w:val="00094A9F"/>
    <w:rsid w:val="00094BD7"/>
    <w:rsid w:val="00094C30"/>
    <w:rsid w:val="00094C34"/>
    <w:rsid w:val="00094C9B"/>
    <w:rsid w:val="00094FC7"/>
    <w:rsid w:val="000950B7"/>
    <w:rsid w:val="00095522"/>
    <w:rsid w:val="000955E0"/>
    <w:rsid w:val="0009578D"/>
    <w:rsid w:val="00095904"/>
    <w:rsid w:val="00095CCC"/>
    <w:rsid w:val="00095CF5"/>
    <w:rsid w:val="00095D88"/>
    <w:rsid w:val="00095F40"/>
    <w:rsid w:val="00096017"/>
    <w:rsid w:val="00096071"/>
    <w:rsid w:val="00096186"/>
    <w:rsid w:val="00096486"/>
    <w:rsid w:val="0009657E"/>
    <w:rsid w:val="0009678F"/>
    <w:rsid w:val="000967C4"/>
    <w:rsid w:val="000967CF"/>
    <w:rsid w:val="00096926"/>
    <w:rsid w:val="0009694B"/>
    <w:rsid w:val="000969D5"/>
    <w:rsid w:val="00096ABC"/>
    <w:rsid w:val="00096AC6"/>
    <w:rsid w:val="00096C4C"/>
    <w:rsid w:val="000972BC"/>
    <w:rsid w:val="000972FB"/>
    <w:rsid w:val="000974F4"/>
    <w:rsid w:val="0009752E"/>
    <w:rsid w:val="00097585"/>
    <w:rsid w:val="000976AF"/>
    <w:rsid w:val="000977C6"/>
    <w:rsid w:val="00097962"/>
    <w:rsid w:val="0009799D"/>
    <w:rsid w:val="00097B4C"/>
    <w:rsid w:val="00097C31"/>
    <w:rsid w:val="00097CAA"/>
    <w:rsid w:val="000A0038"/>
    <w:rsid w:val="000A0087"/>
    <w:rsid w:val="000A01BA"/>
    <w:rsid w:val="000A0218"/>
    <w:rsid w:val="000A02A2"/>
    <w:rsid w:val="000A041E"/>
    <w:rsid w:val="000A0628"/>
    <w:rsid w:val="000A078F"/>
    <w:rsid w:val="000A086F"/>
    <w:rsid w:val="000A08C0"/>
    <w:rsid w:val="000A0A57"/>
    <w:rsid w:val="000A0FB1"/>
    <w:rsid w:val="000A1074"/>
    <w:rsid w:val="000A10A9"/>
    <w:rsid w:val="000A10BF"/>
    <w:rsid w:val="000A11F5"/>
    <w:rsid w:val="000A142F"/>
    <w:rsid w:val="000A15C6"/>
    <w:rsid w:val="000A15DF"/>
    <w:rsid w:val="000A1691"/>
    <w:rsid w:val="000A1948"/>
    <w:rsid w:val="000A1A92"/>
    <w:rsid w:val="000A1B02"/>
    <w:rsid w:val="000A1BE4"/>
    <w:rsid w:val="000A1C98"/>
    <w:rsid w:val="000A1D89"/>
    <w:rsid w:val="000A1E75"/>
    <w:rsid w:val="000A1ED9"/>
    <w:rsid w:val="000A1F56"/>
    <w:rsid w:val="000A2799"/>
    <w:rsid w:val="000A28BF"/>
    <w:rsid w:val="000A2A4A"/>
    <w:rsid w:val="000A2AAD"/>
    <w:rsid w:val="000A2B22"/>
    <w:rsid w:val="000A2BE3"/>
    <w:rsid w:val="000A2BF0"/>
    <w:rsid w:val="000A2E56"/>
    <w:rsid w:val="000A3443"/>
    <w:rsid w:val="000A367B"/>
    <w:rsid w:val="000A36B2"/>
    <w:rsid w:val="000A379A"/>
    <w:rsid w:val="000A3BD2"/>
    <w:rsid w:val="000A3CC7"/>
    <w:rsid w:val="000A3FC3"/>
    <w:rsid w:val="000A4003"/>
    <w:rsid w:val="000A4047"/>
    <w:rsid w:val="000A4114"/>
    <w:rsid w:val="000A4188"/>
    <w:rsid w:val="000A45CB"/>
    <w:rsid w:val="000A468A"/>
    <w:rsid w:val="000A488C"/>
    <w:rsid w:val="000A4B96"/>
    <w:rsid w:val="000A4C3B"/>
    <w:rsid w:val="000A4CAB"/>
    <w:rsid w:val="000A4CFA"/>
    <w:rsid w:val="000A4F37"/>
    <w:rsid w:val="000A519D"/>
    <w:rsid w:val="000A527B"/>
    <w:rsid w:val="000A54A8"/>
    <w:rsid w:val="000A559B"/>
    <w:rsid w:val="000A5628"/>
    <w:rsid w:val="000A56B0"/>
    <w:rsid w:val="000A5A1A"/>
    <w:rsid w:val="000A5AD4"/>
    <w:rsid w:val="000A5B75"/>
    <w:rsid w:val="000A5C0C"/>
    <w:rsid w:val="000A5EB7"/>
    <w:rsid w:val="000A60F7"/>
    <w:rsid w:val="000A61ED"/>
    <w:rsid w:val="000A6240"/>
    <w:rsid w:val="000A62FD"/>
    <w:rsid w:val="000A6444"/>
    <w:rsid w:val="000A655D"/>
    <w:rsid w:val="000A66E5"/>
    <w:rsid w:val="000A69DC"/>
    <w:rsid w:val="000A6B2F"/>
    <w:rsid w:val="000A6BDE"/>
    <w:rsid w:val="000A6FDC"/>
    <w:rsid w:val="000A7370"/>
    <w:rsid w:val="000A74EE"/>
    <w:rsid w:val="000A7551"/>
    <w:rsid w:val="000A760A"/>
    <w:rsid w:val="000A767A"/>
    <w:rsid w:val="000A76B1"/>
    <w:rsid w:val="000A76BD"/>
    <w:rsid w:val="000A7703"/>
    <w:rsid w:val="000A77B9"/>
    <w:rsid w:val="000A7871"/>
    <w:rsid w:val="000A79EF"/>
    <w:rsid w:val="000A7A1B"/>
    <w:rsid w:val="000A7A63"/>
    <w:rsid w:val="000A7B75"/>
    <w:rsid w:val="000A7EFA"/>
    <w:rsid w:val="000A7FF9"/>
    <w:rsid w:val="000B0045"/>
    <w:rsid w:val="000B004B"/>
    <w:rsid w:val="000B093F"/>
    <w:rsid w:val="000B0978"/>
    <w:rsid w:val="000B0B54"/>
    <w:rsid w:val="000B0CC8"/>
    <w:rsid w:val="000B0CE5"/>
    <w:rsid w:val="000B0D35"/>
    <w:rsid w:val="000B0D60"/>
    <w:rsid w:val="000B129F"/>
    <w:rsid w:val="000B1357"/>
    <w:rsid w:val="000B15C5"/>
    <w:rsid w:val="000B1671"/>
    <w:rsid w:val="000B17CF"/>
    <w:rsid w:val="000B187A"/>
    <w:rsid w:val="000B1B30"/>
    <w:rsid w:val="000B1B53"/>
    <w:rsid w:val="000B1B59"/>
    <w:rsid w:val="000B1B78"/>
    <w:rsid w:val="000B1CBA"/>
    <w:rsid w:val="000B1D05"/>
    <w:rsid w:val="000B1F09"/>
    <w:rsid w:val="000B215D"/>
    <w:rsid w:val="000B225F"/>
    <w:rsid w:val="000B27A1"/>
    <w:rsid w:val="000B27E2"/>
    <w:rsid w:val="000B2865"/>
    <w:rsid w:val="000B29F1"/>
    <w:rsid w:val="000B2AE2"/>
    <w:rsid w:val="000B2C9F"/>
    <w:rsid w:val="000B2E4C"/>
    <w:rsid w:val="000B2E6A"/>
    <w:rsid w:val="000B2E9E"/>
    <w:rsid w:val="000B302A"/>
    <w:rsid w:val="000B31B3"/>
    <w:rsid w:val="000B3243"/>
    <w:rsid w:val="000B3988"/>
    <w:rsid w:val="000B3BFF"/>
    <w:rsid w:val="000B3E06"/>
    <w:rsid w:val="000B3E11"/>
    <w:rsid w:val="000B3ECE"/>
    <w:rsid w:val="000B410F"/>
    <w:rsid w:val="000B43A0"/>
    <w:rsid w:val="000B454B"/>
    <w:rsid w:val="000B4693"/>
    <w:rsid w:val="000B4790"/>
    <w:rsid w:val="000B49F0"/>
    <w:rsid w:val="000B4A22"/>
    <w:rsid w:val="000B4ECC"/>
    <w:rsid w:val="000B51FC"/>
    <w:rsid w:val="000B528C"/>
    <w:rsid w:val="000B52B8"/>
    <w:rsid w:val="000B5422"/>
    <w:rsid w:val="000B5692"/>
    <w:rsid w:val="000B582F"/>
    <w:rsid w:val="000B59A6"/>
    <w:rsid w:val="000B5AD7"/>
    <w:rsid w:val="000B5DDD"/>
    <w:rsid w:val="000B5F71"/>
    <w:rsid w:val="000B6264"/>
    <w:rsid w:val="000B627E"/>
    <w:rsid w:val="000B6450"/>
    <w:rsid w:val="000B647D"/>
    <w:rsid w:val="000B647E"/>
    <w:rsid w:val="000B69F1"/>
    <w:rsid w:val="000B6E52"/>
    <w:rsid w:val="000B73CD"/>
    <w:rsid w:val="000B7400"/>
    <w:rsid w:val="000B7A87"/>
    <w:rsid w:val="000B7B30"/>
    <w:rsid w:val="000B7C58"/>
    <w:rsid w:val="000B7DB1"/>
    <w:rsid w:val="000B7F32"/>
    <w:rsid w:val="000C0628"/>
    <w:rsid w:val="000C069B"/>
    <w:rsid w:val="000C0726"/>
    <w:rsid w:val="000C08A3"/>
    <w:rsid w:val="000C0A46"/>
    <w:rsid w:val="000C0BB9"/>
    <w:rsid w:val="000C0D0D"/>
    <w:rsid w:val="000C0D40"/>
    <w:rsid w:val="000C0DBB"/>
    <w:rsid w:val="000C11A0"/>
    <w:rsid w:val="000C1226"/>
    <w:rsid w:val="000C125C"/>
    <w:rsid w:val="000C1859"/>
    <w:rsid w:val="000C18FD"/>
    <w:rsid w:val="000C1B52"/>
    <w:rsid w:val="000C1C26"/>
    <w:rsid w:val="000C1C2E"/>
    <w:rsid w:val="000C1CEB"/>
    <w:rsid w:val="000C1DEF"/>
    <w:rsid w:val="000C20D8"/>
    <w:rsid w:val="000C215B"/>
    <w:rsid w:val="000C2431"/>
    <w:rsid w:val="000C2972"/>
    <w:rsid w:val="000C2B7D"/>
    <w:rsid w:val="000C2C8A"/>
    <w:rsid w:val="000C2D64"/>
    <w:rsid w:val="000C2F58"/>
    <w:rsid w:val="000C3140"/>
    <w:rsid w:val="000C3199"/>
    <w:rsid w:val="000C3262"/>
    <w:rsid w:val="000C32AF"/>
    <w:rsid w:val="000C3936"/>
    <w:rsid w:val="000C3946"/>
    <w:rsid w:val="000C3BEB"/>
    <w:rsid w:val="000C3CD5"/>
    <w:rsid w:val="000C3D46"/>
    <w:rsid w:val="000C3E13"/>
    <w:rsid w:val="000C3E8A"/>
    <w:rsid w:val="000C4355"/>
    <w:rsid w:val="000C456A"/>
    <w:rsid w:val="000C45E3"/>
    <w:rsid w:val="000C4CA6"/>
    <w:rsid w:val="000C4FCA"/>
    <w:rsid w:val="000C4FD5"/>
    <w:rsid w:val="000C526D"/>
    <w:rsid w:val="000C52EF"/>
    <w:rsid w:val="000C5614"/>
    <w:rsid w:val="000C571D"/>
    <w:rsid w:val="000C5856"/>
    <w:rsid w:val="000C5987"/>
    <w:rsid w:val="000C5BC0"/>
    <w:rsid w:val="000C5C01"/>
    <w:rsid w:val="000C5C0D"/>
    <w:rsid w:val="000C5D8A"/>
    <w:rsid w:val="000C5EE0"/>
    <w:rsid w:val="000C5F40"/>
    <w:rsid w:val="000C5F89"/>
    <w:rsid w:val="000C6595"/>
    <w:rsid w:val="000C6623"/>
    <w:rsid w:val="000C67AE"/>
    <w:rsid w:val="000C6A7F"/>
    <w:rsid w:val="000C6C7D"/>
    <w:rsid w:val="000C6D75"/>
    <w:rsid w:val="000C7208"/>
    <w:rsid w:val="000C7427"/>
    <w:rsid w:val="000C74A9"/>
    <w:rsid w:val="000C7668"/>
    <w:rsid w:val="000C7814"/>
    <w:rsid w:val="000C7899"/>
    <w:rsid w:val="000C78BC"/>
    <w:rsid w:val="000C7FA7"/>
    <w:rsid w:val="000C7FC5"/>
    <w:rsid w:val="000D015F"/>
    <w:rsid w:val="000D056B"/>
    <w:rsid w:val="000D096A"/>
    <w:rsid w:val="000D0A0B"/>
    <w:rsid w:val="000D0B51"/>
    <w:rsid w:val="000D0B87"/>
    <w:rsid w:val="000D0BD9"/>
    <w:rsid w:val="000D0EF5"/>
    <w:rsid w:val="000D10AA"/>
    <w:rsid w:val="000D122B"/>
    <w:rsid w:val="000D13D5"/>
    <w:rsid w:val="000D1552"/>
    <w:rsid w:val="000D1609"/>
    <w:rsid w:val="000D1890"/>
    <w:rsid w:val="000D1891"/>
    <w:rsid w:val="000D192F"/>
    <w:rsid w:val="000D1970"/>
    <w:rsid w:val="000D1A23"/>
    <w:rsid w:val="000D1AE1"/>
    <w:rsid w:val="000D1DB3"/>
    <w:rsid w:val="000D1E4D"/>
    <w:rsid w:val="000D213B"/>
    <w:rsid w:val="000D2431"/>
    <w:rsid w:val="000D29B2"/>
    <w:rsid w:val="000D2D40"/>
    <w:rsid w:val="000D2D9C"/>
    <w:rsid w:val="000D2E77"/>
    <w:rsid w:val="000D2F1C"/>
    <w:rsid w:val="000D2FEF"/>
    <w:rsid w:val="000D33E5"/>
    <w:rsid w:val="000D3735"/>
    <w:rsid w:val="000D3F4C"/>
    <w:rsid w:val="000D452A"/>
    <w:rsid w:val="000D48AC"/>
    <w:rsid w:val="000D4947"/>
    <w:rsid w:val="000D496C"/>
    <w:rsid w:val="000D4D44"/>
    <w:rsid w:val="000D4DA6"/>
    <w:rsid w:val="000D4FA3"/>
    <w:rsid w:val="000D4FFE"/>
    <w:rsid w:val="000D50B6"/>
    <w:rsid w:val="000D5139"/>
    <w:rsid w:val="000D51F2"/>
    <w:rsid w:val="000D5292"/>
    <w:rsid w:val="000D544A"/>
    <w:rsid w:val="000D547F"/>
    <w:rsid w:val="000D54F0"/>
    <w:rsid w:val="000D56DD"/>
    <w:rsid w:val="000D570C"/>
    <w:rsid w:val="000D572D"/>
    <w:rsid w:val="000D5BA2"/>
    <w:rsid w:val="000D6112"/>
    <w:rsid w:val="000D615C"/>
    <w:rsid w:val="000D61E0"/>
    <w:rsid w:val="000D63BF"/>
    <w:rsid w:val="000D666D"/>
    <w:rsid w:val="000D667A"/>
    <w:rsid w:val="000D66C2"/>
    <w:rsid w:val="000D6837"/>
    <w:rsid w:val="000D6A4E"/>
    <w:rsid w:val="000D6A8C"/>
    <w:rsid w:val="000D6AC2"/>
    <w:rsid w:val="000D6EF8"/>
    <w:rsid w:val="000D7447"/>
    <w:rsid w:val="000D74D8"/>
    <w:rsid w:val="000D762F"/>
    <w:rsid w:val="000D76A4"/>
    <w:rsid w:val="000D77DB"/>
    <w:rsid w:val="000D782F"/>
    <w:rsid w:val="000D7ABA"/>
    <w:rsid w:val="000D7B3E"/>
    <w:rsid w:val="000D7CF2"/>
    <w:rsid w:val="000E0044"/>
    <w:rsid w:val="000E023D"/>
    <w:rsid w:val="000E0266"/>
    <w:rsid w:val="000E0492"/>
    <w:rsid w:val="000E04F6"/>
    <w:rsid w:val="000E0683"/>
    <w:rsid w:val="000E075C"/>
    <w:rsid w:val="000E0880"/>
    <w:rsid w:val="000E0B74"/>
    <w:rsid w:val="000E0F52"/>
    <w:rsid w:val="000E172C"/>
    <w:rsid w:val="000E1814"/>
    <w:rsid w:val="000E192B"/>
    <w:rsid w:val="000E1A2B"/>
    <w:rsid w:val="000E2037"/>
    <w:rsid w:val="000E21EA"/>
    <w:rsid w:val="000E2214"/>
    <w:rsid w:val="000E24E4"/>
    <w:rsid w:val="000E2717"/>
    <w:rsid w:val="000E2822"/>
    <w:rsid w:val="000E2A56"/>
    <w:rsid w:val="000E2AC7"/>
    <w:rsid w:val="000E2B16"/>
    <w:rsid w:val="000E2BE5"/>
    <w:rsid w:val="000E2C17"/>
    <w:rsid w:val="000E3085"/>
    <w:rsid w:val="000E33E4"/>
    <w:rsid w:val="000E34C9"/>
    <w:rsid w:val="000E38D0"/>
    <w:rsid w:val="000E39B1"/>
    <w:rsid w:val="000E3B7C"/>
    <w:rsid w:val="000E3DBB"/>
    <w:rsid w:val="000E442F"/>
    <w:rsid w:val="000E47F6"/>
    <w:rsid w:val="000E49A2"/>
    <w:rsid w:val="000E4A9D"/>
    <w:rsid w:val="000E4C1F"/>
    <w:rsid w:val="000E5354"/>
    <w:rsid w:val="000E5431"/>
    <w:rsid w:val="000E58EF"/>
    <w:rsid w:val="000E5A64"/>
    <w:rsid w:val="000E5D44"/>
    <w:rsid w:val="000E5FCF"/>
    <w:rsid w:val="000E6068"/>
    <w:rsid w:val="000E6529"/>
    <w:rsid w:val="000E66F0"/>
    <w:rsid w:val="000E6CE1"/>
    <w:rsid w:val="000E6D06"/>
    <w:rsid w:val="000E6D63"/>
    <w:rsid w:val="000E6E2A"/>
    <w:rsid w:val="000E6F2F"/>
    <w:rsid w:val="000E71E2"/>
    <w:rsid w:val="000E75DA"/>
    <w:rsid w:val="000E7616"/>
    <w:rsid w:val="000E77FA"/>
    <w:rsid w:val="000E7901"/>
    <w:rsid w:val="000E79F6"/>
    <w:rsid w:val="000E7A87"/>
    <w:rsid w:val="000E7AFA"/>
    <w:rsid w:val="000E7B08"/>
    <w:rsid w:val="000E7CA4"/>
    <w:rsid w:val="000E7D6B"/>
    <w:rsid w:val="000F0104"/>
    <w:rsid w:val="000F014C"/>
    <w:rsid w:val="000F0407"/>
    <w:rsid w:val="000F0425"/>
    <w:rsid w:val="000F06A6"/>
    <w:rsid w:val="000F0775"/>
    <w:rsid w:val="000F0804"/>
    <w:rsid w:val="000F0855"/>
    <w:rsid w:val="000F0890"/>
    <w:rsid w:val="000F0A10"/>
    <w:rsid w:val="000F0AFA"/>
    <w:rsid w:val="000F0B5E"/>
    <w:rsid w:val="000F0BFD"/>
    <w:rsid w:val="000F0CDE"/>
    <w:rsid w:val="000F0F16"/>
    <w:rsid w:val="000F0F67"/>
    <w:rsid w:val="000F1343"/>
    <w:rsid w:val="000F1491"/>
    <w:rsid w:val="000F190C"/>
    <w:rsid w:val="000F192B"/>
    <w:rsid w:val="000F19A5"/>
    <w:rsid w:val="000F1B18"/>
    <w:rsid w:val="000F1B45"/>
    <w:rsid w:val="000F1D58"/>
    <w:rsid w:val="000F1D71"/>
    <w:rsid w:val="000F20C4"/>
    <w:rsid w:val="000F22AC"/>
    <w:rsid w:val="000F2730"/>
    <w:rsid w:val="000F2982"/>
    <w:rsid w:val="000F2AC8"/>
    <w:rsid w:val="000F2D82"/>
    <w:rsid w:val="000F2E2F"/>
    <w:rsid w:val="000F2E4A"/>
    <w:rsid w:val="000F3111"/>
    <w:rsid w:val="000F3208"/>
    <w:rsid w:val="000F3567"/>
    <w:rsid w:val="000F36B4"/>
    <w:rsid w:val="000F3835"/>
    <w:rsid w:val="000F39B7"/>
    <w:rsid w:val="000F3AA0"/>
    <w:rsid w:val="000F496B"/>
    <w:rsid w:val="000F4BEC"/>
    <w:rsid w:val="000F4E20"/>
    <w:rsid w:val="000F5161"/>
    <w:rsid w:val="000F538D"/>
    <w:rsid w:val="000F53FF"/>
    <w:rsid w:val="000F5917"/>
    <w:rsid w:val="000F5B01"/>
    <w:rsid w:val="000F5C44"/>
    <w:rsid w:val="000F5CDE"/>
    <w:rsid w:val="000F6233"/>
    <w:rsid w:val="000F6245"/>
    <w:rsid w:val="000F651A"/>
    <w:rsid w:val="000F69CA"/>
    <w:rsid w:val="000F6AE7"/>
    <w:rsid w:val="000F6B12"/>
    <w:rsid w:val="000F6B91"/>
    <w:rsid w:val="000F6D10"/>
    <w:rsid w:val="000F6D64"/>
    <w:rsid w:val="000F7125"/>
    <w:rsid w:val="000F72BC"/>
    <w:rsid w:val="000F72C7"/>
    <w:rsid w:val="000F744D"/>
    <w:rsid w:val="000F74AB"/>
    <w:rsid w:val="000F7584"/>
    <w:rsid w:val="000F7706"/>
    <w:rsid w:val="000F7C07"/>
    <w:rsid w:val="000F7D8E"/>
    <w:rsid w:val="000F7DB3"/>
    <w:rsid w:val="000F7E50"/>
    <w:rsid w:val="000F7F69"/>
    <w:rsid w:val="001001F4"/>
    <w:rsid w:val="0010028A"/>
    <w:rsid w:val="001004AB"/>
    <w:rsid w:val="001005C7"/>
    <w:rsid w:val="0010084C"/>
    <w:rsid w:val="00100A07"/>
    <w:rsid w:val="00100DF5"/>
    <w:rsid w:val="00100F98"/>
    <w:rsid w:val="00101302"/>
    <w:rsid w:val="0010141D"/>
    <w:rsid w:val="0010147A"/>
    <w:rsid w:val="0010178F"/>
    <w:rsid w:val="001017BC"/>
    <w:rsid w:val="00101F77"/>
    <w:rsid w:val="0010216A"/>
    <w:rsid w:val="0010235C"/>
    <w:rsid w:val="001023DD"/>
    <w:rsid w:val="0010269A"/>
    <w:rsid w:val="001026AC"/>
    <w:rsid w:val="0010281F"/>
    <w:rsid w:val="00102E33"/>
    <w:rsid w:val="00102FC7"/>
    <w:rsid w:val="00103008"/>
    <w:rsid w:val="00103112"/>
    <w:rsid w:val="0010315E"/>
    <w:rsid w:val="0010322B"/>
    <w:rsid w:val="00103281"/>
    <w:rsid w:val="001034A8"/>
    <w:rsid w:val="0010386E"/>
    <w:rsid w:val="00103A37"/>
    <w:rsid w:val="00103B28"/>
    <w:rsid w:val="00103C54"/>
    <w:rsid w:val="00103CCF"/>
    <w:rsid w:val="00103E92"/>
    <w:rsid w:val="00103F3B"/>
    <w:rsid w:val="00103F3C"/>
    <w:rsid w:val="00104029"/>
    <w:rsid w:val="00104196"/>
    <w:rsid w:val="001041AF"/>
    <w:rsid w:val="00104328"/>
    <w:rsid w:val="001045F4"/>
    <w:rsid w:val="00104634"/>
    <w:rsid w:val="00104890"/>
    <w:rsid w:val="00104B65"/>
    <w:rsid w:val="00105542"/>
    <w:rsid w:val="0010563E"/>
    <w:rsid w:val="00105663"/>
    <w:rsid w:val="001056D9"/>
    <w:rsid w:val="00105CDA"/>
    <w:rsid w:val="00106082"/>
    <w:rsid w:val="0010609D"/>
    <w:rsid w:val="0010627C"/>
    <w:rsid w:val="0010657C"/>
    <w:rsid w:val="00106755"/>
    <w:rsid w:val="0010676C"/>
    <w:rsid w:val="001068DF"/>
    <w:rsid w:val="00106930"/>
    <w:rsid w:val="00106B5A"/>
    <w:rsid w:val="00106D82"/>
    <w:rsid w:val="00106DCC"/>
    <w:rsid w:val="00106E7F"/>
    <w:rsid w:val="00106ECE"/>
    <w:rsid w:val="00106F26"/>
    <w:rsid w:val="00106F4D"/>
    <w:rsid w:val="00106FED"/>
    <w:rsid w:val="00107356"/>
    <w:rsid w:val="00107914"/>
    <w:rsid w:val="00107DE4"/>
    <w:rsid w:val="0011024A"/>
    <w:rsid w:val="0011033B"/>
    <w:rsid w:val="00110347"/>
    <w:rsid w:val="001103E6"/>
    <w:rsid w:val="00110545"/>
    <w:rsid w:val="00110CD1"/>
    <w:rsid w:val="00110D35"/>
    <w:rsid w:val="00110DE8"/>
    <w:rsid w:val="00110E84"/>
    <w:rsid w:val="001112A7"/>
    <w:rsid w:val="00111417"/>
    <w:rsid w:val="00111715"/>
    <w:rsid w:val="001118B8"/>
    <w:rsid w:val="001118CB"/>
    <w:rsid w:val="00111921"/>
    <w:rsid w:val="00111C68"/>
    <w:rsid w:val="00111C74"/>
    <w:rsid w:val="00112399"/>
    <w:rsid w:val="001124CE"/>
    <w:rsid w:val="001124F5"/>
    <w:rsid w:val="0011267F"/>
    <w:rsid w:val="0011281B"/>
    <w:rsid w:val="0011289E"/>
    <w:rsid w:val="00112DF1"/>
    <w:rsid w:val="00113075"/>
    <w:rsid w:val="00113098"/>
    <w:rsid w:val="001130A5"/>
    <w:rsid w:val="0011312B"/>
    <w:rsid w:val="0011327D"/>
    <w:rsid w:val="001133A1"/>
    <w:rsid w:val="001137B6"/>
    <w:rsid w:val="0011380A"/>
    <w:rsid w:val="001138A2"/>
    <w:rsid w:val="0011399B"/>
    <w:rsid w:val="00113B05"/>
    <w:rsid w:val="00113B7D"/>
    <w:rsid w:val="00113FCA"/>
    <w:rsid w:val="001140DA"/>
    <w:rsid w:val="0011419A"/>
    <w:rsid w:val="0011421B"/>
    <w:rsid w:val="0011426C"/>
    <w:rsid w:val="00114531"/>
    <w:rsid w:val="00114582"/>
    <w:rsid w:val="001146FE"/>
    <w:rsid w:val="001147C2"/>
    <w:rsid w:val="00114B09"/>
    <w:rsid w:val="00114D35"/>
    <w:rsid w:val="001155C6"/>
    <w:rsid w:val="001157FA"/>
    <w:rsid w:val="001159E0"/>
    <w:rsid w:val="00115DB6"/>
    <w:rsid w:val="00115EA7"/>
    <w:rsid w:val="00115FB9"/>
    <w:rsid w:val="00116105"/>
    <w:rsid w:val="0011611E"/>
    <w:rsid w:val="0011621F"/>
    <w:rsid w:val="0011628E"/>
    <w:rsid w:val="00116345"/>
    <w:rsid w:val="00116605"/>
    <w:rsid w:val="00116631"/>
    <w:rsid w:val="001167F1"/>
    <w:rsid w:val="0011684E"/>
    <w:rsid w:val="0011693C"/>
    <w:rsid w:val="00116C8E"/>
    <w:rsid w:val="00116D34"/>
    <w:rsid w:val="00117077"/>
    <w:rsid w:val="001171A2"/>
    <w:rsid w:val="00117294"/>
    <w:rsid w:val="001172DE"/>
    <w:rsid w:val="0011758E"/>
    <w:rsid w:val="00117A1D"/>
    <w:rsid w:val="00117A8B"/>
    <w:rsid w:val="00117CAB"/>
    <w:rsid w:val="00117CFB"/>
    <w:rsid w:val="00117E97"/>
    <w:rsid w:val="00120054"/>
    <w:rsid w:val="001200BF"/>
    <w:rsid w:val="00120458"/>
    <w:rsid w:val="00120592"/>
    <w:rsid w:val="001207F3"/>
    <w:rsid w:val="00120884"/>
    <w:rsid w:val="00120A43"/>
    <w:rsid w:val="00120A5E"/>
    <w:rsid w:val="00120C46"/>
    <w:rsid w:val="00120DFA"/>
    <w:rsid w:val="00120F28"/>
    <w:rsid w:val="00121138"/>
    <w:rsid w:val="00121237"/>
    <w:rsid w:val="0012138C"/>
    <w:rsid w:val="00121516"/>
    <w:rsid w:val="00121697"/>
    <w:rsid w:val="00121A14"/>
    <w:rsid w:val="00121B70"/>
    <w:rsid w:val="00121C1E"/>
    <w:rsid w:val="00121E28"/>
    <w:rsid w:val="00121F45"/>
    <w:rsid w:val="00121F76"/>
    <w:rsid w:val="00121FA0"/>
    <w:rsid w:val="00122117"/>
    <w:rsid w:val="0012221A"/>
    <w:rsid w:val="0012223A"/>
    <w:rsid w:val="00122485"/>
    <w:rsid w:val="0012251E"/>
    <w:rsid w:val="00122712"/>
    <w:rsid w:val="0012283F"/>
    <w:rsid w:val="00122A5A"/>
    <w:rsid w:val="00122C6A"/>
    <w:rsid w:val="00122D6B"/>
    <w:rsid w:val="00122DF8"/>
    <w:rsid w:val="0012308C"/>
    <w:rsid w:val="001230EB"/>
    <w:rsid w:val="00123372"/>
    <w:rsid w:val="00123454"/>
    <w:rsid w:val="00123684"/>
    <w:rsid w:val="00123811"/>
    <w:rsid w:val="00123985"/>
    <w:rsid w:val="00123C3F"/>
    <w:rsid w:val="00123DB4"/>
    <w:rsid w:val="00123F7F"/>
    <w:rsid w:val="00124386"/>
    <w:rsid w:val="00124536"/>
    <w:rsid w:val="001245FA"/>
    <w:rsid w:val="001246D5"/>
    <w:rsid w:val="00124870"/>
    <w:rsid w:val="00124BA5"/>
    <w:rsid w:val="00124D39"/>
    <w:rsid w:val="00124D4A"/>
    <w:rsid w:val="00124E43"/>
    <w:rsid w:val="00124F14"/>
    <w:rsid w:val="00124F9A"/>
    <w:rsid w:val="00125028"/>
    <w:rsid w:val="00125212"/>
    <w:rsid w:val="001252B3"/>
    <w:rsid w:val="001252DC"/>
    <w:rsid w:val="001254CE"/>
    <w:rsid w:val="00125892"/>
    <w:rsid w:val="00125908"/>
    <w:rsid w:val="00125E54"/>
    <w:rsid w:val="00125EAE"/>
    <w:rsid w:val="00125FCD"/>
    <w:rsid w:val="00125FE1"/>
    <w:rsid w:val="001260C2"/>
    <w:rsid w:val="00126133"/>
    <w:rsid w:val="00126165"/>
    <w:rsid w:val="001263E5"/>
    <w:rsid w:val="0012643C"/>
    <w:rsid w:val="00126870"/>
    <w:rsid w:val="001268C6"/>
    <w:rsid w:val="00126AEA"/>
    <w:rsid w:val="00126BB3"/>
    <w:rsid w:val="00126C14"/>
    <w:rsid w:val="00126E52"/>
    <w:rsid w:val="00126E70"/>
    <w:rsid w:val="00126E91"/>
    <w:rsid w:val="00126FC4"/>
    <w:rsid w:val="001270F3"/>
    <w:rsid w:val="00127122"/>
    <w:rsid w:val="00127170"/>
    <w:rsid w:val="001274B2"/>
    <w:rsid w:val="0012752C"/>
    <w:rsid w:val="00127789"/>
    <w:rsid w:val="00127A01"/>
    <w:rsid w:val="00127AEB"/>
    <w:rsid w:val="00127B87"/>
    <w:rsid w:val="00127BFB"/>
    <w:rsid w:val="00127F94"/>
    <w:rsid w:val="00130097"/>
    <w:rsid w:val="00130189"/>
    <w:rsid w:val="0013023B"/>
    <w:rsid w:val="00130429"/>
    <w:rsid w:val="001304A6"/>
    <w:rsid w:val="001305DD"/>
    <w:rsid w:val="00130623"/>
    <w:rsid w:val="00130AAC"/>
    <w:rsid w:val="00130AEE"/>
    <w:rsid w:val="00130C22"/>
    <w:rsid w:val="00130D52"/>
    <w:rsid w:val="00131114"/>
    <w:rsid w:val="0013146A"/>
    <w:rsid w:val="001315F6"/>
    <w:rsid w:val="00131816"/>
    <w:rsid w:val="00131DB9"/>
    <w:rsid w:val="00131DC3"/>
    <w:rsid w:val="00131EAC"/>
    <w:rsid w:val="001320A6"/>
    <w:rsid w:val="001324F0"/>
    <w:rsid w:val="001326AA"/>
    <w:rsid w:val="001326D0"/>
    <w:rsid w:val="001328A9"/>
    <w:rsid w:val="001328C9"/>
    <w:rsid w:val="00132AEE"/>
    <w:rsid w:val="00132C7E"/>
    <w:rsid w:val="00133142"/>
    <w:rsid w:val="00133217"/>
    <w:rsid w:val="001332B7"/>
    <w:rsid w:val="0013333C"/>
    <w:rsid w:val="00133834"/>
    <w:rsid w:val="00133887"/>
    <w:rsid w:val="00133A17"/>
    <w:rsid w:val="00133B09"/>
    <w:rsid w:val="00133C04"/>
    <w:rsid w:val="00133CE3"/>
    <w:rsid w:val="00133E6E"/>
    <w:rsid w:val="00133EC9"/>
    <w:rsid w:val="00133EFB"/>
    <w:rsid w:val="001341C5"/>
    <w:rsid w:val="001341F1"/>
    <w:rsid w:val="0013437F"/>
    <w:rsid w:val="00134A83"/>
    <w:rsid w:val="00134E66"/>
    <w:rsid w:val="00135181"/>
    <w:rsid w:val="00135216"/>
    <w:rsid w:val="00135221"/>
    <w:rsid w:val="00135473"/>
    <w:rsid w:val="0013554B"/>
    <w:rsid w:val="00135604"/>
    <w:rsid w:val="001356B7"/>
    <w:rsid w:val="00135785"/>
    <w:rsid w:val="00135910"/>
    <w:rsid w:val="00135940"/>
    <w:rsid w:val="00135BDC"/>
    <w:rsid w:val="00135D1C"/>
    <w:rsid w:val="00135DD4"/>
    <w:rsid w:val="00135E4C"/>
    <w:rsid w:val="00135E7F"/>
    <w:rsid w:val="0013648C"/>
    <w:rsid w:val="0013668E"/>
    <w:rsid w:val="0013684B"/>
    <w:rsid w:val="00136B3F"/>
    <w:rsid w:val="00136B5A"/>
    <w:rsid w:val="00136D26"/>
    <w:rsid w:val="00137057"/>
    <w:rsid w:val="00137365"/>
    <w:rsid w:val="001373D6"/>
    <w:rsid w:val="001373F5"/>
    <w:rsid w:val="001374B9"/>
    <w:rsid w:val="001376A4"/>
    <w:rsid w:val="001379FD"/>
    <w:rsid w:val="00137BA1"/>
    <w:rsid w:val="00137E6E"/>
    <w:rsid w:val="001400C3"/>
    <w:rsid w:val="0014010C"/>
    <w:rsid w:val="00140119"/>
    <w:rsid w:val="00140287"/>
    <w:rsid w:val="00140414"/>
    <w:rsid w:val="001407F7"/>
    <w:rsid w:val="001409DA"/>
    <w:rsid w:val="00140E23"/>
    <w:rsid w:val="00140EED"/>
    <w:rsid w:val="00140F26"/>
    <w:rsid w:val="00141113"/>
    <w:rsid w:val="0014122D"/>
    <w:rsid w:val="001412AE"/>
    <w:rsid w:val="001413C2"/>
    <w:rsid w:val="0014145F"/>
    <w:rsid w:val="00141506"/>
    <w:rsid w:val="00141660"/>
    <w:rsid w:val="0014178B"/>
    <w:rsid w:val="00141A17"/>
    <w:rsid w:val="00141C62"/>
    <w:rsid w:val="00141CAC"/>
    <w:rsid w:val="00141E81"/>
    <w:rsid w:val="00141F2A"/>
    <w:rsid w:val="00141FA8"/>
    <w:rsid w:val="00141FFE"/>
    <w:rsid w:val="001420DC"/>
    <w:rsid w:val="001421B5"/>
    <w:rsid w:val="001422CF"/>
    <w:rsid w:val="001428CC"/>
    <w:rsid w:val="00142962"/>
    <w:rsid w:val="00142A5E"/>
    <w:rsid w:val="00142B45"/>
    <w:rsid w:val="00142CF5"/>
    <w:rsid w:val="0014343F"/>
    <w:rsid w:val="001435E0"/>
    <w:rsid w:val="0014362A"/>
    <w:rsid w:val="001437B3"/>
    <w:rsid w:val="001437CA"/>
    <w:rsid w:val="001437FC"/>
    <w:rsid w:val="001439DD"/>
    <w:rsid w:val="00143B39"/>
    <w:rsid w:val="00143C0A"/>
    <w:rsid w:val="00143C40"/>
    <w:rsid w:val="00143C56"/>
    <w:rsid w:val="00143FFF"/>
    <w:rsid w:val="00144380"/>
    <w:rsid w:val="001445D9"/>
    <w:rsid w:val="001445E9"/>
    <w:rsid w:val="00144664"/>
    <w:rsid w:val="00144714"/>
    <w:rsid w:val="00144B06"/>
    <w:rsid w:val="00144BC5"/>
    <w:rsid w:val="00144C20"/>
    <w:rsid w:val="00144CFE"/>
    <w:rsid w:val="00144E4E"/>
    <w:rsid w:val="00144F8A"/>
    <w:rsid w:val="0014515F"/>
    <w:rsid w:val="00145231"/>
    <w:rsid w:val="00145283"/>
    <w:rsid w:val="001453B5"/>
    <w:rsid w:val="0014566A"/>
    <w:rsid w:val="00145889"/>
    <w:rsid w:val="00145B6C"/>
    <w:rsid w:val="00145DD0"/>
    <w:rsid w:val="00146447"/>
    <w:rsid w:val="00146577"/>
    <w:rsid w:val="00146731"/>
    <w:rsid w:val="001468B8"/>
    <w:rsid w:val="00146925"/>
    <w:rsid w:val="001469B7"/>
    <w:rsid w:val="00146B1F"/>
    <w:rsid w:val="00146C3D"/>
    <w:rsid w:val="00146FE7"/>
    <w:rsid w:val="0014711E"/>
    <w:rsid w:val="00147182"/>
    <w:rsid w:val="00147299"/>
    <w:rsid w:val="00147369"/>
    <w:rsid w:val="00147483"/>
    <w:rsid w:val="00147797"/>
    <w:rsid w:val="00147829"/>
    <w:rsid w:val="001478A5"/>
    <w:rsid w:val="001478FD"/>
    <w:rsid w:val="00147A20"/>
    <w:rsid w:val="00147CB7"/>
    <w:rsid w:val="00147F32"/>
    <w:rsid w:val="0015009E"/>
    <w:rsid w:val="001500E6"/>
    <w:rsid w:val="001503BA"/>
    <w:rsid w:val="001508CE"/>
    <w:rsid w:val="00150B3B"/>
    <w:rsid w:val="00150BD6"/>
    <w:rsid w:val="00150C14"/>
    <w:rsid w:val="00150C5C"/>
    <w:rsid w:val="00151001"/>
    <w:rsid w:val="0015107B"/>
    <w:rsid w:val="0015121D"/>
    <w:rsid w:val="001513A1"/>
    <w:rsid w:val="001514F5"/>
    <w:rsid w:val="00151563"/>
    <w:rsid w:val="00151616"/>
    <w:rsid w:val="0015165B"/>
    <w:rsid w:val="0015169A"/>
    <w:rsid w:val="001516DB"/>
    <w:rsid w:val="00151758"/>
    <w:rsid w:val="00151DCD"/>
    <w:rsid w:val="00151FC5"/>
    <w:rsid w:val="00152038"/>
    <w:rsid w:val="00152272"/>
    <w:rsid w:val="001525E1"/>
    <w:rsid w:val="0015274D"/>
    <w:rsid w:val="0015281D"/>
    <w:rsid w:val="00152C71"/>
    <w:rsid w:val="00152DE2"/>
    <w:rsid w:val="00152F94"/>
    <w:rsid w:val="001532FD"/>
    <w:rsid w:val="0015348F"/>
    <w:rsid w:val="00153611"/>
    <w:rsid w:val="0015369B"/>
    <w:rsid w:val="0015381D"/>
    <w:rsid w:val="001539E4"/>
    <w:rsid w:val="00153D93"/>
    <w:rsid w:val="001540F1"/>
    <w:rsid w:val="00154145"/>
    <w:rsid w:val="00154199"/>
    <w:rsid w:val="001543A8"/>
    <w:rsid w:val="001545DB"/>
    <w:rsid w:val="00154615"/>
    <w:rsid w:val="001546B9"/>
    <w:rsid w:val="00154AD4"/>
    <w:rsid w:val="00154C1A"/>
    <w:rsid w:val="00154DAA"/>
    <w:rsid w:val="0015545E"/>
    <w:rsid w:val="001555B6"/>
    <w:rsid w:val="00155602"/>
    <w:rsid w:val="0015569B"/>
    <w:rsid w:val="001556B4"/>
    <w:rsid w:val="00155712"/>
    <w:rsid w:val="001558BF"/>
    <w:rsid w:val="0015595B"/>
    <w:rsid w:val="00155AFB"/>
    <w:rsid w:val="00155BCE"/>
    <w:rsid w:val="00155D74"/>
    <w:rsid w:val="00155E37"/>
    <w:rsid w:val="001563F5"/>
    <w:rsid w:val="0015663D"/>
    <w:rsid w:val="00156691"/>
    <w:rsid w:val="00156740"/>
    <w:rsid w:val="001567DC"/>
    <w:rsid w:val="00156968"/>
    <w:rsid w:val="00156B45"/>
    <w:rsid w:val="00156EEA"/>
    <w:rsid w:val="00156FE5"/>
    <w:rsid w:val="00157010"/>
    <w:rsid w:val="00157311"/>
    <w:rsid w:val="001574C0"/>
    <w:rsid w:val="001576CE"/>
    <w:rsid w:val="001577EE"/>
    <w:rsid w:val="0015781A"/>
    <w:rsid w:val="00157E90"/>
    <w:rsid w:val="00160105"/>
    <w:rsid w:val="00160335"/>
    <w:rsid w:val="0016038E"/>
    <w:rsid w:val="00160537"/>
    <w:rsid w:val="001606CF"/>
    <w:rsid w:val="00160956"/>
    <w:rsid w:val="00160A82"/>
    <w:rsid w:val="00160B8C"/>
    <w:rsid w:val="001610DE"/>
    <w:rsid w:val="001611E8"/>
    <w:rsid w:val="00161252"/>
    <w:rsid w:val="0016128D"/>
    <w:rsid w:val="001618A5"/>
    <w:rsid w:val="001618C2"/>
    <w:rsid w:val="00161994"/>
    <w:rsid w:val="00161A2F"/>
    <w:rsid w:val="00161A93"/>
    <w:rsid w:val="00161C2C"/>
    <w:rsid w:val="00161C6F"/>
    <w:rsid w:val="00161D89"/>
    <w:rsid w:val="00162296"/>
    <w:rsid w:val="0016237E"/>
    <w:rsid w:val="00162720"/>
    <w:rsid w:val="00162A6F"/>
    <w:rsid w:val="00162BCE"/>
    <w:rsid w:val="00162E2E"/>
    <w:rsid w:val="00162FCF"/>
    <w:rsid w:val="00162FD8"/>
    <w:rsid w:val="00163317"/>
    <w:rsid w:val="0016333E"/>
    <w:rsid w:val="00163A1F"/>
    <w:rsid w:val="00163ADB"/>
    <w:rsid w:val="00163B6F"/>
    <w:rsid w:val="00163D19"/>
    <w:rsid w:val="00163D34"/>
    <w:rsid w:val="00163F19"/>
    <w:rsid w:val="001641C0"/>
    <w:rsid w:val="00164226"/>
    <w:rsid w:val="00164599"/>
    <w:rsid w:val="00164A59"/>
    <w:rsid w:val="00164BE0"/>
    <w:rsid w:val="00164C87"/>
    <w:rsid w:val="00164C8B"/>
    <w:rsid w:val="00164D80"/>
    <w:rsid w:val="001650A8"/>
    <w:rsid w:val="001651FA"/>
    <w:rsid w:val="0016526B"/>
    <w:rsid w:val="00165285"/>
    <w:rsid w:val="00165324"/>
    <w:rsid w:val="00165883"/>
    <w:rsid w:val="00165A1F"/>
    <w:rsid w:val="00165AD1"/>
    <w:rsid w:val="00165C03"/>
    <w:rsid w:val="00165F2E"/>
    <w:rsid w:val="00166040"/>
    <w:rsid w:val="001660EE"/>
    <w:rsid w:val="00166305"/>
    <w:rsid w:val="00166374"/>
    <w:rsid w:val="00166444"/>
    <w:rsid w:val="00166586"/>
    <w:rsid w:val="00166619"/>
    <w:rsid w:val="00166AD6"/>
    <w:rsid w:val="00166C45"/>
    <w:rsid w:val="00166DC3"/>
    <w:rsid w:val="001672DC"/>
    <w:rsid w:val="0016734C"/>
    <w:rsid w:val="001674A1"/>
    <w:rsid w:val="0016757A"/>
    <w:rsid w:val="0016760C"/>
    <w:rsid w:val="001677AA"/>
    <w:rsid w:val="0016786E"/>
    <w:rsid w:val="00167981"/>
    <w:rsid w:val="00167A0F"/>
    <w:rsid w:val="00167ABA"/>
    <w:rsid w:val="00167BC2"/>
    <w:rsid w:val="00167C6D"/>
    <w:rsid w:val="00167FD3"/>
    <w:rsid w:val="00170085"/>
    <w:rsid w:val="0017037A"/>
    <w:rsid w:val="001703F7"/>
    <w:rsid w:val="0017049E"/>
    <w:rsid w:val="0017057D"/>
    <w:rsid w:val="0017089D"/>
    <w:rsid w:val="00170A3F"/>
    <w:rsid w:val="00170AAF"/>
    <w:rsid w:val="00170ACB"/>
    <w:rsid w:val="00170C30"/>
    <w:rsid w:val="00170D21"/>
    <w:rsid w:val="00170E13"/>
    <w:rsid w:val="001712C3"/>
    <w:rsid w:val="001716CF"/>
    <w:rsid w:val="001717A7"/>
    <w:rsid w:val="001717F0"/>
    <w:rsid w:val="00171921"/>
    <w:rsid w:val="00171EFE"/>
    <w:rsid w:val="00172059"/>
    <w:rsid w:val="0017207E"/>
    <w:rsid w:val="0017209D"/>
    <w:rsid w:val="00172272"/>
    <w:rsid w:val="0017246C"/>
    <w:rsid w:val="001725DA"/>
    <w:rsid w:val="001726B0"/>
    <w:rsid w:val="0017272B"/>
    <w:rsid w:val="001729E9"/>
    <w:rsid w:val="00172CB2"/>
    <w:rsid w:val="00172E32"/>
    <w:rsid w:val="00172F37"/>
    <w:rsid w:val="0017309F"/>
    <w:rsid w:val="00173180"/>
    <w:rsid w:val="0017331C"/>
    <w:rsid w:val="00173592"/>
    <w:rsid w:val="0017366D"/>
    <w:rsid w:val="0017375B"/>
    <w:rsid w:val="0017398D"/>
    <w:rsid w:val="00173AC1"/>
    <w:rsid w:val="00173C4D"/>
    <w:rsid w:val="00173CC2"/>
    <w:rsid w:val="00173D38"/>
    <w:rsid w:val="0017406A"/>
    <w:rsid w:val="00174213"/>
    <w:rsid w:val="00174260"/>
    <w:rsid w:val="001742A9"/>
    <w:rsid w:val="0017434C"/>
    <w:rsid w:val="001744F2"/>
    <w:rsid w:val="001746B6"/>
    <w:rsid w:val="00174700"/>
    <w:rsid w:val="00174CD1"/>
    <w:rsid w:val="0017537D"/>
    <w:rsid w:val="0017566B"/>
    <w:rsid w:val="00175687"/>
    <w:rsid w:val="001757F9"/>
    <w:rsid w:val="00175B08"/>
    <w:rsid w:val="00175D87"/>
    <w:rsid w:val="00175E93"/>
    <w:rsid w:val="00175EA5"/>
    <w:rsid w:val="00175F9C"/>
    <w:rsid w:val="001760B4"/>
    <w:rsid w:val="00176121"/>
    <w:rsid w:val="00176151"/>
    <w:rsid w:val="00176561"/>
    <w:rsid w:val="0017660D"/>
    <w:rsid w:val="00176784"/>
    <w:rsid w:val="0017682C"/>
    <w:rsid w:val="001769FA"/>
    <w:rsid w:val="00176BB6"/>
    <w:rsid w:val="00176C5A"/>
    <w:rsid w:val="00176D0D"/>
    <w:rsid w:val="00176DEC"/>
    <w:rsid w:val="0017773D"/>
    <w:rsid w:val="001777E2"/>
    <w:rsid w:val="0017784F"/>
    <w:rsid w:val="00177956"/>
    <w:rsid w:val="00177B23"/>
    <w:rsid w:val="00177F66"/>
    <w:rsid w:val="0018025C"/>
    <w:rsid w:val="001805A8"/>
    <w:rsid w:val="00180830"/>
    <w:rsid w:val="001809B3"/>
    <w:rsid w:val="00180CBB"/>
    <w:rsid w:val="00180F9E"/>
    <w:rsid w:val="001811CE"/>
    <w:rsid w:val="001811D8"/>
    <w:rsid w:val="001813B5"/>
    <w:rsid w:val="0018149E"/>
    <w:rsid w:val="001814C4"/>
    <w:rsid w:val="00181765"/>
    <w:rsid w:val="00181CE1"/>
    <w:rsid w:val="00181DFB"/>
    <w:rsid w:val="00181F49"/>
    <w:rsid w:val="00181F9A"/>
    <w:rsid w:val="00181FE4"/>
    <w:rsid w:val="0018203F"/>
    <w:rsid w:val="001822DA"/>
    <w:rsid w:val="0018231F"/>
    <w:rsid w:val="001824C4"/>
    <w:rsid w:val="0018256F"/>
    <w:rsid w:val="001825A1"/>
    <w:rsid w:val="001826CE"/>
    <w:rsid w:val="0018282A"/>
    <w:rsid w:val="001828E8"/>
    <w:rsid w:val="001828F5"/>
    <w:rsid w:val="00182B18"/>
    <w:rsid w:val="00182BCC"/>
    <w:rsid w:val="00182C9D"/>
    <w:rsid w:val="00182CA4"/>
    <w:rsid w:val="00182D06"/>
    <w:rsid w:val="00182D58"/>
    <w:rsid w:val="0018300B"/>
    <w:rsid w:val="00183089"/>
    <w:rsid w:val="001831FC"/>
    <w:rsid w:val="00183232"/>
    <w:rsid w:val="001832B0"/>
    <w:rsid w:val="00183502"/>
    <w:rsid w:val="001836EB"/>
    <w:rsid w:val="00183BB6"/>
    <w:rsid w:val="00183E37"/>
    <w:rsid w:val="00183E7C"/>
    <w:rsid w:val="00183ED8"/>
    <w:rsid w:val="00183F1E"/>
    <w:rsid w:val="00183FF1"/>
    <w:rsid w:val="0018404B"/>
    <w:rsid w:val="0018432A"/>
    <w:rsid w:val="001845D1"/>
    <w:rsid w:val="00184712"/>
    <w:rsid w:val="001847F8"/>
    <w:rsid w:val="00184841"/>
    <w:rsid w:val="00184946"/>
    <w:rsid w:val="00184C91"/>
    <w:rsid w:val="00184D07"/>
    <w:rsid w:val="00184D10"/>
    <w:rsid w:val="001851A0"/>
    <w:rsid w:val="001855B2"/>
    <w:rsid w:val="0018599D"/>
    <w:rsid w:val="00185ABC"/>
    <w:rsid w:val="00185B23"/>
    <w:rsid w:val="00185C5A"/>
    <w:rsid w:val="00185D70"/>
    <w:rsid w:val="00185FD3"/>
    <w:rsid w:val="001860ED"/>
    <w:rsid w:val="0018611A"/>
    <w:rsid w:val="001862CC"/>
    <w:rsid w:val="0018650A"/>
    <w:rsid w:val="00186579"/>
    <w:rsid w:val="00186629"/>
    <w:rsid w:val="001867F4"/>
    <w:rsid w:val="00186A26"/>
    <w:rsid w:val="00186B67"/>
    <w:rsid w:val="00186C62"/>
    <w:rsid w:val="00186C9C"/>
    <w:rsid w:val="00187028"/>
    <w:rsid w:val="001870DD"/>
    <w:rsid w:val="001873B0"/>
    <w:rsid w:val="00187553"/>
    <w:rsid w:val="00187A8A"/>
    <w:rsid w:val="00187BCF"/>
    <w:rsid w:val="00187C1E"/>
    <w:rsid w:val="00187CB0"/>
    <w:rsid w:val="00187DE0"/>
    <w:rsid w:val="0019003D"/>
    <w:rsid w:val="0019014B"/>
    <w:rsid w:val="001902D7"/>
    <w:rsid w:val="001903C2"/>
    <w:rsid w:val="00190431"/>
    <w:rsid w:val="00190522"/>
    <w:rsid w:val="00190542"/>
    <w:rsid w:val="00190760"/>
    <w:rsid w:val="00190AA0"/>
    <w:rsid w:val="00190AFA"/>
    <w:rsid w:val="00190C65"/>
    <w:rsid w:val="00190DB1"/>
    <w:rsid w:val="00190EE5"/>
    <w:rsid w:val="00190EE6"/>
    <w:rsid w:val="0019101A"/>
    <w:rsid w:val="00191298"/>
    <w:rsid w:val="001916BB"/>
    <w:rsid w:val="001919D9"/>
    <w:rsid w:val="00191A2D"/>
    <w:rsid w:val="00191BC2"/>
    <w:rsid w:val="00191E06"/>
    <w:rsid w:val="00191E2D"/>
    <w:rsid w:val="00191E45"/>
    <w:rsid w:val="00191F5A"/>
    <w:rsid w:val="001920AA"/>
    <w:rsid w:val="001920E6"/>
    <w:rsid w:val="00192249"/>
    <w:rsid w:val="001928D9"/>
    <w:rsid w:val="00192933"/>
    <w:rsid w:val="00192B7F"/>
    <w:rsid w:val="00192E02"/>
    <w:rsid w:val="00192EBC"/>
    <w:rsid w:val="00193010"/>
    <w:rsid w:val="001930C5"/>
    <w:rsid w:val="00193285"/>
    <w:rsid w:val="0019336E"/>
    <w:rsid w:val="00193664"/>
    <w:rsid w:val="00193680"/>
    <w:rsid w:val="001939AD"/>
    <w:rsid w:val="00193AE1"/>
    <w:rsid w:val="0019425A"/>
    <w:rsid w:val="001945EC"/>
    <w:rsid w:val="001947C9"/>
    <w:rsid w:val="00194F14"/>
    <w:rsid w:val="0019503C"/>
    <w:rsid w:val="00195290"/>
    <w:rsid w:val="0019552D"/>
    <w:rsid w:val="00195636"/>
    <w:rsid w:val="0019573E"/>
    <w:rsid w:val="001958D0"/>
    <w:rsid w:val="00195917"/>
    <w:rsid w:val="00195C08"/>
    <w:rsid w:val="00195C8E"/>
    <w:rsid w:val="00195E08"/>
    <w:rsid w:val="00196175"/>
    <w:rsid w:val="0019618D"/>
    <w:rsid w:val="001964C2"/>
    <w:rsid w:val="001965B9"/>
    <w:rsid w:val="00197002"/>
    <w:rsid w:val="00197026"/>
    <w:rsid w:val="00197238"/>
    <w:rsid w:val="0019728C"/>
    <w:rsid w:val="001972D2"/>
    <w:rsid w:val="00197322"/>
    <w:rsid w:val="00197426"/>
    <w:rsid w:val="001974D0"/>
    <w:rsid w:val="001974E1"/>
    <w:rsid w:val="00197543"/>
    <w:rsid w:val="001975F5"/>
    <w:rsid w:val="001976CA"/>
    <w:rsid w:val="00197867"/>
    <w:rsid w:val="00197C26"/>
    <w:rsid w:val="00197D16"/>
    <w:rsid w:val="00197FD8"/>
    <w:rsid w:val="001A007D"/>
    <w:rsid w:val="001A00E1"/>
    <w:rsid w:val="001A01EB"/>
    <w:rsid w:val="001A0272"/>
    <w:rsid w:val="001A02CB"/>
    <w:rsid w:val="001A0323"/>
    <w:rsid w:val="001A036B"/>
    <w:rsid w:val="001A053E"/>
    <w:rsid w:val="001A0544"/>
    <w:rsid w:val="001A0765"/>
    <w:rsid w:val="001A0802"/>
    <w:rsid w:val="001A0865"/>
    <w:rsid w:val="001A09DB"/>
    <w:rsid w:val="001A11D3"/>
    <w:rsid w:val="001A11D4"/>
    <w:rsid w:val="001A12CE"/>
    <w:rsid w:val="001A15A4"/>
    <w:rsid w:val="001A1697"/>
    <w:rsid w:val="001A17F6"/>
    <w:rsid w:val="001A1834"/>
    <w:rsid w:val="001A1A02"/>
    <w:rsid w:val="001A1DBF"/>
    <w:rsid w:val="001A1F0F"/>
    <w:rsid w:val="001A20C8"/>
    <w:rsid w:val="001A2100"/>
    <w:rsid w:val="001A2283"/>
    <w:rsid w:val="001A237D"/>
    <w:rsid w:val="001A244B"/>
    <w:rsid w:val="001A2544"/>
    <w:rsid w:val="001A262C"/>
    <w:rsid w:val="001A26F6"/>
    <w:rsid w:val="001A27F3"/>
    <w:rsid w:val="001A2A92"/>
    <w:rsid w:val="001A2CC2"/>
    <w:rsid w:val="001A344A"/>
    <w:rsid w:val="001A35C0"/>
    <w:rsid w:val="001A36FE"/>
    <w:rsid w:val="001A380B"/>
    <w:rsid w:val="001A3D71"/>
    <w:rsid w:val="001A3DAF"/>
    <w:rsid w:val="001A3E10"/>
    <w:rsid w:val="001A3EF1"/>
    <w:rsid w:val="001A3F53"/>
    <w:rsid w:val="001A3F8B"/>
    <w:rsid w:val="001A41F1"/>
    <w:rsid w:val="001A42F2"/>
    <w:rsid w:val="001A4373"/>
    <w:rsid w:val="001A46DF"/>
    <w:rsid w:val="001A46EA"/>
    <w:rsid w:val="001A497C"/>
    <w:rsid w:val="001A4A1B"/>
    <w:rsid w:val="001A4A44"/>
    <w:rsid w:val="001A4D01"/>
    <w:rsid w:val="001A4F3A"/>
    <w:rsid w:val="001A51DE"/>
    <w:rsid w:val="001A5391"/>
    <w:rsid w:val="001A542D"/>
    <w:rsid w:val="001A558E"/>
    <w:rsid w:val="001A5695"/>
    <w:rsid w:val="001A5894"/>
    <w:rsid w:val="001A596E"/>
    <w:rsid w:val="001A5A55"/>
    <w:rsid w:val="001A5CCD"/>
    <w:rsid w:val="001A5EA5"/>
    <w:rsid w:val="001A5F73"/>
    <w:rsid w:val="001A60FC"/>
    <w:rsid w:val="001A6420"/>
    <w:rsid w:val="001A6B4F"/>
    <w:rsid w:val="001A6DBE"/>
    <w:rsid w:val="001A6FD2"/>
    <w:rsid w:val="001A7220"/>
    <w:rsid w:val="001A78AF"/>
    <w:rsid w:val="001A796E"/>
    <w:rsid w:val="001A7B14"/>
    <w:rsid w:val="001A7E46"/>
    <w:rsid w:val="001B0011"/>
    <w:rsid w:val="001B0145"/>
    <w:rsid w:val="001B04D2"/>
    <w:rsid w:val="001B07A0"/>
    <w:rsid w:val="001B09B0"/>
    <w:rsid w:val="001B09FF"/>
    <w:rsid w:val="001B0CCB"/>
    <w:rsid w:val="001B0D93"/>
    <w:rsid w:val="001B0EEC"/>
    <w:rsid w:val="001B116F"/>
    <w:rsid w:val="001B151A"/>
    <w:rsid w:val="001B1636"/>
    <w:rsid w:val="001B182D"/>
    <w:rsid w:val="001B1839"/>
    <w:rsid w:val="001B18D7"/>
    <w:rsid w:val="001B1B14"/>
    <w:rsid w:val="001B1B5A"/>
    <w:rsid w:val="001B1C4B"/>
    <w:rsid w:val="001B1F7F"/>
    <w:rsid w:val="001B23E1"/>
    <w:rsid w:val="001B252A"/>
    <w:rsid w:val="001B25C0"/>
    <w:rsid w:val="001B26E3"/>
    <w:rsid w:val="001B29F6"/>
    <w:rsid w:val="001B2A9D"/>
    <w:rsid w:val="001B2C30"/>
    <w:rsid w:val="001B2CAD"/>
    <w:rsid w:val="001B2CB6"/>
    <w:rsid w:val="001B2D9B"/>
    <w:rsid w:val="001B331B"/>
    <w:rsid w:val="001B334E"/>
    <w:rsid w:val="001B382E"/>
    <w:rsid w:val="001B383B"/>
    <w:rsid w:val="001B3C98"/>
    <w:rsid w:val="001B43FD"/>
    <w:rsid w:val="001B4471"/>
    <w:rsid w:val="001B45B2"/>
    <w:rsid w:val="001B4634"/>
    <w:rsid w:val="001B46A5"/>
    <w:rsid w:val="001B47A1"/>
    <w:rsid w:val="001B4859"/>
    <w:rsid w:val="001B4AB5"/>
    <w:rsid w:val="001B4AFC"/>
    <w:rsid w:val="001B4B28"/>
    <w:rsid w:val="001B4CFB"/>
    <w:rsid w:val="001B4D52"/>
    <w:rsid w:val="001B4E51"/>
    <w:rsid w:val="001B4E9B"/>
    <w:rsid w:val="001B4EBB"/>
    <w:rsid w:val="001B5130"/>
    <w:rsid w:val="001B51D0"/>
    <w:rsid w:val="001B5308"/>
    <w:rsid w:val="001B53AF"/>
    <w:rsid w:val="001B5429"/>
    <w:rsid w:val="001B5655"/>
    <w:rsid w:val="001B5851"/>
    <w:rsid w:val="001B592A"/>
    <w:rsid w:val="001B5AA8"/>
    <w:rsid w:val="001B5B4A"/>
    <w:rsid w:val="001B5B98"/>
    <w:rsid w:val="001B5C0D"/>
    <w:rsid w:val="001B60B6"/>
    <w:rsid w:val="001B60E9"/>
    <w:rsid w:val="001B61A1"/>
    <w:rsid w:val="001B62FF"/>
    <w:rsid w:val="001B6339"/>
    <w:rsid w:val="001B63C2"/>
    <w:rsid w:val="001B6699"/>
    <w:rsid w:val="001B6797"/>
    <w:rsid w:val="001B6B6F"/>
    <w:rsid w:val="001B70AB"/>
    <w:rsid w:val="001B7317"/>
    <w:rsid w:val="001B7321"/>
    <w:rsid w:val="001B74FD"/>
    <w:rsid w:val="001B75B0"/>
    <w:rsid w:val="001B77CE"/>
    <w:rsid w:val="001B791D"/>
    <w:rsid w:val="001B7A06"/>
    <w:rsid w:val="001B7A44"/>
    <w:rsid w:val="001B7ABC"/>
    <w:rsid w:val="001B7B77"/>
    <w:rsid w:val="001B7B7E"/>
    <w:rsid w:val="001B7F28"/>
    <w:rsid w:val="001C0A4D"/>
    <w:rsid w:val="001C0AC2"/>
    <w:rsid w:val="001C0C1F"/>
    <w:rsid w:val="001C0C20"/>
    <w:rsid w:val="001C0C34"/>
    <w:rsid w:val="001C0DF7"/>
    <w:rsid w:val="001C0F3C"/>
    <w:rsid w:val="001C1045"/>
    <w:rsid w:val="001C12B8"/>
    <w:rsid w:val="001C14DF"/>
    <w:rsid w:val="001C18E5"/>
    <w:rsid w:val="001C1BEC"/>
    <w:rsid w:val="001C1E50"/>
    <w:rsid w:val="001C1E6E"/>
    <w:rsid w:val="001C20B6"/>
    <w:rsid w:val="001C20F9"/>
    <w:rsid w:val="001C2168"/>
    <w:rsid w:val="001C26AB"/>
    <w:rsid w:val="001C28A4"/>
    <w:rsid w:val="001C2A0B"/>
    <w:rsid w:val="001C2CD6"/>
    <w:rsid w:val="001C2DBD"/>
    <w:rsid w:val="001C2DBE"/>
    <w:rsid w:val="001C2DC7"/>
    <w:rsid w:val="001C2DE2"/>
    <w:rsid w:val="001C2E4E"/>
    <w:rsid w:val="001C3448"/>
    <w:rsid w:val="001C34A9"/>
    <w:rsid w:val="001C358D"/>
    <w:rsid w:val="001C3A41"/>
    <w:rsid w:val="001C3CF6"/>
    <w:rsid w:val="001C3ED6"/>
    <w:rsid w:val="001C4052"/>
    <w:rsid w:val="001C40A0"/>
    <w:rsid w:val="001C439B"/>
    <w:rsid w:val="001C4570"/>
    <w:rsid w:val="001C465D"/>
    <w:rsid w:val="001C4694"/>
    <w:rsid w:val="001C47D1"/>
    <w:rsid w:val="001C4A58"/>
    <w:rsid w:val="001C4E0B"/>
    <w:rsid w:val="001C4E0F"/>
    <w:rsid w:val="001C4E4D"/>
    <w:rsid w:val="001C4E63"/>
    <w:rsid w:val="001C4EC3"/>
    <w:rsid w:val="001C521F"/>
    <w:rsid w:val="001C5280"/>
    <w:rsid w:val="001C5480"/>
    <w:rsid w:val="001C549A"/>
    <w:rsid w:val="001C5611"/>
    <w:rsid w:val="001C567A"/>
    <w:rsid w:val="001C5853"/>
    <w:rsid w:val="001C58D2"/>
    <w:rsid w:val="001C5AB0"/>
    <w:rsid w:val="001C5BF1"/>
    <w:rsid w:val="001C6087"/>
    <w:rsid w:val="001C60AF"/>
    <w:rsid w:val="001C6350"/>
    <w:rsid w:val="001C6693"/>
    <w:rsid w:val="001C66A5"/>
    <w:rsid w:val="001C66BC"/>
    <w:rsid w:val="001C66E1"/>
    <w:rsid w:val="001C67E6"/>
    <w:rsid w:val="001C6A9E"/>
    <w:rsid w:val="001C6C15"/>
    <w:rsid w:val="001C6F97"/>
    <w:rsid w:val="001C7468"/>
    <w:rsid w:val="001C75F3"/>
    <w:rsid w:val="001C7740"/>
    <w:rsid w:val="001C78A7"/>
    <w:rsid w:val="001C7A01"/>
    <w:rsid w:val="001C7AC2"/>
    <w:rsid w:val="001C7AFC"/>
    <w:rsid w:val="001C7E5F"/>
    <w:rsid w:val="001C7EE1"/>
    <w:rsid w:val="001D0505"/>
    <w:rsid w:val="001D059F"/>
    <w:rsid w:val="001D071A"/>
    <w:rsid w:val="001D07D9"/>
    <w:rsid w:val="001D085E"/>
    <w:rsid w:val="001D0AAF"/>
    <w:rsid w:val="001D0AB5"/>
    <w:rsid w:val="001D0BDA"/>
    <w:rsid w:val="001D0C1D"/>
    <w:rsid w:val="001D0CF5"/>
    <w:rsid w:val="001D10AD"/>
    <w:rsid w:val="001D1504"/>
    <w:rsid w:val="001D1534"/>
    <w:rsid w:val="001D1737"/>
    <w:rsid w:val="001D1745"/>
    <w:rsid w:val="001D179B"/>
    <w:rsid w:val="001D1AB0"/>
    <w:rsid w:val="001D1D84"/>
    <w:rsid w:val="001D1DD8"/>
    <w:rsid w:val="001D1DEB"/>
    <w:rsid w:val="001D1F45"/>
    <w:rsid w:val="001D1FA6"/>
    <w:rsid w:val="001D203F"/>
    <w:rsid w:val="001D2212"/>
    <w:rsid w:val="001D2221"/>
    <w:rsid w:val="001D2339"/>
    <w:rsid w:val="001D247A"/>
    <w:rsid w:val="001D24D7"/>
    <w:rsid w:val="001D284F"/>
    <w:rsid w:val="001D28B4"/>
    <w:rsid w:val="001D2B0A"/>
    <w:rsid w:val="001D2B68"/>
    <w:rsid w:val="001D2BB1"/>
    <w:rsid w:val="001D2CD3"/>
    <w:rsid w:val="001D2E39"/>
    <w:rsid w:val="001D3109"/>
    <w:rsid w:val="001D310B"/>
    <w:rsid w:val="001D370A"/>
    <w:rsid w:val="001D383A"/>
    <w:rsid w:val="001D39CB"/>
    <w:rsid w:val="001D3B65"/>
    <w:rsid w:val="001D3B7D"/>
    <w:rsid w:val="001D40EE"/>
    <w:rsid w:val="001D4294"/>
    <w:rsid w:val="001D4314"/>
    <w:rsid w:val="001D432A"/>
    <w:rsid w:val="001D4390"/>
    <w:rsid w:val="001D43AF"/>
    <w:rsid w:val="001D453C"/>
    <w:rsid w:val="001D455F"/>
    <w:rsid w:val="001D45CE"/>
    <w:rsid w:val="001D46DE"/>
    <w:rsid w:val="001D4734"/>
    <w:rsid w:val="001D479E"/>
    <w:rsid w:val="001D4834"/>
    <w:rsid w:val="001D491D"/>
    <w:rsid w:val="001D49AB"/>
    <w:rsid w:val="001D4BCA"/>
    <w:rsid w:val="001D4D7F"/>
    <w:rsid w:val="001D4DB3"/>
    <w:rsid w:val="001D4EBA"/>
    <w:rsid w:val="001D4F52"/>
    <w:rsid w:val="001D5041"/>
    <w:rsid w:val="001D50FB"/>
    <w:rsid w:val="001D5161"/>
    <w:rsid w:val="001D53F4"/>
    <w:rsid w:val="001D5484"/>
    <w:rsid w:val="001D54AA"/>
    <w:rsid w:val="001D5630"/>
    <w:rsid w:val="001D5A7B"/>
    <w:rsid w:val="001D5CB5"/>
    <w:rsid w:val="001D5E55"/>
    <w:rsid w:val="001D622E"/>
    <w:rsid w:val="001D6378"/>
    <w:rsid w:val="001D654B"/>
    <w:rsid w:val="001D68DF"/>
    <w:rsid w:val="001D6972"/>
    <w:rsid w:val="001D6B48"/>
    <w:rsid w:val="001D6CD0"/>
    <w:rsid w:val="001D6DB2"/>
    <w:rsid w:val="001D6ED4"/>
    <w:rsid w:val="001D707C"/>
    <w:rsid w:val="001D7270"/>
    <w:rsid w:val="001D7348"/>
    <w:rsid w:val="001D76DD"/>
    <w:rsid w:val="001D77B7"/>
    <w:rsid w:val="001D77F9"/>
    <w:rsid w:val="001D7AFA"/>
    <w:rsid w:val="001D7B2E"/>
    <w:rsid w:val="001D7B39"/>
    <w:rsid w:val="001D7BB6"/>
    <w:rsid w:val="001D7D12"/>
    <w:rsid w:val="001D7D57"/>
    <w:rsid w:val="001E02F6"/>
    <w:rsid w:val="001E0387"/>
    <w:rsid w:val="001E04E8"/>
    <w:rsid w:val="001E073D"/>
    <w:rsid w:val="001E099D"/>
    <w:rsid w:val="001E0AC4"/>
    <w:rsid w:val="001E0AC8"/>
    <w:rsid w:val="001E0B93"/>
    <w:rsid w:val="001E0DA1"/>
    <w:rsid w:val="001E0E4D"/>
    <w:rsid w:val="001E0E60"/>
    <w:rsid w:val="001E0E96"/>
    <w:rsid w:val="001E0ECC"/>
    <w:rsid w:val="001E0F04"/>
    <w:rsid w:val="001E0F6C"/>
    <w:rsid w:val="001E14BE"/>
    <w:rsid w:val="001E1555"/>
    <w:rsid w:val="001E16C6"/>
    <w:rsid w:val="001E1705"/>
    <w:rsid w:val="001E1905"/>
    <w:rsid w:val="001E193F"/>
    <w:rsid w:val="001E1AC6"/>
    <w:rsid w:val="001E1AEB"/>
    <w:rsid w:val="001E1BD7"/>
    <w:rsid w:val="001E1DC5"/>
    <w:rsid w:val="001E1EF5"/>
    <w:rsid w:val="001E2140"/>
    <w:rsid w:val="001E2518"/>
    <w:rsid w:val="001E256B"/>
    <w:rsid w:val="001E2915"/>
    <w:rsid w:val="001E2A48"/>
    <w:rsid w:val="001E2A9E"/>
    <w:rsid w:val="001E2DEB"/>
    <w:rsid w:val="001E3115"/>
    <w:rsid w:val="001E32BC"/>
    <w:rsid w:val="001E33AF"/>
    <w:rsid w:val="001E33DA"/>
    <w:rsid w:val="001E382B"/>
    <w:rsid w:val="001E394D"/>
    <w:rsid w:val="001E39AE"/>
    <w:rsid w:val="001E3A7E"/>
    <w:rsid w:val="001E3B77"/>
    <w:rsid w:val="001E3BCF"/>
    <w:rsid w:val="001E3F23"/>
    <w:rsid w:val="001E4135"/>
    <w:rsid w:val="001E4230"/>
    <w:rsid w:val="001E438D"/>
    <w:rsid w:val="001E43C5"/>
    <w:rsid w:val="001E4574"/>
    <w:rsid w:val="001E46EC"/>
    <w:rsid w:val="001E491B"/>
    <w:rsid w:val="001E4A1F"/>
    <w:rsid w:val="001E4D87"/>
    <w:rsid w:val="001E4F07"/>
    <w:rsid w:val="001E5016"/>
    <w:rsid w:val="001E52E9"/>
    <w:rsid w:val="001E54E8"/>
    <w:rsid w:val="001E550A"/>
    <w:rsid w:val="001E5530"/>
    <w:rsid w:val="001E5554"/>
    <w:rsid w:val="001E59CC"/>
    <w:rsid w:val="001E5A31"/>
    <w:rsid w:val="001E5CCF"/>
    <w:rsid w:val="001E5DF6"/>
    <w:rsid w:val="001E6394"/>
    <w:rsid w:val="001E69CC"/>
    <w:rsid w:val="001E69D9"/>
    <w:rsid w:val="001E6AC6"/>
    <w:rsid w:val="001E6F2C"/>
    <w:rsid w:val="001E6FF9"/>
    <w:rsid w:val="001E7025"/>
    <w:rsid w:val="001E7406"/>
    <w:rsid w:val="001E741D"/>
    <w:rsid w:val="001E7517"/>
    <w:rsid w:val="001E77F4"/>
    <w:rsid w:val="001E7A3C"/>
    <w:rsid w:val="001E7ACF"/>
    <w:rsid w:val="001E7AF2"/>
    <w:rsid w:val="001E7B2E"/>
    <w:rsid w:val="001E7CF7"/>
    <w:rsid w:val="001E7F8A"/>
    <w:rsid w:val="001F0151"/>
    <w:rsid w:val="001F0478"/>
    <w:rsid w:val="001F04BF"/>
    <w:rsid w:val="001F05D7"/>
    <w:rsid w:val="001F0718"/>
    <w:rsid w:val="001F079B"/>
    <w:rsid w:val="001F0897"/>
    <w:rsid w:val="001F09F6"/>
    <w:rsid w:val="001F0C22"/>
    <w:rsid w:val="001F0DA7"/>
    <w:rsid w:val="001F0E55"/>
    <w:rsid w:val="001F1002"/>
    <w:rsid w:val="001F11E9"/>
    <w:rsid w:val="001F12F9"/>
    <w:rsid w:val="001F13E1"/>
    <w:rsid w:val="001F14B8"/>
    <w:rsid w:val="001F14FF"/>
    <w:rsid w:val="001F1651"/>
    <w:rsid w:val="001F17C2"/>
    <w:rsid w:val="001F1804"/>
    <w:rsid w:val="001F1B27"/>
    <w:rsid w:val="001F1BBD"/>
    <w:rsid w:val="001F1EAB"/>
    <w:rsid w:val="001F1F69"/>
    <w:rsid w:val="001F2039"/>
    <w:rsid w:val="001F2041"/>
    <w:rsid w:val="001F2342"/>
    <w:rsid w:val="001F248C"/>
    <w:rsid w:val="001F25B9"/>
    <w:rsid w:val="001F2702"/>
    <w:rsid w:val="001F2BDA"/>
    <w:rsid w:val="001F2C81"/>
    <w:rsid w:val="001F2D7D"/>
    <w:rsid w:val="001F2E83"/>
    <w:rsid w:val="001F2FE7"/>
    <w:rsid w:val="001F3035"/>
    <w:rsid w:val="001F3193"/>
    <w:rsid w:val="001F3198"/>
    <w:rsid w:val="001F33B1"/>
    <w:rsid w:val="001F33D1"/>
    <w:rsid w:val="001F3525"/>
    <w:rsid w:val="001F36BE"/>
    <w:rsid w:val="001F3A94"/>
    <w:rsid w:val="001F3CEF"/>
    <w:rsid w:val="001F3D86"/>
    <w:rsid w:val="001F3DEE"/>
    <w:rsid w:val="001F3EC4"/>
    <w:rsid w:val="001F42D2"/>
    <w:rsid w:val="001F43EF"/>
    <w:rsid w:val="001F451B"/>
    <w:rsid w:val="001F4557"/>
    <w:rsid w:val="001F4C3D"/>
    <w:rsid w:val="001F4E21"/>
    <w:rsid w:val="001F4F0B"/>
    <w:rsid w:val="001F5148"/>
    <w:rsid w:val="001F5848"/>
    <w:rsid w:val="001F5849"/>
    <w:rsid w:val="001F58BF"/>
    <w:rsid w:val="001F5959"/>
    <w:rsid w:val="001F5BFE"/>
    <w:rsid w:val="001F5C28"/>
    <w:rsid w:val="001F5D9C"/>
    <w:rsid w:val="001F5DDB"/>
    <w:rsid w:val="001F610C"/>
    <w:rsid w:val="001F6188"/>
    <w:rsid w:val="001F61EA"/>
    <w:rsid w:val="001F6208"/>
    <w:rsid w:val="001F653D"/>
    <w:rsid w:val="001F6648"/>
    <w:rsid w:val="001F677C"/>
    <w:rsid w:val="001F6B7A"/>
    <w:rsid w:val="001F6BB2"/>
    <w:rsid w:val="001F6E1C"/>
    <w:rsid w:val="001F6E5B"/>
    <w:rsid w:val="001F6F4D"/>
    <w:rsid w:val="001F720F"/>
    <w:rsid w:val="001F73A2"/>
    <w:rsid w:val="001F7405"/>
    <w:rsid w:val="001F7504"/>
    <w:rsid w:val="001F76C7"/>
    <w:rsid w:val="001F7810"/>
    <w:rsid w:val="001F7884"/>
    <w:rsid w:val="001F791B"/>
    <w:rsid w:val="001F7943"/>
    <w:rsid w:val="001F7DAE"/>
    <w:rsid w:val="001F7EBD"/>
    <w:rsid w:val="0020030D"/>
    <w:rsid w:val="0020033D"/>
    <w:rsid w:val="00200390"/>
    <w:rsid w:val="0020041A"/>
    <w:rsid w:val="00200441"/>
    <w:rsid w:val="002009AA"/>
    <w:rsid w:val="00200C59"/>
    <w:rsid w:val="00200D4A"/>
    <w:rsid w:val="00200FBB"/>
    <w:rsid w:val="0020127B"/>
    <w:rsid w:val="002014B5"/>
    <w:rsid w:val="002014CA"/>
    <w:rsid w:val="00201568"/>
    <w:rsid w:val="0020164F"/>
    <w:rsid w:val="002016A6"/>
    <w:rsid w:val="00201A21"/>
    <w:rsid w:val="00201B82"/>
    <w:rsid w:val="0020204E"/>
    <w:rsid w:val="002020D4"/>
    <w:rsid w:val="002021F8"/>
    <w:rsid w:val="00202397"/>
    <w:rsid w:val="002025CE"/>
    <w:rsid w:val="0020261D"/>
    <w:rsid w:val="00202627"/>
    <w:rsid w:val="002026C2"/>
    <w:rsid w:val="002027AF"/>
    <w:rsid w:val="002027BB"/>
    <w:rsid w:val="00202923"/>
    <w:rsid w:val="00202953"/>
    <w:rsid w:val="0020295F"/>
    <w:rsid w:val="00202AEE"/>
    <w:rsid w:val="00202C25"/>
    <w:rsid w:val="00202DAC"/>
    <w:rsid w:val="00202FE8"/>
    <w:rsid w:val="00202FF8"/>
    <w:rsid w:val="002030C2"/>
    <w:rsid w:val="0020330F"/>
    <w:rsid w:val="002033BC"/>
    <w:rsid w:val="00203632"/>
    <w:rsid w:val="00203732"/>
    <w:rsid w:val="00203855"/>
    <w:rsid w:val="0020390D"/>
    <w:rsid w:val="00203BDC"/>
    <w:rsid w:val="00203C17"/>
    <w:rsid w:val="00204086"/>
    <w:rsid w:val="00204265"/>
    <w:rsid w:val="0020430F"/>
    <w:rsid w:val="00204372"/>
    <w:rsid w:val="002045DB"/>
    <w:rsid w:val="00204656"/>
    <w:rsid w:val="00204874"/>
    <w:rsid w:val="002048AE"/>
    <w:rsid w:val="00204992"/>
    <w:rsid w:val="00204B4B"/>
    <w:rsid w:val="00204B98"/>
    <w:rsid w:val="00204CCB"/>
    <w:rsid w:val="00204D2B"/>
    <w:rsid w:val="00204D55"/>
    <w:rsid w:val="00204D66"/>
    <w:rsid w:val="00204DFD"/>
    <w:rsid w:val="00204E38"/>
    <w:rsid w:val="00204FB1"/>
    <w:rsid w:val="00205255"/>
    <w:rsid w:val="0020536C"/>
    <w:rsid w:val="002054DC"/>
    <w:rsid w:val="00205A37"/>
    <w:rsid w:val="00205DAC"/>
    <w:rsid w:val="00205E57"/>
    <w:rsid w:val="00206108"/>
    <w:rsid w:val="00206262"/>
    <w:rsid w:val="00206667"/>
    <w:rsid w:val="00206AE8"/>
    <w:rsid w:val="00206B0D"/>
    <w:rsid w:val="00206E90"/>
    <w:rsid w:val="002070EA"/>
    <w:rsid w:val="00207305"/>
    <w:rsid w:val="00207553"/>
    <w:rsid w:val="002075FA"/>
    <w:rsid w:val="002077A9"/>
    <w:rsid w:val="00207AD3"/>
    <w:rsid w:val="00207D4B"/>
    <w:rsid w:val="00207E0E"/>
    <w:rsid w:val="00210378"/>
    <w:rsid w:val="002104DD"/>
    <w:rsid w:val="00210618"/>
    <w:rsid w:val="00210620"/>
    <w:rsid w:val="002106D0"/>
    <w:rsid w:val="00210B84"/>
    <w:rsid w:val="00210B91"/>
    <w:rsid w:val="0021135C"/>
    <w:rsid w:val="00211764"/>
    <w:rsid w:val="002117DC"/>
    <w:rsid w:val="0021189B"/>
    <w:rsid w:val="002118C2"/>
    <w:rsid w:val="00211E0B"/>
    <w:rsid w:val="002122D6"/>
    <w:rsid w:val="0021237C"/>
    <w:rsid w:val="002125E8"/>
    <w:rsid w:val="00212803"/>
    <w:rsid w:val="00212A03"/>
    <w:rsid w:val="00212A16"/>
    <w:rsid w:val="00212AD7"/>
    <w:rsid w:val="00212B65"/>
    <w:rsid w:val="00212B96"/>
    <w:rsid w:val="00212BC6"/>
    <w:rsid w:val="00212EA1"/>
    <w:rsid w:val="00212EEC"/>
    <w:rsid w:val="00212FD1"/>
    <w:rsid w:val="0021302A"/>
    <w:rsid w:val="002130D8"/>
    <w:rsid w:val="002131CB"/>
    <w:rsid w:val="0021328B"/>
    <w:rsid w:val="002137A2"/>
    <w:rsid w:val="00213807"/>
    <w:rsid w:val="00213A55"/>
    <w:rsid w:val="00213F96"/>
    <w:rsid w:val="002143E1"/>
    <w:rsid w:val="002146E2"/>
    <w:rsid w:val="002147CE"/>
    <w:rsid w:val="00214A44"/>
    <w:rsid w:val="00214A72"/>
    <w:rsid w:val="00214AB3"/>
    <w:rsid w:val="00214AEE"/>
    <w:rsid w:val="00214BE2"/>
    <w:rsid w:val="00214C27"/>
    <w:rsid w:val="00214DEF"/>
    <w:rsid w:val="002150C1"/>
    <w:rsid w:val="0021527A"/>
    <w:rsid w:val="00215778"/>
    <w:rsid w:val="00215905"/>
    <w:rsid w:val="00215EC0"/>
    <w:rsid w:val="00216409"/>
    <w:rsid w:val="0021688B"/>
    <w:rsid w:val="00216A38"/>
    <w:rsid w:val="00216CCC"/>
    <w:rsid w:val="00216ED6"/>
    <w:rsid w:val="00216FE6"/>
    <w:rsid w:val="00217632"/>
    <w:rsid w:val="002177A9"/>
    <w:rsid w:val="002179BD"/>
    <w:rsid w:val="00217C7E"/>
    <w:rsid w:val="00217F0C"/>
    <w:rsid w:val="00220297"/>
    <w:rsid w:val="0022038B"/>
    <w:rsid w:val="0022055F"/>
    <w:rsid w:val="0022064D"/>
    <w:rsid w:val="00220661"/>
    <w:rsid w:val="00220686"/>
    <w:rsid w:val="00220708"/>
    <w:rsid w:val="0022074E"/>
    <w:rsid w:val="002207AD"/>
    <w:rsid w:val="00220CE7"/>
    <w:rsid w:val="00220E16"/>
    <w:rsid w:val="00220E75"/>
    <w:rsid w:val="002210AA"/>
    <w:rsid w:val="002212E3"/>
    <w:rsid w:val="00221332"/>
    <w:rsid w:val="0022138B"/>
    <w:rsid w:val="00221563"/>
    <w:rsid w:val="00221920"/>
    <w:rsid w:val="00221BE2"/>
    <w:rsid w:val="00221DBF"/>
    <w:rsid w:val="00221DDF"/>
    <w:rsid w:val="00221E4D"/>
    <w:rsid w:val="00221EC0"/>
    <w:rsid w:val="00221F02"/>
    <w:rsid w:val="0022201B"/>
    <w:rsid w:val="002220C1"/>
    <w:rsid w:val="002221C0"/>
    <w:rsid w:val="0022230E"/>
    <w:rsid w:val="00222320"/>
    <w:rsid w:val="002223CC"/>
    <w:rsid w:val="0022242A"/>
    <w:rsid w:val="0022259B"/>
    <w:rsid w:val="00222955"/>
    <w:rsid w:val="00222B2C"/>
    <w:rsid w:val="00222CB1"/>
    <w:rsid w:val="002232B4"/>
    <w:rsid w:val="00223305"/>
    <w:rsid w:val="00223384"/>
    <w:rsid w:val="00223473"/>
    <w:rsid w:val="00223595"/>
    <w:rsid w:val="002235C9"/>
    <w:rsid w:val="002235E6"/>
    <w:rsid w:val="00223E32"/>
    <w:rsid w:val="00223FA2"/>
    <w:rsid w:val="002240B3"/>
    <w:rsid w:val="0022418A"/>
    <w:rsid w:val="00224384"/>
    <w:rsid w:val="002243DE"/>
    <w:rsid w:val="002243E7"/>
    <w:rsid w:val="002246EA"/>
    <w:rsid w:val="0022481F"/>
    <w:rsid w:val="00224A06"/>
    <w:rsid w:val="00224C91"/>
    <w:rsid w:val="00224C9C"/>
    <w:rsid w:val="00224CEB"/>
    <w:rsid w:val="00224DD7"/>
    <w:rsid w:val="00224E1B"/>
    <w:rsid w:val="00224F5C"/>
    <w:rsid w:val="00225295"/>
    <w:rsid w:val="002252E2"/>
    <w:rsid w:val="00225477"/>
    <w:rsid w:val="0022569F"/>
    <w:rsid w:val="002256E9"/>
    <w:rsid w:val="0022571F"/>
    <w:rsid w:val="00225974"/>
    <w:rsid w:val="00225E07"/>
    <w:rsid w:val="00225EAD"/>
    <w:rsid w:val="00225F20"/>
    <w:rsid w:val="00226621"/>
    <w:rsid w:val="00226963"/>
    <w:rsid w:val="00226977"/>
    <w:rsid w:val="00226D04"/>
    <w:rsid w:val="00226F66"/>
    <w:rsid w:val="00227324"/>
    <w:rsid w:val="00227397"/>
    <w:rsid w:val="002273B1"/>
    <w:rsid w:val="00227484"/>
    <w:rsid w:val="00227793"/>
    <w:rsid w:val="00227797"/>
    <w:rsid w:val="00227BB6"/>
    <w:rsid w:val="00227C72"/>
    <w:rsid w:val="00227C93"/>
    <w:rsid w:val="00227CC1"/>
    <w:rsid w:val="00227D33"/>
    <w:rsid w:val="0023027B"/>
    <w:rsid w:val="002303A4"/>
    <w:rsid w:val="002305B0"/>
    <w:rsid w:val="00230601"/>
    <w:rsid w:val="002308BE"/>
    <w:rsid w:val="0023099C"/>
    <w:rsid w:val="00230A1B"/>
    <w:rsid w:val="00230BB1"/>
    <w:rsid w:val="00230E36"/>
    <w:rsid w:val="00230EB5"/>
    <w:rsid w:val="00231049"/>
    <w:rsid w:val="0023104F"/>
    <w:rsid w:val="00231313"/>
    <w:rsid w:val="002314D2"/>
    <w:rsid w:val="00231561"/>
    <w:rsid w:val="002315C3"/>
    <w:rsid w:val="00231922"/>
    <w:rsid w:val="00231A01"/>
    <w:rsid w:val="00231A54"/>
    <w:rsid w:val="00231AB0"/>
    <w:rsid w:val="00231C3F"/>
    <w:rsid w:val="0023213F"/>
    <w:rsid w:val="002322D3"/>
    <w:rsid w:val="00232571"/>
    <w:rsid w:val="00232618"/>
    <w:rsid w:val="00232CFE"/>
    <w:rsid w:val="00232D9A"/>
    <w:rsid w:val="0023305C"/>
    <w:rsid w:val="0023319F"/>
    <w:rsid w:val="00233342"/>
    <w:rsid w:val="00233943"/>
    <w:rsid w:val="002339F1"/>
    <w:rsid w:val="00233ACE"/>
    <w:rsid w:val="00233B7A"/>
    <w:rsid w:val="00233BE7"/>
    <w:rsid w:val="00233DA0"/>
    <w:rsid w:val="00234335"/>
    <w:rsid w:val="00234401"/>
    <w:rsid w:val="0023475F"/>
    <w:rsid w:val="00234876"/>
    <w:rsid w:val="00234975"/>
    <w:rsid w:val="00234D48"/>
    <w:rsid w:val="00234E83"/>
    <w:rsid w:val="0023506C"/>
    <w:rsid w:val="00235533"/>
    <w:rsid w:val="00235586"/>
    <w:rsid w:val="002356FA"/>
    <w:rsid w:val="00235943"/>
    <w:rsid w:val="00235AEF"/>
    <w:rsid w:val="00235BD5"/>
    <w:rsid w:val="00235C48"/>
    <w:rsid w:val="00235D61"/>
    <w:rsid w:val="00235E9D"/>
    <w:rsid w:val="00235F7E"/>
    <w:rsid w:val="00235FFD"/>
    <w:rsid w:val="0023622E"/>
    <w:rsid w:val="0023633D"/>
    <w:rsid w:val="0023661B"/>
    <w:rsid w:val="0023661F"/>
    <w:rsid w:val="00236697"/>
    <w:rsid w:val="002368C6"/>
    <w:rsid w:val="00236C80"/>
    <w:rsid w:val="00236DDF"/>
    <w:rsid w:val="00236E61"/>
    <w:rsid w:val="00237145"/>
    <w:rsid w:val="002372C3"/>
    <w:rsid w:val="00237374"/>
    <w:rsid w:val="002374E7"/>
    <w:rsid w:val="002376D3"/>
    <w:rsid w:val="0023778E"/>
    <w:rsid w:val="00237916"/>
    <w:rsid w:val="00237B82"/>
    <w:rsid w:val="00237CDB"/>
    <w:rsid w:val="00240349"/>
    <w:rsid w:val="002403E6"/>
    <w:rsid w:val="00240468"/>
    <w:rsid w:val="002404C3"/>
    <w:rsid w:val="00240659"/>
    <w:rsid w:val="002406C3"/>
    <w:rsid w:val="00240789"/>
    <w:rsid w:val="002407D7"/>
    <w:rsid w:val="002407F7"/>
    <w:rsid w:val="00240B62"/>
    <w:rsid w:val="00240B82"/>
    <w:rsid w:val="00240BBC"/>
    <w:rsid w:val="00240DF2"/>
    <w:rsid w:val="00240E75"/>
    <w:rsid w:val="00240EE2"/>
    <w:rsid w:val="00240F14"/>
    <w:rsid w:val="002410F1"/>
    <w:rsid w:val="0024121A"/>
    <w:rsid w:val="002413B7"/>
    <w:rsid w:val="00241581"/>
    <w:rsid w:val="002415B4"/>
    <w:rsid w:val="00241865"/>
    <w:rsid w:val="00241878"/>
    <w:rsid w:val="0024187E"/>
    <w:rsid w:val="00241881"/>
    <w:rsid w:val="002419B0"/>
    <w:rsid w:val="00241B6B"/>
    <w:rsid w:val="00241BA4"/>
    <w:rsid w:val="00241C1B"/>
    <w:rsid w:val="00241C45"/>
    <w:rsid w:val="00241E8D"/>
    <w:rsid w:val="00241EC7"/>
    <w:rsid w:val="002421CD"/>
    <w:rsid w:val="00242245"/>
    <w:rsid w:val="002426CB"/>
    <w:rsid w:val="002427B3"/>
    <w:rsid w:val="0024294C"/>
    <w:rsid w:val="00242AE4"/>
    <w:rsid w:val="00242B42"/>
    <w:rsid w:val="00242D2A"/>
    <w:rsid w:val="00242D54"/>
    <w:rsid w:val="00242D70"/>
    <w:rsid w:val="0024326C"/>
    <w:rsid w:val="00243353"/>
    <w:rsid w:val="0024338B"/>
    <w:rsid w:val="002434FB"/>
    <w:rsid w:val="002435F6"/>
    <w:rsid w:val="00243A96"/>
    <w:rsid w:val="00243F04"/>
    <w:rsid w:val="00243FC2"/>
    <w:rsid w:val="00244054"/>
    <w:rsid w:val="00244158"/>
    <w:rsid w:val="00244177"/>
    <w:rsid w:val="002441C7"/>
    <w:rsid w:val="00244564"/>
    <w:rsid w:val="002448E6"/>
    <w:rsid w:val="00245126"/>
    <w:rsid w:val="00245183"/>
    <w:rsid w:val="0024559A"/>
    <w:rsid w:val="002455FD"/>
    <w:rsid w:val="002456A2"/>
    <w:rsid w:val="00245725"/>
    <w:rsid w:val="00245A98"/>
    <w:rsid w:val="00245D6F"/>
    <w:rsid w:val="0024605A"/>
    <w:rsid w:val="002461BA"/>
    <w:rsid w:val="002466C1"/>
    <w:rsid w:val="00246801"/>
    <w:rsid w:val="002468AA"/>
    <w:rsid w:val="002469AC"/>
    <w:rsid w:val="00246BDE"/>
    <w:rsid w:val="00246C81"/>
    <w:rsid w:val="00246E5F"/>
    <w:rsid w:val="00246E73"/>
    <w:rsid w:val="00246EF1"/>
    <w:rsid w:val="00246FB6"/>
    <w:rsid w:val="00247026"/>
    <w:rsid w:val="00247078"/>
    <w:rsid w:val="002470BB"/>
    <w:rsid w:val="0024744E"/>
    <w:rsid w:val="002477DA"/>
    <w:rsid w:val="00247CA6"/>
    <w:rsid w:val="00247D9B"/>
    <w:rsid w:val="00247E43"/>
    <w:rsid w:val="00247E54"/>
    <w:rsid w:val="0025003B"/>
    <w:rsid w:val="002505EE"/>
    <w:rsid w:val="0025067E"/>
    <w:rsid w:val="0025075B"/>
    <w:rsid w:val="00250888"/>
    <w:rsid w:val="002508A5"/>
    <w:rsid w:val="00250A44"/>
    <w:rsid w:val="00250F34"/>
    <w:rsid w:val="00251050"/>
    <w:rsid w:val="002510E1"/>
    <w:rsid w:val="002514AF"/>
    <w:rsid w:val="0025153C"/>
    <w:rsid w:val="00251555"/>
    <w:rsid w:val="00251858"/>
    <w:rsid w:val="0025190E"/>
    <w:rsid w:val="00251FCE"/>
    <w:rsid w:val="002526A3"/>
    <w:rsid w:val="00252751"/>
    <w:rsid w:val="0025281F"/>
    <w:rsid w:val="0025292D"/>
    <w:rsid w:val="00252D4A"/>
    <w:rsid w:val="00253176"/>
    <w:rsid w:val="00253229"/>
    <w:rsid w:val="00253520"/>
    <w:rsid w:val="00253526"/>
    <w:rsid w:val="002535DC"/>
    <w:rsid w:val="0025368F"/>
    <w:rsid w:val="00253972"/>
    <w:rsid w:val="00253B71"/>
    <w:rsid w:val="00253E13"/>
    <w:rsid w:val="00254074"/>
    <w:rsid w:val="002543D8"/>
    <w:rsid w:val="00254682"/>
    <w:rsid w:val="00254725"/>
    <w:rsid w:val="00254C61"/>
    <w:rsid w:val="00254DAE"/>
    <w:rsid w:val="00254FB1"/>
    <w:rsid w:val="0025521E"/>
    <w:rsid w:val="002553E0"/>
    <w:rsid w:val="002553F4"/>
    <w:rsid w:val="00255507"/>
    <w:rsid w:val="002555F4"/>
    <w:rsid w:val="002556D9"/>
    <w:rsid w:val="002557A3"/>
    <w:rsid w:val="002558AA"/>
    <w:rsid w:val="00255977"/>
    <w:rsid w:val="002559F5"/>
    <w:rsid w:val="00255A40"/>
    <w:rsid w:val="00255C9D"/>
    <w:rsid w:val="00255D95"/>
    <w:rsid w:val="00255E90"/>
    <w:rsid w:val="00255FF2"/>
    <w:rsid w:val="00256473"/>
    <w:rsid w:val="0025652F"/>
    <w:rsid w:val="00256B0B"/>
    <w:rsid w:val="00256C2E"/>
    <w:rsid w:val="00256D14"/>
    <w:rsid w:val="00256D7B"/>
    <w:rsid w:val="00256F01"/>
    <w:rsid w:val="00257150"/>
    <w:rsid w:val="0025764E"/>
    <w:rsid w:val="002577F5"/>
    <w:rsid w:val="00257890"/>
    <w:rsid w:val="00257AE1"/>
    <w:rsid w:val="00257D69"/>
    <w:rsid w:val="002600EA"/>
    <w:rsid w:val="002603C0"/>
    <w:rsid w:val="00260A01"/>
    <w:rsid w:val="00260A89"/>
    <w:rsid w:val="00260B93"/>
    <w:rsid w:val="00260D67"/>
    <w:rsid w:val="00260DE0"/>
    <w:rsid w:val="00260EC2"/>
    <w:rsid w:val="00261135"/>
    <w:rsid w:val="002611B2"/>
    <w:rsid w:val="0026128F"/>
    <w:rsid w:val="002615D4"/>
    <w:rsid w:val="0026160F"/>
    <w:rsid w:val="00261646"/>
    <w:rsid w:val="00261804"/>
    <w:rsid w:val="0026189A"/>
    <w:rsid w:val="00261DFA"/>
    <w:rsid w:val="00261E8F"/>
    <w:rsid w:val="0026209C"/>
    <w:rsid w:val="00262319"/>
    <w:rsid w:val="00262322"/>
    <w:rsid w:val="00262427"/>
    <w:rsid w:val="00262452"/>
    <w:rsid w:val="002624F2"/>
    <w:rsid w:val="002625A3"/>
    <w:rsid w:val="002627F1"/>
    <w:rsid w:val="002628F5"/>
    <w:rsid w:val="00262B5F"/>
    <w:rsid w:val="00262C2E"/>
    <w:rsid w:val="00262D83"/>
    <w:rsid w:val="0026325A"/>
    <w:rsid w:val="002632ED"/>
    <w:rsid w:val="002639BC"/>
    <w:rsid w:val="00263B62"/>
    <w:rsid w:val="00263B6C"/>
    <w:rsid w:val="00263C04"/>
    <w:rsid w:val="00263CD6"/>
    <w:rsid w:val="00263D1A"/>
    <w:rsid w:val="0026406B"/>
    <w:rsid w:val="0026410D"/>
    <w:rsid w:val="002642FA"/>
    <w:rsid w:val="0026443E"/>
    <w:rsid w:val="00264441"/>
    <w:rsid w:val="0026445A"/>
    <w:rsid w:val="002646DB"/>
    <w:rsid w:val="00264CE2"/>
    <w:rsid w:val="002651D1"/>
    <w:rsid w:val="00265262"/>
    <w:rsid w:val="00265478"/>
    <w:rsid w:val="002654FA"/>
    <w:rsid w:val="00265587"/>
    <w:rsid w:val="002655CF"/>
    <w:rsid w:val="002656A6"/>
    <w:rsid w:val="002656B0"/>
    <w:rsid w:val="00265940"/>
    <w:rsid w:val="002659BE"/>
    <w:rsid w:val="00265A07"/>
    <w:rsid w:val="00265ADC"/>
    <w:rsid w:val="0026654E"/>
    <w:rsid w:val="002665BC"/>
    <w:rsid w:val="0026669E"/>
    <w:rsid w:val="00266850"/>
    <w:rsid w:val="0026685B"/>
    <w:rsid w:val="00266B0D"/>
    <w:rsid w:val="00266BEB"/>
    <w:rsid w:val="00266F73"/>
    <w:rsid w:val="00267127"/>
    <w:rsid w:val="002671B3"/>
    <w:rsid w:val="0026758D"/>
    <w:rsid w:val="00267691"/>
    <w:rsid w:val="002679D0"/>
    <w:rsid w:val="00267AC8"/>
    <w:rsid w:val="00267B8E"/>
    <w:rsid w:val="00267BD0"/>
    <w:rsid w:val="00267FB8"/>
    <w:rsid w:val="00270074"/>
    <w:rsid w:val="002704C8"/>
    <w:rsid w:val="00270AED"/>
    <w:rsid w:val="00270EDE"/>
    <w:rsid w:val="00271065"/>
    <w:rsid w:val="0027149B"/>
    <w:rsid w:val="002714DE"/>
    <w:rsid w:val="00271778"/>
    <w:rsid w:val="00271AAA"/>
    <w:rsid w:val="00271B60"/>
    <w:rsid w:val="00271B6F"/>
    <w:rsid w:val="00271DB3"/>
    <w:rsid w:val="0027224D"/>
    <w:rsid w:val="002726B6"/>
    <w:rsid w:val="002728F9"/>
    <w:rsid w:val="00272939"/>
    <w:rsid w:val="00272B4C"/>
    <w:rsid w:val="00272D54"/>
    <w:rsid w:val="00272D75"/>
    <w:rsid w:val="00272E4F"/>
    <w:rsid w:val="00272F9A"/>
    <w:rsid w:val="002731C3"/>
    <w:rsid w:val="002732A9"/>
    <w:rsid w:val="002733B2"/>
    <w:rsid w:val="002735EE"/>
    <w:rsid w:val="00273635"/>
    <w:rsid w:val="002738A1"/>
    <w:rsid w:val="002739BA"/>
    <w:rsid w:val="00273BC1"/>
    <w:rsid w:val="00273C07"/>
    <w:rsid w:val="002741B2"/>
    <w:rsid w:val="0027426B"/>
    <w:rsid w:val="00274423"/>
    <w:rsid w:val="0027442A"/>
    <w:rsid w:val="00274726"/>
    <w:rsid w:val="00274743"/>
    <w:rsid w:val="0027480D"/>
    <w:rsid w:val="00274C41"/>
    <w:rsid w:val="00274D3F"/>
    <w:rsid w:val="00274D60"/>
    <w:rsid w:val="00274F17"/>
    <w:rsid w:val="00274F3B"/>
    <w:rsid w:val="0027501E"/>
    <w:rsid w:val="00275021"/>
    <w:rsid w:val="002750CF"/>
    <w:rsid w:val="002751BC"/>
    <w:rsid w:val="00275408"/>
    <w:rsid w:val="002756DB"/>
    <w:rsid w:val="00275709"/>
    <w:rsid w:val="00275759"/>
    <w:rsid w:val="0027590B"/>
    <w:rsid w:val="002759DB"/>
    <w:rsid w:val="00275A2A"/>
    <w:rsid w:val="00275B12"/>
    <w:rsid w:val="00275BD3"/>
    <w:rsid w:val="00275CC6"/>
    <w:rsid w:val="00275DA0"/>
    <w:rsid w:val="00275EFC"/>
    <w:rsid w:val="00276108"/>
    <w:rsid w:val="002763C1"/>
    <w:rsid w:val="00276444"/>
    <w:rsid w:val="002765FA"/>
    <w:rsid w:val="002767A5"/>
    <w:rsid w:val="002768B2"/>
    <w:rsid w:val="002769DF"/>
    <w:rsid w:val="00276A80"/>
    <w:rsid w:val="002773A3"/>
    <w:rsid w:val="00277BDE"/>
    <w:rsid w:val="00277CBB"/>
    <w:rsid w:val="00277DBB"/>
    <w:rsid w:val="002800C1"/>
    <w:rsid w:val="002807C3"/>
    <w:rsid w:val="00280CB1"/>
    <w:rsid w:val="00280FC8"/>
    <w:rsid w:val="00281008"/>
    <w:rsid w:val="002810AD"/>
    <w:rsid w:val="002810E0"/>
    <w:rsid w:val="002812EA"/>
    <w:rsid w:val="00281450"/>
    <w:rsid w:val="00281478"/>
    <w:rsid w:val="00281677"/>
    <w:rsid w:val="00281D29"/>
    <w:rsid w:val="00281E19"/>
    <w:rsid w:val="00281EF2"/>
    <w:rsid w:val="00282483"/>
    <w:rsid w:val="00282505"/>
    <w:rsid w:val="0028265F"/>
    <w:rsid w:val="002826C2"/>
    <w:rsid w:val="002828CF"/>
    <w:rsid w:val="00282A06"/>
    <w:rsid w:val="00282A2D"/>
    <w:rsid w:val="00282EB1"/>
    <w:rsid w:val="00283114"/>
    <w:rsid w:val="00283164"/>
    <w:rsid w:val="0028334C"/>
    <w:rsid w:val="002833A2"/>
    <w:rsid w:val="002835D5"/>
    <w:rsid w:val="00283747"/>
    <w:rsid w:val="0028374A"/>
    <w:rsid w:val="00283971"/>
    <w:rsid w:val="00283FF0"/>
    <w:rsid w:val="002843CE"/>
    <w:rsid w:val="00284699"/>
    <w:rsid w:val="00284989"/>
    <w:rsid w:val="00284C80"/>
    <w:rsid w:val="00284DA3"/>
    <w:rsid w:val="00284DA7"/>
    <w:rsid w:val="00284FD2"/>
    <w:rsid w:val="0028518F"/>
    <w:rsid w:val="00285463"/>
    <w:rsid w:val="00285969"/>
    <w:rsid w:val="002859D1"/>
    <w:rsid w:val="00285C8A"/>
    <w:rsid w:val="00285EA1"/>
    <w:rsid w:val="002864D1"/>
    <w:rsid w:val="00286584"/>
    <w:rsid w:val="002866C2"/>
    <w:rsid w:val="00286918"/>
    <w:rsid w:val="00286955"/>
    <w:rsid w:val="00286AB6"/>
    <w:rsid w:val="00286BB5"/>
    <w:rsid w:val="00286BDF"/>
    <w:rsid w:val="00286CAE"/>
    <w:rsid w:val="00286EBC"/>
    <w:rsid w:val="00286FD4"/>
    <w:rsid w:val="00287678"/>
    <w:rsid w:val="00287BA3"/>
    <w:rsid w:val="00287C0F"/>
    <w:rsid w:val="00287F56"/>
    <w:rsid w:val="00290037"/>
    <w:rsid w:val="00290354"/>
    <w:rsid w:val="0029067D"/>
    <w:rsid w:val="00290921"/>
    <w:rsid w:val="00290988"/>
    <w:rsid w:val="00290E4B"/>
    <w:rsid w:val="00290FAC"/>
    <w:rsid w:val="0029104B"/>
    <w:rsid w:val="00291211"/>
    <w:rsid w:val="002913C7"/>
    <w:rsid w:val="00291451"/>
    <w:rsid w:val="00291B2C"/>
    <w:rsid w:val="00291BCD"/>
    <w:rsid w:val="00291DC2"/>
    <w:rsid w:val="00291E2C"/>
    <w:rsid w:val="0029215B"/>
    <w:rsid w:val="0029235E"/>
    <w:rsid w:val="00292390"/>
    <w:rsid w:val="002924F8"/>
    <w:rsid w:val="002928DF"/>
    <w:rsid w:val="002929A6"/>
    <w:rsid w:val="002929EA"/>
    <w:rsid w:val="00292A65"/>
    <w:rsid w:val="00292C5E"/>
    <w:rsid w:val="00292C90"/>
    <w:rsid w:val="00292D2C"/>
    <w:rsid w:val="00292F56"/>
    <w:rsid w:val="00292FDD"/>
    <w:rsid w:val="0029316B"/>
    <w:rsid w:val="002932F2"/>
    <w:rsid w:val="0029337B"/>
    <w:rsid w:val="002936A7"/>
    <w:rsid w:val="002939D3"/>
    <w:rsid w:val="00293A96"/>
    <w:rsid w:val="00293ACC"/>
    <w:rsid w:val="00293C06"/>
    <w:rsid w:val="00293C41"/>
    <w:rsid w:val="00293E1E"/>
    <w:rsid w:val="00293ED9"/>
    <w:rsid w:val="00293F46"/>
    <w:rsid w:val="00293FEF"/>
    <w:rsid w:val="00294229"/>
    <w:rsid w:val="002946A0"/>
    <w:rsid w:val="00294863"/>
    <w:rsid w:val="00294A31"/>
    <w:rsid w:val="00294AF1"/>
    <w:rsid w:val="00294BF2"/>
    <w:rsid w:val="00294DBC"/>
    <w:rsid w:val="00294E62"/>
    <w:rsid w:val="00294F5A"/>
    <w:rsid w:val="0029503B"/>
    <w:rsid w:val="002951A7"/>
    <w:rsid w:val="00295379"/>
    <w:rsid w:val="0029541E"/>
    <w:rsid w:val="0029547B"/>
    <w:rsid w:val="00295586"/>
    <w:rsid w:val="00295643"/>
    <w:rsid w:val="00295A47"/>
    <w:rsid w:val="00295B30"/>
    <w:rsid w:val="00295B38"/>
    <w:rsid w:val="00295C15"/>
    <w:rsid w:val="00296191"/>
    <w:rsid w:val="0029636F"/>
    <w:rsid w:val="002964F8"/>
    <w:rsid w:val="00296592"/>
    <w:rsid w:val="00296700"/>
    <w:rsid w:val="00296732"/>
    <w:rsid w:val="0029682A"/>
    <w:rsid w:val="002969CD"/>
    <w:rsid w:val="00296B36"/>
    <w:rsid w:val="00296C5D"/>
    <w:rsid w:val="00296CA5"/>
    <w:rsid w:val="00296CDB"/>
    <w:rsid w:val="00296DD4"/>
    <w:rsid w:val="00296F5B"/>
    <w:rsid w:val="00297141"/>
    <w:rsid w:val="00297170"/>
    <w:rsid w:val="002972F3"/>
    <w:rsid w:val="0029748E"/>
    <w:rsid w:val="002976D1"/>
    <w:rsid w:val="00297771"/>
    <w:rsid w:val="002979B0"/>
    <w:rsid w:val="00297F64"/>
    <w:rsid w:val="002A021C"/>
    <w:rsid w:val="002A0311"/>
    <w:rsid w:val="002A03B1"/>
    <w:rsid w:val="002A03F6"/>
    <w:rsid w:val="002A0425"/>
    <w:rsid w:val="002A0429"/>
    <w:rsid w:val="002A047B"/>
    <w:rsid w:val="002A078E"/>
    <w:rsid w:val="002A07B1"/>
    <w:rsid w:val="002A0807"/>
    <w:rsid w:val="002A087F"/>
    <w:rsid w:val="002A0A31"/>
    <w:rsid w:val="002A0A93"/>
    <w:rsid w:val="002A0CEF"/>
    <w:rsid w:val="002A0DC8"/>
    <w:rsid w:val="002A0EB4"/>
    <w:rsid w:val="002A1016"/>
    <w:rsid w:val="002A1031"/>
    <w:rsid w:val="002A1033"/>
    <w:rsid w:val="002A1045"/>
    <w:rsid w:val="002A1352"/>
    <w:rsid w:val="002A13B7"/>
    <w:rsid w:val="002A13CA"/>
    <w:rsid w:val="002A14FF"/>
    <w:rsid w:val="002A15DC"/>
    <w:rsid w:val="002A17B3"/>
    <w:rsid w:val="002A196B"/>
    <w:rsid w:val="002A1A22"/>
    <w:rsid w:val="002A1CB9"/>
    <w:rsid w:val="002A1F34"/>
    <w:rsid w:val="002A2017"/>
    <w:rsid w:val="002A204F"/>
    <w:rsid w:val="002A20CC"/>
    <w:rsid w:val="002A2215"/>
    <w:rsid w:val="002A2349"/>
    <w:rsid w:val="002A2479"/>
    <w:rsid w:val="002A2672"/>
    <w:rsid w:val="002A26FD"/>
    <w:rsid w:val="002A273A"/>
    <w:rsid w:val="002A2791"/>
    <w:rsid w:val="002A294C"/>
    <w:rsid w:val="002A2D0A"/>
    <w:rsid w:val="002A2DF7"/>
    <w:rsid w:val="002A2EA6"/>
    <w:rsid w:val="002A3165"/>
    <w:rsid w:val="002A3219"/>
    <w:rsid w:val="002A3244"/>
    <w:rsid w:val="002A3474"/>
    <w:rsid w:val="002A35B6"/>
    <w:rsid w:val="002A389A"/>
    <w:rsid w:val="002A3AC3"/>
    <w:rsid w:val="002A3AEC"/>
    <w:rsid w:val="002A3CFD"/>
    <w:rsid w:val="002A3D18"/>
    <w:rsid w:val="002A3F39"/>
    <w:rsid w:val="002A4134"/>
    <w:rsid w:val="002A4487"/>
    <w:rsid w:val="002A44C7"/>
    <w:rsid w:val="002A48F9"/>
    <w:rsid w:val="002A49FF"/>
    <w:rsid w:val="002A4A0F"/>
    <w:rsid w:val="002A4B56"/>
    <w:rsid w:val="002A4EFC"/>
    <w:rsid w:val="002A4FB7"/>
    <w:rsid w:val="002A5034"/>
    <w:rsid w:val="002A53CA"/>
    <w:rsid w:val="002A5470"/>
    <w:rsid w:val="002A548D"/>
    <w:rsid w:val="002A571E"/>
    <w:rsid w:val="002A5F2B"/>
    <w:rsid w:val="002A6259"/>
    <w:rsid w:val="002A63B4"/>
    <w:rsid w:val="002A63D1"/>
    <w:rsid w:val="002A6471"/>
    <w:rsid w:val="002A64B0"/>
    <w:rsid w:val="002A652A"/>
    <w:rsid w:val="002A6633"/>
    <w:rsid w:val="002A6B3C"/>
    <w:rsid w:val="002A6B82"/>
    <w:rsid w:val="002A6EC2"/>
    <w:rsid w:val="002A6EDD"/>
    <w:rsid w:val="002A74EF"/>
    <w:rsid w:val="002A771A"/>
    <w:rsid w:val="002A78B6"/>
    <w:rsid w:val="002A790D"/>
    <w:rsid w:val="002A7A31"/>
    <w:rsid w:val="002A7BB9"/>
    <w:rsid w:val="002A7C00"/>
    <w:rsid w:val="002A7E42"/>
    <w:rsid w:val="002B0068"/>
    <w:rsid w:val="002B02F4"/>
    <w:rsid w:val="002B0338"/>
    <w:rsid w:val="002B036D"/>
    <w:rsid w:val="002B03C9"/>
    <w:rsid w:val="002B048C"/>
    <w:rsid w:val="002B061C"/>
    <w:rsid w:val="002B07AF"/>
    <w:rsid w:val="002B07B0"/>
    <w:rsid w:val="002B0888"/>
    <w:rsid w:val="002B08A3"/>
    <w:rsid w:val="002B099E"/>
    <w:rsid w:val="002B0CA1"/>
    <w:rsid w:val="002B0CB3"/>
    <w:rsid w:val="002B0E8E"/>
    <w:rsid w:val="002B1168"/>
    <w:rsid w:val="002B1211"/>
    <w:rsid w:val="002B1591"/>
    <w:rsid w:val="002B1742"/>
    <w:rsid w:val="002B1B04"/>
    <w:rsid w:val="002B1BD1"/>
    <w:rsid w:val="002B1CAB"/>
    <w:rsid w:val="002B1F7E"/>
    <w:rsid w:val="002B2008"/>
    <w:rsid w:val="002B2142"/>
    <w:rsid w:val="002B22DD"/>
    <w:rsid w:val="002B22FB"/>
    <w:rsid w:val="002B2368"/>
    <w:rsid w:val="002B23B0"/>
    <w:rsid w:val="002B26FC"/>
    <w:rsid w:val="002B2E69"/>
    <w:rsid w:val="002B2F79"/>
    <w:rsid w:val="002B2F97"/>
    <w:rsid w:val="002B304E"/>
    <w:rsid w:val="002B3208"/>
    <w:rsid w:val="002B3726"/>
    <w:rsid w:val="002B3829"/>
    <w:rsid w:val="002B3915"/>
    <w:rsid w:val="002B3974"/>
    <w:rsid w:val="002B3AB0"/>
    <w:rsid w:val="002B3B92"/>
    <w:rsid w:val="002B3D92"/>
    <w:rsid w:val="002B3E62"/>
    <w:rsid w:val="002B3F6D"/>
    <w:rsid w:val="002B3FD7"/>
    <w:rsid w:val="002B41AA"/>
    <w:rsid w:val="002B4558"/>
    <w:rsid w:val="002B4C3B"/>
    <w:rsid w:val="002B5036"/>
    <w:rsid w:val="002B5086"/>
    <w:rsid w:val="002B50CD"/>
    <w:rsid w:val="002B5161"/>
    <w:rsid w:val="002B5168"/>
    <w:rsid w:val="002B5456"/>
    <w:rsid w:val="002B54E2"/>
    <w:rsid w:val="002B5CCA"/>
    <w:rsid w:val="002B5DA6"/>
    <w:rsid w:val="002B6591"/>
    <w:rsid w:val="002B669A"/>
    <w:rsid w:val="002B673D"/>
    <w:rsid w:val="002B69CF"/>
    <w:rsid w:val="002B6F0D"/>
    <w:rsid w:val="002B70BC"/>
    <w:rsid w:val="002B7372"/>
    <w:rsid w:val="002B7861"/>
    <w:rsid w:val="002B7A10"/>
    <w:rsid w:val="002B7C49"/>
    <w:rsid w:val="002C0337"/>
    <w:rsid w:val="002C0600"/>
    <w:rsid w:val="002C06D2"/>
    <w:rsid w:val="002C084B"/>
    <w:rsid w:val="002C087C"/>
    <w:rsid w:val="002C08DE"/>
    <w:rsid w:val="002C0B9C"/>
    <w:rsid w:val="002C103E"/>
    <w:rsid w:val="002C1332"/>
    <w:rsid w:val="002C14C3"/>
    <w:rsid w:val="002C1832"/>
    <w:rsid w:val="002C1AC2"/>
    <w:rsid w:val="002C1B16"/>
    <w:rsid w:val="002C1BA9"/>
    <w:rsid w:val="002C1BD7"/>
    <w:rsid w:val="002C1F3D"/>
    <w:rsid w:val="002C22EF"/>
    <w:rsid w:val="002C2422"/>
    <w:rsid w:val="002C25DF"/>
    <w:rsid w:val="002C262A"/>
    <w:rsid w:val="002C27F3"/>
    <w:rsid w:val="002C2809"/>
    <w:rsid w:val="002C28A4"/>
    <w:rsid w:val="002C2933"/>
    <w:rsid w:val="002C2B1F"/>
    <w:rsid w:val="002C2B49"/>
    <w:rsid w:val="002C2B5C"/>
    <w:rsid w:val="002C2C59"/>
    <w:rsid w:val="002C2D67"/>
    <w:rsid w:val="002C2EB6"/>
    <w:rsid w:val="002C31AA"/>
    <w:rsid w:val="002C3CAC"/>
    <w:rsid w:val="002C3DA9"/>
    <w:rsid w:val="002C3F45"/>
    <w:rsid w:val="002C3F87"/>
    <w:rsid w:val="002C4050"/>
    <w:rsid w:val="002C40D0"/>
    <w:rsid w:val="002C4249"/>
    <w:rsid w:val="002C4618"/>
    <w:rsid w:val="002C465D"/>
    <w:rsid w:val="002C4763"/>
    <w:rsid w:val="002C47AA"/>
    <w:rsid w:val="002C481C"/>
    <w:rsid w:val="002C4886"/>
    <w:rsid w:val="002C4BD3"/>
    <w:rsid w:val="002C4DB9"/>
    <w:rsid w:val="002C4F5F"/>
    <w:rsid w:val="002C58E2"/>
    <w:rsid w:val="002C597D"/>
    <w:rsid w:val="002C5A56"/>
    <w:rsid w:val="002C5D5A"/>
    <w:rsid w:val="002C5FCA"/>
    <w:rsid w:val="002C63BF"/>
    <w:rsid w:val="002C656E"/>
    <w:rsid w:val="002C6755"/>
    <w:rsid w:val="002C6A04"/>
    <w:rsid w:val="002C6ACC"/>
    <w:rsid w:val="002C6D6F"/>
    <w:rsid w:val="002C6FA6"/>
    <w:rsid w:val="002C70FD"/>
    <w:rsid w:val="002C7171"/>
    <w:rsid w:val="002C71E1"/>
    <w:rsid w:val="002C72E8"/>
    <w:rsid w:val="002C7316"/>
    <w:rsid w:val="002C74F2"/>
    <w:rsid w:val="002C7682"/>
    <w:rsid w:val="002C78BE"/>
    <w:rsid w:val="002C7A32"/>
    <w:rsid w:val="002C7C2C"/>
    <w:rsid w:val="002C7C35"/>
    <w:rsid w:val="002C7C50"/>
    <w:rsid w:val="002C7CF9"/>
    <w:rsid w:val="002C7EC9"/>
    <w:rsid w:val="002C7F50"/>
    <w:rsid w:val="002D0030"/>
    <w:rsid w:val="002D0235"/>
    <w:rsid w:val="002D0236"/>
    <w:rsid w:val="002D0407"/>
    <w:rsid w:val="002D0965"/>
    <w:rsid w:val="002D0A3E"/>
    <w:rsid w:val="002D0A78"/>
    <w:rsid w:val="002D10AB"/>
    <w:rsid w:val="002D13B5"/>
    <w:rsid w:val="002D14D6"/>
    <w:rsid w:val="002D16A1"/>
    <w:rsid w:val="002D16AE"/>
    <w:rsid w:val="002D1C42"/>
    <w:rsid w:val="002D1D30"/>
    <w:rsid w:val="002D1DEC"/>
    <w:rsid w:val="002D240C"/>
    <w:rsid w:val="002D273D"/>
    <w:rsid w:val="002D281F"/>
    <w:rsid w:val="002D290D"/>
    <w:rsid w:val="002D2A40"/>
    <w:rsid w:val="002D2BE0"/>
    <w:rsid w:val="002D2D98"/>
    <w:rsid w:val="002D2DC9"/>
    <w:rsid w:val="002D3055"/>
    <w:rsid w:val="002D30C1"/>
    <w:rsid w:val="002D315B"/>
    <w:rsid w:val="002D32E3"/>
    <w:rsid w:val="002D38CD"/>
    <w:rsid w:val="002D3CCB"/>
    <w:rsid w:val="002D438B"/>
    <w:rsid w:val="002D44E5"/>
    <w:rsid w:val="002D4570"/>
    <w:rsid w:val="002D45BF"/>
    <w:rsid w:val="002D4664"/>
    <w:rsid w:val="002D47D5"/>
    <w:rsid w:val="002D4986"/>
    <w:rsid w:val="002D4A9E"/>
    <w:rsid w:val="002D4BB7"/>
    <w:rsid w:val="002D4C92"/>
    <w:rsid w:val="002D4CB0"/>
    <w:rsid w:val="002D4E45"/>
    <w:rsid w:val="002D527C"/>
    <w:rsid w:val="002D543F"/>
    <w:rsid w:val="002D57D7"/>
    <w:rsid w:val="002D590F"/>
    <w:rsid w:val="002D5989"/>
    <w:rsid w:val="002D5D57"/>
    <w:rsid w:val="002D5EB2"/>
    <w:rsid w:val="002D65EB"/>
    <w:rsid w:val="002D672E"/>
    <w:rsid w:val="002D6937"/>
    <w:rsid w:val="002D6BFD"/>
    <w:rsid w:val="002D6C02"/>
    <w:rsid w:val="002D6C23"/>
    <w:rsid w:val="002D6DEA"/>
    <w:rsid w:val="002D6F7E"/>
    <w:rsid w:val="002D7006"/>
    <w:rsid w:val="002D71E4"/>
    <w:rsid w:val="002D7214"/>
    <w:rsid w:val="002D7328"/>
    <w:rsid w:val="002D732E"/>
    <w:rsid w:val="002D7390"/>
    <w:rsid w:val="002D76A4"/>
    <w:rsid w:val="002D771E"/>
    <w:rsid w:val="002D776A"/>
    <w:rsid w:val="002D7829"/>
    <w:rsid w:val="002D783E"/>
    <w:rsid w:val="002D791E"/>
    <w:rsid w:val="002D7985"/>
    <w:rsid w:val="002D7A8A"/>
    <w:rsid w:val="002D7BA1"/>
    <w:rsid w:val="002D7BCD"/>
    <w:rsid w:val="002D7C31"/>
    <w:rsid w:val="002D7FDF"/>
    <w:rsid w:val="002E0004"/>
    <w:rsid w:val="002E01B8"/>
    <w:rsid w:val="002E0242"/>
    <w:rsid w:val="002E0541"/>
    <w:rsid w:val="002E095E"/>
    <w:rsid w:val="002E09FD"/>
    <w:rsid w:val="002E0B00"/>
    <w:rsid w:val="002E0B8E"/>
    <w:rsid w:val="002E0CC9"/>
    <w:rsid w:val="002E0CF8"/>
    <w:rsid w:val="002E0D5F"/>
    <w:rsid w:val="002E0E2A"/>
    <w:rsid w:val="002E0FA4"/>
    <w:rsid w:val="002E1078"/>
    <w:rsid w:val="002E10C8"/>
    <w:rsid w:val="002E1316"/>
    <w:rsid w:val="002E13BA"/>
    <w:rsid w:val="002E17AE"/>
    <w:rsid w:val="002E1844"/>
    <w:rsid w:val="002E1A67"/>
    <w:rsid w:val="002E1BF7"/>
    <w:rsid w:val="002E1F79"/>
    <w:rsid w:val="002E1FB6"/>
    <w:rsid w:val="002E1FCC"/>
    <w:rsid w:val="002E222C"/>
    <w:rsid w:val="002E2ED9"/>
    <w:rsid w:val="002E2F43"/>
    <w:rsid w:val="002E30CC"/>
    <w:rsid w:val="002E3559"/>
    <w:rsid w:val="002E368D"/>
    <w:rsid w:val="002E369E"/>
    <w:rsid w:val="002E3B82"/>
    <w:rsid w:val="002E3D06"/>
    <w:rsid w:val="002E3D9E"/>
    <w:rsid w:val="002E4014"/>
    <w:rsid w:val="002E4070"/>
    <w:rsid w:val="002E4084"/>
    <w:rsid w:val="002E408F"/>
    <w:rsid w:val="002E4133"/>
    <w:rsid w:val="002E454C"/>
    <w:rsid w:val="002E4711"/>
    <w:rsid w:val="002E471F"/>
    <w:rsid w:val="002E4B37"/>
    <w:rsid w:val="002E4DDD"/>
    <w:rsid w:val="002E4DE0"/>
    <w:rsid w:val="002E5472"/>
    <w:rsid w:val="002E5931"/>
    <w:rsid w:val="002E5B5B"/>
    <w:rsid w:val="002E5C49"/>
    <w:rsid w:val="002E5C72"/>
    <w:rsid w:val="002E61D3"/>
    <w:rsid w:val="002E63FF"/>
    <w:rsid w:val="002E6486"/>
    <w:rsid w:val="002E64CA"/>
    <w:rsid w:val="002E6878"/>
    <w:rsid w:val="002E6D61"/>
    <w:rsid w:val="002E6F8A"/>
    <w:rsid w:val="002E70D7"/>
    <w:rsid w:val="002E719D"/>
    <w:rsid w:val="002E71A7"/>
    <w:rsid w:val="002E724C"/>
    <w:rsid w:val="002E728A"/>
    <w:rsid w:val="002E7320"/>
    <w:rsid w:val="002E7447"/>
    <w:rsid w:val="002E74F7"/>
    <w:rsid w:val="002E770E"/>
    <w:rsid w:val="002E77D3"/>
    <w:rsid w:val="002E7870"/>
    <w:rsid w:val="002E7B6F"/>
    <w:rsid w:val="002E7BB4"/>
    <w:rsid w:val="002E7CCE"/>
    <w:rsid w:val="002E7DEF"/>
    <w:rsid w:val="002E7F55"/>
    <w:rsid w:val="002F01AF"/>
    <w:rsid w:val="002F021C"/>
    <w:rsid w:val="002F03EA"/>
    <w:rsid w:val="002F0447"/>
    <w:rsid w:val="002F04D4"/>
    <w:rsid w:val="002F04E3"/>
    <w:rsid w:val="002F06AA"/>
    <w:rsid w:val="002F07D7"/>
    <w:rsid w:val="002F0987"/>
    <w:rsid w:val="002F0A7B"/>
    <w:rsid w:val="002F0C3C"/>
    <w:rsid w:val="002F0C96"/>
    <w:rsid w:val="002F1053"/>
    <w:rsid w:val="002F10CA"/>
    <w:rsid w:val="002F1186"/>
    <w:rsid w:val="002F13B2"/>
    <w:rsid w:val="002F14BA"/>
    <w:rsid w:val="002F151C"/>
    <w:rsid w:val="002F1715"/>
    <w:rsid w:val="002F180D"/>
    <w:rsid w:val="002F1915"/>
    <w:rsid w:val="002F1995"/>
    <w:rsid w:val="002F1B08"/>
    <w:rsid w:val="002F1BDB"/>
    <w:rsid w:val="002F1C00"/>
    <w:rsid w:val="002F1C4E"/>
    <w:rsid w:val="002F1DB3"/>
    <w:rsid w:val="002F1E6F"/>
    <w:rsid w:val="002F1FCB"/>
    <w:rsid w:val="002F2047"/>
    <w:rsid w:val="002F2273"/>
    <w:rsid w:val="002F23FA"/>
    <w:rsid w:val="002F26BF"/>
    <w:rsid w:val="002F270D"/>
    <w:rsid w:val="002F27C2"/>
    <w:rsid w:val="002F2963"/>
    <w:rsid w:val="002F2DE1"/>
    <w:rsid w:val="002F2EBE"/>
    <w:rsid w:val="002F308B"/>
    <w:rsid w:val="002F3109"/>
    <w:rsid w:val="002F322C"/>
    <w:rsid w:val="002F3329"/>
    <w:rsid w:val="002F3580"/>
    <w:rsid w:val="002F363D"/>
    <w:rsid w:val="002F38B4"/>
    <w:rsid w:val="002F392C"/>
    <w:rsid w:val="002F3BE4"/>
    <w:rsid w:val="002F3E1D"/>
    <w:rsid w:val="002F3E92"/>
    <w:rsid w:val="002F3F28"/>
    <w:rsid w:val="002F4119"/>
    <w:rsid w:val="002F424B"/>
    <w:rsid w:val="002F439F"/>
    <w:rsid w:val="002F43AF"/>
    <w:rsid w:val="002F43ED"/>
    <w:rsid w:val="002F4407"/>
    <w:rsid w:val="002F45EC"/>
    <w:rsid w:val="002F484E"/>
    <w:rsid w:val="002F50D7"/>
    <w:rsid w:val="002F515B"/>
    <w:rsid w:val="002F5277"/>
    <w:rsid w:val="002F551F"/>
    <w:rsid w:val="002F560B"/>
    <w:rsid w:val="002F577E"/>
    <w:rsid w:val="002F582D"/>
    <w:rsid w:val="002F5B5E"/>
    <w:rsid w:val="002F5E0D"/>
    <w:rsid w:val="002F617F"/>
    <w:rsid w:val="002F6247"/>
    <w:rsid w:val="002F62A3"/>
    <w:rsid w:val="002F65B6"/>
    <w:rsid w:val="002F6940"/>
    <w:rsid w:val="002F6B47"/>
    <w:rsid w:val="002F6D61"/>
    <w:rsid w:val="002F6DAB"/>
    <w:rsid w:val="002F6EE9"/>
    <w:rsid w:val="002F73C5"/>
    <w:rsid w:val="002F78DA"/>
    <w:rsid w:val="002F7F12"/>
    <w:rsid w:val="00300109"/>
    <w:rsid w:val="003002FE"/>
    <w:rsid w:val="0030033D"/>
    <w:rsid w:val="0030047F"/>
    <w:rsid w:val="0030048C"/>
    <w:rsid w:val="00300676"/>
    <w:rsid w:val="003006F0"/>
    <w:rsid w:val="0030081D"/>
    <w:rsid w:val="00300BA9"/>
    <w:rsid w:val="00300D7B"/>
    <w:rsid w:val="00300EC8"/>
    <w:rsid w:val="003011EB"/>
    <w:rsid w:val="003011EC"/>
    <w:rsid w:val="0030138A"/>
    <w:rsid w:val="00301435"/>
    <w:rsid w:val="00301456"/>
    <w:rsid w:val="003014D3"/>
    <w:rsid w:val="003016F6"/>
    <w:rsid w:val="00301755"/>
    <w:rsid w:val="003018D7"/>
    <w:rsid w:val="00301B63"/>
    <w:rsid w:val="00301DD8"/>
    <w:rsid w:val="00301E9D"/>
    <w:rsid w:val="00301F93"/>
    <w:rsid w:val="00301FDB"/>
    <w:rsid w:val="0030248B"/>
    <w:rsid w:val="0030266E"/>
    <w:rsid w:val="003027A4"/>
    <w:rsid w:val="003028CB"/>
    <w:rsid w:val="003028E1"/>
    <w:rsid w:val="00302A74"/>
    <w:rsid w:val="00302C97"/>
    <w:rsid w:val="00302D25"/>
    <w:rsid w:val="00302E61"/>
    <w:rsid w:val="00303081"/>
    <w:rsid w:val="0030336D"/>
    <w:rsid w:val="0030350E"/>
    <w:rsid w:val="00303AE5"/>
    <w:rsid w:val="00303BBA"/>
    <w:rsid w:val="00303E55"/>
    <w:rsid w:val="00303F39"/>
    <w:rsid w:val="00304047"/>
    <w:rsid w:val="003040CE"/>
    <w:rsid w:val="0030444F"/>
    <w:rsid w:val="003044BD"/>
    <w:rsid w:val="00304704"/>
    <w:rsid w:val="00304C2E"/>
    <w:rsid w:val="00304C4F"/>
    <w:rsid w:val="00304CD1"/>
    <w:rsid w:val="00304DA1"/>
    <w:rsid w:val="00304F2F"/>
    <w:rsid w:val="003051A0"/>
    <w:rsid w:val="0030563E"/>
    <w:rsid w:val="00305A45"/>
    <w:rsid w:val="00305BA9"/>
    <w:rsid w:val="00305DAF"/>
    <w:rsid w:val="00306035"/>
    <w:rsid w:val="00306096"/>
    <w:rsid w:val="003061C4"/>
    <w:rsid w:val="0030623E"/>
    <w:rsid w:val="0030665E"/>
    <w:rsid w:val="0030671F"/>
    <w:rsid w:val="00306772"/>
    <w:rsid w:val="00306894"/>
    <w:rsid w:val="00306CF1"/>
    <w:rsid w:val="00306D85"/>
    <w:rsid w:val="00307155"/>
    <w:rsid w:val="00307242"/>
    <w:rsid w:val="0030729E"/>
    <w:rsid w:val="003072B2"/>
    <w:rsid w:val="003075B1"/>
    <w:rsid w:val="00307733"/>
    <w:rsid w:val="003077D5"/>
    <w:rsid w:val="003078AB"/>
    <w:rsid w:val="00307956"/>
    <w:rsid w:val="00307D25"/>
    <w:rsid w:val="00307E11"/>
    <w:rsid w:val="00307F34"/>
    <w:rsid w:val="00307FBE"/>
    <w:rsid w:val="00310220"/>
    <w:rsid w:val="00310311"/>
    <w:rsid w:val="003103EE"/>
    <w:rsid w:val="00310708"/>
    <w:rsid w:val="00310D70"/>
    <w:rsid w:val="00311002"/>
    <w:rsid w:val="003111CD"/>
    <w:rsid w:val="003112B8"/>
    <w:rsid w:val="0031156E"/>
    <w:rsid w:val="00311618"/>
    <w:rsid w:val="0031161A"/>
    <w:rsid w:val="003118DC"/>
    <w:rsid w:val="003120B1"/>
    <w:rsid w:val="0031221B"/>
    <w:rsid w:val="003122F4"/>
    <w:rsid w:val="00312690"/>
    <w:rsid w:val="00312707"/>
    <w:rsid w:val="00312715"/>
    <w:rsid w:val="0031272E"/>
    <w:rsid w:val="00312870"/>
    <w:rsid w:val="003128EE"/>
    <w:rsid w:val="00312E60"/>
    <w:rsid w:val="00312EC7"/>
    <w:rsid w:val="003132D4"/>
    <w:rsid w:val="00313840"/>
    <w:rsid w:val="003139FD"/>
    <w:rsid w:val="00313C6D"/>
    <w:rsid w:val="00313D2B"/>
    <w:rsid w:val="00313E37"/>
    <w:rsid w:val="00313E93"/>
    <w:rsid w:val="00313EF8"/>
    <w:rsid w:val="00314169"/>
    <w:rsid w:val="003141AE"/>
    <w:rsid w:val="00314378"/>
    <w:rsid w:val="003143A2"/>
    <w:rsid w:val="00314478"/>
    <w:rsid w:val="003149F0"/>
    <w:rsid w:val="00314A9E"/>
    <w:rsid w:val="00314D2C"/>
    <w:rsid w:val="00314E86"/>
    <w:rsid w:val="003154B3"/>
    <w:rsid w:val="003158B4"/>
    <w:rsid w:val="00315D2B"/>
    <w:rsid w:val="00315E86"/>
    <w:rsid w:val="00316037"/>
    <w:rsid w:val="003162C2"/>
    <w:rsid w:val="003163CB"/>
    <w:rsid w:val="00316684"/>
    <w:rsid w:val="0031683C"/>
    <w:rsid w:val="0031696C"/>
    <w:rsid w:val="003169F2"/>
    <w:rsid w:val="00316B96"/>
    <w:rsid w:val="00316BE9"/>
    <w:rsid w:val="00316F77"/>
    <w:rsid w:val="00317057"/>
    <w:rsid w:val="003171B1"/>
    <w:rsid w:val="00317278"/>
    <w:rsid w:val="0031736D"/>
    <w:rsid w:val="0031739B"/>
    <w:rsid w:val="003175CF"/>
    <w:rsid w:val="003179E6"/>
    <w:rsid w:val="00317B9C"/>
    <w:rsid w:val="00317BEC"/>
    <w:rsid w:val="00317DB5"/>
    <w:rsid w:val="00317DC0"/>
    <w:rsid w:val="00317F28"/>
    <w:rsid w:val="0032059D"/>
    <w:rsid w:val="00320695"/>
    <w:rsid w:val="003206F8"/>
    <w:rsid w:val="0032112D"/>
    <w:rsid w:val="003211CD"/>
    <w:rsid w:val="0032123F"/>
    <w:rsid w:val="00321339"/>
    <w:rsid w:val="0032138A"/>
    <w:rsid w:val="0032141B"/>
    <w:rsid w:val="003215AA"/>
    <w:rsid w:val="0032161C"/>
    <w:rsid w:val="0032179E"/>
    <w:rsid w:val="00321892"/>
    <w:rsid w:val="00321BF1"/>
    <w:rsid w:val="00321CD6"/>
    <w:rsid w:val="00321E8C"/>
    <w:rsid w:val="00322080"/>
    <w:rsid w:val="00322245"/>
    <w:rsid w:val="00322325"/>
    <w:rsid w:val="00322462"/>
    <w:rsid w:val="00322623"/>
    <w:rsid w:val="00322C88"/>
    <w:rsid w:val="00322DCE"/>
    <w:rsid w:val="00323132"/>
    <w:rsid w:val="00323415"/>
    <w:rsid w:val="0032344F"/>
    <w:rsid w:val="00323645"/>
    <w:rsid w:val="0032399C"/>
    <w:rsid w:val="003239E4"/>
    <w:rsid w:val="00323A54"/>
    <w:rsid w:val="00324018"/>
    <w:rsid w:val="0032428A"/>
    <w:rsid w:val="00324780"/>
    <w:rsid w:val="00324863"/>
    <w:rsid w:val="00324E6C"/>
    <w:rsid w:val="00324F53"/>
    <w:rsid w:val="0032524F"/>
    <w:rsid w:val="00325760"/>
    <w:rsid w:val="003259C9"/>
    <w:rsid w:val="00325C11"/>
    <w:rsid w:val="00325C1F"/>
    <w:rsid w:val="00325C4F"/>
    <w:rsid w:val="00325D9B"/>
    <w:rsid w:val="00326140"/>
    <w:rsid w:val="003261E1"/>
    <w:rsid w:val="00326312"/>
    <w:rsid w:val="003268D5"/>
    <w:rsid w:val="00326B3D"/>
    <w:rsid w:val="00326CB9"/>
    <w:rsid w:val="00326E2D"/>
    <w:rsid w:val="00327199"/>
    <w:rsid w:val="0032741A"/>
    <w:rsid w:val="00327498"/>
    <w:rsid w:val="0032751D"/>
    <w:rsid w:val="0032777A"/>
    <w:rsid w:val="003278D3"/>
    <w:rsid w:val="00327A2D"/>
    <w:rsid w:val="00327A56"/>
    <w:rsid w:val="00327B0F"/>
    <w:rsid w:val="00327BA2"/>
    <w:rsid w:val="00327C2A"/>
    <w:rsid w:val="00327E0E"/>
    <w:rsid w:val="00327E16"/>
    <w:rsid w:val="00330670"/>
    <w:rsid w:val="00330689"/>
    <w:rsid w:val="00330DF2"/>
    <w:rsid w:val="0033118B"/>
    <w:rsid w:val="0033129D"/>
    <w:rsid w:val="00331300"/>
    <w:rsid w:val="00331512"/>
    <w:rsid w:val="00331535"/>
    <w:rsid w:val="00331606"/>
    <w:rsid w:val="00331613"/>
    <w:rsid w:val="003316AF"/>
    <w:rsid w:val="003318D0"/>
    <w:rsid w:val="00331C1A"/>
    <w:rsid w:val="00331DE3"/>
    <w:rsid w:val="00332318"/>
    <w:rsid w:val="00332515"/>
    <w:rsid w:val="003329CB"/>
    <w:rsid w:val="00332B9D"/>
    <w:rsid w:val="0033312E"/>
    <w:rsid w:val="003333B0"/>
    <w:rsid w:val="00333DC3"/>
    <w:rsid w:val="00333F52"/>
    <w:rsid w:val="00333FFF"/>
    <w:rsid w:val="00334380"/>
    <w:rsid w:val="0033446F"/>
    <w:rsid w:val="00334C2D"/>
    <w:rsid w:val="00334DA4"/>
    <w:rsid w:val="00334E05"/>
    <w:rsid w:val="00334FF4"/>
    <w:rsid w:val="00334FF9"/>
    <w:rsid w:val="0033503D"/>
    <w:rsid w:val="003351FC"/>
    <w:rsid w:val="00335351"/>
    <w:rsid w:val="00335542"/>
    <w:rsid w:val="00335550"/>
    <w:rsid w:val="003357B7"/>
    <w:rsid w:val="00335D14"/>
    <w:rsid w:val="00335DD4"/>
    <w:rsid w:val="00335F44"/>
    <w:rsid w:val="00335F48"/>
    <w:rsid w:val="0033604E"/>
    <w:rsid w:val="003363F0"/>
    <w:rsid w:val="00336462"/>
    <w:rsid w:val="003365B7"/>
    <w:rsid w:val="0033674B"/>
    <w:rsid w:val="00336839"/>
    <w:rsid w:val="00336AE8"/>
    <w:rsid w:val="00336B17"/>
    <w:rsid w:val="00336B49"/>
    <w:rsid w:val="00336E4B"/>
    <w:rsid w:val="00336EA8"/>
    <w:rsid w:val="0033755F"/>
    <w:rsid w:val="003375AE"/>
    <w:rsid w:val="00337634"/>
    <w:rsid w:val="003379DC"/>
    <w:rsid w:val="00337E47"/>
    <w:rsid w:val="00337F3E"/>
    <w:rsid w:val="00337FF8"/>
    <w:rsid w:val="00340093"/>
    <w:rsid w:val="0034060C"/>
    <w:rsid w:val="003408F2"/>
    <w:rsid w:val="00340AA9"/>
    <w:rsid w:val="00340CC8"/>
    <w:rsid w:val="003412B2"/>
    <w:rsid w:val="00341429"/>
    <w:rsid w:val="00341A0D"/>
    <w:rsid w:val="00341DB6"/>
    <w:rsid w:val="00341F71"/>
    <w:rsid w:val="00341FC5"/>
    <w:rsid w:val="0034213B"/>
    <w:rsid w:val="0034227F"/>
    <w:rsid w:val="00342517"/>
    <w:rsid w:val="0034279E"/>
    <w:rsid w:val="003427B9"/>
    <w:rsid w:val="00342852"/>
    <w:rsid w:val="0034299D"/>
    <w:rsid w:val="00342A29"/>
    <w:rsid w:val="00342A4C"/>
    <w:rsid w:val="00342AB2"/>
    <w:rsid w:val="00342CCC"/>
    <w:rsid w:val="00342CF8"/>
    <w:rsid w:val="00342D50"/>
    <w:rsid w:val="00342DFD"/>
    <w:rsid w:val="00342F33"/>
    <w:rsid w:val="00343526"/>
    <w:rsid w:val="003436E7"/>
    <w:rsid w:val="0034389E"/>
    <w:rsid w:val="00343B54"/>
    <w:rsid w:val="00343B7D"/>
    <w:rsid w:val="00343BF4"/>
    <w:rsid w:val="00343C4C"/>
    <w:rsid w:val="00343CFD"/>
    <w:rsid w:val="00343D10"/>
    <w:rsid w:val="00344102"/>
    <w:rsid w:val="0034416A"/>
    <w:rsid w:val="003442AB"/>
    <w:rsid w:val="0034435E"/>
    <w:rsid w:val="0034440F"/>
    <w:rsid w:val="003444C1"/>
    <w:rsid w:val="00344779"/>
    <w:rsid w:val="003448F6"/>
    <w:rsid w:val="00344962"/>
    <w:rsid w:val="00344B79"/>
    <w:rsid w:val="00344C6F"/>
    <w:rsid w:val="00344C72"/>
    <w:rsid w:val="00344F99"/>
    <w:rsid w:val="00344FD7"/>
    <w:rsid w:val="003450B3"/>
    <w:rsid w:val="00345190"/>
    <w:rsid w:val="003453F0"/>
    <w:rsid w:val="00345428"/>
    <w:rsid w:val="003454A6"/>
    <w:rsid w:val="0034554E"/>
    <w:rsid w:val="00345566"/>
    <w:rsid w:val="003457C9"/>
    <w:rsid w:val="00345A2D"/>
    <w:rsid w:val="00345BB8"/>
    <w:rsid w:val="00345EBA"/>
    <w:rsid w:val="003462B0"/>
    <w:rsid w:val="0034658C"/>
    <w:rsid w:val="003466FA"/>
    <w:rsid w:val="003467E7"/>
    <w:rsid w:val="00346D57"/>
    <w:rsid w:val="00346E8C"/>
    <w:rsid w:val="00347446"/>
    <w:rsid w:val="00347488"/>
    <w:rsid w:val="003475D8"/>
    <w:rsid w:val="003477AC"/>
    <w:rsid w:val="00347B02"/>
    <w:rsid w:val="00347C85"/>
    <w:rsid w:val="00347EE2"/>
    <w:rsid w:val="0035000F"/>
    <w:rsid w:val="00350759"/>
    <w:rsid w:val="0035089E"/>
    <w:rsid w:val="00350A9C"/>
    <w:rsid w:val="00350C07"/>
    <w:rsid w:val="00350DB9"/>
    <w:rsid w:val="00350DE0"/>
    <w:rsid w:val="00350E0D"/>
    <w:rsid w:val="00351013"/>
    <w:rsid w:val="00351605"/>
    <w:rsid w:val="0035197B"/>
    <w:rsid w:val="003519DC"/>
    <w:rsid w:val="00351B7D"/>
    <w:rsid w:val="00351BAE"/>
    <w:rsid w:val="00351F0C"/>
    <w:rsid w:val="00351F4B"/>
    <w:rsid w:val="00351F93"/>
    <w:rsid w:val="00352003"/>
    <w:rsid w:val="00352009"/>
    <w:rsid w:val="00352153"/>
    <w:rsid w:val="00352380"/>
    <w:rsid w:val="003523A1"/>
    <w:rsid w:val="00352493"/>
    <w:rsid w:val="0035272C"/>
    <w:rsid w:val="00352BF7"/>
    <w:rsid w:val="00352E4E"/>
    <w:rsid w:val="003530E4"/>
    <w:rsid w:val="0035329B"/>
    <w:rsid w:val="0035332E"/>
    <w:rsid w:val="0035333B"/>
    <w:rsid w:val="00353668"/>
    <w:rsid w:val="00353912"/>
    <w:rsid w:val="00353AB6"/>
    <w:rsid w:val="00353AED"/>
    <w:rsid w:val="00353D7F"/>
    <w:rsid w:val="00353E0D"/>
    <w:rsid w:val="00353FA6"/>
    <w:rsid w:val="003540F9"/>
    <w:rsid w:val="00354301"/>
    <w:rsid w:val="00354471"/>
    <w:rsid w:val="00354484"/>
    <w:rsid w:val="0035474B"/>
    <w:rsid w:val="00354972"/>
    <w:rsid w:val="00354C0B"/>
    <w:rsid w:val="00354C5F"/>
    <w:rsid w:val="00354D27"/>
    <w:rsid w:val="00354E6A"/>
    <w:rsid w:val="00354F19"/>
    <w:rsid w:val="0035516E"/>
    <w:rsid w:val="0035518D"/>
    <w:rsid w:val="003552C6"/>
    <w:rsid w:val="00355323"/>
    <w:rsid w:val="0035547F"/>
    <w:rsid w:val="00355556"/>
    <w:rsid w:val="0035562A"/>
    <w:rsid w:val="003556CB"/>
    <w:rsid w:val="00355A29"/>
    <w:rsid w:val="00355C12"/>
    <w:rsid w:val="00355D70"/>
    <w:rsid w:val="00355D7A"/>
    <w:rsid w:val="00355E0E"/>
    <w:rsid w:val="00355F43"/>
    <w:rsid w:val="003563F7"/>
    <w:rsid w:val="00356556"/>
    <w:rsid w:val="003567E2"/>
    <w:rsid w:val="00356890"/>
    <w:rsid w:val="00356B40"/>
    <w:rsid w:val="00356B54"/>
    <w:rsid w:val="00356BF8"/>
    <w:rsid w:val="00356C44"/>
    <w:rsid w:val="00356D7D"/>
    <w:rsid w:val="00356F5E"/>
    <w:rsid w:val="00356FCC"/>
    <w:rsid w:val="00357120"/>
    <w:rsid w:val="003572E0"/>
    <w:rsid w:val="0035738A"/>
    <w:rsid w:val="00357457"/>
    <w:rsid w:val="0035746D"/>
    <w:rsid w:val="003576D4"/>
    <w:rsid w:val="00357B02"/>
    <w:rsid w:val="00357C78"/>
    <w:rsid w:val="00357C79"/>
    <w:rsid w:val="00357D9F"/>
    <w:rsid w:val="00357E78"/>
    <w:rsid w:val="00360187"/>
    <w:rsid w:val="00360287"/>
    <w:rsid w:val="0036044C"/>
    <w:rsid w:val="00360581"/>
    <w:rsid w:val="0036076C"/>
    <w:rsid w:val="00360792"/>
    <w:rsid w:val="0036089C"/>
    <w:rsid w:val="00360BD1"/>
    <w:rsid w:val="003611EB"/>
    <w:rsid w:val="003612E9"/>
    <w:rsid w:val="00361915"/>
    <w:rsid w:val="003619DC"/>
    <w:rsid w:val="00361B06"/>
    <w:rsid w:val="00361D14"/>
    <w:rsid w:val="00361ECE"/>
    <w:rsid w:val="00361FD9"/>
    <w:rsid w:val="00362160"/>
    <w:rsid w:val="00362189"/>
    <w:rsid w:val="003628EA"/>
    <w:rsid w:val="00362A63"/>
    <w:rsid w:val="00362C68"/>
    <w:rsid w:val="00362D34"/>
    <w:rsid w:val="00362DAF"/>
    <w:rsid w:val="00362FF3"/>
    <w:rsid w:val="003630FF"/>
    <w:rsid w:val="0036322B"/>
    <w:rsid w:val="00363803"/>
    <w:rsid w:val="00363A2B"/>
    <w:rsid w:val="00363B10"/>
    <w:rsid w:val="003640EC"/>
    <w:rsid w:val="00364392"/>
    <w:rsid w:val="0036478A"/>
    <w:rsid w:val="00364821"/>
    <w:rsid w:val="00364837"/>
    <w:rsid w:val="00364D1A"/>
    <w:rsid w:val="00364F98"/>
    <w:rsid w:val="00365214"/>
    <w:rsid w:val="003652D0"/>
    <w:rsid w:val="00365B6A"/>
    <w:rsid w:val="00365DF7"/>
    <w:rsid w:val="00366009"/>
    <w:rsid w:val="00366129"/>
    <w:rsid w:val="003661B6"/>
    <w:rsid w:val="00366598"/>
    <w:rsid w:val="003667E1"/>
    <w:rsid w:val="0036693B"/>
    <w:rsid w:val="003671A0"/>
    <w:rsid w:val="003672CF"/>
    <w:rsid w:val="0036730C"/>
    <w:rsid w:val="00367531"/>
    <w:rsid w:val="0036757B"/>
    <w:rsid w:val="003676C1"/>
    <w:rsid w:val="003678FC"/>
    <w:rsid w:val="00367B2D"/>
    <w:rsid w:val="00367BFE"/>
    <w:rsid w:val="00367C77"/>
    <w:rsid w:val="00367CC3"/>
    <w:rsid w:val="00367DA2"/>
    <w:rsid w:val="00367DD7"/>
    <w:rsid w:val="00367F16"/>
    <w:rsid w:val="00370420"/>
    <w:rsid w:val="003704F4"/>
    <w:rsid w:val="003706DC"/>
    <w:rsid w:val="003708AB"/>
    <w:rsid w:val="003708F3"/>
    <w:rsid w:val="00370B28"/>
    <w:rsid w:val="00371234"/>
    <w:rsid w:val="003714BA"/>
    <w:rsid w:val="003719D3"/>
    <w:rsid w:val="00371BFC"/>
    <w:rsid w:val="00372072"/>
    <w:rsid w:val="0037221F"/>
    <w:rsid w:val="00372260"/>
    <w:rsid w:val="0037228E"/>
    <w:rsid w:val="003727EE"/>
    <w:rsid w:val="003728E4"/>
    <w:rsid w:val="00372A53"/>
    <w:rsid w:val="00372A67"/>
    <w:rsid w:val="00372F19"/>
    <w:rsid w:val="00372F5E"/>
    <w:rsid w:val="003730A7"/>
    <w:rsid w:val="0037329F"/>
    <w:rsid w:val="0037379F"/>
    <w:rsid w:val="003737BD"/>
    <w:rsid w:val="00373837"/>
    <w:rsid w:val="00373930"/>
    <w:rsid w:val="00373B6F"/>
    <w:rsid w:val="00373D51"/>
    <w:rsid w:val="00373D62"/>
    <w:rsid w:val="00373DC5"/>
    <w:rsid w:val="00374198"/>
    <w:rsid w:val="0037421F"/>
    <w:rsid w:val="00374279"/>
    <w:rsid w:val="003744CA"/>
    <w:rsid w:val="00374536"/>
    <w:rsid w:val="00374688"/>
    <w:rsid w:val="00374828"/>
    <w:rsid w:val="00374980"/>
    <w:rsid w:val="00374DFC"/>
    <w:rsid w:val="00375423"/>
    <w:rsid w:val="003754EB"/>
    <w:rsid w:val="003754EE"/>
    <w:rsid w:val="0037551A"/>
    <w:rsid w:val="00375655"/>
    <w:rsid w:val="003756AD"/>
    <w:rsid w:val="00375BB3"/>
    <w:rsid w:val="00375C1C"/>
    <w:rsid w:val="00375CD3"/>
    <w:rsid w:val="00375D2C"/>
    <w:rsid w:val="00375DEE"/>
    <w:rsid w:val="00375E72"/>
    <w:rsid w:val="00375E7F"/>
    <w:rsid w:val="00376267"/>
    <w:rsid w:val="0037680D"/>
    <w:rsid w:val="00376865"/>
    <w:rsid w:val="003768BF"/>
    <w:rsid w:val="00376A51"/>
    <w:rsid w:val="00376DA1"/>
    <w:rsid w:val="003770A8"/>
    <w:rsid w:val="00377158"/>
    <w:rsid w:val="00377472"/>
    <w:rsid w:val="003779AC"/>
    <w:rsid w:val="00377AD2"/>
    <w:rsid w:val="00377AD7"/>
    <w:rsid w:val="00377AE1"/>
    <w:rsid w:val="00377B09"/>
    <w:rsid w:val="00377BD2"/>
    <w:rsid w:val="00377DC9"/>
    <w:rsid w:val="00377DCC"/>
    <w:rsid w:val="00377EF7"/>
    <w:rsid w:val="00380305"/>
    <w:rsid w:val="00380734"/>
    <w:rsid w:val="0038077D"/>
    <w:rsid w:val="003808E7"/>
    <w:rsid w:val="003809DE"/>
    <w:rsid w:val="00380C3A"/>
    <w:rsid w:val="00380E41"/>
    <w:rsid w:val="0038108F"/>
    <w:rsid w:val="003810CA"/>
    <w:rsid w:val="003813C8"/>
    <w:rsid w:val="003813F8"/>
    <w:rsid w:val="003816ED"/>
    <w:rsid w:val="003817EC"/>
    <w:rsid w:val="003818A9"/>
    <w:rsid w:val="00381958"/>
    <w:rsid w:val="00381980"/>
    <w:rsid w:val="003819A4"/>
    <w:rsid w:val="00381AE3"/>
    <w:rsid w:val="00381AE9"/>
    <w:rsid w:val="00381D0A"/>
    <w:rsid w:val="00381F0E"/>
    <w:rsid w:val="00381F18"/>
    <w:rsid w:val="00382126"/>
    <w:rsid w:val="003824AE"/>
    <w:rsid w:val="00382B0D"/>
    <w:rsid w:val="00382D2E"/>
    <w:rsid w:val="00382D7B"/>
    <w:rsid w:val="00382DB5"/>
    <w:rsid w:val="00382DBE"/>
    <w:rsid w:val="00382DCA"/>
    <w:rsid w:val="00382EAE"/>
    <w:rsid w:val="00382F6D"/>
    <w:rsid w:val="00382FFD"/>
    <w:rsid w:val="003832AD"/>
    <w:rsid w:val="0038340F"/>
    <w:rsid w:val="00383686"/>
    <w:rsid w:val="0038378B"/>
    <w:rsid w:val="00383F14"/>
    <w:rsid w:val="00384B77"/>
    <w:rsid w:val="00384BF7"/>
    <w:rsid w:val="00384E1B"/>
    <w:rsid w:val="00385323"/>
    <w:rsid w:val="00385478"/>
    <w:rsid w:val="00385490"/>
    <w:rsid w:val="003855FB"/>
    <w:rsid w:val="00385623"/>
    <w:rsid w:val="0038575D"/>
    <w:rsid w:val="003858A6"/>
    <w:rsid w:val="003858FA"/>
    <w:rsid w:val="00385A1E"/>
    <w:rsid w:val="00385AB4"/>
    <w:rsid w:val="003860C2"/>
    <w:rsid w:val="00386297"/>
    <w:rsid w:val="00386619"/>
    <w:rsid w:val="0038662E"/>
    <w:rsid w:val="003866AD"/>
    <w:rsid w:val="00386735"/>
    <w:rsid w:val="0038686C"/>
    <w:rsid w:val="00386B81"/>
    <w:rsid w:val="00386BE0"/>
    <w:rsid w:val="003870CC"/>
    <w:rsid w:val="00387180"/>
    <w:rsid w:val="003871C0"/>
    <w:rsid w:val="0038740E"/>
    <w:rsid w:val="00387877"/>
    <w:rsid w:val="003878E1"/>
    <w:rsid w:val="00390149"/>
    <w:rsid w:val="003901D5"/>
    <w:rsid w:val="003903AE"/>
    <w:rsid w:val="00390642"/>
    <w:rsid w:val="00390938"/>
    <w:rsid w:val="00390BDB"/>
    <w:rsid w:val="00390C24"/>
    <w:rsid w:val="00390E29"/>
    <w:rsid w:val="00391245"/>
    <w:rsid w:val="003914B2"/>
    <w:rsid w:val="00391563"/>
    <w:rsid w:val="00391753"/>
    <w:rsid w:val="00391776"/>
    <w:rsid w:val="003919D9"/>
    <w:rsid w:val="00391A04"/>
    <w:rsid w:val="00391A75"/>
    <w:rsid w:val="00391AAF"/>
    <w:rsid w:val="00391D94"/>
    <w:rsid w:val="00391E6D"/>
    <w:rsid w:val="00392237"/>
    <w:rsid w:val="00392349"/>
    <w:rsid w:val="00392504"/>
    <w:rsid w:val="00392523"/>
    <w:rsid w:val="003927D3"/>
    <w:rsid w:val="0039282F"/>
    <w:rsid w:val="003929C8"/>
    <w:rsid w:val="00392B06"/>
    <w:rsid w:val="00392BD2"/>
    <w:rsid w:val="00392C96"/>
    <w:rsid w:val="00392CA6"/>
    <w:rsid w:val="00392DC8"/>
    <w:rsid w:val="00392DCC"/>
    <w:rsid w:val="00392F2F"/>
    <w:rsid w:val="003931B9"/>
    <w:rsid w:val="0039337A"/>
    <w:rsid w:val="00393694"/>
    <w:rsid w:val="00393B7C"/>
    <w:rsid w:val="00393CD6"/>
    <w:rsid w:val="00393DF3"/>
    <w:rsid w:val="00393F5A"/>
    <w:rsid w:val="00394059"/>
    <w:rsid w:val="003940D3"/>
    <w:rsid w:val="00394129"/>
    <w:rsid w:val="00394669"/>
    <w:rsid w:val="00394970"/>
    <w:rsid w:val="003949A8"/>
    <w:rsid w:val="00394C74"/>
    <w:rsid w:val="00394FD7"/>
    <w:rsid w:val="00394FF7"/>
    <w:rsid w:val="00395588"/>
    <w:rsid w:val="003957D4"/>
    <w:rsid w:val="0039584E"/>
    <w:rsid w:val="00395A93"/>
    <w:rsid w:val="00395A9D"/>
    <w:rsid w:val="00395C3B"/>
    <w:rsid w:val="00395EFF"/>
    <w:rsid w:val="00395F0C"/>
    <w:rsid w:val="0039609A"/>
    <w:rsid w:val="00396200"/>
    <w:rsid w:val="00396690"/>
    <w:rsid w:val="003966CC"/>
    <w:rsid w:val="003966E7"/>
    <w:rsid w:val="00396AEE"/>
    <w:rsid w:val="00396BA4"/>
    <w:rsid w:val="00396BCA"/>
    <w:rsid w:val="00396D9A"/>
    <w:rsid w:val="00396DB5"/>
    <w:rsid w:val="00396F01"/>
    <w:rsid w:val="00396F4C"/>
    <w:rsid w:val="00396FC2"/>
    <w:rsid w:val="00397043"/>
    <w:rsid w:val="0039709E"/>
    <w:rsid w:val="003971A4"/>
    <w:rsid w:val="003971A8"/>
    <w:rsid w:val="00397249"/>
    <w:rsid w:val="003975C0"/>
    <w:rsid w:val="00397765"/>
    <w:rsid w:val="003979D6"/>
    <w:rsid w:val="00397B23"/>
    <w:rsid w:val="00397B3A"/>
    <w:rsid w:val="00397B7E"/>
    <w:rsid w:val="00397BB5"/>
    <w:rsid w:val="00397F59"/>
    <w:rsid w:val="003A0192"/>
    <w:rsid w:val="003A01AD"/>
    <w:rsid w:val="003A0272"/>
    <w:rsid w:val="003A03E7"/>
    <w:rsid w:val="003A0743"/>
    <w:rsid w:val="003A0750"/>
    <w:rsid w:val="003A085A"/>
    <w:rsid w:val="003A0AAD"/>
    <w:rsid w:val="003A0C48"/>
    <w:rsid w:val="003A0D7A"/>
    <w:rsid w:val="003A10A8"/>
    <w:rsid w:val="003A1306"/>
    <w:rsid w:val="003A1336"/>
    <w:rsid w:val="003A13E8"/>
    <w:rsid w:val="003A14C8"/>
    <w:rsid w:val="003A16F4"/>
    <w:rsid w:val="003A171D"/>
    <w:rsid w:val="003A1C57"/>
    <w:rsid w:val="003A1E1D"/>
    <w:rsid w:val="003A1ED5"/>
    <w:rsid w:val="003A1FF1"/>
    <w:rsid w:val="003A215C"/>
    <w:rsid w:val="003A22E8"/>
    <w:rsid w:val="003A2368"/>
    <w:rsid w:val="003A23AD"/>
    <w:rsid w:val="003A240A"/>
    <w:rsid w:val="003A2736"/>
    <w:rsid w:val="003A28AD"/>
    <w:rsid w:val="003A2CCD"/>
    <w:rsid w:val="003A2D59"/>
    <w:rsid w:val="003A2EA8"/>
    <w:rsid w:val="003A2F55"/>
    <w:rsid w:val="003A2FED"/>
    <w:rsid w:val="003A2FF0"/>
    <w:rsid w:val="003A313D"/>
    <w:rsid w:val="003A3186"/>
    <w:rsid w:val="003A3418"/>
    <w:rsid w:val="003A393B"/>
    <w:rsid w:val="003A3A1F"/>
    <w:rsid w:val="003A3A3A"/>
    <w:rsid w:val="003A3A6D"/>
    <w:rsid w:val="003A3AAA"/>
    <w:rsid w:val="003A3B77"/>
    <w:rsid w:val="003A4368"/>
    <w:rsid w:val="003A4609"/>
    <w:rsid w:val="003A470E"/>
    <w:rsid w:val="003A477E"/>
    <w:rsid w:val="003A47AB"/>
    <w:rsid w:val="003A4A99"/>
    <w:rsid w:val="003A4CE8"/>
    <w:rsid w:val="003A4D6B"/>
    <w:rsid w:val="003A4DAE"/>
    <w:rsid w:val="003A4E1B"/>
    <w:rsid w:val="003A4E40"/>
    <w:rsid w:val="003A4ED9"/>
    <w:rsid w:val="003A4F36"/>
    <w:rsid w:val="003A4F6D"/>
    <w:rsid w:val="003A5488"/>
    <w:rsid w:val="003A54BD"/>
    <w:rsid w:val="003A5852"/>
    <w:rsid w:val="003A58ED"/>
    <w:rsid w:val="003A5B36"/>
    <w:rsid w:val="003A5B5B"/>
    <w:rsid w:val="003A5B86"/>
    <w:rsid w:val="003A5F79"/>
    <w:rsid w:val="003A6168"/>
    <w:rsid w:val="003A647F"/>
    <w:rsid w:val="003A64ED"/>
    <w:rsid w:val="003A6577"/>
    <w:rsid w:val="003A6C31"/>
    <w:rsid w:val="003A6FC1"/>
    <w:rsid w:val="003A7138"/>
    <w:rsid w:val="003A7505"/>
    <w:rsid w:val="003A765F"/>
    <w:rsid w:val="003A7871"/>
    <w:rsid w:val="003A7CFD"/>
    <w:rsid w:val="003A7E67"/>
    <w:rsid w:val="003A7F2B"/>
    <w:rsid w:val="003B0036"/>
    <w:rsid w:val="003B005B"/>
    <w:rsid w:val="003B0199"/>
    <w:rsid w:val="003B0620"/>
    <w:rsid w:val="003B0899"/>
    <w:rsid w:val="003B0CCD"/>
    <w:rsid w:val="003B0EB2"/>
    <w:rsid w:val="003B0F6E"/>
    <w:rsid w:val="003B126B"/>
    <w:rsid w:val="003B126C"/>
    <w:rsid w:val="003B1351"/>
    <w:rsid w:val="003B13D8"/>
    <w:rsid w:val="003B1425"/>
    <w:rsid w:val="003B17C2"/>
    <w:rsid w:val="003B1ADF"/>
    <w:rsid w:val="003B1BA2"/>
    <w:rsid w:val="003B1C35"/>
    <w:rsid w:val="003B1E2C"/>
    <w:rsid w:val="003B1E5E"/>
    <w:rsid w:val="003B209F"/>
    <w:rsid w:val="003B21A5"/>
    <w:rsid w:val="003B27DB"/>
    <w:rsid w:val="003B29D7"/>
    <w:rsid w:val="003B2B21"/>
    <w:rsid w:val="003B2CBB"/>
    <w:rsid w:val="003B2D26"/>
    <w:rsid w:val="003B2FC3"/>
    <w:rsid w:val="003B3087"/>
    <w:rsid w:val="003B33EE"/>
    <w:rsid w:val="003B3700"/>
    <w:rsid w:val="003B37C2"/>
    <w:rsid w:val="003B3A3A"/>
    <w:rsid w:val="003B3A60"/>
    <w:rsid w:val="003B40A2"/>
    <w:rsid w:val="003B4219"/>
    <w:rsid w:val="003B438B"/>
    <w:rsid w:val="003B44BB"/>
    <w:rsid w:val="003B4514"/>
    <w:rsid w:val="003B466D"/>
    <w:rsid w:val="003B47C2"/>
    <w:rsid w:val="003B4813"/>
    <w:rsid w:val="003B4CFF"/>
    <w:rsid w:val="003B4DB6"/>
    <w:rsid w:val="003B4E3B"/>
    <w:rsid w:val="003B4FEC"/>
    <w:rsid w:val="003B5452"/>
    <w:rsid w:val="003B5548"/>
    <w:rsid w:val="003B55F4"/>
    <w:rsid w:val="003B561F"/>
    <w:rsid w:val="003B5970"/>
    <w:rsid w:val="003B5A3A"/>
    <w:rsid w:val="003B5C94"/>
    <w:rsid w:val="003B5E52"/>
    <w:rsid w:val="003B5E7A"/>
    <w:rsid w:val="003B60E7"/>
    <w:rsid w:val="003B64BE"/>
    <w:rsid w:val="003B6533"/>
    <w:rsid w:val="003B65ED"/>
    <w:rsid w:val="003B667B"/>
    <w:rsid w:val="003B67BA"/>
    <w:rsid w:val="003B6B55"/>
    <w:rsid w:val="003B6BEA"/>
    <w:rsid w:val="003B6D4A"/>
    <w:rsid w:val="003B6D7C"/>
    <w:rsid w:val="003B6DE1"/>
    <w:rsid w:val="003B719B"/>
    <w:rsid w:val="003B7362"/>
    <w:rsid w:val="003B7651"/>
    <w:rsid w:val="003B78D8"/>
    <w:rsid w:val="003B7ADF"/>
    <w:rsid w:val="003B7B14"/>
    <w:rsid w:val="003B7C24"/>
    <w:rsid w:val="003B7D28"/>
    <w:rsid w:val="003B7E41"/>
    <w:rsid w:val="003C0093"/>
    <w:rsid w:val="003C0111"/>
    <w:rsid w:val="003C0218"/>
    <w:rsid w:val="003C03E8"/>
    <w:rsid w:val="003C04BD"/>
    <w:rsid w:val="003C0DA5"/>
    <w:rsid w:val="003C103A"/>
    <w:rsid w:val="003C10BB"/>
    <w:rsid w:val="003C1139"/>
    <w:rsid w:val="003C1505"/>
    <w:rsid w:val="003C1AB1"/>
    <w:rsid w:val="003C1BA8"/>
    <w:rsid w:val="003C1CD0"/>
    <w:rsid w:val="003C21FB"/>
    <w:rsid w:val="003C24A9"/>
    <w:rsid w:val="003C24B4"/>
    <w:rsid w:val="003C25A3"/>
    <w:rsid w:val="003C25B1"/>
    <w:rsid w:val="003C25BE"/>
    <w:rsid w:val="003C2627"/>
    <w:rsid w:val="003C290B"/>
    <w:rsid w:val="003C2C12"/>
    <w:rsid w:val="003C2F3E"/>
    <w:rsid w:val="003C2FBF"/>
    <w:rsid w:val="003C2FD8"/>
    <w:rsid w:val="003C3014"/>
    <w:rsid w:val="003C3131"/>
    <w:rsid w:val="003C316A"/>
    <w:rsid w:val="003C31BD"/>
    <w:rsid w:val="003C36E3"/>
    <w:rsid w:val="003C37A6"/>
    <w:rsid w:val="003C3C60"/>
    <w:rsid w:val="003C3C70"/>
    <w:rsid w:val="003C3DE3"/>
    <w:rsid w:val="003C3E2D"/>
    <w:rsid w:val="003C3E87"/>
    <w:rsid w:val="003C3EBE"/>
    <w:rsid w:val="003C3ECE"/>
    <w:rsid w:val="003C3F72"/>
    <w:rsid w:val="003C4035"/>
    <w:rsid w:val="003C428A"/>
    <w:rsid w:val="003C4380"/>
    <w:rsid w:val="003C4575"/>
    <w:rsid w:val="003C46EF"/>
    <w:rsid w:val="003C4809"/>
    <w:rsid w:val="003C4819"/>
    <w:rsid w:val="003C48CA"/>
    <w:rsid w:val="003C4A72"/>
    <w:rsid w:val="003C4C50"/>
    <w:rsid w:val="003C4C85"/>
    <w:rsid w:val="003C4DA0"/>
    <w:rsid w:val="003C55F5"/>
    <w:rsid w:val="003C5785"/>
    <w:rsid w:val="003C585E"/>
    <w:rsid w:val="003C58E7"/>
    <w:rsid w:val="003C591D"/>
    <w:rsid w:val="003C5A1C"/>
    <w:rsid w:val="003C5AD1"/>
    <w:rsid w:val="003C5AF4"/>
    <w:rsid w:val="003C5BC9"/>
    <w:rsid w:val="003C5CEB"/>
    <w:rsid w:val="003C5CEE"/>
    <w:rsid w:val="003C6000"/>
    <w:rsid w:val="003C60EE"/>
    <w:rsid w:val="003C6140"/>
    <w:rsid w:val="003C61D9"/>
    <w:rsid w:val="003C6202"/>
    <w:rsid w:val="003C6278"/>
    <w:rsid w:val="003C6336"/>
    <w:rsid w:val="003C649B"/>
    <w:rsid w:val="003C6533"/>
    <w:rsid w:val="003C65EE"/>
    <w:rsid w:val="003C6608"/>
    <w:rsid w:val="003C666D"/>
    <w:rsid w:val="003C67F9"/>
    <w:rsid w:val="003C6C21"/>
    <w:rsid w:val="003C6CD1"/>
    <w:rsid w:val="003C6FAE"/>
    <w:rsid w:val="003C70CF"/>
    <w:rsid w:val="003C716D"/>
    <w:rsid w:val="003C722E"/>
    <w:rsid w:val="003C7245"/>
    <w:rsid w:val="003C7294"/>
    <w:rsid w:val="003C7364"/>
    <w:rsid w:val="003C7607"/>
    <w:rsid w:val="003C76CF"/>
    <w:rsid w:val="003C77E2"/>
    <w:rsid w:val="003C7964"/>
    <w:rsid w:val="003C7AF8"/>
    <w:rsid w:val="003C7CE3"/>
    <w:rsid w:val="003D0278"/>
    <w:rsid w:val="003D0461"/>
    <w:rsid w:val="003D0491"/>
    <w:rsid w:val="003D04E7"/>
    <w:rsid w:val="003D0742"/>
    <w:rsid w:val="003D09A0"/>
    <w:rsid w:val="003D0D09"/>
    <w:rsid w:val="003D0DC6"/>
    <w:rsid w:val="003D0EC0"/>
    <w:rsid w:val="003D0EE7"/>
    <w:rsid w:val="003D13FE"/>
    <w:rsid w:val="003D1508"/>
    <w:rsid w:val="003D15D2"/>
    <w:rsid w:val="003D15FA"/>
    <w:rsid w:val="003D1883"/>
    <w:rsid w:val="003D195A"/>
    <w:rsid w:val="003D1968"/>
    <w:rsid w:val="003D25D1"/>
    <w:rsid w:val="003D25DF"/>
    <w:rsid w:val="003D2741"/>
    <w:rsid w:val="003D283B"/>
    <w:rsid w:val="003D296A"/>
    <w:rsid w:val="003D29DE"/>
    <w:rsid w:val="003D2D88"/>
    <w:rsid w:val="003D2D8B"/>
    <w:rsid w:val="003D2DC0"/>
    <w:rsid w:val="003D2DEC"/>
    <w:rsid w:val="003D2E61"/>
    <w:rsid w:val="003D3615"/>
    <w:rsid w:val="003D3B8B"/>
    <w:rsid w:val="003D3D02"/>
    <w:rsid w:val="003D3D91"/>
    <w:rsid w:val="003D3F70"/>
    <w:rsid w:val="003D4050"/>
    <w:rsid w:val="003D406C"/>
    <w:rsid w:val="003D44A2"/>
    <w:rsid w:val="003D455C"/>
    <w:rsid w:val="003D476C"/>
    <w:rsid w:val="003D4BB6"/>
    <w:rsid w:val="003D4D20"/>
    <w:rsid w:val="003D4DCC"/>
    <w:rsid w:val="003D4E48"/>
    <w:rsid w:val="003D4E94"/>
    <w:rsid w:val="003D5103"/>
    <w:rsid w:val="003D5261"/>
    <w:rsid w:val="003D54F4"/>
    <w:rsid w:val="003D5619"/>
    <w:rsid w:val="003D5699"/>
    <w:rsid w:val="003D591A"/>
    <w:rsid w:val="003D5990"/>
    <w:rsid w:val="003D5BA3"/>
    <w:rsid w:val="003D5DA4"/>
    <w:rsid w:val="003D5E77"/>
    <w:rsid w:val="003D607D"/>
    <w:rsid w:val="003D6231"/>
    <w:rsid w:val="003D6300"/>
    <w:rsid w:val="003D657C"/>
    <w:rsid w:val="003D67A2"/>
    <w:rsid w:val="003D688A"/>
    <w:rsid w:val="003D6896"/>
    <w:rsid w:val="003D69AB"/>
    <w:rsid w:val="003D6C3E"/>
    <w:rsid w:val="003D6D12"/>
    <w:rsid w:val="003D6DAA"/>
    <w:rsid w:val="003D6DB2"/>
    <w:rsid w:val="003D708D"/>
    <w:rsid w:val="003D71DE"/>
    <w:rsid w:val="003D75F3"/>
    <w:rsid w:val="003D77A3"/>
    <w:rsid w:val="003D7CFD"/>
    <w:rsid w:val="003D7D66"/>
    <w:rsid w:val="003D7F77"/>
    <w:rsid w:val="003E0342"/>
    <w:rsid w:val="003E04C7"/>
    <w:rsid w:val="003E0950"/>
    <w:rsid w:val="003E0985"/>
    <w:rsid w:val="003E09CB"/>
    <w:rsid w:val="003E0B27"/>
    <w:rsid w:val="003E0BE7"/>
    <w:rsid w:val="003E10B3"/>
    <w:rsid w:val="003E10D3"/>
    <w:rsid w:val="003E11A1"/>
    <w:rsid w:val="003E1661"/>
    <w:rsid w:val="003E1765"/>
    <w:rsid w:val="003E19B6"/>
    <w:rsid w:val="003E1AE2"/>
    <w:rsid w:val="003E1B33"/>
    <w:rsid w:val="003E1BE6"/>
    <w:rsid w:val="003E1FC1"/>
    <w:rsid w:val="003E2095"/>
    <w:rsid w:val="003E20D6"/>
    <w:rsid w:val="003E2144"/>
    <w:rsid w:val="003E2239"/>
    <w:rsid w:val="003E2707"/>
    <w:rsid w:val="003E2791"/>
    <w:rsid w:val="003E2B4C"/>
    <w:rsid w:val="003E2F73"/>
    <w:rsid w:val="003E3095"/>
    <w:rsid w:val="003E30DE"/>
    <w:rsid w:val="003E3436"/>
    <w:rsid w:val="003E3518"/>
    <w:rsid w:val="003E3709"/>
    <w:rsid w:val="003E3B2E"/>
    <w:rsid w:val="003E3C0D"/>
    <w:rsid w:val="003E3F4A"/>
    <w:rsid w:val="003E3FFD"/>
    <w:rsid w:val="003E40A7"/>
    <w:rsid w:val="003E40D9"/>
    <w:rsid w:val="003E412E"/>
    <w:rsid w:val="003E45C2"/>
    <w:rsid w:val="003E46C3"/>
    <w:rsid w:val="003E477B"/>
    <w:rsid w:val="003E4794"/>
    <w:rsid w:val="003E4D87"/>
    <w:rsid w:val="003E4DE5"/>
    <w:rsid w:val="003E4FF3"/>
    <w:rsid w:val="003E5079"/>
    <w:rsid w:val="003E52AF"/>
    <w:rsid w:val="003E546B"/>
    <w:rsid w:val="003E54BD"/>
    <w:rsid w:val="003E56C1"/>
    <w:rsid w:val="003E57B4"/>
    <w:rsid w:val="003E58E4"/>
    <w:rsid w:val="003E5CBC"/>
    <w:rsid w:val="003E5E70"/>
    <w:rsid w:val="003E5F2E"/>
    <w:rsid w:val="003E61E1"/>
    <w:rsid w:val="003E6263"/>
    <w:rsid w:val="003E6326"/>
    <w:rsid w:val="003E6370"/>
    <w:rsid w:val="003E63A8"/>
    <w:rsid w:val="003E6451"/>
    <w:rsid w:val="003E64C1"/>
    <w:rsid w:val="003E6883"/>
    <w:rsid w:val="003E697C"/>
    <w:rsid w:val="003E69C4"/>
    <w:rsid w:val="003E6C31"/>
    <w:rsid w:val="003E70B3"/>
    <w:rsid w:val="003E72C5"/>
    <w:rsid w:val="003E73B9"/>
    <w:rsid w:val="003E763B"/>
    <w:rsid w:val="003E78E5"/>
    <w:rsid w:val="003E79DC"/>
    <w:rsid w:val="003E7B96"/>
    <w:rsid w:val="003F0239"/>
    <w:rsid w:val="003F035A"/>
    <w:rsid w:val="003F04A8"/>
    <w:rsid w:val="003F0624"/>
    <w:rsid w:val="003F09DE"/>
    <w:rsid w:val="003F09EE"/>
    <w:rsid w:val="003F0D08"/>
    <w:rsid w:val="003F0D66"/>
    <w:rsid w:val="003F0DB0"/>
    <w:rsid w:val="003F0F59"/>
    <w:rsid w:val="003F10DA"/>
    <w:rsid w:val="003F1406"/>
    <w:rsid w:val="003F142F"/>
    <w:rsid w:val="003F15A7"/>
    <w:rsid w:val="003F15C8"/>
    <w:rsid w:val="003F18ED"/>
    <w:rsid w:val="003F1CA9"/>
    <w:rsid w:val="003F1D44"/>
    <w:rsid w:val="003F1F96"/>
    <w:rsid w:val="003F21F4"/>
    <w:rsid w:val="003F24E1"/>
    <w:rsid w:val="003F2867"/>
    <w:rsid w:val="003F28B5"/>
    <w:rsid w:val="003F2C71"/>
    <w:rsid w:val="003F311E"/>
    <w:rsid w:val="003F3198"/>
    <w:rsid w:val="003F31DB"/>
    <w:rsid w:val="003F3493"/>
    <w:rsid w:val="003F36E3"/>
    <w:rsid w:val="003F36E8"/>
    <w:rsid w:val="003F3995"/>
    <w:rsid w:val="003F39BF"/>
    <w:rsid w:val="003F3BA5"/>
    <w:rsid w:val="003F3C42"/>
    <w:rsid w:val="003F3DAB"/>
    <w:rsid w:val="003F3E84"/>
    <w:rsid w:val="003F3F65"/>
    <w:rsid w:val="003F3FB3"/>
    <w:rsid w:val="003F4215"/>
    <w:rsid w:val="003F4ABB"/>
    <w:rsid w:val="003F4AC5"/>
    <w:rsid w:val="003F4B7A"/>
    <w:rsid w:val="003F5069"/>
    <w:rsid w:val="003F52AA"/>
    <w:rsid w:val="003F5463"/>
    <w:rsid w:val="003F58C2"/>
    <w:rsid w:val="003F59FA"/>
    <w:rsid w:val="003F5ABC"/>
    <w:rsid w:val="003F5B1B"/>
    <w:rsid w:val="003F6319"/>
    <w:rsid w:val="003F6524"/>
    <w:rsid w:val="003F6928"/>
    <w:rsid w:val="003F6AA4"/>
    <w:rsid w:val="003F6F07"/>
    <w:rsid w:val="003F6FC9"/>
    <w:rsid w:val="003F7196"/>
    <w:rsid w:val="003F756E"/>
    <w:rsid w:val="003F7890"/>
    <w:rsid w:val="003F794E"/>
    <w:rsid w:val="003F7A9C"/>
    <w:rsid w:val="003F7FB9"/>
    <w:rsid w:val="00400307"/>
    <w:rsid w:val="00400506"/>
    <w:rsid w:val="00400696"/>
    <w:rsid w:val="0040078E"/>
    <w:rsid w:val="0040084D"/>
    <w:rsid w:val="004008BA"/>
    <w:rsid w:val="00400B44"/>
    <w:rsid w:val="00400CA1"/>
    <w:rsid w:val="00400DF8"/>
    <w:rsid w:val="00400EBF"/>
    <w:rsid w:val="00401082"/>
    <w:rsid w:val="00401088"/>
    <w:rsid w:val="004012B3"/>
    <w:rsid w:val="0040148A"/>
    <w:rsid w:val="00401749"/>
    <w:rsid w:val="004018DE"/>
    <w:rsid w:val="00401D35"/>
    <w:rsid w:val="00401EEE"/>
    <w:rsid w:val="00401FA6"/>
    <w:rsid w:val="004020FB"/>
    <w:rsid w:val="00402125"/>
    <w:rsid w:val="004021B9"/>
    <w:rsid w:val="0040235D"/>
    <w:rsid w:val="0040246B"/>
    <w:rsid w:val="00402777"/>
    <w:rsid w:val="0040277C"/>
    <w:rsid w:val="004028AD"/>
    <w:rsid w:val="00402980"/>
    <w:rsid w:val="004029A5"/>
    <w:rsid w:val="00402B4E"/>
    <w:rsid w:val="00402EBB"/>
    <w:rsid w:val="00402F48"/>
    <w:rsid w:val="00403093"/>
    <w:rsid w:val="004033A2"/>
    <w:rsid w:val="004034E2"/>
    <w:rsid w:val="004035FC"/>
    <w:rsid w:val="00403667"/>
    <w:rsid w:val="00403782"/>
    <w:rsid w:val="00403A45"/>
    <w:rsid w:val="00403C33"/>
    <w:rsid w:val="00403D29"/>
    <w:rsid w:val="00403E13"/>
    <w:rsid w:val="00403EAA"/>
    <w:rsid w:val="004046FA"/>
    <w:rsid w:val="004047E2"/>
    <w:rsid w:val="00404BC4"/>
    <w:rsid w:val="00404C21"/>
    <w:rsid w:val="00404DAC"/>
    <w:rsid w:val="00404E7E"/>
    <w:rsid w:val="00404F06"/>
    <w:rsid w:val="00405090"/>
    <w:rsid w:val="004051E7"/>
    <w:rsid w:val="00405392"/>
    <w:rsid w:val="00405644"/>
    <w:rsid w:val="00405A54"/>
    <w:rsid w:val="00405F48"/>
    <w:rsid w:val="004060DD"/>
    <w:rsid w:val="0040641A"/>
    <w:rsid w:val="004065DD"/>
    <w:rsid w:val="00406793"/>
    <w:rsid w:val="004069B0"/>
    <w:rsid w:val="00406C6A"/>
    <w:rsid w:val="00406DFE"/>
    <w:rsid w:val="00407167"/>
    <w:rsid w:val="004072E1"/>
    <w:rsid w:val="0040772F"/>
    <w:rsid w:val="00407918"/>
    <w:rsid w:val="00407920"/>
    <w:rsid w:val="00407B7D"/>
    <w:rsid w:val="00407D82"/>
    <w:rsid w:val="00407EA1"/>
    <w:rsid w:val="00407FB7"/>
    <w:rsid w:val="004101D5"/>
    <w:rsid w:val="0041020C"/>
    <w:rsid w:val="004103C4"/>
    <w:rsid w:val="004103F1"/>
    <w:rsid w:val="0041048F"/>
    <w:rsid w:val="00410649"/>
    <w:rsid w:val="004106AF"/>
    <w:rsid w:val="00410819"/>
    <w:rsid w:val="004109BE"/>
    <w:rsid w:val="00410A58"/>
    <w:rsid w:val="00410BF6"/>
    <w:rsid w:val="00410DA1"/>
    <w:rsid w:val="00410ECA"/>
    <w:rsid w:val="00411081"/>
    <w:rsid w:val="0041108B"/>
    <w:rsid w:val="00411141"/>
    <w:rsid w:val="004111A6"/>
    <w:rsid w:val="004111FC"/>
    <w:rsid w:val="00411818"/>
    <w:rsid w:val="00411A95"/>
    <w:rsid w:val="00412064"/>
    <w:rsid w:val="004123BC"/>
    <w:rsid w:val="00412410"/>
    <w:rsid w:val="004127C7"/>
    <w:rsid w:val="00412960"/>
    <w:rsid w:val="00412B03"/>
    <w:rsid w:val="00412C6F"/>
    <w:rsid w:val="00412DA4"/>
    <w:rsid w:val="00412E66"/>
    <w:rsid w:val="00413016"/>
    <w:rsid w:val="00413061"/>
    <w:rsid w:val="004130CF"/>
    <w:rsid w:val="004131A2"/>
    <w:rsid w:val="004131A3"/>
    <w:rsid w:val="00413271"/>
    <w:rsid w:val="0041327F"/>
    <w:rsid w:val="004133EE"/>
    <w:rsid w:val="00413637"/>
    <w:rsid w:val="0041364A"/>
    <w:rsid w:val="004136B5"/>
    <w:rsid w:val="004138DF"/>
    <w:rsid w:val="00413C2A"/>
    <w:rsid w:val="00413C5F"/>
    <w:rsid w:val="00413C8B"/>
    <w:rsid w:val="00413F13"/>
    <w:rsid w:val="00413FE5"/>
    <w:rsid w:val="0041400A"/>
    <w:rsid w:val="00414207"/>
    <w:rsid w:val="00414282"/>
    <w:rsid w:val="004144BD"/>
    <w:rsid w:val="00414596"/>
    <w:rsid w:val="00414712"/>
    <w:rsid w:val="0041477E"/>
    <w:rsid w:val="00414877"/>
    <w:rsid w:val="004148C8"/>
    <w:rsid w:val="00414DA3"/>
    <w:rsid w:val="00414F25"/>
    <w:rsid w:val="004154CB"/>
    <w:rsid w:val="0041571A"/>
    <w:rsid w:val="00415ABF"/>
    <w:rsid w:val="00415B46"/>
    <w:rsid w:val="00415CE0"/>
    <w:rsid w:val="00415E13"/>
    <w:rsid w:val="00416066"/>
    <w:rsid w:val="00416093"/>
    <w:rsid w:val="00416234"/>
    <w:rsid w:val="00416266"/>
    <w:rsid w:val="004163D7"/>
    <w:rsid w:val="004163E8"/>
    <w:rsid w:val="00416440"/>
    <w:rsid w:val="00416762"/>
    <w:rsid w:val="00416BED"/>
    <w:rsid w:val="00416C39"/>
    <w:rsid w:val="00416CCC"/>
    <w:rsid w:val="00416D96"/>
    <w:rsid w:val="00416E55"/>
    <w:rsid w:val="00416EC6"/>
    <w:rsid w:val="00416F71"/>
    <w:rsid w:val="004175AA"/>
    <w:rsid w:val="004175D4"/>
    <w:rsid w:val="00417611"/>
    <w:rsid w:val="0041766B"/>
    <w:rsid w:val="004176AB"/>
    <w:rsid w:val="004176B1"/>
    <w:rsid w:val="00417726"/>
    <w:rsid w:val="0041778D"/>
    <w:rsid w:val="00417892"/>
    <w:rsid w:val="00417BFB"/>
    <w:rsid w:val="00417C4B"/>
    <w:rsid w:val="00417C6B"/>
    <w:rsid w:val="0042008D"/>
    <w:rsid w:val="00420098"/>
    <w:rsid w:val="004201C2"/>
    <w:rsid w:val="00420273"/>
    <w:rsid w:val="00420458"/>
    <w:rsid w:val="004204A8"/>
    <w:rsid w:val="004204B3"/>
    <w:rsid w:val="0042052A"/>
    <w:rsid w:val="00420660"/>
    <w:rsid w:val="00420C5D"/>
    <w:rsid w:val="00420CF1"/>
    <w:rsid w:val="00420CF6"/>
    <w:rsid w:val="004212AC"/>
    <w:rsid w:val="00421358"/>
    <w:rsid w:val="00421454"/>
    <w:rsid w:val="00421556"/>
    <w:rsid w:val="0042175C"/>
    <w:rsid w:val="00421955"/>
    <w:rsid w:val="00421B62"/>
    <w:rsid w:val="00421BAD"/>
    <w:rsid w:val="00421CB6"/>
    <w:rsid w:val="00421DB3"/>
    <w:rsid w:val="00421E5A"/>
    <w:rsid w:val="00421E90"/>
    <w:rsid w:val="00422039"/>
    <w:rsid w:val="004220CA"/>
    <w:rsid w:val="00422111"/>
    <w:rsid w:val="0042228D"/>
    <w:rsid w:val="00422378"/>
    <w:rsid w:val="0042244F"/>
    <w:rsid w:val="004224CB"/>
    <w:rsid w:val="0042260F"/>
    <w:rsid w:val="00422F47"/>
    <w:rsid w:val="004230F0"/>
    <w:rsid w:val="00423101"/>
    <w:rsid w:val="004239AF"/>
    <w:rsid w:val="00423A70"/>
    <w:rsid w:val="00423B7D"/>
    <w:rsid w:val="00423D54"/>
    <w:rsid w:val="00423E04"/>
    <w:rsid w:val="00423F08"/>
    <w:rsid w:val="00423F32"/>
    <w:rsid w:val="004240B9"/>
    <w:rsid w:val="004240F0"/>
    <w:rsid w:val="0042424F"/>
    <w:rsid w:val="0042426B"/>
    <w:rsid w:val="0042452A"/>
    <w:rsid w:val="00424587"/>
    <w:rsid w:val="004247A7"/>
    <w:rsid w:val="0042482A"/>
    <w:rsid w:val="00424954"/>
    <w:rsid w:val="004249D5"/>
    <w:rsid w:val="00424B64"/>
    <w:rsid w:val="00424D71"/>
    <w:rsid w:val="0042518A"/>
    <w:rsid w:val="00425213"/>
    <w:rsid w:val="0042579E"/>
    <w:rsid w:val="004258F5"/>
    <w:rsid w:val="00425989"/>
    <w:rsid w:val="00425DBC"/>
    <w:rsid w:val="00425E2D"/>
    <w:rsid w:val="00425E99"/>
    <w:rsid w:val="00425F27"/>
    <w:rsid w:val="00426023"/>
    <w:rsid w:val="004260F0"/>
    <w:rsid w:val="004261DC"/>
    <w:rsid w:val="0042646E"/>
    <w:rsid w:val="004265FA"/>
    <w:rsid w:val="00426639"/>
    <w:rsid w:val="00426765"/>
    <w:rsid w:val="00426789"/>
    <w:rsid w:val="004267BE"/>
    <w:rsid w:val="004268BB"/>
    <w:rsid w:val="0042691B"/>
    <w:rsid w:val="00426A26"/>
    <w:rsid w:val="00426B8B"/>
    <w:rsid w:val="00426D91"/>
    <w:rsid w:val="00427154"/>
    <w:rsid w:val="0042718B"/>
    <w:rsid w:val="0042730B"/>
    <w:rsid w:val="0042756D"/>
    <w:rsid w:val="004276A0"/>
    <w:rsid w:val="00427863"/>
    <w:rsid w:val="00427AA5"/>
    <w:rsid w:val="00427BC4"/>
    <w:rsid w:val="00427C36"/>
    <w:rsid w:val="00427C69"/>
    <w:rsid w:val="00427CAA"/>
    <w:rsid w:val="00427E40"/>
    <w:rsid w:val="00427E56"/>
    <w:rsid w:val="00427F3D"/>
    <w:rsid w:val="00430004"/>
    <w:rsid w:val="004300B9"/>
    <w:rsid w:val="00430142"/>
    <w:rsid w:val="0043023A"/>
    <w:rsid w:val="004306EB"/>
    <w:rsid w:val="00430760"/>
    <w:rsid w:val="004307AB"/>
    <w:rsid w:val="004307D0"/>
    <w:rsid w:val="00430859"/>
    <w:rsid w:val="0043087C"/>
    <w:rsid w:val="00430961"/>
    <w:rsid w:val="004309CF"/>
    <w:rsid w:val="00430A21"/>
    <w:rsid w:val="00430B14"/>
    <w:rsid w:val="00430BF5"/>
    <w:rsid w:val="00430D55"/>
    <w:rsid w:val="00431557"/>
    <w:rsid w:val="00431590"/>
    <w:rsid w:val="004316B8"/>
    <w:rsid w:val="004316C4"/>
    <w:rsid w:val="0043183D"/>
    <w:rsid w:val="00431969"/>
    <w:rsid w:val="00431A2E"/>
    <w:rsid w:val="00431B2E"/>
    <w:rsid w:val="00431B78"/>
    <w:rsid w:val="00431D0D"/>
    <w:rsid w:val="00431D97"/>
    <w:rsid w:val="00431E4B"/>
    <w:rsid w:val="00431F51"/>
    <w:rsid w:val="0043289F"/>
    <w:rsid w:val="00432AB4"/>
    <w:rsid w:val="00432FA6"/>
    <w:rsid w:val="004330D9"/>
    <w:rsid w:val="004332B3"/>
    <w:rsid w:val="00433387"/>
    <w:rsid w:val="00433503"/>
    <w:rsid w:val="004336B1"/>
    <w:rsid w:val="0043376D"/>
    <w:rsid w:val="00433840"/>
    <w:rsid w:val="00433C91"/>
    <w:rsid w:val="00433D0D"/>
    <w:rsid w:val="00433E2A"/>
    <w:rsid w:val="0043406B"/>
    <w:rsid w:val="0043414B"/>
    <w:rsid w:val="004342A9"/>
    <w:rsid w:val="0043441E"/>
    <w:rsid w:val="004347E7"/>
    <w:rsid w:val="00434BE5"/>
    <w:rsid w:val="00434C61"/>
    <w:rsid w:val="00434CAE"/>
    <w:rsid w:val="00434DAB"/>
    <w:rsid w:val="00434E3C"/>
    <w:rsid w:val="00434FA7"/>
    <w:rsid w:val="00435067"/>
    <w:rsid w:val="00435112"/>
    <w:rsid w:val="004355ED"/>
    <w:rsid w:val="00435815"/>
    <w:rsid w:val="004359B4"/>
    <w:rsid w:val="00435BAF"/>
    <w:rsid w:val="00435BE5"/>
    <w:rsid w:val="00435C14"/>
    <w:rsid w:val="00435EA5"/>
    <w:rsid w:val="0043611E"/>
    <w:rsid w:val="00436343"/>
    <w:rsid w:val="004364F6"/>
    <w:rsid w:val="004365E6"/>
    <w:rsid w:val="00436716"/>
    <w:rsid w:val="00436755"/>
    <w:rsid w:val="00436852"/>
    <w:rsid w:val="00436AE4"/>
    <w:rsid w:val="00436B1E"/>
    <w:rsid w:val="00436C98"/>
    <w:rsid w:val="004370D5"/>
    <w:rsid w:val="0043730E"/>
    <w:rsid w:val="00437352"/>
    <w:rsid w:val="004373EF"/>
    <w:rsid w:val="00437856"/>
    <w:rsid w:val="00437CE6"/>
    <w:rsid w:val="00437D71"/>
    <w:rsid w:val="00437DAB"/>
    <w:rsid w:val="004400AE"/>
    <w:rsid w:val="004400D4"/>
    <w:rsid w:val="004401C0"/>
    <w:rsid w:val="004401F1"/>
    <w:rsid w:val="0044039D"/>
    <w:rsid w:val="00440433"/>
    <w:rsid w:val="0044057E"/>
    <w:rsid w:val="00441172"/>
    <w:rsid w:val="0044123A"/>
    <w:rsid w:val="004412A1"/>
    <w:rsid w:val="0044134B"/>
    <w:rsid w:val="00441426"/>
    <w:rsid w:val="0044143C"/>
    <w:rsid w:val="0044151B"/>
    <w:rsid w:val="0044172E"/>
    <w:rsid w:val="00441799"/>
    <w:rsid w:val="004417B6"/>
    <w:rsid w:val="0044192E"/>
    <w:rsid w:val="00441A96"/>
    <w:rsid w:val="0044225A"/>
    <w:rsid w:val="004423C4"/>
    <w:rsid w:val="004423F9"/>
    <w:rsid w:val="0044264A"/>
    <w:rsid w:val="00442665"/>
    <w:rsid w:val="00442699"/>
    <w:rsid w:val="00442754"/>
    <w:rsid w:val="0044282D"/>
    <w:rsid w:val="00442AA3"/>
    <w:rsid w:val="00442AB0"/>
    <w:rsid w:val="00442C3E"/>
    <w:rsid w:val="00442EED"/>
    <w:rsid w:val="004434A8"/>
    <w:rsid w:val="00444239"/>
    <w:rsid w:val="004443E0"/>
    <w:rsid w:val="004444AA"/>
    <w:rsid w:val="004445D0"/>
    <w:rsid w:val="00444796"/>
    <w:rsid w:val="00444A63"/>
    <w:rsid w:val="00444B5D"/>
    <w:rsid w:val="00444CCB"/>
    <w:rsid w:val="00444FE2"/>
    <w:rsid w:val="0044517B"/>
    <w:rsid w:val="004451D7"/>
    <w:rsid w:val="00445265"/>
    <w:rsid w:val="00445383"/>
    <w:rsid w:val="004457A0"/>
    <w:rsid w:val="00445BE8"/>
    <w:rsid w:val="00445D1E"/>
    <w:rsid w:val="00445E7E"/>
    <w:rsid w:val="00445E91"/>
    <w:rsid w:val="00445F9C"/>
    <w:rsid w:val="00445FBA"/>
    <w:rsid w:val="00446193"/>
    <w:rsid w:val="004462A1"/>
    <w:rsid w:val="004467AD"/>
    <w:rsid w:val="004469C9"/>
    <w:rsid w:val="00446C3A"/>
    <w:rsid w:val="00446CE7"/>
    <w:rsid w:val="00446CF4"/>
    <w:rsid w:val="00446D4F"/>
    <w:rsid w:val="00446D9A"/>
    <w:rsid w:val="00446DC6"/>
    <w:rsid w:val="00446EAB"/>
    <w:rsid w:val="00446FD8"/>
    <w:rsid w:val="0044705E"/>
    <w:rsid w:val="004470EA"/>
    <w:rsid w:val="004472C0"/>
    <w:rsid w:val="00447518"/>
    <w:rsid w:val="0044751D"/>
    <w:rsid w:val="004475F9"/>
    <w:rsid w:val="0044764B"/>
    <w:rsid w:val="0044765F"/>
    <w:rsid w:val="00447671"/>
    <w:rsid w:val="0044771E"/>
    <w:rsid w:val="00447DA4"/>
    <w:rsid w:val="00447E52"/>
    <w:rsid w:val="00447ED4"/>
    <w:rsid w:val="00447F6E"/>
    <w:rsid w:val="00447FC0"/>
    <w:rsid w:val="004501A8"/>
    <w:rsid w:val="004502D6"/>
    <w:rsid w:val="00450409"/>
    <w:rsid w:val="004504E8"/>
    <w:rsid w:val="0045050C"/>
    <w:rsid w:val="004505DA"/>
    <w:rsid w:val="0045062A"/>
    <w:rsid w:val="0045065B"/>
    <w:rsid w:val="00450C40"/>
    <w:rsid w:val="00450C7B"/>
    <w:rsid w:val="00450CDB"/>
    <w:rsid w:val="00450D4D"/>
    <w:rsid w:val="00450F12"/>
    <w:rsid w:val="004515D4"/>
    <w:rsid w:val="004516A9"/>
    <w:rsid w:val="004518A7"/>
    <w:rsid w:val="00451B76"/>
    <w:rsid w:val="00451C10"/>
    <w:rsid w:val="00451E74"/>
    <w:rsid w:val="004520B6"/>
    <w:rsid w:val="0045211C"/>
    <w:rsid w:val="00452372"/>
    <w:rsid w:val="004524D5"/>
    <w:rsid w:val="00452698"/>
    <w:rsid w:val="00452744"/>
    <w:rsid w:val="00452DA3"/>
    <w:rsid w:val="00452EB4"/>
    <w:rsid w:val="00452EBC"/>
    <w:rsid w:val="00452F76"/>
    <w:rsid w:val="0045300E"/>
    <w:rsid w:val="0045304B"/>
    <w:rsid w:val="004533F5"/>
    <w:rsid w:val="0045370E"/>
    <w:rsid w:val="00453728"/>
    <w:rsid w:val="0045381F"/>
    <w:rsid w:val="00453C82"/>
    <w:rsid w:val="00454136"/>
    <w:rsid w:val="00454223"/>
    <w:rsid w:val="00454308"/>
    <w:rsid w:val="00454378"/>
    <w:rsid w:val="00454718"/>
    <w:rsid w:val="0045473D"/>
    <w:rsid w:val="004547BF"/>
    <w:rsid w:val="00454A74"/>
    <w:rsid w:val="00454C59"/>
    <w:rsid w:val="00454C82"/>
    <w:rsid w:val="00454ED0"/>
    <w:rsid w:val="00454F58"/>
    <w:rsid w:val="00454F91"/>
    <w:rsid w:val="0045500B"/>
    <w:rsid w:val="0045516F"/>
    <w:rsid w:val="00455188"/>
    <w:rsid w:val="00455306"/>
    <w:rsid w:val="00455316"/>
    <w:rsid w:val="004555AE"/>
    <w:rsid w:val="0045562F"/>
    <w:rsid w:val="00455675"/>
    <w:rsid w:val="0045570C"/>
    <w:rsid w:val="00455967"/>
    <w:rsid w:val="004559CE"/>
    <w:rsid w:val="00455A6A"/>
    <w:rsid w:val="00455B05"/>
    <w:rsid w:val="00455C23"/>
    <w:rsid w:val="00455DFD"/>
    <w:rsid w:val="00456028"/>
    <w:rsid w:val="004560E6"/>
    <w:rsid w:val="0045669B"/>
    <w:rsid w:val="004566F6"/>
    <w:rsid w:val="004568E7"/>
    <w:rsid w:val="00456CB3"/>
    <w:rsid w:val="004571A4"/>
    <w:rsid w:val="00457422"/>
    <w:rsid w:val="004574BB"/>
    <w:rsid w:val="004577E4"/>
    <w:rsid w:val="00457831"/>
    <w:rsid w:val="00457A84"/>
    <w:rsid w:val="00457A88"/>
    <w:rsid w:val="00457AC3"/>
    <w:rsid w:val="00457AEC"/>
    <w:rsid w:val="00457CD2"/>
    <w:rsid w:val="00457E83"/>
    <w:rsid w:val="0046003A"/>
    <w:rsid w:val="0046017C"/>
    <w:rsid w:val="004601C9"/>
    <w:rsid w:val="0046027C"/>
    <w:rsid w:val="00460515"/>
    <w:rsid w:val="0046058F"/>
    <w:rsid w:val="004605B2"/>
    <w:rsid w:val="0046065F"/>
    <w:rsid w:val="004607E9"/>
    <w:rsid w:val="00460E1A"/>
    <w:rsid w:val="00460ED6"/>
    <w:rsid w:val="00460F0D"/>
    <w:rsid w:val="0046122F"/>
    <w:rsid w:val="00461738"/>
    <w:rsid w:val="00461764"/>
    <w:rsid w:val="004617C3"/>
    <w:rsid w:val="004618CC"/>
    <w:rsid w:val="004618F0"/>
    <w:rsid w:val="00461B58"/>
    <w:rsid w:val="00461E2F"/>
    <w:rsid w:val="00461E53"/>
    <w:rsid w:val="00461E92"/>
    <w:rsid w:val="0046208C"/>
    <w:rsid w:val="00462306"/>
    <w:rsid w:val="00462590"/>
    <w:rsid w:val="00462672"/>
    <w:rsid w:val="004627A2"/>
    <w:rsid w:val="00462ADB"/>
    <w:rsid w:val="00462BDD"/>
    <w:rsid w:val="00462BE4"/>
    <w:rsid w:val="00462C5A"/>
    <w:rsid w:val="00462D63"/>
    <w:rsid w:val="00462F51"/>
    <w:rsid w:val="00462F94"/>
    <w:rsid w:val="00462FD9"/>
    <w:rsid w:val="0046349C"/>
    <w:rsid w:val="004635F3"/>
    <w:rsid w:val="0046366A"/>
    <w:rsid w:val="004637D6"/>
    <w:rsid w:val="00463A7B"/>
    <w:rsid w:val="00463A86"/>
    <w:rsid w:val="00463AD6"/>
    <w:rsid w:val="00463C27"/>
    <w:rsid w:val="00463DF8"/>
    <w:rsid w:val="00463E44"/>
    <w:rsid w:val="00463EA3"/>
    <w:rsid w:val="00463FD7"/>
    <w:rsid w:val="004640AC"/>
    <w:rsid w:val="00464233"/>
    <w:rsid w:val="004645CD"/>
    <w:rsid w:val="004647F9"/>
    <w:rsid w:val="0046499D"/>
    <w:rsid w:val="004649C8"/>
    <w:rsid w:val="00464A00"/>
    <w:rsid w:val="00464A66"/>
    <w:rsid w:val="00464EFA"/>
    <w:rsid w:val="0046547B"/>
    <w:rsid w:val="00465653"/>
    <w:rsid w:val="0046588C"/>
    <w:rsid w:val="004658AD"/>
    <w:rsid w:val="004658C8"/>
    <w:rsid w:val="00465B65"/>
    <w:rsid w:val="00465CD9"/>
    <w:rsid w:val="00465F6F"/>
    <w:rsid w:val="00465FAE"/>
    <w:rsid w:val="00466022"/>
    <w:rsid w:val="004660AB"/>
    <w:rsid w:val="00466123"/>
    <w:rsid w:val="00466130"/>
    <w:rsid w:val="004661C4"/>
    <w:rsid w:val="00466400"/>
    <w:rsid w:val="00466484"/>
    <w:rsid w:val="004665BE"/>
    <w:rsid w:val="00466644"/>
    <w:rsid w:val="0046677F"/>
    <w:rsid w:val="00466913"/>
    <w:rsid w:val="00466C74"/>
    <w:rsid w:val="00466D75"/>
    <w:rsid w:val="00466DC5"/>
    <w:rsid w:val="00466E05"/>
    <w:rsid w:val="00466FFB"/>
    <w:rsid w:val="00466FFD"/>
    <w:rsid w:val="00467062"/>
    <w:rsid w:val="004673FC"/>
    <w:rsid w:val="00467902"/>
    <w:rsid w:val="004679C7"/>
    <w:rsid w:val="00467CD2"/>
    <w:rsid w:val="00467D0F"/>
    <w:rsid w:val="00467E4A"/>
    <w:rsid w:val="00470219"/>
    <w:rsid w:val="0047023D"/>
    <w:rsid w:val="00470249"/>
    <w:rsid w:val="00470891"/>
    <w:rsid w:val="00470A27"/>
    <w:rsid w:val="00470DEA"/>
    <w:rsid w:val="004713FD"/>
    <w:rsid w:val="00471469"/>
    <w:rsid w:val="0047146A"/>
    <w:rsid w:val="0047168F"/>
    <w:rsid w:val="00471825"/>
    <w:rsid w:val="0047189E"/>
    <w:rsid w:val="004719CD"/>
    <w:rsid w:val="00471A63"/>
    <w:rsid w:val="00471B63"/>
    <w:rsid w:val="00471D47"/>
    <w:rsid w:val="00471E0B"/>
    <w:rsid w:val="00472499"/>
    <w:rsid w:val="00472D4F"/>
    <w:rsid w:val="00472E8D"/>
    <w:rsid w:val="00473391"/>
    <w:rsid w:val="004734EF"/>
    <w:rsid w:val="0047355C"/>
    <w:rsid w:val="00473682"/>
    <w:rsid w:val="004737AC"/>
    <w:rsid w:val="004737E0"/>
    <w:rsid w:val="00473B33"/>
    <w:rsid w:val="00473EDB"/>
    <w:rsid w:val="00473EE4"/>
    <w:rsid w:val="004741A5"/>
    <w:rsid w:val="00474247"/>
    <w:rsid w:val="00474395"/>
    <w:rsid w:val="00474645"/>
    <w:rsid w:val="0047473D"/>
    <w:rsid w:val="00474A05"/>
    <w:rsid w:val="00474BC8"/>
    <w:rsid w:val="00474D6C"/>
    <w:rsid w:val="00475085"/>
    <w:rsid w:val="00475139"/>
    <w:rsid w:val="004751BC"/>
    <w:rsid w:val="004751E6"/>
    <w:rsid w:val="004752D2"/>
    <w:rsid w:val="004758B1"/>
    <w:rsid w:val="00475C34"/>
    <w:rsid w:val="00475D02"/>
    <w:rsid w:val="00475F48"/>
    <w:rsid w:val="00476083"/>
    <w:rsid w:val="00476088"/>
    <w:rsid w:val="004761B5"/>
    <w:rsid w:val="00476558"/>
    <w:rsid w:val="0047671C"/>
    <w:rsid w:val="0047686A"/>
    <w:rsid w:val="00476A3A"/>
    <w:rsid w:val="00476C1F"/>
    <w:rsid w:val="00476CF6"/>
    <w:rsid w:val="00476D27"/>
    <w:rsid w:val="0047711A"/>
    <w:rsid w:val="004771C3"/>
    <w:rsid w:val="0047732B"/>
    <w:rsid w:val="00477390"/>
    <w:rsid w:val="004773C4"/>
    <w:rsid w:val="00477746"/>
    <w:rsid w:val="00477AA8"/>
    <w:rsid w:val="00477AAB"/>
    <w:rsid w:val="00477DB7"/>
    <w:rsid w:val="00477E39"/>
    <w:rsid w:val="00477F2D"/>
    <w:rsid w:val="004803F0"/>
    <w:rsid w:val="00480723"/>
    <w:rsid w:val="0048072E"/>
    <w:rsid w:val="00480905"/>
    <w:rsid w:val="00480BC0"/>
    <w:rsid w:val="00480E21"/>
    <w:rsid w:val="00480E9F"/>
    <w:rsid w:val="00481169"/>
    <w:rsid w:val="004813B9"/>
    <w:rsid w:val="00481578"/>
    <w:rsid w:val="00481694"/>
    <w:rsid w:val="00481771"/>
    <w:rsid w:val="00481AC9"/>
    <w:rsid w:val="00481CC9"/>
    <w:rsid w:val="00481D02"/>
    <w:rsid w:val="004820A2"/>
    <w:rsid w:val="004820BA"/>
    <w:rsid w:val="0048236B"/>
    <w:rsid w:val="00482560"/>
    <w:rsid w:val="004825D7"/>
    <w:rsid w:val="00482710"/>
    <w:rsid w:val="00482EFD"/>
    <w:rsid w:val="00482F8F"/>
    <w:rsid w:val="004831AD"/>
    <w:rsid w:val="004832DA"/>
    <w:rsid w:val="00483385"/>
    <w:rsid w:val="00483401"/>
    <w:rsid w:val="00483648"/>
    <w:rsid w:val="00483947"/>
    <w:rsid w:val="00483AF8"/>
    <w:rsid w:val="00483B02"/>
    <w:rsid w:val="00483E2C"/>
    <w:rsid w:val="00483F63"/>
    <w:rsid w:val="00484028"/>
    <w:rsid w:val="004841FD"/>
    <w:rsid w:val="004842E5"/>
    <w:rsid w:val="004843C9"/>
    <w:rsid w:val="004844DC"/>
    <w:rsid w:val="0048454E"/>
    <w:rsid w:val="004845FB"/>
    <w:rsid w:val="0048489A"/>
    <w:rsid w:val="00484967"/>
    <w:rsid w:val="00484B96"/>
    <w:rsid w:val="00484D45"/>
    <w:rsid w:val="00484F4D"/>
    <w:rsid w:val="00484FDC"/>
    <w:rsid w:val="004850BF"/>
    <w:rsid w:val="00485168"/>
    <w:rsid w:val="00485173"/>
    <w:rsid w:val="0048537A"/>
    <w:rsid w:val="004853CC"/>
    <w:rsid w:val="0048544C"/>
    <w:rsid w:val="00485555"/>
    <w:rsid w:val="0048565D"/>
    <w:rsid w:val="0048568B"/>
    <w:rsid w:val="00485952"/>
    <w:rsid w:val="004859D3"/>
    <w:rsid w:val="00485A20"/>
    <w:rsid w:val="00485B03"/>
    <w:rsid w:val="00485C83"/>
    <w:rsid w:val="00485F75"/>
    <w:rsid w:val="00486098"/>
    <w:rsid w:val="00486417"/>
    <w:rsid w:val="0048662A"/>
    <w:rsid w:val="00486739"/>
    <w:rsid w:val="004868B3"/>
    <w:rsid w:val="00486C11"/>
    <w:rsid w:val="00486C73"/>
    <w:rsid w:val="00486D32"/>
    <w:rsid w:val="00487049"/>
    <w:rsid w:val="00487287"/>
    <w:rsid w:val="00487298"/>
    <w:rsid w:val="004873D1"/>
    <w:rsid w:val="004876AF"/>
    <w:rsid w:val="004877F5"/>
    <w:rsid w:val="00487970"/>
    <w:rsid w:val="00487AF6"/>
    <w:rsid w:val="00487CB1"/>
    <w:rsid w:val="00487CCD"/>
    <w:rsid w:val="0049022F"/>
    <w:rsid w:val="00490294"/>
    <w:rsid w:val="00490463"/>
    <w:rsid w:val="004905E3"/>
    <w:rsid w:val="004906DF"/>
    <w:rsid w:val="0049078D"/>
    <w:rsid w:val="00490AF2"/>
    <w:rsid w:val="00490CF6"/>
    <w:rsid w:val="00490E38"/>
    <w:rsid w:val="004910CF"/>
    <w:rsid w:val="004912D7"/>
    <w:rsid w:val="00491326"/>
    <w:rsid w:val="00491472"/>
    <w:rsid w:val="00491528"/>
    <w:rsid w:val="00491700"/>
    <w:rsid w:val="0049193A"/>
    <w:rsid w:val="00491A56"/>
    <w:rsid w:val="00491AA6"/>
    <w:rsid w:val="00491BD4"/>
    <w:rsid w:val="00491CC0"/>
    <w:rsid w:val="00491D42"/>
    <w:rsid w:val="00491ECC"/>
    <w:rsid w:val="00491ED6"/>
    <w:rsid w:val="00492003"/>
    <w:rsid w:val="004920FD"/>
    <w:rsid w:val="00492228"/>
    <w:rsid w:val="004922C6"/>
    <w:rsid w:val="0049235B"/>
    <w:rsid w:val="00492855"/>
    <w:rsid w:val="00492919"/>
    <w:rsid w:val="0049298F"/>
    <w:rsid w:val="00492A6C"/>
    <w:rsid w:val="00492EE7"/>
    <w:rsid w:val="00492FCB"/>
    <w:rsid w:val="00492FE0"/>
    <w:rsid w:val="00493080"/>
    <w:rsid w:val="004934A8"/>
    <w:rsid w:val="00493563"/>
    <w:rsid w:val="00493712"/>
    <w:rsid w:val="0049373B"/>
    <w:rsid w:val="00493923"/>
    <w:rsid w:val="00493B6D"/>
    <w:rsid w:val="00493E75"/>
    <w:rsid w:val="00493F8B"/>
    <w:rsid w:val="00493FDE"/>
    <w:rsid w:val="004941E6"/>
    <w:rsid w:val="00494315"/>
    <w:rsid w:val="004944FF"/>
    <w:rsid w:val="004948A7"/>
    <w:rsid w:val="00494AAD"/>
    <w:rsid w:val="00494BB8"/>
    <w:rsid w:val="00494D50"/>
    <w:rsid w:val="00494DFD"/>
    <w:rsid w:val="00494E2B"/>
    <w:rsid w:val="00494F1D"/>
    <w:rsid w:val="00494FBC"/>
    <w:rsid w:val="004952FD"/>
    <w:rsid w:val="004954B6"/>
    <w:rsid w:val="00495688"/>
    <w:rsid w:val="004957CE"/>
    <w:rsid w:val="0049586E"/>
    <w:rsid w:val="004958BD"/>
    <w:rsid w:val="00495A94"/>
    <w:rsid w:val="00495BB3"/>
    <w:rsid w:val="00495C40"/>
    <w:rsid w:val="00495C90"/>
    <w:rsid w:val="00495E2A"/>
    <w:rsid w:val="004963B9"/>
    <w:rsid w:val="004963E2"/>
    <w:rsid w:val="004966C7"/>
    <w:rsid w:val="004967D4"/>
    <w:rsid w:val="004968E4"/>
    <w:rsid w:val="0049695D"/>
    <w:rsid w:val="004971E4"/>
    <w:rsid w:val="0049741E"/>
    <w:rsid w:val="0049781D"/>
    <w:rsid w:val="00497BD2"/>
    <w:rsid w:val="00497C6C"/>
    <w:rsid w:val="00497CFB"/>
    <w:rsid w:val="00497D13"/>
    <w:rsid w:val="00497F94"/>
    <w:rsid w:val="004A0027"/>
    <w:rsid w:val="004A034F"/>
    <w:rsid w:val="004A039C"/>
    <w:rsid w:val="004A05F7"/>
    <w:rsid w:val="004A060A"/>
    <w:rsid w:val="004A06BF"/>
    <w:rsid w:val="004A0EC8"/>
    <w:rsid w:val="004A0F11"/>
    <w:rsid w:val="004A1125"/>
    <w:rsid w:val="004A116A"/>
    <w:rsid w:val="004A133E"/>
    <w:rsid w:val="004A13FE"/>
    <w:rsid w:val="004A1442"/>
    <w:rsid w:val="004A18CA"/>
    <w:rsid w:val="004A1940"/>
    <w:rsid w:val="004A23FF"/>
    <w:rsid w:val="004A24C8"/>
    <w:rsid w:val="004A24CB"/>
    <w:rsid w:val="004A25ED"/>
    <w:rsid w:val="004A29AA"/>
    <w:rsid w:val="004A29E8"/>
    <w:rsid w:val="004A2A47"/>
    <w:rsid w:val="004A2CDD"/>
    <w:rsid w:val="004A2D78"/>
    <w:rsid w:val="004A2DC2"/>
    <w:rsid w:val="004A3130"/>
    <w:rsid w:val="004A32BD"/>
    <w:rsid w:val="004A33CA"/>
    <w:rsid w:val="004A3436"/>
    <w:rsid w:val="004A356B"/>
    <w:rsid w:val="004A3886"/>
    <w:rsid w:val="004A3D3F"/>
    <w:rsid w:val="004A3D72"/>
    <w:rsid w:val="004A3EAA"/>
    <w:rsid w:val="004A4382"/>
    <w:rsid w:val="004A4983"/>
    <w:rsid w:val="004A4A9B"/>
    <w:rsid w:val="004A4AE1"/>
    <w:rsid w:val="004A4BE0"/>
    <w:rsid w:val="004A4C78"/>
    <w:rsid w:val="004A4C8E"/>
    <w:rsid w:val="004A5014"/>
    <w:rsid w:val="004A5089"/>
    <w:rsid w:val="004A512E"/>
    <w:rsid w:val="004A55C4"/>
    <w:rsid w:val="004A55C5"/>
    <w:rsid w:val="004A56A1"/>
    <w:rsid w:val="004A56C2"/>
    <w:rsid w:val="004A5701"/>
    <w:rsid w:val="004A5764"/>
    <w:rsid w:val="004A5777"/>
    <w:rsid w:val="004A5D19"/>
    <w:rsid w:val="004A5E2C"/>
    <w:rsid w:val="004A6108"/>
    <w:rsid w:val="004A6375"/>
    <w:rsid w:val="004A6619"/>
    <w:rsid w:val="004A6883"/>
    <w:rsid w:val="004A6BF2"/>
    <w:rsid w:val="004A6C77"/>
    <w:rsid w:val="004A6D4D"/>
    <w:rsid w:val="004A6EEB"/>
    <w:rsid w:val="004A6FD4"/>
    <w:rsid w:val="004A6FEC"/>
    <w:rsid w:val="004A7334"/>
    <w:rsid w:val="004A797D"/>
    <w:rsid w:val="004A7B1C"/>
    <w:rsid w:val="004A7B28"/>
    <w:rsid w:val="004A7B98"/>
    <w:rsid w:val="004A7CD5"/>
    <w:rsid w:val="004A7D97"/>
    <w:rsid w:val="004A7DC6"/>
    <w:rsid w:val="004A7E96"/>
    <w:rsid w:val="004B000D"/>
    <w:rsid w:val="004B00DA"/>
    <w:rsid w:val="004B01FF"/>
    <w:rsid w:val="004B05C0"/>
    <w:rsid w:val="004B09E9"/>
    <w:rsid w:val="004B0A10"/>
    <w:rsid w:val="004B0A1A"/>
    <w:rsid w:val="004B0A92"/>
    <w:rsid w:val="004B0C62"/>
    <w:rsid w:val="004B0D20"/>
    <w:rsid w:val="004B0FFC"/>
    <w:rsid w:val="004B1066"/>
    <w:rsid w:val="004B10C3"/>
    <w:rsid w:val="004B13FD"/>
    <w:rsid w:val="004B14C2"/>
    <w:rsid w:val="004B171F"/>
    <w:rsid w:val="004B184C"/>
    <w:rsid w:val="004B1A09"/>
    <w:rsid w:val="004B1A74"/>
    <w:rsid w:val="004B1BD3"/>
    <w:rsid w:val="004B1C68"/>
    <w:rsid w:val="004B1CA9"/>
    <w:rsid w:val="004B22CE"/>
    <w:rsid w:val="004B234D"/>
    <w:rsid w:val="004B2775"/>
    <w:rsid w:val="004B2BEF"/>
    <w:rsid w:val="004B30E5"/>
    <w:rsid w:val="004B313A"/>
    <w:rsid w:val="004B332C"/>
    <w:rsid w:val="004B3454"/>
    <w:rsid w:val="004B34B2"/>
    <w:rsid w:val="004B3BA9"/>
    <w:rsid w:val="004B3BFA"/>
    <w:rsid w:val="004B3E56"/>
    <w:rsid w:val="004B40B3"/>
    <w:rsid w:val="004B4351"/>
    <w:rsid w:val="004B45D4"/>
    <w:rsid w:val="004B4656"/>
    <w:rsid w:val="004B47AF"/>
    <w:rsid w:val="004B49D7"/>
    <w:rsid w:val="004B49E0"/>
    <w:rsid w:val="004B4C93"/>
    <w:rsid w:val="004B4D7A"/>
    <w:rsid w:val="004B4EB1"/>
    <w:rsid w:val="004B4F37"/>
    <w:rsid w:val="004B5133"/>
    <w:rsid w:val="004B5189"/>
    <w:rsid w:val="004B5409"/>
    <w:rsid w:val="004B564E"/>
    <w:rsid w:val="004B5885"/>
    <w:rsid w:val="004B5BFC"/>
    <w:rsid w:val="004B5EB5"/>
    <w:rsid w:val="004B5EC3"/>
    <w:rsid w:val="004B62C6"/>
    <w:rsid w:val="004B6741"/>
    <w:rsid w:val="004B6E47"/>
    <w:rsid w:val="004B6E92"/>
    <w:rsid w:val="004B7080"/>
    <w:rsid w:val="004B72B0"/>
    <w:rsid w:val="004B72DB"/>
    <w:rsid w:val="004B73AC"/>
    <w:rsid w:val="004B7898"/>
    <w:rsid w:val="004B79A3"/>
    <w:rsid w:val="004B79F3"/>
    <w:rsid w:val="004B7CA4"/>
    <w:rsid w:val="004B7D7D"/>
    <w:rsid w:val="004C007A"/>
    <w:rsid w:val="004C02E8"/>
    <w:rsid w:val="004C0358"/>
    <w:rsid w:val="004C0449"/>
    <w:rsid w:val="004C04E3"/>
    <w:rsid w:val="004C064C"/>
    <w:rsid w:val="004C08C5"/>
    <w:rsid w:val="004C0948"/>
    <w:rsid w:val="004C0A4F"/>
    <w:rsid w:val="004C0DAE"/>
    <w:rsid w:val="004C0EBF"/>
    <w:rsid w:val="004C102B"/>
    <w:rsid w:val="004C10F3"/>
    <w:rsid w:val="004C111C"/>
    <w:rsid w:val="004C111F"/>
    <w:rsid w:val="004C1364"/>
    <w:rsid w:val="004C145D"/>
    <w:rsid w:val="004C150E"/>
    <w:rsid w:val="004C1663"/>
    <w:rsid w:val="004C1834"/>
    <w:rsid w:val="004C18B1"/>
    <w:rsid w:val="004C18FF"/>
    <w:rsid w:val="004C1EFD"/>
    <w:rsid w:val="004C226D"/>
    <w:rsid w:val="004C259C"/>
    <w:rsid w:val="004C28FD"/>
    <w:rsid w:val="004C2902"/>
    <w:rsid w:val="004C2DCC"/>
    <w:rsid w:val="004C2F77"/>
    <w:rsid w:val="004C31B9"/>
    <w:rsid w:val="004C342C"/>
    <w:rsid w:val="004C36A8"/>
    <w:rsid w:val="004C370E"/>
    <w:rsid w:val="004C39F0"/>
    <w:rsid w:val="004C3AC4"/>
    <w:rsid w:val="004C3F08"/>
    <w:rsid w:val="004C3FB5"/>
    <w:rsid w:val="004C40CB"/>
    <w:rsid w:val="004C412D"/>
    <w:rsid w:val="004C41B6"/>
    <w:rsid w:val="004C4283"/>
    <w:rsid w:val="004C44DF"/>
    <w:rsid w:val="004C4539"/>
    <w:rsid w:val="004C454E"/>
    <w:rsid w:val="004C46CC"/>
    <w:rsid w:val="004C46E6"/>
    <w:rsid w:val="004C4732"/>
    <w:rsid w:val="004C4B32"/>
    <w:rsid w:val="004C4FA7"/>
    <w:rsid w:val="004C51C9"/>
    <w:rsid w:val="004C5863"/>
    <w:rsid w:val="004C5A95"/>
    <w:rsid w:val="004C5CEC"/>
    <w:rsid w:val="004C5DAA"/>
    <w:rsid w:val="004C6238"/>
    <w:rsid w:val="004C6252"/>
    <w:rsid w:val="004C6426"/>
    <w:rsid w:val="004C6459"/>
    <w:rsid w:val="004C6A39"/>
    <w:rsid w:val="004C6B42"/>
    <w:rsid w:val="004C6B7B"/>
    <w:rsid w:val="004C6C8E"/>
    <w:rsid w:val="004C6D81"/>
    <w:rsid w:val="004C7066"/>
    <w:rsid w:val="004C735C"/>
    <w:rsid w:val="004C75C3"/>
    <w:rsid w:val="004C76A7"/>
    <w:rsid w:val="004C785E"/>
    <w:rsid w:val="004C7C01"/>
    <w:rsid w:val="004C7C9D"/>
    <w:rsid w:val="004D006A"/>
    <w:rsid w:val="004D01FC"/>
    <w:rsid w:val="004D02DE"/>
    <w:rsid w:val="004D0326"/>
    <w:rsid w:val="004D05BA"/>
    <w:rsid w:val="004D0663"/>
    <w:rsid w:val="004D07BA"/>
    <w:rsid w:val="004D0D57"/>
    <w:rsid w:val="004D0ED2"/>
    <w:rsid w:val="004D0ED4"/>
    <w:rsid w:val="004D11B5"/>
    <w:rsid w:val="004D11FB"/>
    <w:rsid w:val="004D127F"/>
    <w:rsid w:val="004D15C4"/>
    <w:rsid w:val="004D1637"/>
    <w:rsid w:val="004D1876"/>
    <w:rsid w:val="004D1883"/>
    <w:rsid w:val="004D18AF"/>
    <w:rsid w:val="004D19BC"/>
    <w:rsid w:val="004D19D6"/>
    <w:rsid w:val="004D1CBE"/>
    <w:rsid w:val="004D1DED"/>
    <w:rsid w:val="004D1FED"/>
    <w:rsid w:val="004D20AF"/>
    <w:rsid w:val="004D21A4"/>
    <w:rsid w:val="004D2523"/>
    <w:rsid w:val="004D258F"/>
    <w:rsid w:val="004D25DD"/>
    <w:rsid w:val="004D2626"/>
    <w:rsid w:val="004D2655"/>
    <w:rsid w:val="004D27DE"/>
    <w:rsid w:val="004D28DF"/>
    <w:rsid w:val="004D2A28"/>
    <w:rsid w:val="004D2AAC"/>
    <w:rsid w:val="004D2DFF"/>
    <w:rsid w:val="004D2E9B"/>
    <w:rsid w:val="004D3143"/>
    <w:rsid w:val="004D326E"/>
    <w:rsid w:val="004D3378"/>
    <w:rsid w:val="004D3415"/>
    <w:rsid w:val="004D3445"/>
    <w:rsid w:val="004D3557"/>
    <w:rsid w:val="004D3653"/>
    <w:rsid w:val="004D37CA"/>
    <w:rsid w:val="004D38F5"/>
    <w:rsid w:val="004D3988"/>
    <w:rsid w:val="004D3A4F"/>
    <w:rsid w:val="004D3A5B"/>
    <w:rsid w:val="004D3B0E"/>
    <w:rsid w:val="004D3C0E"/>
    <w:rsid w:val="004D3D03"/>
    <w:rsid w:val="004D3EB6"/>
    <w:rsid w:val="004D40A2"/>
    <w:rsid w:val="004D4320"/>
    <w:rsid w:val="004D45FA"/>
    <w:rsid w:val="004D4772"/>
    <w:rsid w:val="004D487E"/>
    <w:rsid w:val="004D4880"/>
    <w:rsid w:val="004D4A21"/>
    <w:rsid w:val="004D4A30"/>
    <w:rsid w:val="004D4A90"/>
    <w:rsid w:val="004D4D13"/>
    <w:rsid w:val="004D5250"/>
    <w:rsid w:val="004D52BD"/>
    <w:rsid w:val="004D53C5"/>
    <w:rsid w:val="004D567C"/>
    <w:rsid w:val="004D575B"/>
    <w:rsid w:val="004D583A"/>
    <w:rsid w:val="004D5A8C"/>
    <w:rsid w:val="004D5BD3"/>
    <w:rsid w:val="004D6340"/>
    <w:rsid w:val="004D6546"/>
    <w:rsid w:val="004D66E0"/>
    <w:rsid w:val="004D698F"/>
    <w:rsid w:val="004D6A21"/>
    <w:rsid w:val="004D6B99"/>
    <w:rsid w:val="004D6C4C"/>
    <w:rsid w:val="004D6E37"/>
    <w:rsid w:val="004D7158"/>
    <w:rsid w:val="004D73CB"/>
    <w:rsid w:val="004D73D9"/>
    <w:rsid w:val="004D7648"/>
    <w:rsid w:val="004D777C"/>
    <w:rsid w:val="004D78AC"/>
    <w:rsid w:val="004D7A0C"/>
    <w:rsid w:val="004D7B2D"/>
    <w:rsid w:val="004D7B38"/>
    <w:rsid w:val="004E009E"/>
    <w:rsid w:val="004E00EA"/>
    <w:rsid w:val="004E012A"/>
    <w:rsid w:val="004E0319"/>
    <w:rsid w:val="004E032D"/>
    <w:rsid w:val="004E041F"/>
    <w:rsid w:val="004E0650"/>
    <w:rsid w:val="004E0AB8"/>
    <w:rsid w:val="004E0BAD"/>
    <w:rsid w:val="004E0CCF"/>
    <w:rsid w:val="004E0DA0"/>
    <w:rsid w:val="004E0FFB"/>
    <w:rsid w:val="004E1064"/>
    <w:rsid w:val="004E11FE"/>
    <w:rsid w:val="004E1332"/>
    <w:rsid w:val="004E147D"/>
    <w:rsid w:val="004E1521"/>
    <w:rsid w:val="004E1630"/>
    <w:rsid w:val="004E16C8"/>
    <w:rsid w:val="004E1A66"/>
    <w:rsid w:val="004E1B89"/>
    <w:rsid w:val="004E1B92"/>
    <w:rsid w:val="004E1D75"/>
    <w:rsid w:val="004E22C4"/>
    <w:rsid w:val="004E23B0"/>
    <w:rsid w:val="004E2645"/>
    <w:rsid w:val="004E2887"/>
    <w:rsid w:val="004E28EA"/>
    <w:rsid w:val="004E292E"/>
    <w:rsid w:val="004E29B3"/>
    <w:rsid w:val="004E2A2C"/>
    <w:rsid w:val="004E2B20"/>
    <w:rsid w:val="004E2D08"/>
    <w:rsid w:val="004E2F61"/>
    <w:rsid w:val="004E30C9"/>
    <w:rsid w:val="004E3199"/>
    <w:rsid w:val="004E33CD"/>
    <w:rsid w:val="004E3832"/>
    <w:rsid w:val="004E39D5"/>
    <w:rsid w:val="004E3C93"/>
    <w:rsid w:val="004E3F27"/>
    <w:rsid w:val="004E447D"/>
    <w:rsid w:val="004E448A"/>
    <w:rsid w:val="004E49EB"/>
    <w:rsid w:val="004E4AA1"/>
    <w:rsid w:val="004E4AE4"/>
    <w:rsid w:val="004E4AF3"/>
    <w:rsid w:val="004E4B31"/>
    <w:rsid w:val="004E4B71"/>
    <w:rsid w:val="004E4C35"/>
    <w:rsid w:val="004E4F3D"/>
    <w:rsid w:val="004E5380"/>
    <w:rsid w:val="004E5577"/>
    <w:rsid w:val="004E576B"/>
    <w:rsid w:val="004E588D"/>
    <w:rsid w:val="004E597A"/>
    <w:rsid w:val="004E5FDF"/>
    <w:rsid w:val="004E6316"/>
    <w:rsid w:val="004E644B"/>
    <w:rsid w:val="004E6493"/>
    <w:rsid w:val="004E665D"/>
    <w:rsid w:val="004E68F8"/>
    <w:rsid w:val="004E695D"/>
    <w:rsid w:val="004E6AED"/>
    <w:rsid w:val="004E6B14"/>
    <w:rsid w:val="004E6C4E"/>
    <w:rsid w:val="004E6EE7"/>
    <w:rsid w:val="004E705D"/>
    <w:rsid w:val="004E71D7"/>
    <w:rsid w:val="004E7751"/>
    <w:rsid w:val="004E77E9"/>
    <w:rsid w:val="004E785F"/>
    <w:rsid w:val="004E793E"/>
    <w:rsid w:val="004E7AB9"/>
    <w:rsid w:val="004E7BA7"/>
    <w:rsid w:val="004E7D1D"/>
    <w:rsid w:val="004E7D75"/>
    <w:rsid w:val="004F00E7"/>
    <w:rsid w:val="004F01F9"/>
    <w:rsid w:val="004F029A"/>
    <w:rsid w:val="004F036F"/>
    <w:rsid w:val="004F0C84"/>
    <w:rsid w:val="004F0CDF"/>
    <w:rsid w:val="004F0DEE"/>
    <w:rsid w:val="004F0EF6"/>
    <w:rsid w:val="004F0F3A"/>
    <w:rsid w:val="004F10AD"/>
    <w:rsid w:val="004F10E9"/>
    <w:rsid w:val="004F173E"/>
    <w:rsid w:val="004F174F"/>
    <w:rsid w:val="004F198B"/>
    <w:rsid w:val="004F1A0E"/>
    <w:rsid w:val="004F1A50"/>
    <w:rsid w:val="004F1C97"/>
    <w:rsid w:val="004F1CA7"/>
    <w:rsid w:val="004F21E1"/>
    <w:rsid w:val="004F22D0"/>
    <w:rsid w:val="004F26D8"/>
    <w:rsid w:val="004F284F"/>
    <w:rsid w:val="004F29F0"/>
    <w:rsid w:val="004F2A5C"/>
    <w:rsid w:val="004F2AB5"/>
    <w:rsid w:val="004F2B5C"/>
    <w:rsid w:val="004F2C01"/>
    <w:rsid w:val="004F2D4F"/>
    <w:rsid w:val="004F2DB6"/>
    <w:rsid w:val="004F2E8C"/>
    <w:rsid w:val="004F2F87"/>
    <w:rsid w:val="004F31A3"/>
    <w:rsid w:val="004F32B3"/>
    <w:rsid w:val="004F3664"/>
    <w:rsid w:val="004F39C0"/>
    <w:rsid w:val="004F3CCF"/>
    <w:rsid w:val="004F4098"/>
    <w:rsid w:val="004F40D2"/>
    <w:rsid w:val="004F418D"/>
    <w:rsid w:val="004F45F0"/>
    <w:rsid w:val="004F47F9"/>
    <w:rsid w:val="004F4976"/>
    <w:rsid w:val="004F4AB7"/>
    <w:rsid w:val="004F4B92"/>
    <w:rsid w:val="004F4C5D"/>
    <w:rsid w:val="004F4FFE"/>
    <w:rsid w:val="004F509A"/>
    <w:rsid w:val="004F5304"/>
    <w:rsid w:val="004F533F"/>
    <w:rsid w:val="004F5AA2"/>
    <w:rsid w:val="004F5C42"/>
    <w:rsid w:val="004F5E16"/>
    <w:rsid w:val="004F5EA8"/>
    <w:rsid w:val="004F6028"/>
    <w:rsid w:val="004F61F5"/>
    <w:rsid w:val="004F6334"/>
    <w:rsid w:val="004F6353"/>
    <w:rsid w:val="004F63E6"/>
    <w:rsid w:val="004F6517"/>
    <w:rsid w:val="004F6645"/>
    <w:rsid w:val="004F6981"/>
    <w:rsid w:val="004F6DE5"/>
    <w:rsid w:val="004F6F12"/>
    <w:rsid w:val="004F6F32"/>
    <w:rsid w:val="004F716C"/>
    <w:rsid w:val="004F71EC"/>
    <w:rsid w:val="004F7268"/>
    <w:rsid w:val="004F733A"/>
    <w:rsid w:val="004F7598"/>
    <w:rsid w:val="004F75A4"/>
    <w:rsid w:val="004F77AA"/>
    <w:rsid w:val="004F78BB"/>
    <w:rsid w:val="004F798D"/>
    <w:rsid w:val="004F79B0"/>
    <w:rsid w:val="004F7BBA"/>
    <w:rsid w:val="004F7C56"/>
    <w:rsid w:val="00500145"/>
    <w:rsid w:val="005001A9"/>
    <w:rsid w:val="00500284"/>
    <w:rsid w:val="005002D6"/>
    <w:rsid w:val="0050030C"/>
    <w:rsid w:val="0050031A"/>
    <w:rsid w:val="00500691"/>
    <w:rsid w:val="00500778"/>
    <w:rsid w:val="00500782"/>
    <w:rsid w:val="005007F3"/>
    <w:rsid w:val="00500898"/>
    <w:rsid w:val="005008D5"/>
    <w:rsid w:val="00500A75"/>
    <w:rsid w:val="00500B85"/>
    <w:rsid w:val="00500BC9"/>
    <w:rsid w:val="00500CF1"/>
    <w:rsid w:val="00500E86"/>
    <w:rsid w:val="00500EF9"/>
    <w:rsid w:val="0050116F"/>
    <w:rsid w:val="005013B9"/>
    <w:rsid w:val="0050140D"/>
    <w:rsid w:val="00501562"/>
    <w:rsid w:val="0050156E"/>
    <w:rsid w:val="00501870"/>
    <w:rsid w:val="00501B20"/>
    <w:rsid w:val="00501B6C"/>
    <w:rsid w:val="00501B77"/>
    <w:rsid w:val="00501BA1"/>
    <w:rsid w:val="00501C04"/>
    <w:rsid w:val="00501E64"/>
    <w:rsid w:val="00501F19"/>
    <w:rsid w:val="00501F51"/>
    <w:rsid w:val="00501F96"/>
    <w:rsid w:val="00502089"/>
    <w:rsid w:val="005020F7"/>
    <w:rsid w:val="00502417"/>
    <w:rsid w:val="005026A8"/>
    <w:rsid w:val="005029E7"/>
    <w:rsid w:val="00502A9D"/>
    <w:rsid w:val="00502EF1"/>
    <w:rsid w:val="0050315A"/>
    <w:rsid w:val="0050338B"/>
    <w:rsid w:val="0050375E"/>
    <w:rsid w:val="00503775"/>
    <w:rsid w:val="00503853"/>
    <w:rsid w:val="00503987"/>
    <w:rsid w:val="005039A6"/>
    <w:rsid w:val="00503B67"/>
    <w:rsid w:val="00503BC6"/>
    <w:rsid w:val="00503F98"/>
    <w:rsid w:val="00504030"/>
    <w:rsid w:val="00504236"/>
    <w:rsid w:val="00504B85"/>
    <w:rsid w:val="00504CF9"/>
    <w:rsid w:val="00504DBA"/>
    <w:rsid w:val="00504DD3"/>
    <w:rsid w:val="00504E87"/>
    <w:rsid w:val="00504FFA"/>
    <w:rsid w:val="00505093"/>
    <w:rsid w:val="0050556D"/>
    <w:rsid w:val="00505775"/>
    <w:rsid w:val="00505CF6"/>
    <w:rsid w:val="00505E57"/>
    <w:rsid w:val="00505EA9"/>
    <w:rsid w:val="00505F3A"/>
    <w:rsid w:val="00506228"/>
    <w:rsid w:val="0050636B"/>
    <w:rsid w:val="0050642E"/>
    <w:rsid w:val="005066BD"/>
    <w:rsid w:val="00506839"/>
    <w:rsid w:val="00506C1B"/>
    <w:rsid w:val="00506D6E"/>
    <w:rsid w:val="00506ECD"/>
    <w:rsid w:val="005074BA"/>
    <w:rsid w:val="005076D0"/>
    <w:rsid w:val="005077EF"/>
    <w:rsid w:val="005078BF"/>
    <w:rsid w:val="00507AFB"/>
    <w:rsid w:val="00507B0F"/>
    <w:rsid w:val="00507BB0"/>
    <w:rsid w:val="00510152"/>
    <w:rsid w:val="00510501"/>
    <w:rsid w:val="005109FE"/>
    <w:rsid w:val="00510AA2"/>
    <w:rsid w:val="00510B3A"/>
    <w:rsid w:val="00510B72"/>
    <w:rsid w:val="00510E62"/>
    <w:rsid w:val="00510FFB"/>
    <w:rsid w:val="00511080"/>
    <w:rsid w:val="0051115F"/>
    <w:rsid w:val="0051116C"/>
    <w:rsid w:val="00511196"/>
    <w:rsid w:val="0051120D"/>
    <w:rsid w:val="00511462"/>
    <w:rsid w:val="00511629"/>
    <w:rsid w:val="0051181D"/>
    <w:rsid w:val="005118E8"/>
    <w:rsid w:val="005119AE"/>
    <w:rsid w:val="00511B1F"/>
    <w:rsid w:val="00511B47"/>
    <w:rsid w:val="00511F08"/>
    <w:rsid w:val="00512226"/>
    <w:rsid w:val="00512486"/>
    <w:rsid w:val="0051249A"/>
    <w:rsid w:val="005126AD"/>
    <w:rsid w:val="005128C4"/>
    <w:rsid w:val="00512A84"/>
    <w:rsid w:val="00512E0E"/>
    <w:rsid w:val="00512E1E"/>
    <w:rsid w:val="0051310E"/>
    <w:rsid w:val="005133CF"/>
    <w:rsid w:val="005134C2"/>
    <w:rsid w:val="00513902"/>
    <w:rsid w:val="00513BD8"/>
    <w:rsid w:val="00513BEC"/>
    <w:rsid w:val="00513C7F"/>
    <w:rsid w:val="00513CF2"/>
    <w:rsid w:val="005140A0"/>
    <w:rsid w:val="00514131"/>
    <w:rsid w:val="005144C9"/>
    <w:rsid w:val="00514598"/>
    <w:rsid w:val="00514622"/>
    <w:rsid w:val="00514A86"/>
    <w:rsid w:val="00514DA4"/>
    <w:rsid w:val="00514E17"/>
    <w:rsid w:val="00514EBF"/>
    <w:rsid w:val="005151BE"/>
    <w:rsid w:val="005152E6"/>
    <w:rsid w:val="00515336"/>
    <w:rsid w:val="0051538D"/>
    <w:rsid w:val="005153A8"/>
    <w:rsid w:val="00515454"/>
    <w:rsid w:val="00515495"/>
    <w:rsid w:val="00515A30"/>
    <w:rsid w:val="00515A5E"/>
    <w:rsid w:val="00515A76"/>
    <w:rsid w:val="00515AC9"/>
    <w:rsid w:val="00515B52"/>
    <w:rsid w:val="00515D80"/>
    <w:rsid w:val="00516273"/>
    <w:rsid w:val="0051648B"/>
    <w:rsid w:val="00516550"/>
    <w:rsid w:val="005165AB"/>
    <w:rsid w:val="005165FA"/>
    <w:rsid w:val="00516785"/>
    <w:rsid w:val="00516C12"/>
    <w:rsid w:val="00516CF4"/>
    <w:rsid w:val="00517225"/>
    <w:rsid w:val="005172CF"/>
    <w:rsid w:val="005173DF"/>
    <w:rsid w:val="005174C5"/>
    <w:rsid w:val="005175E4"/>
    <w:rsid w:val="005177FC"/>
    <w:rsid w:val="00517AAB"/>
    <w:rsid w:val="00517C9B"/>
    <w:rsid w:val="00517E0C"/>
    <w:rsid w:val="0052062B"/>
    <w:rsid w:val="0052067C"/>
    <w:rsid w:val="005209BC"/>
    <w:rsid w:val="00520B09"/>
    <w:rsid w:val="00520D1E"/>
    <w:rsid w:val="00520E7A"/>
    <w:rsid w:val="005212B7"/>
    <w:rsid w:val="005212BF"/>
    <w:rsid w:val="005214AD"/>
    <w:rsid w:val="005214DB"/>
    <w:rsid w:val="00521698"/>
    <w:rsid w:val="005216E5"/>
    <w:rsid w:val="00521731"/>
    <w:rsid w:val="00521753"/>
    <w:rsid w:val="00521757"/>
    <w:rsid w:val="00521792"/>
    <w:rsid w:val="00521AD3"/>
    <w:rsid w:val="00521CB4"/>
    <w:rsid w:val="00521F32"/>
    <w:rsid w:val="00522064"/>
    <w:rsid w:val="0052248A"/>
    <w:rsid w:val="0052250C"/>
    <w:rsid w:val="00522671"/>
    <w:rsid w:val="005227CE"/>
    <w:rsid w:val="005229C8"/>
    <w:rsid w:val="00522D1B"/>
    <w:rsid w:val="00522E37"/>
    <w:rsid w:val="00522E99"/>
    <w:rsid w:val="00523064"/>
    <w:rsid w:val="0052309D"/>
    <w:rsid w:val="00523235"/>
    <w:rsid w:val="005236BE"/>
    <w:rsid w:val="00523E17"/>
    <w:rsid w:val="00523E5A"/>
    <w:rsid w:val="00523F08"/>
    <w:rsid w:val="0052419D"/>
    <w:rsid w:val="005243A4"/>
    <w:rsid w:val="005244AD"/>
    <w:rsid w:val="005245B1"/>
    <w:rsid w:val="005246FF"/>
    <w:rsid w:val="00524C36"/>
    <w:rsid w:val="00524CA8"/>
    <w:rsid w:val="00524D14"/>
    <w:rsid w:val="00524FC0"/>
    <w:rsid w:val="005250C1"/>
    <w:rsid w:val="005250FD"/>
    <w:rsid w:val="005252C7"/>
    <w:rsid w:val="0052536F"/>
    <w:rsid w:val="00525509"/>
    <w:rsid w:val="00525A0E"/>
    <w:rsid w:val="00525C5E"/>
    <w:rsid w:val="00525DD9"/>
    <w:rsid w:val="00526024"/>
    <w:rsid w:val="005260F5"/>
    <w:rsid w:val="0052613A"/>
    <w:rsid w:val="00526184"/>
    <w:rsid w:val="005262DB"/>
    <w:rsid w:val="0052669B"/>
    <w:rsid w:val="0052674F"/>
    <w:rsid w:val="005267C5"/>
    <w:rsid w:val="0052685D"/>
    <w:rsid w:val="00526921"/>
    <w:rsid w:val="00526AA8"/>
    <w:rsid w:val="00526AFA"/>
    <w:rsid w:val="0052710D"/>
    <w:rsid w:val="00527158"/>
    <w:rsid w:val="005272DB"/>
    <w:rsid w:val="00527616"/>
    <w:rsid w:val="005276BA"/>
    <w:rsid w:val="005276EC"/>
    <w:rsid w:val="00527784"/>
    <w:rsid w:val="00527A54"/>
    <w:rsid w:val="00527B95"/>
    <w:rsid w:val="00527CCE"/>
    <w:rsid w:val="005301F8"/>
    <w:rsid w:val="00530745"/>
    <w:rsid w:val="00530876"/>
    <w:rsid w:val="005308E3"/>
    <w:rsid w:val="00530BE4"/>
    <w:rsid w:val="00530C22"/>
    <w:rsid w:val="00530CA0"/>
    <w:rsid w:val="00530CC4"/>
    <w:rsid w:val="005311F0"/>
    <w:rsid w:val="005312FC"/>
    <w:rsid w:val="0053133E"/>
    <w:rsid w:val="0053143B"/>
    <w:rsid w:val="0053156A"/>
    <w:rsid w:val="005317EC"/>
    <w:rsid w:val="00531B21"/>
    <w:rsid w:val="00531DB2"/>
    <w:rsid w:val="00531E30"/>
    <w:rsid w:val="00531F28"/>
    <w:rsid w:val="0053207F"/>
    <w:rsid w:val="005321D9"/>
    <w:rsid w:val="00532260"/>
    <w:rsid w:val="00532658"/>
    <w:rsid w:val="0053272D"/>
    <w:rsid w:val="00532826"/>
    <w:rsid w:val="00532C61"/>
    <w:rsid w:val="00532C6D"/>
    <w:rsid w:val="00532F03"/>
    <w:rsid w:val="005330DE"/>
    <w:rsid w:val="00533374"/>
    <w:rsid w:val="00533397"/>
    <w:rsid w:val="005333DC"/>
    <w:rsid w:val="005334A5"/>
    <w:rsid w:val="0053365E"/>
    <w:rsid w:val="0053378C"/>
    <w:rsid w:val="00533832"/>
    <w:rsid w:val="005339E1"/>
    <w:rsid w:val="005339F5"/>
    <w:rsid w:val="00533AFE"/>
    <w:rsid w:val="00533E8C"/>
    <w:rsid w:val="00533FC9"/>
    <w:rsid w:val="0053401B"/>
    <w:rsid w:val="0053432E"/>
    <w:rsid w:val="00534525"/>
    <w:rsid w:val="00534530"/>
    <w:rsid w:val="00534669"/>
    <w:rsid w:val="005347E7"/>
    <w:rsid w:val="00534E89"/>
    <w:rsid w:val="00534EEC"/>
    <w:rsid w:val="00534EFE"/>
    <w:rsid w:val="005351A0"/>
    <w:rsid w:val="0053524A"/>
    <w:rsid w:val="0053569E"/>
    <w:rsid w:val="005356AF"/>
    <w:rsid w:val="005356DF"/>
    <w:rsid w:val="00535734"/>
    <w:rsid w:val="00535771"/>
    <w:rsid w:val="00535947"/>
    <w:rsid w:val="005359F7"/>
    <w:rsid w:val="00535A00"/>
    <w:rsid w:val="00535FA3"/>
    <w:rsid w:val="0053603D"/>
    <w:rsid w:val="00536069"/>
    <w:rsid w:val="005362A3"/>
    <w:rsid w:val="005363FE"/>
    <w:rsid w:val="00536A74"/>
    <w:rsid w:val="00536F13"/>
    <w:rsid w:val="00536FC0"/>
    <w:rsid w:val="0053703B"/>
    <w:rsid w:val="005370BF"/>
    <w:rsid w:val="00537277"/>
    <w:rsid w:val="0053732D"/>
    <w:rsid w:val="00537403"/>
    <w:rsid w:val="0053742A"/>
    <w:rsid w:val="0053752F"/>
    <w:rsid w:val="0053753B"/>
    <w:rsid w:val="00537548"/>
    <w:rsid w:val="005375AC"/>
    <w:rsid w:val="005377C2"/>
    <w:rsid w:val="00537819"/>
    <w:rsid w:val="005378F0"/>
    <w:rsid w:val="0053794C"/>
    <w:rsid w:val="00537C85"/>
    <w:rsid w:val="00537F66"/>
    <w:rsid w:val="005402CA"/>
    <w:rsid w:val="0054031A"/>
    <w:rsid w:val="005403BA"/>
    <w:rsid w:val="005406DD"/>
    <w:rsid w:val="005409C4"/>
    <w:rsid w:val="00540B20"/>
    <w:rsid w:val="00540B80"/>
    <w:rsid w:val="00540B9E"/>
    <w:rsid w:val="00540BB3"/>
    <w:rsid w:val="00540CA2"/>
    <w:rsid w:val="0054110B"/>
    <w:rsid w:val="0054125D"/>
    <w:rsid w:val="00541362"/>
    <w:rsid w:val="005414F3"/>
    <w:rsid w:val="0054155D"/>
    <w:rsid w:val="0054157E"/>
    <w:rsid w:val="00541B4D"/>
    <w:rsid w:val="00541D29"/>
    <w:rsid w:val="00541FDD"/>
    <w:rsid w:val="00541FFE"/>
    <w:rsid w:val="0054233B"/>
    <w:rsid w:val="00542846"/>
    <w:rsid w:val="00542C55"/>
    <w:rsid w:val="00542DDA"/>
    <w:rsid w:val="00542F5C"/>
    <w:rsid w:val="00543067"/>
    <w:rsid w:val="005431E0"/>
    <w:rsid w:val="0054326F"/>
    <w:rsid w:val="005433D2"/>
    <w:rsid w:val="0054353C"/>
    <w:rsid w:val="005436F0"/>
    <w:rsid w:val="0054389C"/>
    <w:rsid w:val="00543E8C"/>
    <w:rsid w:val="00543F23"/>
    <w:rsid w:val="00543F63"/>
    <w:rsid w:val="00544001"/>
    <w:rsid w:val="00544040"/>
    <w:rsid w:val="005441E8"/>
    <w:rsid w:val="00544279"/>
    <w:rsid w:val="005442A8"/>
    <w:rsid w:val="005442AD"/>
    <w:rsid w:val="0054441F"/>
    <w:rsid w:val="0054468E"/>
    <w:rsid w:val="0054484F"/>
    <w:rsid w:val="00544C10"/>
    <w:rsid w:val="00544F0F"/>
    <w:rsid w:val="0054520B"/>
    <w:rsid w:val="0054542C"/>
    <w:rsid w:val="00545433"/>
    <w:rsid w:val="0054568F"/>
    <w:rsid w:val="005459A8"/>
    <w:rsid w:val="00545C26"/>
    <w:rsid w:val="00545E8E"/>
    <w:rsid w:val="00545F53"/>
    <w:rsid w:val="00546014"/>
    <w:rsid w:val="00546134"/>
    <w:rsid w:val="005465A4"/>
    <w:rsid w:val="005467BF"/>
    <w:rsid w:val="0054680D"/>
    <w:rsid w:val="00546D48"/>
    <w:rsid w:val="00547265"/>
    <w:rsid w:val="005472D7"/>
    <w:rsid w:val="00547963"/>
    <w:rsid w:val="00547C7F"/>
    <w:rsid w:val="00547D7B"/>
    <w:rsid w:val="00547DBA"/>
    <w:rsid w:val="00547DEE"/>
    <w:rsid w:val="005501CD"/>
    <w:rsid w:val="00550372"/>
    <w:rsid w:val="0055076A"/>
    <w:rsid w:val="005508CC"/>
    <w:rsid w:val="00550AFE"/>
    <w:rsid w:val="00550C69"/>
    <w:rsid w:val="00550D07"/>
    <w:rsid w:val="00550E20"/>
    <w:rsid w:val="00550E6E"/>
    <w:rsid w:val="0055112C"/>
    <w:rsid w:val="00551821"/>
    <w:rsid w:val="00551B3F"/>
    <w:rsid w:val="00551B9E"/>
    <w:rsid w:val="00551C47"/>
    <w:rsid w:val="00551DA8"/>
    <w:rsid w:val="00551FF6"/>
    <w:rsid w:val="005520CB"/>
    <w:rsid w:val="005520FE"/>
    <w:rsid w:val="005521A2"/>
    <w:rsid w:val="005525A4"/>
    <w:rsid w:val="005529BF"/>
    <w:rsid w:val="00552A6E"/>
    <w:rsid w:val="00552C7E"/>
    <w:rsid w:val="00552D28"/>
    <w:rsid w:val="00552DCC"/>
    <w:rsid w:val="00552F2A"/>
    <w:rsid w:val="00552F3C"/>
    <w:rsid w:val="00552F94"/>
    <w:rsid w:val="005531EB"/>
    <w:rsid w:val="00553285"/>
    <w:rsid w:val="0055328D"/>
    <w:rsid w:val="00553864"/>
    <w:rsid w:val="00553A66"/>
    <w:rsid w:val="00553B73"/>
    <w:rsid w:val="00553B80"/>
    <w:rsid w:val="00553E3D"/>
    <w:rsid w:val="005540C1"/>
    <w:rsid w:val="00554131"/>
    <w:rsid w:val="00554461"/>
    <w:rsid w:val="00554519"/>
    <w:rsid w:val="00554977"/>
    <w:rsid w:val="005549AC"/>
    <w:rsid w:val="00554A38"/>
    <w:rsid w:val="00554A92"/>
    <w:rsid w:val="00554BE5"/>
    <w:rsid w:val="00554E17"/>
    <w:rsid w:val="00555044"/>
    <w:rsid w:val="005550AA"/>
    <w:rsid w:val="00555520"/>
    <w:rsid w:val="00555779"/>
    <w:rsid w:val="005557B3"/>
    <w:rsid w:val="00555BEC"/>
    <w:rsid w:val="00555C7B"/>
    <w:rsid w:val="00555D1C"/>
    <w:rsid w:val="00555D97"/>
    <w:rsid w:val="00555EAB"/>
    <w:rsid w:val="0055609D"/>
    <w:rsid w:val="0055610D"/>
    <w:rsid w:val="0055658A"/>
    <w:rsid w:val="005565FD"/>
    <w:rsid w:val="005566C9"/>
    <w:rsid w:val="00556813"/>
    <w:rsid w:val="00556855"/>
    <w:rsid w:val="00556995"/>
    <w:rsid w:val="00556D58"/>
    <w:rsid w:val="005573B7"/>
    <w:rsid w:val="005574D3"/>
    <w:rsid w:val="00557502"/>
    <w:rsid w:val="00557A00"/>
    <w:rsid w:val="00557A38"/>
    <w:rsid w:val="00557AFD"/>
    <w:rsid w:val="00557B84"/>
    <w:rsid w:val="00557CC9"/>
    <w:rsid w:val="00557D37"/>
    <w:rsid w:val="00557E41"/>
    <w:rsid w:val="00557EC6"/>
    <w:rsid w:val="00557F58"/>
    <w:rsid w:val="00557F8D"/>
    <w:rsid w:val="005601BC"/>
    <w:rsid w:val="0056046A"/>
    <w:rsid w:val="00560529"/>
    <w:rsid w:val="0056083B"/>
    <w:rsid w:val="0056083C"/>
    <w:rsid w:val="0056117B"/>
    <w:rsid w:val="0056117E"/>
    <w:rsid w:val="00561552"/>
    <w:rsid w:val="0056175E"/>
    <w:rsid w:val="00561893"/>
    <w:rsid w:val="005619B7"/>
    <w:rsid w:val="00561DBC"/>
    <w:rsid w:val="00561FD0"/>
    <w:rsid w:val="00562040"/>
    <w:rsid w:val="005621C4"/>
    <w:rsid w:val="00562579"/>
    <w:rsid w:val="005625E8"/>
    <w:rsid w:val="0056296D"/>
    <w:rsid w:val="00562A4C"/>
    <w:rsid w:val="00562B3C"/>
    <w:rsid w:val="00562D4A"/>
    <w:rsid w:val="00562F17"/>
    <w:rsid w:val="00562F47"/>
    <w:rsid w:val="00562FA1"/>
    <w:rsid w:val="00563081"/>
    <w:rsid w:val="00563139"/>
    <w:rsid w:val="00563726"/>
    <w:rsid w:val="005639C0"/>
    <w:rsid w:val="00563A00"/>
    <w:rsid w:val="00563F13"/>
    <w:rsid w:val="00564005"/>
    <w:rsid w:val="005641DA"/>
    <w:rsid w:val="0056433C"/>
    <w:rsid w:val="00564352"/>
    <w:rsid w:val="005647BD"/>
    <w:rsid w:val="00564814"/>
    <w:rsid w:val="0056497E"/>
    <w:rsid w:val="00564BC2"/>
    <w:rsid w:val="00564C16"/>
    <w:rsid w:val="00564F49"/>
    <w:rsid w:val="005650D0"/>
    <w:rsid w:val="00565295"/>
    <w:rsid w:val="0056547D"/>
    <w:rsid w:val="005654A3"/>
    <w:rsid w:val="005654A4"/>
    <w:rsid w:val="00565631"/>
    <w:rsid w:val="0056582C"/>
    <w:rsid w:val="005659F1"/>
    <w:rsid w:val="00565DB1"/>
    <w:rsid w:val="00565E35"/>
    <w:rsid w:val="00566216"/>
    <w:rsid w:val="005664A3"/>
    <w:rsid w:val="00566AC1"/>
    <w:rsid w:val="00566EAA"/>
    <w:rsid w:val="0056716B"/>
    <w:rsid w:val="005673C0"/>
    <w:rsid w:val="005674B7"/>
    <w:rsid w:val="0056756D"/>
    <w:rsid w:val="005675B0"/>
    <w:rsid w:val="00567625"/>
    <w:rsid w:val="0056771D"/>
    <w:rsid w:val="0056799A"/>
    <w:rsid w:val="00567A1A"/>
    <w:rsid w:val="00567B5E"/>
    <w:rsid w:val="00567BB1"/>
    <w:rsid w:val="00567BDD"/>
    <w:rsid w:val="00567C09"/>
    <w:rsid w:val="00570121"/>
    <w:rsid w:val="005701B8"/>
    <w:rsid w:val="00570277"/>
    <w:rsid w:val="00570469"/>
    <w:rsid w:val="00570577"/>
    <w:rsid w:val="005705D8"/>
    <w:rsid w:val="00570851"/>
    <w:rsid w:val="005709F4"/>
    <w:rsid w:val="00570B07"/>
    <w:rsid w:val="00570B83"/>
    <w:rsid w:val="00570EB1"/>
    <w:rsid w:val="0057159B"/>
    <w:rsid w:val="0057170A"/>
    <w:rsid w:val="00571808"/>
    <w:rsid w:val="005719C5"/>
    <w:rsid w:val="00571A20"/>
    <w:rsid w:val="00571F6B"/>
    <w:rsid w:val="00571FC7"/>
    <w:rsid w:val="00572014"/>
    <w:rsid w:val="00572259"/>
    <w:rsid w:val="0057264C"/>
    <w:rsid w:val="00572812"/>
    <w:rsid w:val="00572981"/>
    <w:rsid w:val="00572AA9"/>
    <w:rsid w:val="00572B4A"/>
    <w:rsid w:val="00572B9D"/>
    <w:rsid w:val="00572C53"/>
    <w:rsid w:val="00572D90"/>
    <w:rsid w:val="00573162"/>
    <w:rsid w:val="005734E6"/>
    <w:rsid w:val="005736EB"/>
    <w:rsid w:val="005737F1"/>
    <w:rsid w:val="0057383C"/>
    <w:rsid w:val="00573A74"/>
    <w:rsid w:val="00573A7A"/>
    <w:rsid w:val="00573AB7"/>
    <w:rsid w:val="00573CFD"/>
    <w:rsid w:val="00573D56"/>
    <w:rsid w:val="00573DC9"/>
    <w:rsid w:val="00573DFD"/>
    <w:rsid w:val="00573E47"/>
    <w:rsid w:val="0057417D"/>
    <w:rsid w:val="0057426D"/>
    <w:rsid w:val="005742F5"/>
    <w:rsid w:val="005744CE"/>
    <w:rsid w:val="0057453C"/>
    <w:rsid w:val="00574775"/>
    <w:rsid w:val="00574777"/>
    <w:rsid w:val="00574C66"/>
    <w:rsid w:val="00574DB3"/>
    <w:rsid w:val="00574E58"/>
    <w:rsid w:val="00575065"/>
    <w:rsid w:val="005755ED"/>
    <w:rsid w:val="0057572B"/>
    <w:rsid w:val="0057576A"/>
    <w:rsid w:val="005758C5"/>
    <w:rsid w:val="00575AE6"/>
    <w:rsid w:val="00575B75"/>
    <w:rsid w:val="00575C27"/>
    <w:rsid w:val="00575DB3"/>
    <w:rsid w:val="00575DCF"/>
    <w:rsid w:val="00575DEF"/>
    <w:rsid w:val="00575F18"/>
    <w:rsid w:val="00576109"/>
    <w:rsid w:val="00576429"/>
    <w:rsid w:val="0057670D"/>
    <w:rsid w:val="00576973"/>
    <w:rsid w:val="005770C7"/>
    <w:rsid w:val="00577152"/>
    <w:rsid w:val="005772B2"/>
    <w:rsid w:val="0057731F"/>
    <w:rsid w:val="00577517"/>
    <w:rsid w:val="005776B2"/>
    <w:rsid w:val="00577959"/>
    <w:rsid w:val="00577B17"/>
    <w:rsid w:val="00577D5F"/>
    <w:rsid w:val="00577E12"/>
    <w:rsid w:val="00577F09"/>
    <w:rsid w:val="00577F57"/>
    <w:rsid w:val="0058041C"/>
    <w:rsid w:val="00580745"/>
    <w:rsid w:val="005807E8"/>
    <w:rsid w:val="005807EC"/>
    <w:rsid w:val="00580B05"/>
    <w:rsid w:val="00580B55"/>
    <w:rsid w:val="00581092"/>
    <w:rsid w:val="00581120"/>
    <w:rsid w:val="0058119C"/>
    <w:rsid w:val="005813B1"/>
    <w:rsid w:val="00581403"/>
    <w:rsid w:val="005814D1"/>
    <w:rsid w:val="005817C0"/>
    <w:rsid w:val="005817E3"/>
    <w:rsid w:val="005818E2"/>
    <w:rsid w:val="00581921"/>
    <w:rsid w:val="00581C28"/>
    <w:rsid w:val="00581CF0"/>
    <w:rsid w:val="00581FDD"/>
    <w:rsid w:val="0058207F"/>
    <w:rsid w:val="0058222A"/>
    <w:rsid w:val="0058235C"/>
    <w:rsid w:val="00582378"/>
    <w:rsid w:val="00582580"/>
    <w:rsid w:val="005826E5"/>
    <w:rsid w:val="00582730"/>
    <w:rsid w:val="00582A60"/>
    <w:rsid w:val="00582A88"/>
    <w:rsid w:val="00582D00"/>
    <w:rsid w:val="00582F5B"/>
    <w:rsid w:val="0058306B"/>
    <w:rsid w:val="00583437"/>
    <w:rsid w:val="0058389B"/>
    <w:rsid w:val="00583A4A"/>
    <w:rsid w:val="00583D98"/>
    <w:rsid w:val="00583F74"/>
    <w:rsid w:val="00584138"/>
    <w:rsid w:val="00584856"/>
    <w:rsid w:val="00584AAD"/>
    <w:rsid w:val="00584C78"/>
    <w:rsid w:val="00584C83"/>
    <w:rsid w:val="00584D26"/>
    <w:rsid w:val="00585261"/>
    <w:rsid w:val="005852AB"/>
    <w:rsid w:val="00585369"/>
    <w:rsid w:val="00585390"/>
    <w:rsid w:val="00585397"/>
    <w:rsid w:val="00585568"/>
    <w:rsid w:val="00585BB4"/>
    <w:rsid w:val="00585C21"/>
    <w:rsid w:val="00585C9A"/>
    <w:rsid w:val="00585D04"/>
    <w:rsid w:val="00585E78"/>
    <w:rsid w:val="00585F92"/>
    <w:rsid w:val="005861C5"/>
    <w:rsid w:val="00586605"/>
    <w:rsid w:val="00586856"/>
    <w:rsid w:val="0058689E"/>
    <w:rsid w:val="005868DE"/>
    <w:rsid w:val="00586A44"/>
    <w:rsid w:val="00586A45"/>
    <w:rsid w:val="00586C28"/>
    <w:rsid w:val="00586D9D"/>
    <w:rsid w:val="00587104"/>
    <w:rsid w:val="00587370"/>
    <w:rsid w:val="00587582"/>
    <w:rsid w:val="00587676"/>
    <w:rsid w:val="00587720"/>
    <w:rsid w:val="0058773C"/>
    <w:rsid w:val="005877AC"/>
    <w:rsid w:val="00587842"/>
    <w:rsid w:val="00587C2A"/>
    <w:rsid w:val="00590021"/>
    <w:rsid w:val="005901B6"/>
    <w:rsid w:val="00590268"/>
    <w:rsid w:val="005904FF"/>
    <w:rsid w:val="00590618"/>
    <w:rsid w:val="0059065D"/>
    <w:rsid w:val="00590688"/>
    <w:rsid w:val="00590767"/>
    <w:rsid w:val="00590953"/>
    <w:rsid w:val="00590C42"/>
    <w:rsid w:val="00590D94"/>
    <w:rsid w:val="005911FA"/>
    <w:rsid w:val="005912EE"/>
    <w:rsid w:val="0059135A"/>
    <w:rsid w:val="00591469"/>
    <w:rsid w:val="005916CF"/>
    <w:rsid w:val="005916DD"/>
    <w:rsid w:val="00591A5E"/>
    <w:rsid w:val="00591B34"/>
    <w:rsid w:val="00591D70"/>
    <w:rsid w:val="00591E15"/>
    <w:rsid w:val="00591F1F"/>
    <w:rsid w:val="0059206D"/>
    <w:rsid w:val="00592269"/>
    <w:rsid w:val="0059234D"/>
    <w:rsid w:val="005924DC"/>
    <w:rsid w:val="00592611"/>
    <w:rsid w:val="005926AC"/>
    <w:rsid w:val="00592A4F"/>
    <w:rsid w:val="00592AE0"/>
    <w:rsid w:val="005936F2"/>
    <w:rsid w:val="0059385D"/>
    <w:rsid w:val="00593BB8"/>
    <w:rsid w:val="00593C9A"/>
    <w:rsid w:val="00593D46"/>
    <w:rsid w:val="00594545"/>
    <w:rsid w:val="00594698"/>
    <w:rsid w:val="005946AB"/>
    <w:rsid w:val="005948E4"/>
    <w:rsid w:val="00594A5D"/>
    <w:rsid w:val="00594E44"/>
    <w:rsid w:val="00594F5B"/>
    <w:rsid w:val="00595051"/>
    <w:rsid w:val="005953EA"/>
    <w:rsid w:val="00595466"/>
    <w:rsid w:val="00595571"/>
    <w:rsid w:val="0059579F"/>
    <w:rsid w:val="0059583E"/>
    <w:rsid w:val="00595A0D"/>
    <w:rsid w:val="00595C85"/>
    <w:rsid w:val="00595D14"/>
    <w:rsid w:val="005960A2"/>
    <w:rsid w:val="00596135"/>
    <w:rsid w:val="005962A9"/>
    <w:rsid w:val="005963B9"/>
    <w:rsid w:val="0059650B"/>
    <w:rsid w:val="00596532"/>
    <w:rsid w:val="0059667B"/>
    <w:rsid w:val="005966B7"/>
    <w:rsid w:val="00596730"/>
    <w:rsid w:val="005969F5"/>
    <w:rsid w:val="00596AE2"/>
    <w:rsid w:val="00596DFB"/>
    <w:rsid w:val="00596E69"/>
    <w:rsid w:val="00596F4C"/>
    <w:rsid w:val="005971F3"/>
    <w:rsid w:val="005971F7"/>
    <w:rsid w:val="00597284"/>
    <w:rsid w:val="0059728F"/>
    <w:rsid w:val="005972A5"/>
    <w:rsid w:val="00597359"/>
    <w:rsid w:val="00597412"/>
    <w:rsid w:val="00597551"/>
    <w:rsid w:val="005979EC"/>
    <w:rsid w:val="00597C24"/>
    <w:rsid w:val="00597C9E"/>
    <w:rsid w:val="00597E44"/>
    <w:rsid w:val="00597F4A"/>
    <w:rsid w:val="005A012E"/>
    <w:rsid w:val="005A01B6"/>
    <w:rsid w:val="005A027B"/>
    <w:rsid w:val="005A038C"/>
    <w:rsid w:val="005A03AD"/>
    <w:rsid w:val="005A044A"/>
    <w:rsid w:val="005A049F"/>
    <w:rsid w:val="005A04A4"/>
    <w:rsid w:val="005A0568"/>
    <w:rsid w:val="005A0741"/>
    <w:rsid w:val="005A07D6"/>
    <w:rsid w:val="005A091B"/>
    <w:rsid w:val="005A0B6C"/>
    <w:rsid w:val="005A0CAB"/>
    <w:rsid w:val="005A106E"/>
    <w:rsid w:val="005A10DB"/>
    <w:rsid w:val="005A11E2"/>
    <w:rsid w:val="005A1738"/>
    <w:rsid w:val="005A186B"/>
    <w:rsid w:val="005A1989"/>
    <w:rsid w:val="005A1CFB"/>
    <w:rsid w:val="005A1D26"/>
    <w:rsid w:val="005A2126"/>
    <w:rsid w:val="005A2399"/>
    <w:rsid w:val="005A243A"/>
    <w:rsid w:val="005A2488"/>
    <w:rsid w:val="005A248B"/>
    <w:rsid w:val="005A2498"/>
    <w:rsid w:val="005A2597"/>
    <w:rsid w:val="005A2938"/>
    <w:rsid w:val="005A2ABD"/>
    <w:rsid w:val="005A2CF1"/>
    <w:rsid w:val="005A2DAD"/>
    <w:rsid w:val="005A308B"/>
    <w:rsid w:val="005A31AB"/>
    <w:rsid w:val="005A3286"/>
    <w:rsid w:val="005A3552"/>
    <w:rsid w:val="005A3910"/>
    <w:rsid w:val="005A39FE"/>
    <w:rsid w:val="005A3B35"/>
    <w:rsid w:val="005A3B78"/>
    <w:rsid w:val="005A3DB6"/>
    <w:rsid w:val="005A3DBC"/>
    <w:rsid w:val="005A4018"/>
    <w:rsid w:val="005A4101"/>
    <w:rsid w:val="005A425C"/>
    <w:rsid w:val="005A42D2"/>
    <w:rsid w:val="005A4324"/>
    <w:rsid w:val="005A4653"/>
    <w:rsid w:val="005A4951"/>
    <w:rsid w:val="005A4A0A"/>
    <w:rsid w:val="005A4B05"/>
    <w:rsid w:val="005A4B53"/>
    <w:rsid w:val="005A4C28"/>
    <w:rsid w:val="005A4EB9"/>
    <w:rsid w:val="005A5445"/>
    <w:rsid w:val="005A57BF"/>
    <w:rsid w:val="005A5820"/>
    <w:rsid w:val="005A5B38"/>
    <w:rsid w:val="005A5BA6"/>
    <w:rsid w:val="005A5C69"/>
    <w:rsid w:val="005A5C9E"/>
    <w:rsid w:val="005A61B6"/>
    <w:rsid w:val="005A6290"/>
    <w:rsid w:val="005A647B"/>
    <w:rsid w:val="005A6AD9"/>
    <w:rsid w:val="005A6B60"/>
    <w:rsid w:val="005A6BA3"/>
    <w:rsid w:val="005A6DE1"/>
    <w:rsid w:val="005A6E36"/>
    <w:rsid w:val="005A6EFE"/>
    <w:rsid w:val="005A6F55"/>
    <w:rsid w:val="005A6F6A"/>
    <w:rsid w:val="005A6FB2"/>
    <w:rsid w:val="005A7170"/>
    <w:rsid w:val="005A7226"/>
    <w:rsid w:val="005A7273"/>
    <w:rsid w:val="005A7301"/>
    <w:rsid w:val="005A732F"/>
    <w:rsid w:val="005A73C9"/>
    <w:rsid w:val="005A743B"/>
    <w:rsid w:val="005A7820"/>
    <w:rsid w:val="005A78BB"/>
    <w:rsid w:val="005A7A3E"/>
    <w:rsid w:val="005A7AE3"/>
    <w:rsid w:val="005A7BBB"/>
    <w:rsid w:val="005A7D02"/>
    <w:rsid w:val="005A7D62"/>
    <w:rsid w:val="005A7E0D"/>
    <w:rsid w:val="005A7F39"/>
    <w:rsid w:val="005B0055"/>
    <w:rsid w:val="005B020D"/>
    <w:rsid w:val="005B02AE"/>
    <w:rsid w:val="005B03F1"/>
    <w:rsid w:val="005B04BA"/>
    <w:rsid w:val="005B063D"/>
    <w:rsid w:val="005B06B3"/>
    <w:rsid w:val="005B07FE"/>
    <w:rsid w:val="005B0934"/>
    <w:rsid w:val="005B0E58"/>
    <w:rsid w:val="005B0F49"/>
    <w:rsid w:val="005B1745"/>
    <w:rsid w:val="005B1BA4"/>
    <w:rsid w:val="005B1D54"/>
    <w:rsid w:val="005B1E7B"/>
    <w:rsid w:val="005B1E9E"/>
    <w:rsid w:val="005B1F70"/>
    <w:rsid w:val="005B21C3"/>
    <w:rsid w:val="005B2284"/>
    <w:rsid w:val="005B23E9"/>
    <w:rsid w:val="005B26EF"/>
    <w:rsid w:val="005B2718"/>
    <w:rsid w:val="005B28AB"/>
    <w:rsid w:val="005B28C0"/>
    <w:rsid w:val="005B31BE"/>
    <w:rsid w:val="005B381D"/>
    <w:rsid w:val="005B3899"/>
    <w:rsid w:val="005B3961"/>
    <w:rsid w:val="005B3B67"/>
    <w:rsid w:val="005B3FD0"/>
    <w:rsid w:val="005B4157"/>
    <w:rsid w:val="005B429A"/>
    <w:rsid w:val="005B4399"/>
    <w:rsid w:val="005B43F7"/>
    <w:rsid w:val="005B4514"/>
    <w:rsid w:val="005B45C2"/>
    <w:rsid w:val="005B4617"/>
    <w:rsid w:val="005B485D"/>
    <w:rsid w:val="005B4E8E"/>
    <w:rsid w:val="005B4EC6"/>
    <w:rsid w:val="005B50E4"/>
    <w:rsid w:val="005B53B9"/>
    <w:rsid w:val="005B5618"/>
    <w:rsid w:val="005B57B3"/>
    <w:rsid w:val="005B5922"/>
    <w:rsid w:val="005B5AA3"/>
    <w:rsid w:val="005B5AF8"/>
    <w:rsid w:val="005B5B6C"/>
    <w:rsid w:val="005B5B93"/>
    <w:rsid w:val="005B5C2D"/>
    <w:rsid w:val="005B5C63"/>
    <w:rsid w:val="005B5E2A"/>
    <w:rsid w:val="005B5E2E"/>
    <w:rsid w:val="005B6171"/>
    <w:rsid w:val="005B6217"/>
    <w:rsid w:val="005B6481"/>
    <w:rsid w:val="005B667A"/>
    <w:rsid w:val="005B67CC"/>
    <w:rsid w:val="005B6B1E"/>
    <w:rsid w:val="005B6BA0"/>
    <w:rsid w:val="005B6BC4"/>
    <w:rsid w:val="005B6F44"/>
    <w:rsid w:val="005B6F4A"/>
    <w:rsid w:val="005B70A4"/>
    <w:rsid w:val="005B70DA"/>
    <w:rsid w:val="005B7211"/>
    <w:rsid w:val="005B75D6"/>
    <w:rsid w:val="005B77A2"/>
    <w:rsid w:val="005B78C7"/>
    <w:rsid w:val="005B7A1C"/>
    <w:rsid w:val="005B7BAC"/>
    <w:rsid w:val="005B7CC5"/>
    <w:rsid w:val="005B7E4A"/>
    <w:rsid w:val="005B7E4F"/>
    <w:rsid w:val="005C02A4"/>
    <w:rsid w:val="005C0402"/>
    <w:rsid w:val="005C07C6"/>
    <w:rsid w:val="005C0EF3"/>
    <w:rsid w:val="005C11C4"/>
    <w:rsid w:val="005C123D"/>
    <w:rsid w:val="005C15DC"/>
    <w:rsid w:val="005C1B0E"/>
    <w:rsid w:val="005C1BA0"/>
    <w:rsid w:val="005C1DBD"/>
    <w:rsid w:val="005C1F24"/>
    <w:rsid w:val="005C20D2"/>
    <w:rsid w:val="005C22E3"/>
    <w:rsid w:val="005C2363"/>
    <w:rsid w:val="005C23C3"/>
    <w:rsid w:val="005C2467"/>
    <w:rsid w:val="005C2558"/>
    <w:rsid w:val="005C2734"/>
    <w:rsid w:val="005C295B"/>
    <w:rsid w:val="005C2F45"/>
    <w:rsid w:val="005C32FE"/>
    <w:rsid w:val="005C363E"/>
    <w:rsid w:val="005C375C"/>
    <w:rsid w:val="005C375E"/>
    <w:rsid w:val="005C3797"/>
    <w:rsid w:val="005C38E6"/>
    <w:rsid w:val="005C38ED"/>
    <w:rsid w:val="005C3AB8"/>
    <w:rsid w:val="005C3C8A"/>
    <w:rsid w:val="005C3CDA"/>
    <w:rsid w:val="005C3EB3"/>
    <w:rsid w:val="005C3FE2"/>
    <w:rsid w:val="005C404D"/>
    <w:rsid w:val="005C41A5"/>
    <w:rsid w:val="005C42BF"/>
    <w:rsid w:val="005C42C8"/>
    <w:rsid w:val="005C44AB"/>
    <w:rsid w:val="005C4567"/>
    <w:rsid w:val="005C4658"/>
    <w:rsid w:val="005C4878"/>
    <w:rsid w:val="005C4A12"/>
    <w:rsid w:val="005C4AEF"/>
    <w:rsid w:val="005C4B85"/>
    <w:rsid w:val="005C503A"/>
    <w:rsid w:val="005C5257"/>
    <w:rsid w:val="005C5312"/>
    <w:rsid w:val="005C533B"/>
    <w:rsid w:val="005C5374"/>
    <w:rsid w:val="005C544C"/>
    <w:rsid w:val="005C563D"/>
    <w:rsid w:val="005C58F4"/>
    <w:rsid w:val="005C59D1"/>
    <w:rsid w:val="005C5AAF"/>
    <w:rsid w:val="005C5AF1"/>
    <w:rsid w:val="005C5C97"/>
    <w:rsid w:val="005C5CF5"/>
    <w:rsid w:val="005C5DB0"/>
    <w:rsid w:val="005C60AA"/>
    <w:rsid w:val="005C60C8"/>
    <w:rsid w:val="005C6136"/>
    <w:rsid w:val="005C6380"/>
    <w:rsid w:val="005C648C"/>
    <w:rsid w:val="005C6777"/>
    <w:rsid w:val="005C683A"/>
    <w:rsid w:val="005C6B4D"/>
    <w:rsid w:val="005C6CB0"/>
    <w:rsid w:val="005C6EFC"/>
    <w:rsid w:val="005C71C9"/>
    <w:rsid w:val="005C71DC"/>
    <w:rsid w:val="005C7456"/>
    <w:rsid w:val="005C74F5"/>
    <w:rsid w:val="005C758F"/>
    <w:rsid w:val="005C77D8"/>
    <w:rsid w:val="005C7B97"/>
    <w:rsid w:val="005C7DD9"/>
    <w:rsid w:val="005C7E78"/>
    <w:rsid w:val="005D024A"/>
    <w:rsid w:val="005D086D"/>
    <w:rsid w:val="005D0A67"/>
    <w:rsid w:val="005D0A9B"/>
    <w:rsid w:val="005D0BFC"/>
    <w:rsid w:val="005D1253"/>
    <w:rsid w:val="005D144C"/>
    <w:rsid w:val="005D1566"/>
    <w:rsid w:val="005D163D"/>
    <w:rsid w:val="005D16F2"/>
    <w:rsid w:val="005D2024"/>
    <w:rsid w:val="005D2716"/>
    <w:rsid w:val="005D2876"/>
    <w:rsid w:val="005D29DA"/>
    <w:rsid w:val="005D2A40"/>
    <w:rsid w:val="005D2F1F"/>
    <w:rsid w:val="005D2FDA"/>
    <w:rsid w:val="005D3032"/>
    <w:rsid w:val="005D3132"/>
    <w:rsid w:val="005D322E"/>
    <w:rsid w:val="005D322F"/>
    <w:rsid w:val="005D33CB"/>
    <w:rsid w:val="005D35FC"/>
    <w:rsid w:val="005D36F3"/>
    <w:rsid w:val="005D3A4A"/>
    <w:rsid w:val="005D3AFE"/>
    <w:rsid w:val="005D3D5A"/>
    <w:rsid w:val="005D420B"/>
    <w:rsid w:val="005D4474"/>
    <w:rsid w:val="005D4654"/>
    <w:rsid w:val="005D471A"/>
    <w:rsid w:val="005D49C4"/>
    <w:rsid w:val="005D4D58"/>
    <w:rsid w:val="005D4D90"/>
    <w:rsid w:val="005D4E59"/>
    <w:rsid w:val="005D4FD4"/>
    <w:rsid w:val="005D5089"/>
    <w:rsid w:val="005D5221"/>
    <w:rsid w:val="005D5305"/>
    <w:rsid w:val="005D58F9"/>
    <w:rsid w:val="005D5C00"/>
    <w:rsid w:val="005D5CC1"/>
    <w:rsid w:val="005D5DB0"/>
    <w:rsid w:val="005D5F6E"/>
    <w:rsid w:val="005D5F8B"/>
    <w:rsid w:val="005D610B"/>
    <w:rsid w:val="005D61A2"/>
    <w:rsid w:val="005D64B1"/>
    <w:rsid w:val="005D65D6"/>
    <w:rsid w:val="005D665B"/>
    <w:rsid w:val="005D67F5"/>
    <w:rsid w:val="005D6AB8"/>
    <w:rsid w:val="005D6D64"/>
    <w:rsid w:val="005D6EE6"/>
    <w:rsid w:val="005D711C"/>
    <w:rsid w:val="005D7290"/>
    <w:rsid w:val="005D7538"/>
    <w:rsid w:val="005D76F5"/>
    <w:rsid w:val="005D7720"/>
    <w:rsid w:val="005D7793"/>
    <w:rsid w:val="005D780E"/>
    <w:rsid w:val="005D797D"/>
    <w:rsid w:val="005D799A"/>
    <w:rsid w:val="005D7C80"/>
    <w:rsid w:val="005D7DF4"/>
    <w:rsid w:val="005D7E1E"/>
    <w:rsid w:val="005D7EC7"/>
    <w:rsid w:val="005D7F54"/>
    <w:rsid w:val="005D7FA0"/>
    <w:rsid w:val="005D7FBE"/>
    <w:rsid w:val="005E041D"/>
    <w:rsid w:val="005E0506"/>
    <w:rsid w:val="005E063F"/>
    <w:rsid w:val="005E06CD"/>
    <w:rsid w:val="005E0744"/>
    <w:rsid w:val="005E09C4"/>
    <w:rsid w:val="005E0BE2"/>
    <w:rsid w:val="005E0CBA"/>
    <w:rsid w:val="005E0F06"/>
    <w:rsid w:val="005E1148"/>
    <w:rsid w:val="005E12D7"/>
    <w:rsid w:val="005E13A5"/>
    <w:rsid w:val="005E163B"/>
    <w:rsid w:val="005E1696"/>
    <w:rsid w:val="005E1B38"/>
    <w:rsid w:val="005E1C6A"/>
    <w:rsid w:val="005E1D33"/>
    <w:rsid w:val="005E1E06"/>
    <w:rsid w:val="005E1E43"/>
    <w:rsid w:val="005E2019"/>
    <w:rsid w:val="005E21B8"/>
    <w:rsid w:val="005E243C"/>
    <w:rsid w:val="005E2804"/>
    <w:rsid w:val="005E2AF9"/>
    <w:rsid w:val="005E2B89"/>
    <w:rsid w:val="005E3065"/>
    <w:rsid w:val="005E3464"/>
    <w:rsid w:val="005E35D9"/>
    <w:rsid w:val="005E363E"/>
    <w:rsid w:val="005E3647"/>
    <w:rsid w:val="005E3838"/>
    <w:rsid w:val="005E3F53"/>
    <w:rsid w:val="005E45F6"/>
    <w:rsid w:val="005E4BD6"/>
    <w:rsid w:val="005E51F3"/>
    <w:rsid w:val="005E56D1"/>
    <w:rsid w:val="005E56FD"/>
    <w:rsid w:val="005E5777"/>
    <w:rsid w:val="005E5995"/>
    <w:rsid w:val="005E5ABB"/>
    <w:rsid w:val="005E5B4E"/>
    <w:rsid w:val="005E5E78"/>
    <w:rsid w:val="005E5EF4"/>
    <w:rsid w:val="005E629D"/>
    <w:rsid w:val="005E631D"/>
    <w:rsid w:val="005E66EC"/>
    <w:rsid w:val="005E674E"/>
    <w:rsid w:val="005E6BE9"/>
    <w:rsid w:val="005E6C29"/>
    <w:rsid w:val="005E6C66"/>
    <w:rsid w:val="005E6EBA"/>
    <w:rsid w:val="005E736B"/>
    <w:rsid w:val="005E7471"/>
    <w:rsid w:val="005E74C6"/>
    <w:rsid w:val="005E7622"/>
    <w:rsid w:val="005E771F"/>
    <w:rsid w:val="005E78C2"/>
    <w:rsid w:val="005E796E"/>
    <w:rsid w:val="005E7C7A"/>
    <w:rsid w:val="005E7CD3"/>
    <w:rsid w:val="005E7CE8"/>
    <w:rsid w:val="005E7E75"/>
    <w:rsid w:val="005E7EC3"/>
    <w:rsid w:val="005F0498"/>
    <w:rsid w:val="005F0504"/>
    <w:rsid w:val="005F0736"/>
    <w:rsid w:val="005F0A45"/>
    <w:rsid w:val="005F0B75"/>
    <w:rsid w:val="005F0EDB"/>
    <w:rsid w:val="005F0FCE"/>
    <w:rsid w:val="005F1096"/>
    <w:rsid w:val="005F10B4"/>
    <w:rsid w:val="005F1639"/>
    <w:rsid w:val="005F1661"/>
    <w:rsid w:val="005F17DF"/>
    <w:rsid w:val="005F1990"/>
    <w:rsid w:val="005F20D7"/>
    <w:rsid w:val="005F22EC"/>
    <w:rsid w:val="005F236A"/>
    <w:rsid w:val="005F257E"/>
    <w:rsid w:val="005F2A8B"/>
    <w:rsid w:val="005F2B3B"/>
    <w:rsid w:val="005F2B94"/>
    <w:rsid w:val="005F2F3D"/>
    <w:rsid w:val="005F30E0"/>
    <w:rsid w:val="005F37E6"/>
    <w:rsid w:val="005F3887"/>
    <w:rsid w:val="005F38CC"/>
    <w:rsid w:val="005F3AE4"/>
    <w:rsid w:val="005F3B35"/>
    <w:rsid w:val="005F3DCF"/>
    <w:rsid w:val="005F3E32"/>
    <w:rsid w:val="005F3F65"/>
    <w:rsid w:val="005F44D4"/>
    <w:rsid w:val="005F465F"/>
    <w:rsid w:val="005F4662"/>
    <w:rsid w:val="005F47E4"/>
    <w:rsid w:val="005F481C"/>
    <w:rsid w:val="005F4A45"/>
    <w:rsid w:val="005F4E25"/>
    <w:rsid w:val="005F50AD"/>
    <w:rsid w:val="005F519E"/>
    <w:rsid w:val="005F5326"/>
    <w:rsid w:val="005F55E4"/>
    <w:rsid w:val="005F5A46"/>
    <w:rsid w:val="005F5CDB"/>
    <w:rsid w:val="005F5F6D"/>
    <w:rsid w:val="005F61B3"/>
    <w:rsid w:val="005F625C"/>
    <w:rsid w:val="005F64A1"/>
    <w:rsid w:val="005F65F3"/>
    <w:rsid w:val="005F6606"/>
    <w:rsid w:val="005F6811"/>
    <w:rsid w:val="005F6967"/>
    <w:rsid w:val="005F6ABD"/>
    <w:rsid w:val="005F6AF9"/>
    <w:rsid w:val="005F6D36"/>
    <w:rsid w:val="005F6D5D"/>
    <w:rsid w:val="005F7016"/>
    <w:rsid w:val="005F704F"/>
    <w:rsid w:val="005F70A1"/>
    <w:rsid w:val="005F7165"/>
    <w:rsid w:val="005F71C2"/>
    <w:rsid w:val="005F7322"/>
    <w:rsid w:val="005F756B"/>
    <w:rsid w:val="005F7927"/>
    <w:rsid w:val="005F7B3E"/>
    <w:rsid w:val="005F7C9D"/>
    <w:rsid w:val="005F7D7F"/>
    <w:rsid w:val="006001C5"/>
    <w:rsid w:val="0060038C"/>
    <w:rsid w:val="00600961"/>
    <w:rsid w:val="00600E78"/>
    <w:rsid w:val="0060112B"/>
    <w:rsid w:val="00601168"/>
    <w:rsid w:val="006012BE"/>
    <w:rsid w:val="006013FE"/>
    <w:rsid w:val="00601650"/>
    <w:rsid w:val="00601670"/>
    <w:rsid w:val="00601833"/>
    <w:rsid w:val="00601A69"/>
    <w:rsid w:val="00601AE1"/>
    <w:rsid w:val="00601DAB"/>
    <w:rsid w:val="00601E06"/>
    <w:rsid w:val="006020A5"/>
    <w:rsid w:val="0060212D"/>
    <w:rsid w:val="00602830"/>
    <w:rsid w:val="00602891"/>
    <w:rsid w:val="006028FB"/>
    <w:rsid w:val="0060295B"/>
    <w:rsid w:val="00602D08"/>
    <w:rsid w:val="00602EAF"/>
    <w:rsid w:val="00602F47"/>
    <w:rsid w:val="00602F7F"/>
    <w:rsid w:val="00602FA2"/>
    <w:rsid w:val="0060304A"/>
    <w:rsid w:val="006031D2"/>
    <w:rsid w:val="006031E4"/>
    <w:rsid w:val="0060385B"/>
    <w:rsid w:val="00603869"/>
    <w:rsid w:val="00603D1C"/>
    <w:rsid w:val="00603EC0"/>
    <w:rsid w:val="006040F1"/>
    <w:rsid w:val="006043AF"/>
    <w:rsid w:val="00604514"/>
    <w:rsid w:val="006047F9"/>
    <w:rsid w:val="006048F2"/>
    <w:rsid w:val="00604AFC"/>
    <w:rsid w:val="00604B96"/>
    <w:rsid w:val="00604C1A"/>
    <w:rsid w:val="00604E88"/>
    <w:rsid w:val="00604EEF"/>
    <w:rsid w:val="00605107"/>
    <w:rsid w:val="006051E1"/>
    <w:rsid w:val="00605343"/>
    <w:rsid w:val="0060552B"/>
    <w:rsid w:val="00605643"/>
    <w:rsid w:val="00605833"/>
    <w:rsid w:val="006059F6"/>
    <w:rsid w:val="00605A09"/>
    <w:rsid w:val="00605AFD"/>
    <w:rsid w:val="00605C25"/>
    <w:rsid w:val="00606053"/>
    <w:rsid w:val="006060E8"/>
    <w:rsid w:val="006061F1"/>
    <w:rsid w:val="00606447"/>
    <w:rsid w:val="006065F9"/>
    <w:rsid w:val="006066AC"/>
    <w:rsid w:val="0060680B"/>
    <w:rsid w:val="00606B33"/>
    <w:rsid w:val="00606D45"/>
    <w:rsid w:val="00606DE5"/>
    <w:rsid w:val="00607586"/>
    <w:rsid w:val="006075A9"/>
    <w:rsid w:val="00607657"/>
    <w:rsid w:val="006076E0"/>
    <w:rsid w:val="00607738"/>
    <w:rsid w:val="00607AA5"/>
    <w:rsid w:val="00607ABC"/>
    <w:rsid w:val="006100EC"/>
    <w:rsid w:val="00610296"/>
    <w:rsid w:val="00610397"/>
    <w:rsid w:val="006104CE"/>
    <w:rsid w:val="0061055A"/>
    <w:rsid w:val="00610725"/>
    <w:rsid w:val="00610925"/>
    <w:rsid w:val="00610A91"/>
    <w:rsid w:val="00610AFB"/>
    <w:rsid w:val="00610BC6"/>
    <w:rsid w:val="00610FAA"/>
    <w:rsid w:val="00610FCB"/>
    <w:rsid w:val="0061101A"/>
    <w:rsid w:val="0061119B"/>
    <w:rsid w:val="00611317"/>
    <w:rsid w:val="0061140B"/>
    <w:rsid w:val="00611571"/>
    <w:rsid w:val="00611618"/>
    <w:rsid w:val="00611685"/>
    <w:rsid w:val="00611821"/>
    <w:rsid w:val="0061199C"/>
    <w:rsid w:val="00611BD5"/>
    <w:rsid w:val="00611EA1"/>
    <w:rsid w:val="00611F9B"/>
    <w:rsid w:val="00611FFB"/>
    <w:rsid w:val="006123D4"/>
    <w:rsid w:val="00612932"/>
    <w:rsid w:val="00612C9C"/>
    <w:rsid w:val="00612DA7"/>
    <w:rsid w:val="00613054"/>
    <w:rsid w:val="00613313"/>
    <w:rsid w:val="006134C3"/>
    <w:rsid w:val="006134FE"/>
    <w:rsid w:val="0061351F"/>
    <w:rsid w:val="00613529"/>
    <w:rsid w:val="00613941"/>
    <w:rsid w:val="00613A91"/>
    <w:rsid w:val="00613AF2"/>
    <w:rsid w:val="00613BB9"/>
    <w:rsid w:val="00613E8A"/>
    <w:rsid w:val="00613EDD"/>
    <w:rsid w:val="0061410C"/>
    <w:rsid w:val="0061445B"/>
    <w:rsid w:val="006147B1"/>
    <w:rsid w:val="00614845"/>
    <w:rsid w:val="00614984"/>
    <w:rsid w:val="00614B1A"/>
    <w:rsid w:val="00614EB3"/>
    <w:rsid w:val="00615115"/>
    <w:rsid w:val="00615133"/>
    <w:rsid w:val="006152C6"/>
    <w:rsid w:val="00615740"/>
    <w:rsid w:val="00615BD9"/>
    <w:rsid w:val="006161D0"/>
    <w:rsid w:val="00616487"/>
    <w:rsid w:val="006166EE"/>
    <w:rsid w:val="006167E4"/>
    <w:rsid w:val="00616EBC"/>
    <w:rsid w:val="0061779C"/>
    <w:rsid w:val="006177A3"/>
    <w:rsid w:val="00617A9E"/>
    <w:rsid w:val="00617B17"/>
    <w:rsid w:val="00617B3C"/>
    <w:rsid w:val="00617B77"/>
    <w:rsid w:val="00617BE8"/>
    <w:rsid w:val="00617C22"/>
    <w:rsid w:val="00620168"/>
    <w:rsid w:val="006202C6"/>
    <w:rsid w:val="006203C5"/>
    <w:rsid w:val="00620790"/>
    <w:rsid w:val="006207CA"/>
    <w:rsid w:val="0062082A"/>
    <w:rsid w:val="0062092E"/>
    <w:rsid w:val="00620B1E"/>
    <w:rsid w:val="00620C8A"/>
    <w:rsid w:val="00620F1C"/>
    <w:rsid w:val="0062101B"/>
    <w:rsid w:val="00621073"/>
    <w:rsid w:val="006210CA"/>
    <w:rsid w:val="00621138"/>
    <w:rsid w:val="00621147"/>
    <w:rsid w:val="006211B2"/>
    <w:rsid w:val="006212DB"/>
    <w:rsid w:val="0062130E"/>
    <w:rsid w:val="0062131F"/>
    <w:rsid w:val="00621333"/>
    <w:rsid w:val="006216C3"/>
    <w:rsid w:val="00621797"/>
    <w:rsid w:val="0062193D"/>
    <w:rsid w:val="00621DC7"/>
    <w:rsid w:val="00621E32"/>
    <w:rsid w:val="00621FCF"/>
    <w:rsid w:val="006220A4"/>
    <w:rsid w:val="006221CE"/>
    <w:rsid w:val="006222E3"/>
    <w:rsid w:val="00622353"/>
    <w:rsid w:val="00622A9A"/>
    <w:rsid w:val="00622AA3"/>
    <w:rsid w:val="00622AFB"/>
    <w:rsid w:val="00622DE7"/>
    <w:rsid w:val="00622DF4"/>
    <w:rsid w:val="00622F5B"/>
    <w:rsid w:val="00622FCC"/>
    <w:rsid w:val="00622FEE"/>
    <w:rsid w:val="006233C3"/>
    <w:rsid w:val="006237D6"/>
    <w:rsid w:val="00623909"/>
    <w:rsid w:val="0062391A"/>
    <w:rsid w:val="00623BDA"/>
    <w:rsid w:val="00623C10"/>
    <w:rsid w:val="00623DED"/>
    <w:rsid w:val="00624179"/>
    <w:rsid w:val="0062471C"/>
    <w:rsid w:val="00624B34"/>
    <w:rsid w:val="00624B73"/>
    <w:rsid w:val="00624C4B"/>
    <w:rsid w:val="00624D65"/>
    <w:rsid w:val="00624E75"/>
    <w:rsid w:val="006251E3"/>
    <w:rsid w:val="00625570"/>
    <w:rsid w:val="006255C1"/>
    <w:rsid w:val="00625752"/>
    <w:rsid w:val="0062578D"/>
    <w:rsid w:val="00625885"/>
    <w:rsid w:val="00625A39"/>
    <w:rsid w:val="00625E7B"/>
    <w:rsid w:val="0062613F"/>
    <w:rsid w:val="0062626D"/>
    <w:rsid w:val="0062627F"/>
    <w:rsid w:val="006266FF"/>
    <w:rsid w:val="00626713"/>
    <w:rsid w:val="00626794"/>
    <w:rsid w:val="00626C30"/>
    <w:rsid w:val="00626CE4"/>
    <w:rsid w:val="00626EEF"/>
    <w:rsid w:val="00626F0E"/>
    <w:rsid w:val="0062706E"/>
    <w:rsid w:val="0062723B"/>
    <w:rsid w:val="006279EF"/>
    <w:rsid w:val="00627A53"/>
    <w:rsid w:val="00627C4D"/>
    <w:rsid w:val="00627C76"/>
    <w:rsid w:val="00627C81"/>
    <w:rsid w:val="00627C86"/>
    <w:rsid w:val="00630267"/>
    <w:rsid w:val="00630372"/>
    <w:rsid w:val="00630504"/>
    <w:rsid w:val="00630552"/>
    <w:rsid w:val="00630860"/>
    <w:rsid w:val="00630C2E"/>
    <w:rsid w:val="006310BD"/>
    <w:rsid w:val="006312F1"/>
    <w:rsid w:val="006313CD"/>
    <w:rsid w:val="006313DE"/>
    <w:rsid w:val="00631537"/>
    <w:rsid w:val="00631748"/>
    <w:rsid w:val="0063181D"/>
    <w:rsid w:val="00631873"/>
    <w:rsid w:val="006318D5"/>
    <w:rsid w:val="006319A2"/>
    <w:rsid w:val="006319B6"/>
    <w:rsid w:val="00631C38"/>
    <w:rsid w:val="00632261"/>
    <w:rsid w:val="006323D1"/>
    <w:rsid w:val="00632748"/>
    <w:rsid w:val="00632970"/>
    <w:rsid w:val="00632BF8"/>
    <w:rsid w:val="00632CBC"/>
    <w:rsid w:val="00633054"/>
    <w:rsid w:val="0063306C"/>
    <w:rsid w:val="006332EC"/>
    <w:rsid w:val="00633322"/>
    <w:rsid w:val="00633619"/>
    <w:rsid w:val="0063377E"/>
    <w:rsid w:val="00633AC3"/>
    <w:rsid w:val="00633C4F"/>
    <w:rsid w:val="00633DA5"/>
    <w:rsid w:val="00633DF8"/>
    <w:rsid w:val="00633F29"/>
    <w:rsid w:val="00634675"/>
    <w:rsid w:val="00634804"/>
    <w:rsid w:val="00634A42"/>
    <w:rsid w:val="00634A4E"/>
    <w:rsid w:val="00634BE4"/>
    <w:rsid w:val="00634C38"/>
    <w:rsid w:val="006353EB"/>
    <w:rsid w:val="0063549E"/>
    <w:rsid w:val="0063553E"/>
    <w:rsid w:val="00635543"/>
    <w:rsid w:val="00635610"/>
    <w:rsid w:val="00635651"/>
    <w:rsid w:val="00635703"/>
    <w:rsid w:val="0063573A"/>
    <w:rsid w:val="006358F0"/>
    <w:rsid w:val="006358FC"/>
    <w:rsid w:val="0063591F"/>
    <w:rsid w:val="00635CE8"/>
    <w:rsid w:val="00635D78"/>
    <w:rsid w:val="00635D91"/>
    <w:rsid w:val="00635E38"/>
    <w:rsid w:val="00635E7B"/>
    <w:rsid w:val="0063607D"/>
    <w:rsid w:val="006361C3"/>
    <w:rsid w:val="006361EC"/>
    <w:rsid w:val="00636435"/>
    <w:rsid w:val="006366B0"/>
    <w:rsid w:val="00636747"/>
    <w:rsid w:val="00636A2E"/>
    <w:rsid w:val="00636CD7"/>
    <w:rsid w:val="00636F7B"/>
    <w:rsid w:val="006374CC"/>
    <w:rsid w:val="00637530"/>
    <w:rsid w:val="0063779A"/>
    <w:rsid w:val="00637886"/>
    <w:rsid w:val="00637ADE"/>
    <w:rsid w:val="00637B70"/>
    <w:rsid w:val="00637D1C"/>
    <w:rsid w:val="00637DF4"/>
    <w:rsid w:val="00637EE3"/>
    <w:rsid w:val="00637FB8"/>
    <w:rsid w:val="0064016F"/>
    <w:rsid w:val="0064037A"/>
    <w:rsid w:val="0064045E"/>
    <w:rsid w:val="0064059E"/>
    <w:rsid w:val="0064091A"/>
    <w:rsid w:val="0064097E"/>
    <w:rsid w:val="006409C9"/>
    <w:rsid w:val="00640C60"/>
    <w:rsid w:val="00640F16"/>
    <w:rsid w:val="00641197"/>
    <w:rsid w:val="00641287"/>
    <w:rsid w:val="0064128C"/>
    <w:rsid w:val="0064129B"/>
    <w:rsid w:val="0064162F"/>
    <w:rsid w:val="006416D7"/>
    <w:rsid w:val="006416F9"/>
    <w:rsid w:val="006416FC"/>
    <w:rsid w:val="0064176D"/>
    <w:rsid w:val="006417DB"/>
    <w:rsid w:val="00641BC1"/>
    <w:rsid w:val="00641D55"/>
    <w:rsid w:val="00642094"/>
    <w:rsid w:val="00642215"/>
    <w:rsid w:val="0064235A"/>
    <w:rsid w:val="00642375"/>
    <w:rsid w:val="006423EA"/>
    <w:rsid w:val="00642655"/>
    <w:rsid w:val="0064267E"/>
    <w:rsid w:val="00642734"/>
    <w:rsid w:val="0064274C"/>
    <w:rsid w:val="006427AA"/>
    <w:rsid w:val="00642AAF"/>
    <w:rsid w:val="00642BD9"/>
    <w:rsid w:val="00642C0D"/>
    <w:rsid w:val="00642FA8"/>
    <w:rsid w:val="00643071"/>
    <w:rsid w:val="00643138"/>
    <w:rsid w:val="0064337C"/>
    <w:rsid w:val="006433CC"/>
    <w:rsid w:val="006436D4"/>
    <w:rsid w:val="00643A06"/>
    <w:rsid w:val="00643BD5"/>
    <w:rsid w:val="00643D94"/>
    <w:rsid w:val="00643E7B"/>
    <w:rsid w:val="00643E92"/>
    <w:rsid w:val="00643F14"/>
    <w:rsid w:val="006440DD"/>
    <w:rsid w:val="0064416D"/>
    <w:rsid w:val="00644220"/>
    <w:rsid w:val="00644221"/>
    <w:rsid w:val="00644435"/>
    <w:rsid w:val="006444A0"/>
    <w:rsid w:val="00644504"/>
    <w:rsid w:val="00644663"/>
    <w:rsid w:val="00644AAC"/>
    <w:rsid w:val="00644AFD"/>
    <w:rsid w:val="00644E0E"/>
    <w:rsid w:val="006451DE"/>
    <w:rsid w:val="006454CE"/>
    <w:rsid w:val="00645594"/>
    <w:rsid w:val="0064575A"/>
    <w:rsid w:val="006457D7"/>
    <w:rsid w:val="00645CE1"/>
    <w:rsid w:val="00646210"/>
    <w:rsid w:val="006462F5"/>
    <w:rsid w:val="0064661E"/>
    <w:rsid w:val="006469CC"/>
    <w:rsid w:val="00646B77"/>
    <w:rsid w:val="00646E62"/>
    <w:rsid w:val="00646E76"/>
    <w:rsid w:val="00647318"/>
    <w:rsid w:val="00647357"/>
    <w:rsid w:val="00647405"/>
    <w:rsid w:val="00647491"/>
    <w:rsid w:val="006477AC"/>
    <w:rsid w:val="00647B05"/>
    <w:rsid w:val="00647B08"/>
    <w:rsid w:val="00647E09"/>
    <w:rsid w:val="006502F4"/>
    <w:rsid w:val="006505FE"/>
    <w:rsid w:val="0065097A"/>
    <w:rsid w:val="00650986"/>
    <w:rsid w:val="00650B08"/>
    <w:rsid w:val="00650B44"/>
    <w:rsid w:val="00650C02"/>
    <w:rsid w:val="00650D46"/>
    <w:rsid w:val="00650D85"/>
    <w:rsid w:val="006511F2"/>
    <w:rsid w:val="0065131C"/>
    <w:rsid w:val="0065134C"/>
    <w:rsid w:val="006513D2"/>
    <w:rsid w:val="00651554"/>
    <w:rsid w:val="006518E1"/>
    <w:rsid w:val="00651E79"/>
    <w:rsid w:val="00651F87"/>
    <w:rsid w:val="00652116"/>
    <w:rsid w:val="00652187"/>
    <w:rsid w:val="0065219E"/>
    <w:rsid w:val="006525FE"/>
    <w:rsid w:val="00652A29"/>
    <w:rsid w:val="00652C4F"/>
    <w:rsid w:val="00652D84"/>
    <w:rsid w:val="00652F5A"/>
    <w:rsid w:val="006532E9"/>
    <w:rsid w:val="006533DC"/>
    <w:rsid w:val="00653431"/>
    <w:rsid w:val="00653448"/>
    <w:rsid w:val="006536D0"/>
    <w:rsid w:val="0065382F"/>
    <w:rsid w:val="006538A9"/>
    <w:rsid w:val="00653A52"/>
    <w:rsid w:val="00653B48"/>
    <w:rsid w:val="00653B54"/>
    <w:rsid w:val="00653D20"/>
    <w:rsid w:val="00653F38"/>
    <w:rsid w:val="00653F47"/>
    <w:rsid w:val="00654096"/>
    <w:rsid w:val="00654178"/>
    <w:rsid w:val="006541D4"/>
    <w:rsid w:val="006542B3"/>
    <w:rsid w:val="00654913"/>
    <w:rsid w:val="006549E0"/>
    <w:rsid w:val="00654AC1"/>
    <w:rsid w:val="00654BAF"/>
    <w:rsid w:val="00654C18"/>
    <w:rsid w:val="00654CA4"/>
    <w:rsid w:val="00654D82"/>
    <w:rsid w:val="00654E0C"/>
    <w:rsid w:val="00654F85"/>
    <w:rsid w:val="00655022"/>
    <w:rsid w:val="0065573A"/>
    <w:rsid w:val="0065583A"/>
    <w:rsid w:val="006559A6"/>
    <w:rsid w:val="00655A4D"/>
    <w:rsid w:val="00655D24"/>
    <w:rsid w:val="00655E3C"/>
    <w:rsid w:val="00655ECB"/>
    <w:rsid w:val="00655EE9"/>
    <w:rsid w:val="00655FB5"/>
    <w:rsid w:val="006560BF"/>
    <w:rsid w:val="0065610A"/>
    <w:rsid w:val="00656117"/>
    <w:rsid w:val="006562B2"/>
    <w:rsid w:val="00656325"/>
    <w:rsid w:val="006565A5"/>
    <w:rsid w:val="00656728"/>
    <w:rsid w:val="0065673C"/>
    <w:rsid w:val="00656983"/>
    <w:rsid w:val="00656A56"/>
    <w:rsid w:val="00656ADB"/>
    <w:rsid w:val="00656B5D"/>
    <w:rsid w:val="00656CC9"/>
    <w:rsid w:val="00656FFE"/>
    <w:rsid w:val="006570CF"/>
    <w:rsid w:val="0065718D"/>
    <w:rsid w:val="006571D4"/>
    <w:rsid w:val="006571E3"/>
    <w:rsid w:val="006573FB"/>
    <w:rsid w:val="006575F4"/>
    <w:rsid w:val="00657777"/>
    <w:rsid w:val="00657D10"/>
    <w:rsid w:val="00657EFE"/>
    <w:rsid w:val="00657F09"/>
    <w:rsid w:val="00657F7A"/>
    <w:rsid w:val="00657F8A"/>
    <w:rsid w:val="00660277"/>
    <w:rsid w:val="006604C7"/>
    <w:rsid w:val="006608EF"/>
    <w:rsid w:val="00660907"/>
    <w:rsid w:val="006609EB"/>
    <w:rsid w:val="00660AC8"/>
    <w:rsid w:val="00660C65"/>
    <w:rsid w:val="00660D94"/>
    <w:rsid w:val="00661084"/>
    <w:rsid w:val="0066141B"/>
    <w:rsid w:val="0066149D"/>
    <w:rsid w:val="006615A4"/>
    <w:rsid w:val="006616CD"/>
    <w:rsid w:val="006616D6"/>
    <w:rsid w:val="006616D9"/>
    <w:rsid w:val="006616E9"/>
    <w:rsid w:val="00661929"/>
    <w:rsid w:val="00661DEF"/>
    <w:rsid w:val="00661E46"/>
    <w:rsid w:val="00661F9E"/>
    <w:rsid w:val="006620B5"/>
    <w:rsid w:val="00662400"/>
    <w:rsid w:val="006626CC"/>
    <w:rsid w:val="00662C25"/>
    <w:rsid w:val="00662C82"/>
    <w:rsid w:val="00662CA8"/>
    <w:rsid w:val="00662DE1"/>
    <w:rsid w:val="00662EE3"/>
    <w:rsid w:val="006633D3"/>
    <w:rsid w:val="006634A2"/>
    <w:rsid w:val="0066356C"/>
    <w:rsid w:val="006635E4"/>
    <w:rsid w:val="0066370C"/>
    <w:rsid w:val="00663B76"/>
    <w:rsid w:val="00663D24"/>
    <w:rsid w:val="00663D95"/>
    <w:rsid w:val="00664C0F"/>
    <w:rsid w:val="00664D4F"/>
    <w:rsid w:val="00664E4E"/>
    <w:rsid w:val="00664EBE"/>
    <w:rsid w:val="00664F96"/>
    <w:rsid w:val="0066518B"/>
    <w:rsid w:val="0066526F"/>
    <w:rsid w:val="006652A2"/>
    <w:rsid w:val="0066547B"/>
    <w:rsid w:val="00665666"/>
    <w:rsid w:val="00665CE6"/>
    <w:rsid w:val="00665FB0"/>
    <w:rsid w:val="006662CA"/>
    <w:rsid w:val="00666340"/>
    <w:rsid w:val="006663CC"/>
    <w:rsid w:val="00666526"/>
    <w:rsid w:val="00666636"/>
    <w:rsid w:val="0066691A"/>
    <w:rsid w:val="00666A62"/>
    <w:rsid w:val="00666BE7"/>
    <w:rsid w:val="00666C1E"/>
    <w:rsid w:val="00666D5E"/>
    <w:rsid w:val="00666F0E"/>
    <w:rsid w:val="00666FBB"/>
    <w:rsid w:val="0066708C"/>
    <w:rsid w:val="006670AF"/>
    <w:rsid w:val="006675B5"/>
    <w:rsid w:val="0066788D"/>
    <w:rsid w:val="006679BA"/>
    <w:rsid w:val="00667A54"/>
    <w:rsid w:val="00667A86"/>
    <w:rsid w:val="00667B35"/>
    <w:rsid w:val="00667B3C"/>
    <w:rsid w:val="00667D0C"/>
    <w:rsid w:val="00667D28"/>
    <w:rsid w:val="00667D60"/>
    <w:rsid w:val="00667E3A"/>
    <w:rsid w:val="00667FDF"/>
    <w:rsid w:val="00667FF2"/>
    <w:rsid w:val="00670184"/>
    <w:rsid w:val="006701A5"/>
    <w:rsid w:val="0067021D"/>
    <w:rsid w:val="006702DF"/>
    <w:rsid w:val="00670630"/>
    <w:rsid w:val="0067077C"/>
    <w:rsid w:val="0067093A"/>
    <w:rsid w:val="00670B5B"/>
    <w:rsid w:val="00670CB8"/>
    <w:rsid w:val="00670D7B"/>
    <w:rsid w:val="00670E79"/>
    <w:rsid w:val="00671269"/>
    <w:rsid w:val="006712B9"/>
    <w:rsid w:val="00671413"/>
    <w:rsid w:val="0067170A"/>
    <w:rsid w:val="00671771"/>
    <w:rsid w:val="0067181A"/>
    <w:rsid w:val="006718D1"/>
    <w:rsid w:val="00672523"/>
    <w:rsid w:val="00672B5D"/>
    <w:rsid w:val="00672B7C"/>
    <w:rsid w:val="00672CBB"/>
    <w:rsid w:val="00672E50"/>
    <w:rsid w:val="00672F19"/>
    <w:rsid w:val="00673209"/>
    <w:rsid w:val="00673256"/>
    <w:rsid w:val="006732A8"/>
    <w:rsid w:val="00673351"/>
    <w:rsid w:val="00673430"/>
    <w:rsid w:val="006734E6"/>
    <w:rsid w:val="00673A03"/>
    <w:rsid w:val="00673AE2"/>
    <w:rsid w:val="00673CD3"/>
    <w:rsid w:val="00673D7F"/>
    <w:rsid w:val="00673E3E"/>
    <w:rsid w:val="00673E48"/>
    <w:rsid w:val="00673F27"/>
    <w:rsid w:val="00674105"/>
    <w:rsid w:val="0067440A"/>
    <w:rsid w:val="00674437"/>
    <w:rsid w:val="0067458D"/>
    <w:rsid w:val="006745A4"/>
    <w:rsid w:val="006748CB"/>
    <w:rsid w:val="00674A9E"/>
    <w:rsid w:val="00674CE3"/>
    <w:rsid w:val="00674D0A"/>
    <w:rsid w:val="006755FB"/>
    <w:rsid w:val="00675772"/>
    <w:rsid w:val="006757A4"/>
    <w:rsid w:val="006759E8"/>
    <w:rsid w:val="00675A55"/>
    <w:rsid w:val="00675A7C"/>
    <w:rsid w:val="00675A9E"/>
    <w:rsid w:val="00675B15"/>
    <w:rsid w:val="00675F2E"/>
    <w:rsid w:val="0067608D"/>
    <w:rsid w:val="0067622C"/>
    <w:rsid w:val="0067656B"/>
    <w:rsid w:val="00676593"/>
    <w:rsid w:val="00676638"/>
    <w:rsid w:val="006766D0"/>
    <w:rsid w:val="00676AC6"/>
    <w:rsid w:val="00676B5C"/>
    <w:rsid w:val="00676BAD"/>
    <w:rsid w:val="00676C36"/>
    <w:rsid w:val="00676C4A"/>
    <w:rsid w:val="00676DFD"/>
    <w:rsid w:val="00677181"/>
    <w:rsid w:val="006771F3"/>
    <w:rsid w:val="006771F5"/>
    <w:rsid w:val="00677513"/>
    <w:rsid w:val="006775A0"/>
    <w:rsid w:val="00677A61"/>
    <w:rsid w:val="00677C3C"/>
    <w:rsid w:val="00677C53"/>
    <w:rsid w:val="00677CDF"/>
    <w:rsid w:val="00677D27"/>
    <w:rsid w:val="0068024B"/>
    <w:rsid w:val="006802EB"/>
    <w:rsid w:val="0068030D"/>
    <w:rsid w:val="0068056A"/>
    <w:rsid w:val="00680A43"/>
    <w:rsid w:val="00680AD0"/>
    <w:rsid w:val="00680EC4"/>
    <w:rsid w:val="00680F4E"/>
    <w:rsid w:val="00680FAF"/>
    <w:rsid w:val="0068104E"/>
    <w:rsid w:val="0068118C"/>
    <w:rsid w:val="006811EC"/>
    <w:rsid w:val="0068134F"/>
    <w:rsid w:val="0068140E"/>
    <w:rsid w:val="00681D66"/>
    <w:rsid w:val="00681E23"/>
    <w:rsid w:val="00681EEA"/>
    <w:rsid w:val="00681F74"/>
    <w:rsid w:val="00681F96"/>
    <w:rsid w:val="00682018"/>
    <w:rsid w:val="00682249"/>
    <w:rsid w:val="00682456"/>
    <w:rsid w:val="006827B8"/>
    <w:rsid w:val="00682C0F"/>
    <w:rsid w:val="00682EB9"/>
    <w:rsid w:val="0068310C"/>
    <w:rsid w:val="00683189"/>
    <w:rsid w:val="00683301"/>
    <w:rsid w:val="0068336F"/>
    <w:rsid w:val="00683492"/>
    <w:rsid w:val="0068362E"/>
    <w:rsid w:val="00683694"/>
    <w:rsid w:val="006837E9"/>
    <w:rsid w:val="00683834"/>
    <w:rsid w:val="00683C0E"/>
    <w:rsid w:val="00683FE1"/>
    <w:rsid w:val="00684102"/>
    <w:rsid w:val="0068411B"/>
    <w:rsid w:val="0068416B"/>
    <w:rsid w:val="00684916"/>
    <w:rsid w:val="006849FB"/>
    <w:rsid w:val="00684D4B"/>
    <w:rsid w:val="00684DDD"/>
    <w:rsid w:val="00684ECC"/>
    <w:rsid w:val="00684ED0"/>
    <w:rsid w:val="00684F17"/>
    <w:rsid w:val="00685110"/>
    <w:rsid w:val="0068547F"/>
    <w:rsid w:val="006854CA"/>
    <w:rsid w:val="006855A2"/>
    <w:rsid w:val="006859B0"/>
    <w:rsid w:val="00685C0A"/>
    <w:rsid w:val="00685CF7"/>
    <w:rsid w:val="00685D6E"/>
    <w:rsid w:val="00685D98"/>
    <w:rsid w:val="00686106"/>
    <w:rsid w:val="00686165"/>
    <w:rsid w:val="006863E0"/>
    <w:rsid w:val="006864E3"/>
    <w:rsid w:val="00686555"/>
    <w:rsid w:val="0068677B"/>
    <w:rsid w:val="006869B4"/>
    <w:rsid w:val="00686D33"/>
    <w:rsid w:val="00686ED1"/>
    <w:rsid w:val="00686FD6"/>
    <w:rsid w:val="00687051"/>
    <w:rsid w:val="006874DC"/>
    <w:rsid w:val="00687621"/>
    <w:rsid w:val="00687AB9"/>
    <w:rsid w:val="00687B21"/>
    <w:rsid w:val="00687B99"/>
    <w:rsid w:val="00687D5D"/>
    <w:rsid w:val="00687FBC"/>
    <w:rsid w:val="006901BE"/>
    <w:rsid w:val="0069026D"/>
    <w:rsid w:val="006904D0"/>
    <w:rsid w:val="00690515"/>
    <w:rsid w:val="0069061F"/>
    <w:rsid w:val="0069069D"/>
    <w:rsid w:val="00690768"/>
    <w:rsid w:val="00690903"/>
    <w:rsid w:val="00690940"/>
    <w:rsid w:val="00690ADF"/>
    <w:rsid w:val="00690C83"/>
    <w:rsid w:val="00690CFA"/>
    <w:rsid w:val="00690DC3"/>
    <w:rsid w:val="00690E63"/>
    <w:rsid w:val="006910A6"/>
    <w:rsid w:val="00691273"/>
    <w:rsid w:val="006913EC"/>
    <w:rsid w:val="0069149A"/>
    <w:rsid w:val="0069157F"/>
    <w:rsid w:val="00691733"/>
    <w:rsid w:val="0069176F"/>
    <w:rsid w:val="006917D0"/>
    <w:rsid w:val="00691CB5"/>
    <w:rsid w:val="00691E2E"/>
    <w:rsid w:val="00691F87"/>
    <w:rsid w:val="006920EE"/>
    <w:rsid w:val="006922A7"/>
    <w:rsid w:val="00692354"/>
    <w:rsid w:val="006923DF"/>
    <w:rsid w:val="0069250D"/>
    <w:rsid w:val="00692571"/>
    <w:rsid w:val="006925F1"/>
    <w:rsid w:val="0069299F"/>
    <w:rsid w:val="00692B74"/>
    <w:rsid w:val="00692D1F"/>
    <w:rsid w:val="00692DCF"/>
    <w:rsid w:val="00692E1A"/>
    <w:rsid w:val="00692F63"/>
    <w:rsid w:val="006933EB"/>
    <w:rsid w:val="00693484"/>
    <w:rsid w:val="00693902"/>
    <w:rsid w:val="006939D0"/>
    <w:rsid w:val="00693A49"/>
    <w:rsid w:val="00693BCF"/>
    <w:rsid w:val="00693D3C"/>
    <w:rsid w:val="00693D40"/>
    <w:rsid w:val="00693F51"/>
    <w:rsid w:val="006941F7"/>
    <w:rsid w:val="006944BE"/>
    <w:rsid w:val="00694971"/>
    <w:rsid w:val="00694A39"/>
    <w:rsid w:val="00694C0B"/>
    <w:rsid w:val="00694F8A"/>
    <w:rsid w:val="0069525C"/>
    <w:rsid w:val="006955F4"/>
    <w:rsid w:val="00695635"/>
    <w:rsid w:val="006959EB"/>
    <w:rsid w:val="00695F74"/>
    <w:rsid w:val="00696091"/>
    <w:rsid w:val="00696314"/>
    <w:rsid w:val="00696B75"/>
    <w:rsid w:val="00696E40"/>
    <w:rsid w:val="006973FF"/>
    <w:rsid w:val="00697446"/>
    <w:rsid w:val="006976FD"/>
    <w:rsid w:val="0069799C"/>
    <w:rsid w:val="00697C12"/>
    <w:rsid w:val="00697C71"/>
    <w:rsid w:val="006A0167"/>
    <w:rsid w:val="006A06F9"/>
    <w:rsid w:val="006A0ABB"/>
    <w:rsid w:val="006A0BB2"/>
    <w:rsid w:val="006A1370"/>
    <w:rsid w:val="006A1382"/>
    <w:rsid w:val="006A13E3"/>
    <w:rsid w:val="006A1473"/>
    <w:rsid w:val="006A1550"/>
    <w:rsid w:val="006A1650"/>
    <w:rsid w:val="006A16FB"/>
    <w:rsid w:val="006A1873"/>
    <w:rsid w:val="006A1939"/>
    <w:rsid w:val="006A1985"/>
    <w:rsid w:val="006A1B04"/>
    <w:rsid w:val="006A1B4D"/>
    <w:rsid w:val="006A1D32"/>
    <w:rsid w:val="006A1D70"/>
    <w:rsid w:val="006A2413"/>
    <w:rsid w:val="006A2429"/>
    <w:rsid w:val="006A2461"/>
    <w:rsid w:val="006A26A0"/>
    <w:rsid w:val="006A2790"/>
    <w:rsid w:val="006A27A6"/>
    <w:rsid w:val="006A283D"/>
    <w:rsid w:val="006A2AAD"/>
    <w:rsid w:val="006A2EF3"/>
    <w:rsid w:val="006A3305"/>
    <w:rsid w:val="006A33D1"/>
    <w:rsid w:val="006A3432"/>
    <w:rsid w:val="006A3477"/>
    <w:rsid w:val="006A348F"/>
    <w:rsid w:val="006A3522"/>
    <w:rsid w:val="006A3533"/>
    <w:rsid w:val="006A36DA"/>
    <w:rsid w:val="006A37F5"/>
    <w:rsid w:val="006A3831"/>
    <w:rsid w:val="006A3A0D"/>
    <w:rsid w:val="006A3A6E"/>
    <w:rsid w:val="006A3A9E"/>
    <w:rsid w:val="006A3B73"/>
    <w:rsid w:val="006A3BFC"/>
    <w:rsid w:val="006A3D5E"/>
    <w:rsid w:val="006A3D61"/>
    <w:rsid w:val="006A3E2A"/>
    <w:rsid w:val="006A3E60"/>
    <w:rsid w:val="006A3EA9"/>
    <w:rsid w:val="006A3EFB"/>
    <w:rsid w:val="006A4058"/>
    <w:rsid w:val="006A4683"/>
    <w:rsid w:val="006A478C"/>
    <w:rsid w:val="006A48BF"/>
    <w:rsid w:val="006A492F"/>
    <w:rsid w:val="006A4AA6"/>
    <w:rsid w:val="006A4AE1"/>
    <w:rsid w:val="006A5044"/>
    <w:rsid w:val="006A50B1"/>
    <w:rsid w:val="006A51E0"/>
    <w:rsid w:val="006A5B8E"/>
    <w:rsid w:val="006A5CEE"/>
    <w:rsid w:val="006A5DD0"/>
    <w:rsid w:val="006A5DD9"/>
    <w:rsid w:val="006A618B"/>
    <w:rsid w:val="006A623C"/>
    <w:rsid w:val="006A6448"/>
    <w:rsid w:val="006A674A"/>
    <w:rsid w:val="006A674D"/>
    <w:rsid w:val="006A676B"/>
    <w:rsid w:val="006A67F4"/>
    <w:rsid w:val="006A694F"/>
    <w:rsid w:val="006A6C04"/>
    <w:rsid w:val="006A6D48"/>
    <w:rsid w:val="006A6E5C"/>
    <w:rsid w:val="006A6F21"/>
    <w:rsid w:val="006A6FC3"/>
    <w:rsid w:val="006A7030"/>
    <w:rsid w:val="006A7062"/>
    <w:rsid w:val="006A7102"/>
    <w:rsid w:val="006A756D"/>
    <w:rsid w:val="006A7619"/>
    <w:rsid w:val="006A764A"/>
    <w:rsid w:val="006A77E9"/>
    <w:rsid w:val="006A7B1F"/>
    <w:rsid w:val="006A7C64"/>
    <w:rsid w:val="006A7C67"/>
    <w:rsid w:val="006A7DE0"/>
    <w:rsid w:val="006B007B"/>
    <w:rsid w:val="006B00EA"/>
    <w:rsid w:val="006B0122"/>
    <w:rsid w:val="006B0170"/>
    <w:rsid w:val="006B01BC"/>
    <w:rsid w:val="006B0252"/>
    <w:rsid w:val="006B035E"/>
    <w:rsid w:val="006B06EF"/>
    <w:rsid w:val="006B06FA"/>
    <w:rsid w:val="006B080D"/>
    <w:rsid w:val="006B0BAB"/>
    <w:rsid w:val="006B0E90"/>
    <w:rsid w:val="006B10D3"/>
    <w:rsid w:val="006B1154"/>
    <w:rsid w:val="006B117F"/>
    <w:rsid w:val="006B11C0"/>
    <w:rsid w:val="006B1255"/>
    <w:rsid w:val="006B126D"/>
    <w:rsid w:val="006B1299"/>
    <w:rsid w:val="006B12B2"/>
    <w:rsid w:val="006B141C"/>
    <w:rsid w:val="006B15C4"/>
    <w:rsid w:val="006B1801"/>
    <w:rsid w:val="006B18A5"/>
    <w:rsid w:val="006B1B57"/>
    <w:rsid w:val="006B1B9E"/>
    <w:rsid w:val="006B1C3D"/>
    <w:rsid w:val="006B1F9A"/>
    <w:rsid w:val="006B24FA"/>
    <w:rsid w:val="006B2870"/>
    <w:rsid w:val="006B2895"/>
    <w:rsid w:val="006B2BA7"/>
    <w:rsid w:val="006B2C2E"/>
    <w:rsid w:val="006B2CB9"/>
    <w:rsid w:val="006B2EBD"/>
    <w:rsid w:val="006B3079"/>
    <w:rsid w:val="006B31A4"/>
    <w:rsid w:val="006B3207"/>
    <w:rsid w:val="006B3261"/>
    <w:rsid w:val="006B334D"/>
    <w:rsid w:val="006B34A3"/>
    <w:rsid w:val="006B373B"/>
    <w:rsid w:val="006B3850"/>
    <w:rsid w:val="006B388B"/>
    <w:rsid w:val="006B38DD"/>
    <w:rsid w:val="006B38FF"/>
    <w:rsid w:val="006B3B68"/>
    <w:rsid w:val="006B3DA1"/>
    <w:rsid w:val="006B3FE6"/>
    <w:rsid w:val="006B3FEA"/>
    <w:rsid w:val="006B41FA"/>
    <w:rsid w:val="006B4428"/>
    <w:rsid w:val="006B4513"/>
    <w:rsid w:val="006B487B"/>
    <w:rsid w:val="006B4902"/>
    <w:rsid w:val="006B49B2"/>
    <w:rsid w:val="006B4FDF"/>
    <w:rsid w:val="006B5002"/>
    <w:rsid w:val="006B504E"/>
    <w:rsid w:val="006B50E6"/>
    <w:rsid w:val="006B53C0"/>
    <w:rsid w:val="006B57F7"/>
    <w:rsid w:val="006B58DB"/>
    <w:rsid w:val="006B592B"/>
    <w:rsid w:val="006B5A44"/>
    <w:rsid w:val="006B5B20"/>
    <w:rsid w:val="006B5BA9"/>
    <w:rsid w:val="006B5FC2"/>
    <w:rsid w:val="006B612D"/>
    <w:rsid w:val="006B6464"/>
    <w:rsid w:val="006B670F"/>
    <w:rsid w:val="006B678C"/>
    <w:rsid w:val="006B680E"/>
    <w:rsid w:val="006B6AB8"/>
    <w:rsid w:val="006B6B44"/>
    <w:rsid w:val="006B6D72"/>
    <w:rsid w:val="006B6E1C"/>
    <w:rsid w:val="006B6EB5"/>
    <w:rsid w:val="006B6F0A"/>
    <w:rsid w:val="006B6FF5"/>
    <w:rsid w:val="006B71E7"/>
    <w:rsid w:val="006B7364"/>
    <w:rsid w:val="006B7799"/>
    <w:rsid w:val="006B7C1C"/>
    <w:rsid w:val="006B7CE2"/>
    <w:rsid w:val="006B7E7D"/>
    <w:rsid w:val="006C02F9"/>
    <w:rsid w:val="006C03FA"/>
    <w:rsid w:val="006C08AC"/>
    <w:rsid w:val="006C1072"/>
    <w:rsid w:val="006C1394"/>
    <w:rsid w:val="006C14B7"/>
    <w:rsid w:val="006C159A"/>
    <w:rsid w:val="006C1892"/>
    <w:rsid w:val="006C1A2A"/>
    <w:rsid w:val="006C1E6D"/>
    <w:rsid w:val="006C1F0C"/>
    <w:rsid w:val="006C22C8"/>
    <w:rsid w:val="006C2551"/>
    <w:rsid w:val="006C2810"/>
    <w:rsid w:val="006C284A"/>
    <w:rsid w:val="006C2AF2"/>
    <w:rsid w:val="006C2AF7"/>
    <w:rsid w:val="006C3589"/>
    <w:rsid w:val="006C362F"/>
    <w:rsid w:val="006C375B"/>
    <w:rsid w:val="006C382B"/>
    <w:rsid w:val="006C3924"/>
    <w:rsid w:val="006C3B76"/>
    <w:rsid w:val="006C3D22"/>
    <w:rsid w:val="006C3F8E"/>
    <w:rsid w:val="006C4095"/>
    <w:rsid w:val="006C40E9"/>
    <w:rsid w:val="006C4350"/>
    <w:rsid w:val="006C4377"/>
    <w:rsid w:val="006C445C"/>
    <w:rsid w:val="006C45A4"/>
    <w:rsid w:val="006C4791"/>
    <w:rsid w:val="006C495B"/>
    <w:rsid w:val="006C4A1E"/>
    <w:rsid w:val="006C4A4C"/>
    <w:rsid w:val="006C4CA0"/>
    <w:rsid w:val="006C4DAC"/>
    <w:rsid w:val="006C4DDE"/>
    <w:rsid w:val="006C502F"/>
    <w:rsid w:val="006C5547"/>
    <w:rsid w:val="006C5642"/>
    <w:rsid w:val="006C56FF"/>
    <w:rsid w:val="006C5949"/>
    <w:rsid w:val="006C5B73"/>
    <w:rsid w:val="006C5C12"/>
    <w:rsid w:val="006C5C37"/>
    <w:rsid w:val="006C5C85"/>
    <w:rsid w:val="006C606D"/>
    <w:rsid w:val="006C61A0"/>
    <w:rsid w:val="006C645D"/>
    <w:rsid w:val="006C64B1"/>
    <w:rsid w:val="006C653C"/>
    <w:rsid w:val="006C662E"/>
    <w:rsid w:val="006C66DA"/>
    <w:rsid w:val="006C66F0"/>
    <w:rsid w:val="006C6ADD"/>
    <w:rsid w:val="006C6AFB"/>
    <w:rsid w:val="006C6D1B"/>
    <w:rsid w:val="006C6E0A"/>
    <w:rsid w:val="006C7025"/>
    <w:rsid w:val="006C70D4"/>
    <w:rsid w:val="006C71B3"/>
    <w:rsid w:val="006C73E7"/>
    <w:rsid w:val="006C7671"/>
    <w:rsid w:val="006C79C3"/>
    <w:rsid w:val="006C7A92"/>
    <w:rsid w:val="006C7D9C"/>
    <w:rsid w:val="006C7DBA"/>
    <w:rsid w:val="006C7FEB"/>
    <w:rsid w:val="006D0151"/>
    <w:rsid w:val="006D04F5"/>
    <w:rsid w:val="006D06FD"/>
    <w:rsid w:val="006D0817"/>
    <w:rsid w:val="006D0BE7"/>
    <w:rsid w:val="006D0E08"/>
    <w:rsid w:val="006D1074"/>
    <w:rsid w:val="006D121F"/>
    <w:rsid w:val="006D1248"/>
    <w:rsid w:val="006D12A8"/>
    <w:rsid w:val="006D1491"/>
    <w:rsid w:val="006D15E1"/>
    <w:rsid w:val="006D15FD"/>
    <w:rsid w:val="006D1618"/>
    <w:rsid w:val="006D16CE"/>
    <w:rsid w:val="006D1BB0"/>
    <w:rsid w:val="006D20AA"/>
    <w:rsid w:val="006D2176"/>
    <w:rsid w:val="006D22F0"/>
    <w:rsid w:val="006D2418"/>
    <w:rsid w:val="006D2563"/>
    <w:rsid w:val="006D2587"/>
    <w:rsid w:val="006D2844"/>
    <w:rsid w:val="006D28CF"/>
    <w:rsid w:val="006D2AB3"/>
    <w:rsid w:val="006D2BBD"/>
    <w:rsid w:val="006D2D07"/>
    <w:rsid w:val="006D2EA2"/>
    <w:rsid w:val="006D2EFD"/>
    <w:rsid w:val="006D328A"/>
    <w:rsid w:val="006D32CF"/>
    <w:rsid w:val="006D357D"/>
    <w:rsid w:val="006D359C"/>
    <w:rsid w:val="006D35A0"/>
    <w:rsid w:val="006D36C3"/>
    <w:rsid w:val="006D373D"/>
    <w:rsid w:val="006D3A50"/>
    <w:rsid w:val="006D3B0D"/>
    <w:rsid w:val="006D3B2F"/>
    <w:rsid w:val="006D4081"/>
    <w:rsid w:val="006D4872"/>
    <w:rsid w:val="006D49D1"/>
    <w:rsid w:val="006D4A8D"/>
    <w:rsid w:val="006D4C9F"/>
    <w:rsid w:val="006D4D73"/>
    <w:rsid w:val="006D4DDE"/>
    <w:rsid w:val="006D4F76"/>
    <w:rsid w:val="006D55E2"/>
    <w:rsid w:val="006D581B"/>
    <w:rsid w:val="006D5879"/>
    <w:rsid w:val="006D59B0"/>
    <w:rsid w:val="006D5AEA"/>
    <w:rsid w:val="006D5B26"/>
    <w:rsid w:val="006D5BAE"/>
    <w:rsid w:val="006D5BDF"/>
    <w:rsid w:val="006D5C90"/>
    <w:rsid w:val="006D627C"/>
    <w:rsid w:val="006D6470"/>
    <w:rsid w:val="006D65F9"/>
    <w:rsid w:val="006D66A8"/>
    <w:rsid w:val="006D69D6"/>
    <w:rsid w:val="006D6C02"/>
    <w:rsid w:val="006D6CBF"/>
    <w:rsid w:val="006D6CF0"/>
    <w:rsid w:val="006D6D0E"/>
    <w:rsid w:val="006D6DAC"/>
    <w:rsid w:val="006D6F3B"/>
    <w:rsid w:val="006D70EB"/>
    <w:rsid w:val="006D755C"/>
    <w:rsid w:val="006D7859"/>
    <w:rsid w:val="006D78E4"/>
    <w:rsid w:val="006D7A23"/>
    <w:rsid w:val="006D7AEB"/>
    <w:rsid w:val="006D7B28"/>
    <w:rsid w:val="006D7CA6"/>
    <w:rsid w:val="006D7DC9"/>
    <w:rsid w:val="006D7DF5"/>
    <w:rsid w:val="006D7E06"/>
    <w:rsid w:val="006D7EA2"/>
    <w:rsid w:val="006E010F"/>
    <w:rsid w:val="006E03E0"/>
    <w:rsid w:val="006E0594"/>
    <w:rsid w:val="006E0686"/>
    <w:rsid w:val="006E075E"/>
    <w:rsid w:val="006E08F6"/>
    <w:rsid w:val="006E0946"/>
    <w:rsid w:val="006E0BA9"/>
    <w:rsid w:val="006E0D13"/>
    <w:rsid w:val="006E0E0F"/>
    <w:rsid w:val="006E12DC"/>
    <w:rsid w:val="006E14F7"/>
    <w:rsid w:val="006E150B"/>
    <w:rsid w:val="006E1519"/>
    <w:rsid w:val="006E1A54"/>
    <w:rsid w:val="006E1A7E"/>
    <w:rsid w:val="006E1A81"/>
    <w:rsid w:val="006E1BF3"/>
    <w:rsid w:val="006E1D21"/>
    <w:rsid w:val="006E216A"/>
    <w:rsid w:val="006E225A"/>
    <w:rsid w:val="006E2305"/>
    <w:rsid w:val="006E24F2"/>
    <w:rsid w:val="006E24F7"/>
    <w:rsid w:val="006E28D2"/>
    <w:rsid w:val="006E2D2A"/>
    <w:rsid w:val="006E2F21"/>
    <w:rsid w:val="006E317F"/>
    <w:rsid w:val="006E3221"/>
    <w:rsid w:val="006E33A5"/>
    <w:rsid w:val="006E3738"/>
    <w:rsid w:val="006E39A1"/>
    <w:rsid w:val="006E3CC3"/>
    <w:rsid w:val="006E3FC9"/>
    <w:rsid w:val="006E40CB"/>
    <w:rsid w:val="006E4186"/>
    <w:rsid w:val="006E429B"/>
    <w:rsid w:val="006E4655"/>
    <w:rsid w:val="006E46AC"/>
    <w:rsid w:val="006E4D00"/>
    <w:rsid w:val="006E4DAD"/>
    <w:rsid w:val="006E4DB0"/>
    <w:rsid w:val="006E4E09"/>
    <w:rsid w:val="006E5162"/>
    <w:rsid w:val="006E5169"/>
    <w:rsid w:val="006E5227"/>
    <w:rsid w:val="006E52CA"/>
    <w:rsid w:val="006E52D6"/>
    <w:rsid w:val="006E53EF"/>
    <w:rsid w:val="006E5C25"/>
    <w:rsid w:val="006E5E85"/>
    <w:rsid w:val="006E6143"/>
    <w:rsid w:val="006E61C8"/>
    <w:rsid w:val="006E6288"/>
    <w:rsid w:val="006E6432"/>
    <w:rsid w:val="006E6563"/>
    <w:rsid w:val="006E6805"/>
    <w:rsid w:val="006E693B"/>
    <w:rsid w:val="006E697A"/>
    <w:rsid w:val="006E6A22"/>
    <w:rsid w:val="006E6BA8"/>
    <w:rsid w:val="006E6C5A"/>
    <w:rsid w:val="006E6D4D"/>
    <w:rsid w:val="006E6D84"/>
    <w:rsid w:val="006E6FAB"/>
    <w:rsid w:val="006E72D1"/>
    <w:rsid w:val="006E74F8"/>
    <w:rsid w:val="006E7DBD"/>
    <w:rsid w:val="006E7F5F"/>
    <w:rsid w:val="006F0126"/>
    <w:rsid w:val="006F03D0"/>
    <w:rsid w:val="006F04D4"/>
    <w:rsid w:val="006F063B"/>
    <w:rsid w:val="006F076D"/>
    <w:rsid w:val="006F0885"/>
    <w:rsid w:val="006F089B"/>
    <w:rsid w:val="006F0971"/>
    <w:rsid w:val="006F0AB7"/>
    <w:rsid w:val="006F0F6F"/>
    <w:rsid w:val="006F13A6"/>
    <w:rsid w:val="006F13B7"/>
    <w:rsid w:val="006F13DD"/>
    <w:rsid w:val="006F1480"/>
    <w:rsid w:val="006F14D9"/>
    <w:rsid w:val="006F153C"/>
    <w:rsid w:val="006F16A1"/>
    <w:rsid w:val="006F1A87"/>
    <w:rsid w:val="006F1A8F"/>
    <w:rsid w:val="006F1C51"/>
    <w:rsid w:val="006F1E0E"/>
    <w:rsid w:val="006F1EC4"/>
    <w:rsid w:val="006F2310"/>
    <w:rsid w:val="006F2329"/>
    <w:rsid w:val="006F23F8"/>
    <w:rsid w:val="006F2407"/>
    <w:rsid w:val="006F29FE"/>
    <w:rsid w:val="006F2CE9"/>
    <w:rsid w:val="006F2F33"/>
    <w:rsid w:val="006F33D1"/>
    <w:rsid w:val="006F33FD"/>
    <w:rsid w:val="006F34FE"/>
    <w:rsid w:val="006F3515"/>
    <w:rsid w:val="006F35A0"/>
    <w:rsid w:val="006F3E2B"/>
    <w:rsid w:val="006F3EC6"/>
    <w:rsid w:val="006F41DE"/>
    <w:rsid w:val="006F4222"/>
    <w:rsid w:val="006F4285"/>
    <w:rsid w:val="006F42DD"/>
    <w:rsid w:val="006F43EC"/>
    <w:rsid w:val="006F44AE"/>
    <w:rsid w:val="006F47FF"/>
    <w:rsid w:val="006F49F5"/>
    <w:rsid w:val="006F4F44"/>
    <w:rsid w:val="006F5001"/>
    <w:rsid w:val="006F50EE"/>
    <w:rsid w:val="006F5381"/>
    <w:rsid w:val="006F54B9"/>
    <w:rsid w:val="006F5740"/>
    <w:rsid w:val="006F5A63"/>
    <w:rsid w:val="006F5AFD"/>
    <w:rsid w:val="006F5CDB"/>
    <w:rsid w:val="006F5E40"/>
    <w:rsid w:val="006F639F"/>
    <w:rsid w:val="006F6548"/>
    <w:rsid w:val="006F661A"/>
    <w:rsid w:val="006F69C6"/>
    <w:rsid w:val="006F6AA3"/>
    <w:rsid w:val="006F6FA1"/>
    <w:rsid w:val="006F6FDA"/>
    <w:rsid w:val="006F7031"/>
    <w:rsid w:val="006F722B"/>
    <w:rsid w:val="006F7301"/>
    <w:rsid w:val="006F7471"/>
    <w:rsid w:val="006F7593"/>
    <w:rsid w:val="006F76D4"/>
    <w:rsid w:val="006F7941"/>
    <w:rsid w:val="006F797D"/>
    <w:rsid w:val="006F7AB0"/>
    <w:rsid w:val="006F7B52"/>
    <w:rsid w:val="006F7B59"/>
    <w:rsid w:val="006F7C7E"/>
    <w:rsid w:val="006F7F30"/>
    <w:rsid w:val="00700080"/>
    <w:rsid w:val="0070020E"/>
    <w:rsid w:val="007003AE"/>
    <w:rsid w:val="007006B1"/>
    <w:rsid w:val="0070093F"/>
    <w:rsid w:val="007009C2"/>
    <w:rsid w:val="00700AAA"/>
    <w:rsid w:val="00700B8A"/>
    <w:rsid w:val="00700E9E"/>
    <w:rsid w:val="00700FA3"/>
    <w:rsid w:val="00700FD9"/>
    <w:rsid w:val="00701006"/>
    <w:rsid w:val="007010D5"/>
    <w:rsid w:val="00701101"/>
    <w:rsid w:val="00701487"/>
    <w:rsid w:val="0070152F"/>
    <w:rsid w:val="00701637"/>
    <w:rsid w:val="007016CD"/>
    <w:rsid w:val="007019F8"/>
    <w:rsid w:val="00701F10"/>
    <w:rsid w:val="0070205B"/>
    <w:rsid w:val="00702072"/>
    <w:rsid w:val="007022AE"/>
    <w:rsid w:val="00702337"/>
    <w:rsid w:val="007025E3"/>
    <w:rsid w:val="0070271F"/>
    <w:rsid w:val="0070278A"/>
    <w:rsid w:val="007027FA"/>
    <w:rsid w:val="0070293F"/>
    <w:rsid w:val="00702A9C"/>
    <w:rsid w:val="00702DC0"/>
    <w:rsid w:val="00702DFF"/>
    <w:rsid w:val="00702E0C"/>
    <w:rsid w:val="00702E25"/>
    <w:rsid w:val="00702EAB"/>
    <w:rsid w:val="00702F87"/>
    <w:rsid w:val="0070303D"/>
    <w:rsid w:val="007030BE"/>
    <w:rsid w:val="0070313F"/>
    <w:rsid w:val="007032B9"/>
    <w:rsid w:val="0070349B"/>
    <w:rsid w:val="00703585"/>
    <w:rsid w:val="00703753"/>
    <w:rsid w:val="00703973"/>
    <w:rsid w:val="00703BF9"/>
    <w:rsid w:val="00703D6D"/>
    <w:rsid w:val="00703DF4"/>
    <w:rsid w:val="00703F89"/>
    <w:rsid w:val="007041B8"/>
    <w:rsid w:val="00704352"/>
    <w:rsid w:val="00704640"/>
    <w:rsid w:val="0070489C"/>
    <w:rsid w:val="0070494E"/>
    <w:rsid w:val="00704D38"/>
    <w:rsid w:val="00704E6E"/>
    <w:rsid w:val="00704F0F"/>
    <w:rsid w:val="007050A6"/>
    <w:rsid w:val="007053CC"/>
    <w:rsid w:val="00705406"/>
    <w:rsid w:val="0070541D"/>
    <w:rsid w:val="007058AD"/>
    <w:rsid w:val="0070598A"/>
    <w:rsid w:val="007059C1"/>
    <w:rsid w:val="00705A85"/>
    <w:rsid w:val="00705ADE"/>
    <w:rsid w:val="00705B34"/>
    <w:rsid w:val="00705BE1"/>
    <w:rsid w:val="00705E52"/>
    <w:rsid w:val="00705FE7"/>
    <w:rsid w:val="007061C0"/>
    <w:rsid w:val="00706256"/>
    <w:rsid w:val="00706257"/>
    <w:rsid w:val="007062AC"/>
    <w:rsid w:val="007062BE"/>
    <w:rsid w:val="007063DF"/>
    <w:rsid w:val="007066B6"/>
    <w:rsid w:val="007066E9"/>
    <w:rsid w:val="0070673C"/>
    <w:rsid w:val="00706DE2"/>
    <w:rsid w:val="00706E5F"/>
    <w:rsid w:val="00706E8E"/>
    <w:rsid w:val="0070723D"/>
    <w:rsid w:val="0070750A"/>
    <w:rsid w:val="0070758B"/>
    <w:rsid w:val="00707710"/>
    <w:rsid w:val="00707882"/>
    <w:rsid w:val="0070788A"/>
    <w:rsid w:val="00707AAF"/>
    <w:rsid w:val="007103F5"/>
    <w:rsid w:val="00710558"/>
    <w:rsid w:val="00710757"/>
    <w:rsid w:val="007108B9"/>
    <w:rsid w:val="00710959"/>
    <w:rsid w:val="00710988"/>
    <w:rsid w:val="0071098B"/>
    <w:rsid w:val="00710AAC"/>
    <w:rsid w:val="00710B64"/>
    <w:rsid w:val="00710C01"/>
    <w:rsid w:val="00710FBA"/>
    <w:rsid w:val="00711087"/>
    <w:rsid w:val="007111B6"/>
    <w:rsid w:val="00711240"/>
    <w:rsid w:val="00711446"/>
    <w:rsid w:val="00711580"/>
    <w:rsid w:val="0071173F"/>
    <w:rsid w:val="0071183C"/>
    <w:rsid w:val="00711862"/>
    <w:rsid w:val="00711B6C"/>
    <w:rsid w:val="00711D52"/>
    <w:rsid w:val="0071203B"/>
    <w:rsid w:val="0071206A"/>
    <w:rsid w:val="00712112"/>
    <w:rsid w:val="0071213D"/>
    <w:rsid w:val="00712251"/>
    <w:rsid w:val="00712331"/>
    <w:rsid w:val="00712510"/>
    <w:rsid w:val="00712710"/>
    <w:rsid w:val="00712731"/>
    <w:rsid w:val="00712957"/>
    <w:rsid w:val="007136FF"/>
    <w:rsid w:val="00713B0C"/>
    <w:rsid w:val="00713B70"/>
    <w:rsid w:val="00713BFD"/>
    <w:rsid w:val="00713DA1"/>
    <w:rsid w:val="00713F58"/>
    <w:rsid w:val="00713FD9"/>
    <w:rsid w:val="0071435F"/>
    <w:rsid w:val="0071446D"/>
    <w:rsid w:val="007146DE"/>
    <w:rsid w:val="0071485D"/>
    <w:rsid w:val="00714965"/>
    <w:rsid w:val="00714B5C"/>
    <w:rsid w:val="00714EE0"/>
    <w:rsid w:val="00714FEC"/>
    <w:rsid w:val="0071517A"/>
    <w:rsid w:val="00715327"/>
    <w:rsid w:val="007153D0"/>
    <w:rsid w:val="00715478"/>
    <w:rsid w:val="007155A9"/>
    <w:rsid w:val="007156B2"/>
    <w:rsid w:val="007156C8"/>
    <w:rsid w:val="007159BA"/>
    <w:rsid w:val="00715BB0"/>
    <w:rsid w:val="00715DED"/>
    <w:rsid w:val="00715ED0"/>
    <w:rsid w:val="007163A9"/>
    <w:rsid w:val="007163C4"/>
    <w:rsid w:val="00716558"/>
    <w:rsid w:val="00716619"/>
    <w:rsid w:val="0071664B"/>
    <w:rsid w:val="007166EB"/>
    <w:rsid w:val="00716944"/>
    <w:rsid w:val="00716A21"/>
    <w:rsid w:val="00716ABA"/>
    <w:rsid w:val="00716C1F"/>
    <w:rsid w:val="00716E60"/>
    <w:rsid w:val="00716E9D"/>
    <w:rsid w:val="0071705E"/>
    <w:rsid w:val="00717246"/>
    <w:rsid w:val="00717298"/>
    <w:rsid w:val="007173BC"/>
    <w:rsid w:val="00717471"/>
    <w:rsid w:val="007174C2"/>
    <w:rsid w:val="00717501"/>
    <w:rsid w:val="0071751C"/>
    <w:rsid w:val="00717668"/>
    <w:rsid w:val="0071794A"/>
    <w:rsid w:val="00717B9F"/>
    <w:rsid w:val="00717C8E"/>
    <w:rsid w:val="00717D0F"/>
    <w:rsid w:val="00717DA2"/>
    <w:rsid w:val="00717DB4"/>
    <w:rsid w:val="00717E7C"/>
    <w:rsid w:val="00717F23"/>
    <w:rsid w:val="00717FE9"/>
    <w:rsid w:val="00720428"/>
    <w:rsid w:val="00720579"/>
    <w:rsid w:val="00720A57"/>
    <w:rsid w:val="00720B09"/>
    <w:rsid w:val="00720B48"/>
    <w:rsid w:val="00720BEA"/>
    <w:rsid w:val="00720D88"/>
    <w:rsid w:val="00720F07"/>
    <w:rsid w:val="00720F12"/>
    <w:rsid w:val="00721144"/>
    <w:rsid w:val="00721191"/>
    <w:rsid w:val="0072124D"/>
    <w:rsid w:val="0072127D"/>
    <w:rsid w:val="007215EA"/>
    <w:rsid w:val="007215EB"/>
    <w:rsid w:val="007219C8"/>
    <w:rsid w:val="00721A94"/>
    <w:rsid w:val="00721AE6"/>
    <w:rsid w:val="00721AE9"/>
    <w:rsid w:val="00721BC4"/>
    <w:rsid w:val="00721DC3"/>
    <w:rsid w:val="00721DEA"/>
    <w:rsid w:val="00721DF2"/>
    <w:rsid w:val="00721ECB"/>
    <w:rsid w:val="0072210C"/>
    <w:rsid w:val="007223C0"/>
    <w:rsid w:val="007226DC"/>
    <w:rsid w:val="0072275D"/>
    <w:rsid w:val="0072279E"/>
    <w:rsid w:val="007227A9"/>
    <w:rsid w:val="00722ADB"/>
    <w:rsid w:val="00722B53"/>
    <w:rsid w:val="00722C4F"/>
    <w:rsid w:val="00722DF8"/>
    <w:rsid w:val="007230EC"/>
    <w:rsid w:val="00723551"/>
    <w:rsid w:val="00723909"/>
    <w:rsid w:val="007239F0"/>
    <w:rsid w:val="00723A38"/>
    <w:rsid w:val="00723C06"/>
    <w:rsid w:val="00723EFD"/>
    <w:rsid w:val="00723F02"/>
    <w:rsid w:val="00724168"/>
    <w:rsid w:val="00724947"/>
    <w:rsid w:val="007249A7"/>
    <w:rsid w:val="00724AB5"/>
    <w:rsid w:val="00724DD0"/>
    <w:rsid w:val="00724DE6"/>
    <w:rsid w:val="00724E94"/>
    <w:rsid w:val="00724EEB"/>
    <w:rsid w:val="00724FD9"/>
    <w:rsid w:val="0072509F"/>
    <w:rsid w:val="007250A0"/>
    <w:rsid w:val="00725333"/>
    <w:rsid w:val="00725400"/>
    <w:rsid w:val="00725CDC"/>
    <w:rsid w:val="00725DE7"/>
    <w:rsid w:val="00725F97"/>
    <w:rsid w:val="00726083"/>
    <w:rsid w:val="007260DC"/>
    <w:rsid w:val="00726388"/>
    <w:rsid w:val="0072640A"/>
    <w:rsid w:val="00726428"/>
    <w:rsid w:val="00726430"/>
    <w:rsid w:val="0072645F"/>
    <w:rsid w:val="007264F3"/>
    <w:rsid w:val="0072653A"/>
    <w:rsid w:val="0072677A"/>
    <w:rsid w:val="00726AD2"/>
    <w:rsid w:val="00726C14"/>
    <w:rsid w:val="00726CA8"/>
    <w:rsid w:val="00726E65"/>
    <w:rsid w:val="00726E8A"/>
    <w:rsid w:val="007271B4"/>
    <w:rsid w:val="00727635"/>
    <w:rsid w:val="0072784E"/>
    <w:rsid w:val="0072789A"/>
    <w:rsid w:val="00727AC7"/>
    <w:rsid w:val="007300B4"/>
    <w:rsid w:val="00730199"/>
    <w:rsid w:val="00730265"/>
    <w:rsid w:val="00730307"/>
    <w:rsid w:val="00730316"/>
    <w:rsid w:val="007307F2"/>
    <w:rsid w:val="00730900"/>
    <w:rsid w:val="00730E79"/>
    <w:rsid w:val="00730FD4"/>
    <w:rsid w:val="00731598"/>
    <w:rsid w:val="007316D3"/>
    <w:rsid w:val="00731726"/>
    <w:rsid w:val="0073197A"/>
    <w:rsid w:val="00731ABC"/>
    <w:rsid w:val="00731B96"/>
    <w:rsid w:val="00731BD0"/>
    <w:rsid w:val="00731BED"/>
    <w:rsid w:val="00731F8F"/>
    <w:rsid w:val="007321BC"/>
    <w:rsid w:val="007323AC"/>
    <w:rsid w:val="00732464"/>
    <w:rsid w:val="007325F9"/>
    <w:rsid w:val="00732678"/>
    <w:rsid w:val="007327FE"/>
    <w:rsid w:val="00732AB9"/>
    <w:rsid w:val="00732C7C"/>
    <w:rsid w:val="007330D2"/>
    <w:rsid w:val="007333F8"/>
    <w:rsid w:val="00733510"/>
    <w:rsid w:val="00733918"/>
    <w:rsid w:val="00733A27"/>
    <w:rsid w:val="00733D15"/>
    <w:rsid w:val="00733D8A"/>
    <w:rsid w:val="0073431F"/>
    <w:rsid w:val="0073438A"/>
    <w:rsid w:val="00734527"/>
    <w:rsid w:val="0073459B"/>
    <w:rsid w:val="0073460C"/>
    <w:rsid w:val="007347BA"/>
    <w:rsid w:val="00734882"/>
    <w:rsid w:val="007348DF"/>
    <w:rsid w:val="007349C9"/>
    <w:rsid w:val="00734BBC"/>
    <w:rsid w:val="00734BE0"/>
    <w:rsid w:val="00734E50"/>
    <w:rsid w:val="00734F0F"/>
    <w:rsid w:val="00734FBF"/>
    <w:rsid w:val="007352A6"/>
    <w:rsid w:val="00735388"/>
    <w:rsid w:val="00735A4B"/>
    <w:rsid w:val="00735F21"/>
    <w:rsid w:val="00736073"/>
    <w:rsid w:val="00736075"/>
    <w:rsid w:val="0073612C"/>
    <w:rsid w:val="00736301"/>
    <w:rsid w:val="00736781"/>
    <w:rsid w:val="007368E5"/>
    <w:rsid w:val="007369C2"/>
    <w:rsid w:val="00736ACD"/>
    <w:rsid w:val="00736BFB"/>
    <w:rsid w:val="00736C18"/>
    <w:rsid w:val="00736CFE"/>
    <w:rsid w:val="00736DB6"/>
    <w:rsid w:val="00736E4D"/>
    <w:rsid w:val="00736F3E"/>
    <w:rsid w:val="00737545"/>
    <w:rsid w:val="007375EA"/>
    <w:rsid w:val="007378EB"/>
    <w:rsid w:val="007379E0"/>
    <w:rsid w:val="007379FE"/>
    <w:rsid w:val="00737B5D"/>
    <w:rsid w:val="00737B62"/>
    <w:rsid w:val="00737CF6"/>
    <w:rsid w:val="00737EC4"/>
    <w:rsid w:val="0074024C"/>
    <w:rsid w:val="0074026B"/>
    <w:rsid w:val="00740424"/>
    <w:rsid w:val="007404EA"/>
    <w:rsid w:val="00740630"/>
    <w:rsid w:val="00740714"/>
    <w:rsid w:val="007408D5"/>
    <w:rsid w:val="007408D8"/>
    <w:rsid w:val="00740A3E"/>
    <w:rsid w:val="00740BA9"/>
    <w:rsid w:val="00740BC0"/>
    <w:rsid w:val="00740BD8"/>
    <w:rsid w:val="00740C52"/>
    <w:rsid w:val="00740C72"/>
    <w:rsid w:val="00740DFD"/>
    <w:rsid w:val="00740F17"/>
    <w:rsid w:val="00740F20"/>
    <w:rsid w:val="007410C4"/>
    <w:rsid w:val="0074124C"/>
    <w:rsid w:val="007413CB"/>
    <w:rsid w:val="007413F8"/>
    <w:rsid w:val="00741D30"/>
    <w:rsid w:val="00741D4C"/>
    <w:rsid w:val="007420D6"/>
    <w:rsid w:val="0074212C"/>
    <w:rsid w:val="00742366"/>
    <w:rsid w:val="00742451"/>
    <w:rsid w:val="00742550"/>
    <w:rsid w:val="00742565"/>
    <w:rsid w:val="0074274B"/>
    <w:rsid w:val="00742BFB"/>
    <w:rsid w:val="00742C9E"/>
    <w:rsid w:val="00742E88"/>
    <w:rsid w:val="00743005"/>
    <w:rsid w:val="007435AC"/>
    <w:rsid w:val="007435BA"/>
    <w:rsid w:val="0074361E"/>
    <w:rsid w:val="007436A1"/>
    <w:rsid w:val="00743713"/>
    <w:rsid w:val="007438EC"/>
    <w:rsid w:val="00743AF2"/>
    <w:rsid w:val="00743B53"/>
    <w:rsid w:val="00743BCA"/>
    <w:rsid w:val="00744059"/>
    <w:rsid w:val="00744227"/>
    <w:rsid w:val="00744484"/>
    <w:rsid w:val="00744728"/>
    <w:rsid w:val="00744744"/>
    <w:rsid w:val="00744912"/>
    <w:rsid w:val="00744962"/>
    <w:rsid w:val="00744A10"/>
    <w:rsid w:val="00744B81"/>
    <w:rsid w:val="00744D5D"/>
    <w:rsid w:val="00744E2C"/>
    <w:rsid w:val="0074506D"/>
    <w:rsid w:val="007450D8"/>
    <w:rsid w:val="00745161"/>
    <w:rsid w:val="00745697"/>
    <w:rsid w:val="0074574B"/>
    <w:rsid w:val="00745787"/>
    <w:rsid w:val="007458DD"/>
    <w:rsid w:val="00745926"/>
    <w:rsid w:val="00745971"/>
    <w:rsid w:val="0074597C"/>
    <w:rsid w:val="00745C47"/>
    <w:rsid w:val="00745CCD"/>
    <w:rsid w:val="00745EDD"/>
    <w:rsid w:val="00745F5A"/>
    <w:rsid w:val="007460F5"/>
    <w:rsid w:val="007462A4"/>
    <w:rsid w:val="0074630C"/>
    <w:rsid w:val="00746351"/>
    <w:rsid w:val="0074645A"/>
    <w:rsid w:val="0074646E"/>
    <w:rsid w:val="007464FA"/>
    <w:rsid w:val="007466DC"/>
    <w:rsid w:val="007466F2"/>
    <w:rsid w:val="0074680E"/>
    <w:rsid w:val="0074682D"/>
    <w:rsid w:val="00746B6F"/>
    <w:rsid w:val="00746DBB"/>
    <w:rsid w:val="00747184"/>
    <w:rsid w:val="0074718E"/>
    <w:rsid w:val="007471B5"/>
    <w:rsid w:val="007472DA"/>
    <w:rsid w:val="00747300"/>
    <w:rsid w:val="00747364"/>
    <w:rsid w:val="00747466"/>
    <w:rsid w:val="00747551"/>
    <w:rsid w:val="00747A77"/>
    <w:rsid w:val="00747D09"/>
    <w:rsid w:val="00747DE2"/>
    <w:rsid w:val="00747F6D"/>
    <w:rsid w:val="00747FB5"/>
    <w:rsid w:val="00750049"/>
    <w:rsid w:val="007501A4"/>
    <w:rsid w:val="00750908"/>
    <w:rsid w:val="007509DD"/>
    <w:rsid w:val="00750A6B"/>
    <w:rsid w:val="00750BF2"/>
    <w:rsid w:val="007511E8"/>
    <w:rsid w:val="007512F4"/>
    <w:rsid w:val="0075170A"/>
    <w:rsid w:val="0075181A"/>
    <w:rsid w:val="00751D94"/>
    <w:rsid w:val="00751E22"/>
    <w:rsid w:val="0075216D"/>
    <w:rsid w:val="007522AD"/>
    <w:rsid w:val="00752B0C"/>
    <w:rsid w:val="00752C77"/>
    <w:rsid w:val="00752C84"/>
    <w:rsid w:val="00752CDB"/>
    <w:rsid w:val="00752E42"/>
    <w:rsid w:val="007533CE"/>
    <w:rsid w:val="00753CC5"/>
    <w:rsid w:val="00753EB5"/>
    <w:rsid w:val="00754000"/>
    <w:rsid w:val="0075412C"/>
    <w:rsid w:val="00754486"/>
    <w:rsid w:val="0075454A"/>
    <w:rsid w:val="0075457C"/>
    <w:rsid w:val="0075463F"/>
    <w:rsid w:val="007549FE"/>
    <w:rsid w:val="00754B79"/>
    <w:rsid w:val="00754C34"/>
    <w:rsid w:val="00754C9F"/>
    <w:rsid w:val="00754CC8"/>
    <w:rsid w:val="00754D71"/>
    <w:rsid w:val="00754E51"/>
    <w:rsid w:val="00754EDF"/>
    <w:rsid w:val="00754EFF"/>
    <w:rsid w:val="0075559A"/>
    <w:rsid w:val="0075559E"/>
    <w:rsid w:val="007557D4"/>
    <w:rsid w:val="00755850"/>
    <w:rsid w:val="007559F5"/>
    <w:rsid w:val="00755A3C"/>
    <w:rsid w:val="00755C3E"/>
    <w:rsid w:val="00755CE2"/>
    <w:rsid w:val="00755D97"/>
    <w:rsid w:val="00755E4B"/>
    <w:rsid w:val="00755EFF"/>
    <w:rsid w:val="007560B7"/>
    <w:rsid w:val="00756225"/>
    <w:rsid w:val="00756426"/>
    <w:rsid w:val="007568FA"/>
    <w:rsid w:val="007569D8"/>
    <w:rsid w:val="00756A09"/>
    <w:rsid w:val="00756BC9"/>
    <w:rsid w:val="00756E93"/>
    <w:rsid w:val="0075714A"/>
    <w:rsid w:val="007571C7"/>
    <w:rsid w:val="007571DF"/>
    <w:rsid w:val="00757267"/>
    <w:rsid w:val="007572DD"/>
    <w:rsid w:val="007575CD"/>
    <w:rsid w:val="00757676"/>
    <w:rsid w:val="00757678"/>
    <w:rsid w:val="007577E3"/>
    <w:rsid w:val="007579B9"/>
    <w:rsid w:val="00757A45"/>
    <w:rsid w:val="00757A79"/>
    <w:rsid w:val="00757B8C"/>
    <w:rsid w:val="00757E79"/>
    <w:rsid w:val="00757F5C"/>
    <w:rsid w:val="0076004E"/>
    <w:rsid w:val="00760121"/>
    <w:rsid w:val="007603A7"/>
    <w:rsid w:val="007606D1"/>
    <w:rsid w:val="0076098B"/>
    <w:rsid w:val="00760BF7"/>
    <w:rsid w:val="00760C4A"/>
    <w:rsid w:val="00760DE8"/>
    <w:rsid w:val="00760E0D"/>
    <w:rsid w:val="00760EE2"/>
    <w:rsid w:val="0076110A"/>
    <w:rsid w:val="007614F7"/>
    <w:rsid w:val="007616C4"/>
    <w:rsid w:val="007616F5"/>
    <w:rsid w:val="007618AA"/>
    <w:rsid w:val="00761907"/>
    <w:rsid w:val="0076196E"/>
    <w:rsid w:val="00761A39"/>
    <w:rsid w:val="00761AB6"/>
    <w:rsid w:val="00761B7B"/>
    <w:rsid w:val="00761B82"/>
    <w:rsid w:val="00761CC0"/>
    <w:rsid w:val="00761CDC"/>
    <w:rsid w:val="00761D3A"/>
    <w:rsid w:val="00762261"/>
    <w:rsid w:val="00762324"/>
    <w:rsid w:val="007623C8"/>
    <w:rsid w:val="007625B3"/>
    <w:rsid w:val="007625BD"/>
    <w:rsid w:val="00762612"/>
    <w:rsid w:val="00762812"/>
    <w:rsid w:val="0076299A"/>
    <w:rsid w:val="00762E09"/>
    <w:rsid w:val="00763168"/>
    <w:rsid w:val="0076332D"/>
    <w:rsid w:val="00763474"/>
    <w:rsid w:val="00763499"/>
    <w:rsid w:val="00763512"/>
    <w:rsid w:val="00763597"/>
    <w:rsid w:val="0076395A"/>
    <w:rsid w:val="00763AF5"/>
    <w:rsid w:val="00763BD6"/>
    <w:rsid w:val="00763DF9"/>
    <w:rsid w:val="00763F07"/>
    <w:rsid w:val="00763FB5"/>
    <w:rsid w:val="0076402B"/>
    <w:rsid w:val="0076407E"/>
    <w:rsid w:val="0076423F"/>
    <w:rsid w:val="0076424A"/>
    <w:rsid w:val="0076443D"/>
    <w:rsid w:val="00764446"/>
    <w:rsid w:val="00764669"/>
    <w:rsid w:val="0076485A"/>
    <w:rsid w:val="007649C3"/>
    <w:rsid w:val="00764A84"/>
    <w:rsid w:val="00764C81"/>
    <w:rsid w:val="00764D74"/>
    <w:rsid w:val="00764EB7"/>
    <w:rsid w:val="00765297"/>
    <w:rsid w:val="007653ED"/>
    <w:rsid w:val="007654DC"/>
    <w:rsid w:val="007656C6"/>
    <w:rsid w:val="00765750"/>
    <w:rsid w:val="007658BE"/>
    <w:rsid w:val="007659C9"/>
    <w:rsid w:val="00765C0E"/>
    <w:rsid w:val="00765DFE"/>
    <w:rsid w:val="00765E4E"/>
    <w:rsid w:val="00766184"/>
    <w:rsid w:val="007667E4"/>
    <w:rsid w:val="007667F2"/>
    <w:rsid w:val="00766A9A"/>
    <w:rsid w:val="00766B0C"/>
    <w:rsid w:val="00766FA7"/>
    <w:rsid w:val="00767133"/>
    <w:rsid w:val="0076713E"/>
    <w:rsid w:val="00767863"/>
    <w:rsid w:val="00767955"/>
    <w:rsid w:val="00767FDF"/>
    <w:rsid w:val="00770069"/>
    <w:rsid w:val="00770315"/>
    <w:rsid w:val="00770330"/>
    <w:rsid w:val="007703DB"/>
    <w:rsid w:val="007703DF"/>
    <w:rsid w:val="0077062D"/>
    <w:rsid w:val="00770645"/>
    <w:rsid w:val="007706D3"/>
    <w:rsid w:val="0077092B"/>
    <w:rsid w:val="00770BF4"/>
    <w:rsid w:val="00770CD9"/>
    <w:rsid w:val="00770F1F"/>
    <w:rsid w:val="00771187"/>
    <w:rsid w:val="0077150D"/>
    <w:rsid w:val="00771551"/>
    <w:rsid w:val="00771658"/>
    <w:rsid w:val="00771719"/>
    <w:rsid w:val="00771AF6"/>
    <w:rsid w:val="00771C19"/>
    <w:rsid w:val="00771F69"/>
    <w:rsid w:val="00771FFA"/>
    <w:rsid w:val="007722FF"/>
    <w:rsid w:val="00772325"/>
    <w:rsid w:val="007724CC"/>
    <w:rsid w:val="00772542"/>
    <w:rsid w:val="007725B8"/>
    <w:rsid w:val="007726E7"/>
    <w:rsid w:val="00772918"/>
    <w:rsid w:val="007729F4"/>
    <w:rsid w:val="00772D87"/>
    <w:rsid w:val="00772F6F"/>
    <w:rsid w:val="007735A9"/>
    <w:rsid w:val="007737DD"/>
    <w:rsid w:val="0077396E"/>
    <w:rsid w:val="00773AB3"/>
    <w:rsid w:val="00773C0E"/>
    <w:rsid w:val="00774033"/>
    <w:rsid w:val="00774040"/>
    <w:rsid w:val="007744C6"/>
    <w:rsid w:val="007746CB"/>
    <w:rsid w:val="00774703"/>
    <w:rsid w:val="00774A16"/>
    <w:rsid w:val="00774A63"/>
    <w:rsid w:val="00774BF2"/>
    <w:rsid w:val="00774E90"/>
    <w:rsid w:val="007750C5"/>
    <w:rsid w:val="00775205"/>
    <w:rsid w:val="00775541"/>
    <w:rsid w:val="00775576"/>
    <w:rsid w:val="00775647"/>
    <w:rsid w:val="0077566C"/>
    <w:rsid w:val="007759DB"/>
    <w:rsid w:val="00775B24"/>
    <w:rsid w:val="00775DDD"/>
    <w:rsid w:val="00775E6F"/>
    <w:rsid w:val="00775FEC"/>
    <w:rsid w:val="00776181"/>
    <w:rsid w:val="007761FB"/>
    <w:rsid w:val="007765D5"/>
    <w:rsid w:val="0077675F"/>
    <w:rsid w:val="00776790"/>
    <w:rsid w:val="007768CA"/>
    <w:rsid w:val="00776993"/>
    <w:rsid w:val="00776C1A"/>
    <w:rsid w:val="00776C91"/>
    <w:rsid w:val="0077705C"/>
    <w:rsid w:val="007770CD"/>
    <w:rsid w:val="00777137"/>
    <w:rsid w:val="0077715C"/>
    <w:rsid w:val="007771CB"/>
    <w:rsid w:val="007773C7"/>
    <w:rsid w:val="007773EC"/>
    <w:rsid w:val="00777B46"/>
    <w:rsid w:val="00777BE8"/>
    <w:rsid w:val="00777E9C"/>
    <w:rsid w:val="00777FAA"/>
    <w:rsid w:val="0078026C"/>
    <w:rsid w:val="007802C6"/>
    <w:rsid w:val="0078049B"/>
    <w:rsid w:val="00780555"/>
    <w:rsid w:val="0078065F"/>
    <w:rsid w:val="007806F8"/>
    <w:rsid w:val="00780962"/>
    <w:rsid w:val="00780D7D"/>
    <w:rsid w:val="00780D7E"/>
    <w:rsid w:val="00780E74"/>
    <w:rsid w:val="00781027"/>
    <w:rsid w:val="00781213"/>
    <w:rsid w:val="007815D0"/>
    <w:rsid w:val="007818FB"/>
    <w:rsid w:val="007819C0"/>
    <w:rsid w:val="007819D8"/>
    <w:rsid w:val="00781B7A"/>
    <w:rsid w:val="00781BAD"/>
    <w:rsid w:val="00781C7A"/>
    <w:rsid w:val="00781E59"/>
    <w:rsid w:val="00781F28"/>
    <w:rsid w:val="0078232F"/>
    <w:rsid w:val="0078239A"/>
    <w:rsid w:val="007823F1"/>
    <w:rsid w:val="00782420"/>
    <w:rsid w:val="007824DD"/>
    <w:rsid w:val="0078257B"/>
    <w:rsid w:val="0078265B"/>
    <w:rsid w:val="00782866"/>
    <w:rsid w:val="00782968"/>
    <w:rsid w:val="00782AF1"/>
    <w:rsid w:val="00782CCD"/>
    <w:rsid w:val="00782EF7"/>
    <w:rsid w:val="0078332C"/>
    <w:rsid w:val="00783500"/>
    <w:rsid w:val="00783719"/>
    <w:rsid w:val="007838AB"/>
    <w:rsid w:val="0078393F"/>
    <w:rsid w:val="00783C5D"/>
    <w:rsid w:val="00783D75"/>
    <w:rsid w:val="00784067"/>
    <w:rsid w:val="007840B5"/>
    <w:rsid w:val="00784102"/>
    <w:rsid w:val="00784200"/>
    <w:rsid w:val="007842E0"/>
    <w:rsid w:val="00784309"/>
    <w:rsid w:val="00784330"/>
    <w:rsid w:val="007846E5"/>
    <w:rsid w:val="00784719"/>
    <w:rsid w:val="007848AE"/>
    <w:rsid w:val="007848C8"/>
    <w:rsid w:val="00784942"/>
    <w:rsid w:val="00784BD7"/>
    <w:rsid w:val="00784C0A"/>
    <w:rsid w:val="00784DC3"/>
    <w:rsid w:val="00784EE4"/>
    <w:rsid w:val="0078505B"/>
    <w:rsid w:val="00785381"/>
    <w:rsid w:val="00785519"/>
    <w:rsid w:val="007855ED"/>
    <w:rsid w:val="0078564E"/>
    <w:rsid w:val="00785911"/>
    <w:rsid w:val="00785916"/>
    <w:rsid w:val="00785A27"/>
    <w:rsid w:val="00785A69"/>
    <w:rsid w:val="00785B4F"/>
    <w:rsid w:val="00785CE1"/>
    <w:rsid w:val="00785EE1"/>
    <w:rsid w:val="00785FEB"/>
    <w:rsid w:val="0078621B"/>
    <w:rsid w:val="007862B2"/>
    <w:rsid w:val="007864BD"/>
    <w:rsid w:val="00786C1C"/>
    <w:rsid w:val="00787031"/>
    <w:rsid w:val="00787386"/>
    <w:rsid w:val="00787426"/>
    <w:rsid w:val="00787491"/>
    <w:rsid w:val="00787837"/>
    <w:rsid w:val="00787AAF"/>
    <w:rsid w:val="00787BCE"/>
    <w:rsid w:val="00787C99"/>
    <w:rsid w:val="00787CCD"/>
    <w:rsid w:val="00790061"/>
    <w:rsid w:val="0079068E"/>
    <w:rsid w:val="0079099C"/>
    <w:rsid w:val="00790AA9"/>
    <w:rsid w:val="00790E26"/>
    <w:rsid w:val="00790EE3"/>
    <w:rsid w:val="00790F58"/>
    <w:rsid w:val="0079107E"/>
    <w:rsid w:val="007912DB"/>
    <w:rsid w:val="007913A5"/>
    <w:rsid w:val="007915A8"/>
    <w:rsid w:val="00791653"/>
    <w:rsid w:val="007916FD"/>
    <w:rsid w:val="00791998"/>
    <w:rsid w:val="00791A6C"/>
    <w:rsid w:val="00791A91"/>
    <w:rsid w:val="00791C19"/>
    <w:rsid w:val="00791DB9"/>
    <w:rsid w:val="00791E78"/>
    <w:rsid w:val="00791E96"/>
    <w:rsid w:val="0079215A"/>
    <w:rsid w:val="007921A0"/>
    <w:rsid w:val="007921D5"/>
    <w:rsid w:val="00792372"/>
    <w:rsid w:val="007924A4"/>
    <w:rsid w:val="007925A4"/>
    <w:rsid w:val="00792631"/>
    <w:rsid w:val="00792703"/>
    <w:rsid w:val="0079295F"/>
    <w:rsid w:val="00792D63"/>
    <w:rsid w:val="00792DCB"/>
    <w:rsid w:val="00792ED4"/>
    <w:rsid w:val="0079302F"/>
    <w:rsid w:val="0079373A"/>
    <w:rsid w:val="00793964"/>
    <w:rsid w:val="00793A40"/>
    <w:rsid w:val="00793AC7"/>
    <w:rsid w:val="00793B44"/>
    <w:rsid w:val="00793B8B"/>
    <w:rsid w:val="00793CF7"/>
    <w:rsid w:val="00794083"/>
    <w:rsid w:val="00794108"/>
    <w:rsid w:val="00794546"/>
    <w:rsid w:val="007947F4"/>
    <w:rsid w:val="00794A4C"/>
    <w:rsid w:val="00794B40"/>
    <w:rsid w:val="00794D69"/>
    <w:rsid w:val="00794F9B"/>
    <w:rsid w:val="007950F6"/>
    <w:rsid w:val="0079511B"/>
    <w:rsid w:val="007951AA"/>
    <w:rsid w:val="0079556B"/>
    <w:rsid w:val="007959A3"/>
    <w:rsid w:val="007959C2"/>
    <w:rsid w:val="00795A7E"/>
    <w:rsid w:val="00795A9C"/>
    <w:rsid w:val="00795BC9"/>
    <w:rsid w:val="00795D1C"/>
    <w:rsid w:val="00795EA4"/>
    <w:rsid w:val="00795ECA"/>
    <w:rsid w:val="00795F6D"/>
    <w:rsid w:val="00796275"/>
    <w:rsid w:val="00796854"/>
    <w:rsid w:val="00796886"/>
    <w:rsid w:val="007969A1"/>
    <w:rsid w:val="00796CD4"/>
    <w:rsid w:val="00796D4A"/>
    <w:rsid w:val="00796D9A"/>
    <w:rsid w:val="00796E26"/>
    <w:rsid w:val="0079702B"/>
    <w:rsid w:val="007970FF"/>
    <w:rsid w:val="00797260"/>
    <w:rsid w:val="0079729D"/>
    <w:rsid w:val="00797303"/>
    <w:rsid w:val="0079740A"/>
    <w:rsid w:val="00797488"/>
    <w:rsid w:val="00797747"/>
    <w:rsid w:val="00797ACD"/>
    <w:rsid w:val="00797F4A"/>
    <w:rsid w:val="007A01A1"/>
    <w:rsid w:val="007A034A"/>
    <w:rsid w:val="007A0384"/>
    <w:rsid w:val="007A04AB"/>
    <w:rsid w:val="007A05AC"/>
    <w:rsid w:val="007A05D0"/>
    <w:rsid w:val="007A06C5"/>
    <w:rsid w:val="007A0702"/>
    <w:rsid w:val="007A07D4"/>
    <w:rsid w:val="007A081A"/>
    <w:rsid w:val="007A091C"/>
    <w:rsid w:val="007A0969"/>
    <w:rsid w:val="007A0D26"/>
    <w:rsid w:val="007A1079"/>
    <w:rsid w:val="007A12E6"/>
    <w:rsid w:val="007A130F"/>
    <w:rsid w:val="007A13F3"/>
    <w:rsid w:val="007A14E7"/>
    <w:rsid w:val="007A1641"/>
    <w:rsid w:val="007A16AD"/>
    <w:rsid w:val="007A16FA"/>
    <w:rsid w:val="007A197D"/>
    <w:rsid w:val="007A198D"/>
    <w:rsid w:val="007A1AF9"/>
    <w:rsid w:val="007A1C10"/>
    <w:rsid w:val="007A1E98"/>
    <w:rsid w:val="007A2467"/>
    <w:rsid w:val="007A24E8"/>
    <w:rsid w:val="007A256F"/>
    <w:rsid w:val="007A26A5"/>
    <w:rsid w:val="007A26C4"/>
    <w:rsid w:val="007A2819"/>
    <w:rsid w:val="007A2CB0"/>
    <w:rsid w:val="007A2DAA"/>
    <w:rsid w:val="007A2E2D"/>
    <w:rsid w:val="007A2F0A"/>
    <w:rsid w:val="007A3013"/>
    <w:rsid w:val="007A304C"/>
    <w:rsid w:val="007A3154"/>
    <w:rsid w:val="007A32AE"/>
    <w:rsid w:val="007A39A1"/>
    <w:rsid w:val="007A3A1C"/>
    <w:rsid w:val="007A3AE4"/>
    <w:rsid w:val="007A3C64"/>
    <w:rsid w:val="007A3E19"/>
    <w:rsid w:val="007A3F83"/>
    <w:rsid w:val="007A415C"/>
    <w:rsid w:val="007A41D2"/>
    <w:rsid w:val="007A43ED"/>
    <w:rsid w:val="007A47A9"/>
    <w:rsid w:val="007A48B4"/>
    <w:rsid w:val="007A5357"/>
    <w:rsid w:val="007A57AE"/>
    <w:rsid w:val="007A58EB"/>
    <w:rsid w:val="007A5A2A"/>
    <w:rsid w:val="007A5B9F"/>
    <w:rsid w:val="007A5CB4"/>
    <w:rsid w:val="007A5FD4"/>
    <w:rsid w:val="007A5FE4"/>
    <w:rsid w:val="007A6006"/>
    <w:rsid w:val="007A63FA"/>
    <w:rsid w:val="007A67B4"/>
    <w:rsid w:val="007A67E7"/>
    <w:rsid w:val="007A69B8"/>
    <w:rsid w:val="007A6CB7"/>
    <w:rsid w:val="007A6DB0"/>
    <w:rsid w:val="007A705A"/>
    <w:rsid w:val="007A71B5"/>
    <w:rsid w:val="007A71EF"/>
    <w:rsid w:val="007A7207"/>
    <w:rsid w:val="007A7284"/>
    <w:rsid w:val="007A730F"/>
    <w:rsid w:val="007A7432"/>
    <w:rsid w:val="007A7448"/>
    <w:rsid w:val="007A74C9"/>
    <w:rsid w:val="007A756B"/>
    <w:rsid w:val="007A7A20"/>
    <w:rsid w:val="007A7A38"/>
    <w:rsid w:val="007A7BFB"/>
    <w:rsid w:val="007A7C72"/>
    <w:rsid w:val="007A7CC9"/>
    <w:rsid w:val="007A7DC7"/>
    <w:rsid w:val="007A7E1F"/>
    <w:rsid w:val="007B042E"/>
    <w:rsid w:val="007B05C2"/>
    <w:rsid w:val="007B06C4"/>
    <w:rsid w:val="007B0877"/>
    <w:rsid w:val="007B09EF"/>
    <w:rsid w:val="007B0AD9"/>
    <w:rsid w:val="007B0D42"/>
    <w:rsid w:val="007B0DAD"/>
    <w:rsid w:val="007B10AD"/>
    <w:rsid w:val="007B1201"/>
    <w:rsid w:val="007B1396"/>
    <w:rsid w:val="007B1437"/>
    <w:rsid w:val="007B1583"/>
    <w:rsid w:val="007B1691"/>
    <w:rsid w:val="007B16EB"/>
    <w:rsid w:val="007B16FB"/>
    <w:rsid w:val="007B1906"/>
    <w:rsid w:val="007B1CD9"/>
    <w:rsid w:val="007B1DE8"/>
    <w:rsid w:val="007B1E23"/>
    <w:rsid w:val="007B215C"/>
    <w:rsid w:val="007B2677"/>
    <w:rsid w:val="007B29A4"/>
    <w:rsid w:val="007B2B8D"/>
    <w:rsid w:val="007B2D0D"/>
    <w:rsid w:val="007B2D6B"/>
    <w:rsid w:val="007B2F7A"/>
    <w:rsid w:val="007B3210"/>
    <w:rsid w:val="007B3290"/>
    <w:rsid w:val="007B32A8"/>
    <w:rsid w:val="007B32B8"/>
    <w:rsid w:val="007B32C8"/>
    <w:rsid w:val="007B32E5"/>
    <w:rsid w:val="007B3737"/>
    <w:rsid w:val="007B3808"/>
    <w:rsid w:val="007B388A"/>
    <w:rsid w:val="007B3917"/>
    <w:rsid w:val="007B3A1F"/>
    <w:rsid w:val="007B3B35"/>
    <w:rsid w:val="007B3CFD"/>
    <w:rsid w:val="007B4001"/>
    <w:rsid w:val="007B404F"/>
    <w:rsid w:val="007B417C"/>
    <w:rsid w:val="007B4229"/>
    <w:rsid w:val="007B42CF"/>
    <w:rsid w:val="007B4359"/>
    <w:rsid w:val="007B43F0"/>
    <w:rsid w:val="007B45D0"/>
    <w:rsid w:val="007B472C"/>
    <w:rsid w:val="007B4D54"/>
    <w:rsid w:val="007B4EE4"/>
    <w:rsid w:val="007B52F9"/>
    <w:rsid w:val="007B5726"/>
    <w:rsid w:val="007B5A81"/>
    <w:rsid w:val="007B5B2F"/>
    <w:rsid w:val="007B5BA3"/>
    <w:rsid w:val="007B5EE0"/>
    <w:rsid w:val="007B5F07"/>
    <w:rsid w:val="007B5FD3"/>
    <w:rsid w:val="007B62A5"/>
    <w:rsid w:val="007B6720"/>
    <w:rsid w:val="007B6987"/>
    <w:rsid w:val="007B6999"/>
    <w:rsid w:val="007B6AA0"/>
    <w:rsid w:val="007B6DA7"/>
    <w:rsid w:val="007B6DEB"/>
    <w:rsid w:val="007B6FB5"/>
    <w:rsid w:val="007B703B"/>
    <w:rsid w:val="007B7437"/>
    <w:rsid w:val="007B743C"/>
    <w:rsid w:val="007B74A2"/>
    <w:rsid w:val="007B7593"/>
    <w:rsid w:val="007B76AB"/>
    <w:rsid w:val="007B772A"/>
    <w:rsid w:val="007B77AE"/>
    <w:rsid w:val="007B78D2"/>
    <w:rsid w:val="007B7E34"/>
    <w:rsid w:val="007B7EE2"/>
    <w:rsid w:val="007C0433"/>
    <w:rsid w:val="007C0516"/>
    <w:rsid w:val="007C063F"/>
    <w:rsid w:val="007C0733"/>
    <w:rsid w:val="007C09A9"/>
    <w:rsid w:val="007C0A65"/>
    <w:rsid w:val="007C0B1C"/>
    <w:rsid w:val="007C0CFA"/>
    <w:rsid w:val="007C0D1F"/>
    <w:rsid w:val="007C0DA8"/>
    <w:rsid w:val="007C0E03"/>
    <w:rsid w:val="007C0FBB"/>
    <w:rsid w:val="007C109D"/>
    <w:rsid w:val="007C1281"/>
    <w:rsid w:val="007C129F"/>
    <w:rsid w:val="007C13E1"/>
    <w:rsid w:val="007C1571"/>
    <w:rsid w:val="007C17B1"/>
    <w:rsid w:val="007C1B2C"/>
    <w:rsid w:val="007C1CE5"/>
    <w:rsid w:val="007C1CE6"/>
    <w:rsid w:val="007C2085"/>
    <w:rsid w:val="007C22E8"/>
    <w:rsid w:val="007C232E"/>
    <w:rsid w:val="007C2800"/>
    <w:rsid w:val="007C29D6"/>
    <w:rsid w:val="007C29E7"/>
    <w:rsid w:val="007C2A03"/>
    <w:rsid w:val="007C2A09"/>
    <w:rsid w:val="007C2B2C"/>
    <w:rsid w:val="007C2E18"/>
    <w:rsid w:val="007C2F60"/>
    <w:rsid w:val="007C3286"/>
    <w:rsid w:val="007C37A0"/>
    <w:rsid w:val="007C3892"/>
    <w:rsid w:val="007C396E"/>
    <w:rsid w:val="007C396F"/>
    <w:rsid w:val="007C3B24"/>
    <w:rsid w:val="007C3EA1"/>
    <w:rsid w:val="007C40E5"/>
    <w:rsid w:val="007C4194"/>
    <w:rsid w:val="007C42D6"/>
    <w:rsid w:val="007C445F"/>
    <w:rsid w:val="007C44D4"/>
    <w:rsid w:val="007C459B"/>
    <w:rsid w:val="007C4667"/>
    <w:rsid w:val="007C46E5"/>
    <w:rsid w:val="007C4E43"/>
    <w:rsid w:val="007C5033"/>
    <w:rsid w:val="007C50B0"/>
    <w:rsid w:val="007C51DE"/>
    <w:rsid w:val="007C5224"/>
    <w:rsid w:val="007C52D8"/>
    <w:rsid w:val="007C541F"/>
    <w:rsid w:val="007C5A64"/>
    <w:rsid w:val="007C5B73"/>
    <w:rsid w:val="007C5D1D"/>
    <w:rsid w:val="007C5D9C"/>
    <w:rsid w:val="007C62B1"/>
    <w:rsid w:val="007C6307"/>
    <w:rsid w:val="007C64F3"/>
    <w:rsid w:val="007C6636"/>
    <w:rsid w:val="007C6A56"/>
    <w:rsid w:val="007C6AC5"/>
    <w:rsid w:val="007C6BCD"/>
    <w:rsid w:val="007C6EEF"/>
    <w:rsid w:val="007C7374"/>
    <w:rsid w:val="007C738A"/>
    <w:rsid w:val="007C7395"/>
    <w:rsid w:val="007C7B38"/>
    <w:rsid w:val="007C7B45"/>
    <w:rsid w:val="007C7B75"/>
    <w:rsid w:val="007C7BA5"/>
    <w:rsid w:val="007C7C46"/>
    <w:rsid w:val="007C7CE1"/>
    <w:rsid w:val="007C7D4C"/>
    <w:rsid w:val="007D01EA"/>
    <w:rsid w:val="007D0457"/>
    <w:rsid w:val="007D053D"/>
    <w:rsid w:val="007D0607"/>
    <w:rsid w:val="007D082E"/>
    <w:rsid w:val="007D09F5"/>
    <w:rsid w:val="007D0A06"/>
    <w:rsid w:val="007D0A2A"/>
    <w:rsid w:val="007D0A45"/>
    <w:rsid w:val="007D0F1E"/>
    <w:rsid w:val="007D10E8"/>
    <w:rsid w:val="007D1255"/>
    <w:rsid w:val="007D142D"/>
    <w:rsid w:val="007D155B"/>
    <w:rsid w:val="007D17CB"/>
    <w:rsid w:val="007D197F"/>
    <w:rsid w:val="007D199C"/>
    <w:rsid w:val="007D19C4"/>
    <w:rsid w:val="007D19D1"/>
    <w:rsid w:val="007D1B6D"/>
    <w:rsid w:val="007D1F88"/>
    <w:rsid w:val="007D1FF2"/>
    <w:rsid w:val="007D2086"/>
    <w:rsid w:val="007D267A"/>
    <w:rsid w:val="007D2B94"/>
    <w:rsid w:val="007D3254"/>
    <w:rsid w:val="007D32F9"/>
    <w:rsid w:val="007D35EE"/>
    <w:rsid w:val="007D3636"/>
    <w:rsid w:val="007D382E"/>
    <w:rsid w:val="007D399D"/>
    <w:rsid w:val="007D3A70"/>
    <w:rsid w:val="007D3DB9"/>
    <w:rsid w:val="007D40F7"/>
    <w:rsid w:val="007D43FC"/>
    <w:rsid w:val="007D4584"/>
    <w:rsid w:val="007D45A2"/>
    <w:rsid w:val="007D4727"/>
    <w:rsid w:val="007D4911"/>
    <w:rsid w:val="007D495F"/>
    <w:rsid w:val="007D4B90"/>
    <w:rsid w:val="007D4C49"/>
    <w:rsid w:val="007D4CC2"/>
    <w:rsid w:val="007D4E69"/>
    <w:rsid w:val="007D4EC0"/>
    <w:rsid w:val="007D4EEB"/>
    <w:rsid w:val="007D5011"/>
    <w:rsid w:val="007D5029"/>
    <w:rsid w:val="007D508E"/>
    <w:rsid w:val="007D5357"/>
    <w:rsid w:val="007D56D3"/>
    <w:rsid w:val="007D5836"/>
    <w:rsid w:val="007D5838"/>
    <w:rsid w:val="007D592B"/>
    <w:rsid w:val="007D5A51"/>
    <w:rsid w:val="007D5AA6"/>
    <w:rsid w:val="007D5B6A"/>
    <w:rsid w:val="007D5C12"/>
    <w:rsid w:val="007D5EDC"/>
    <w:rsid w:val="007D6039"/>
    <w:rsid w:val="007D63A4"/>
    <w:rsid w:val="007D63D1"/>
    <w:rsid w:val="007D65D7"/>
    <w:rsid w:val="007D665F"/>
    <w:rsid w:val="007D67DA"/>
    <w:rsid w:val="007D6868"/>
    <w:rsid w:val="007D6AA1"/>
    <w:rsid w:val="007D6AB6"/>
    <w:rsid w:val="007D6D0C"/>
    <w:rsid w:val="007D6DD3"/>
    <w:rsid w:val="007D7268"/>
    <w:rsid w:val="007D72E3"/>
    <w:rsid w:val="007D74DD"/>
    <w:rsid w:val="007D74F7"/>
    <w:rsid w:val="007D75B7"/>
    <w:rsid w:val="007D75D3"/>
    <w:rsid w:val="007D7A91"/>
    <w:rsid w:val="007D7BE2"/>
    <w:rsid w:val="007D7C11"/>
    <w:rsid w:val="007D7E73"/>
    <w:rsid w:val="007E0056"/>
    <w:rsid w:val="007E00CB"/>
    <w:rsid w:val="007E01D4"/>
    <w:rsid w:val="007E03C0"/>
    <w:rsid w:val="007E07C4"/>
    <w:rsid w:val="007E0D98"/>
    <w:rsid w:val="007E14AA"/>
    <w:rsid w:val="007E159C"/>
    <w:rsid w:val="007E17EF"/>
    <w:rsid w:val="007E1919"/>
    <w:rsid w:val="007E1AFB"/>
    <w:rsid w:val="007E1B48"/>
    <w:rsid w:val="007E1BA6"/>
    <w:rsid w:val="007E1D16"/>
    <w:rsid w:val="007E1D8B"/>
    <w:rsid w:val="007E1DD9"/>
    <w:rsid w:val="007E1E24"/>
    <w:rsid w:val="007E1FED"/>
    <w:rsid w:val="007E263A"/>
    <w:rsid w:val="007E2884"/>
    <w:rsid w:val="007E29CE"/>
    <w:rsid w:val="007E2AAE"/>
    <w:rsid w:val="007E2B48"/>
    <w:rsid w:val="007E2FC0"/>
    <w:rsid w:val="007E33AE"/>
    <w:rsid w:val="007E33DD"/>
    <w:rsid w:val="007E37DA"/>
    <w:rsid w:val="007E3AF2"/>
    <w:rsid w:val="007E3E38"/>
    <w:rsid w:val="007E3F4F"/>
    <w:rsid w:val="007E4172"/>
    <w:rsid w:val="007E4185"/>
    <w:rsid w:val="007E43DE"/>
    <w:rsid w:val="007E46DD"/>
    <w:rsid w:val="007E4898"/>
    <w:rsid w:val="007E494E"/>
    <w:rsid w:val="007E4A1B"/>
    <w:rsid w:val="007E4A1C"/>
    <w:rsid w:val="007E4AAD"/>
    <w:rsid w:val="007E4AB6"/>
    <w:rsid w:val="007E4BC0"/>
    <w:rsid w:val="007E4BFF"/>
    <w:rsid w:val="007E4EB8"/>
    <w:rsid w:val="007E4F1A"/>
    <w:rsid w:val="007E5078"/>
    <w:rsid w:val="007E5524"/>
    <w:rsid w:val="007E565A"/>
    <w:rsid w:val="007E57E8"/>
    <w:rsid w:val="007E5919"/>
    <w:rsid w:val="007E5943"/>
    <w:rsid w:val="007E597F"/>
    <w:rsid w:val="007E59AB"/>
    <w:rsid w:val="007E59F9"/>
    <w:rsid w:val="007E5C93"/>
    <w:rsid w:val="007E5D8D"/>
    <w:rsid w:val="007E5F33"/>
    <w:rsid w:val="007E62CA"/>
    <w:rsid w:val="007E62DB"/>
    <w:rsid w:val="007E6456"/>
    <w:rsid w:val="007E6744"/>
    <w:rsid w:val="007E69BB"/>
    <w:rsid w:val="007E6A83"/>
    <w:rsid w:val="007E6DAB"/>
    <w:rsid w:val="007E6F2C"/>
    <w:rsid w:val="007E6FB2"/>
    <w:rsid w:val="007E749D"/>
    <w:rsid w:val="007E74D6"/>
    <w:rsid w:val="007E7591"/>
    <w:rsid w:val="007E7605"/>
    <w:rsid w:val="007E761A"/>
    <w:rsid w:val="007E77D9"/>
    <w:rsid w:val="007E78CA"/>
    <w:rsid w:val="007F00BF"/>
    <w:rsid w:val="007F0210"/>
    <w:rsid w:val="007F0741"/>
    <w:rsid w:val="007F07C3"/>
    <w:rsid w:val="007F0846"/>
    <w:rsid w:val="007F09FA"/>
    <w:rsid w:val="007F0E62"/>
    <w:rsid w:val="007F0EE6"/>
    <w:rsid w:val="007F1276"/>
    <w:rsid w:val="007F13C9"/>
    <w:rsid w:val="007F1490"/>
    <w:rsid w:val="007F14CB"/>
    <w:rsid w:val="007F165A"/>
    <w:rsid w:val="007F1803"/>
    <w:rsid w:val="007F1887"/>
    <w:rsid w:val="007F1B99"/>
    <w:rsid w:val="007F1BA0"/>
    <w:rsid w:val="007F1BFD"/>
    <w:rsid w:val="007F1ECA"/>
    <w:rsid w:val="007F2010"/>
    <w:rsid w:val="007F221E"/>
    <w:rsid w:val="007F228C"/>
    <w:rsid w:val="007F253E"/>
    <w:rsid w:val="007F2582"/>
    <w:rsid w:val="007F27C4"/>
    <w:rsid w:val="007F2839"/>
    <w:rsid w:val="007F28E2"/>
    <w:rsid w:val="007F2998"/>
    <w:rsid w:val="007F29CB"/>
    <w:rsid w:val="007F2B26"/>
    <w:rsid w:val="007F2C48"/>
    <w:rsid w:val="007F2C6A"/>
    <w:rsid w:val="007F2D86"/>
    <w:rsid w:val="007F2DA5"/>
    <w:rsid w:val="007F2FC3"/>
    <w:rsid w:val="007F310B"/>
    <w:rsid w:val="007F317D"/>
    <w:rsid w:val="007F31CE"/>
    <w:rsid w:val="007F3222"/>
    <w:rsid w:val="007F3387"/>
    <w:rsid w:val="007F33AC"/>
    <w:rsid w:val="007F356D"/>
    <w:rsid w:val="007F35B0"/>
    <w:rsid w:val="007F3721"/>
    <w:rsid w:val="007F387A"/>
    <w:rsid w:val="007F39C6"/>
    <w:rsid w:val="007F3A52"/>
    <w:rsid w:val="007F3A61"/>
    <w:rsid w:val="007F3A83"/>
    <w:rsid w:val="007F3C62"/>
    <w:rsid w:val="007F3CF3"/>
    <w:rsid w:val="007F3D3D"/>
    <w:rsid w:val="007F405D"/>
    <w:rsid w:val="007F42FD"/>
    <w:rsid w:val="007F434E"/>
    <w:rsid w:val="007F48EE"/>
    <w:rsid w:val="007F4A5F"/>
    <w:rsid w:val="007F4DB0"/>
    <w:rsid w:val="007F4DEF"/>
    <w:rsid w:val="007F4E2D"/>
    <w:rsid w:val="007F4F44"/>
    <w:rsid w:val="007F5085"/>
    <w:rsid w:val="007F51F2"/>
    <w:rsid w:val="007F530A"/>
    <w:rsid w:val="007F58F2"/>
    <w:rsid w:val="007F5B50"/>
    <w:rsid w:val="007F5B85"/>
    <w:rsid w:val="007F5C08"/>
    <w:rsid w:val="007F5C5E"/>
    <w:rsid w:val="007F5F4E"/>
    <w:rsid w:val="007F5FB2"/>
    <w:rsid w:val="007F6001"/>
    <w:rsid w:val="007F61A8"/>
    <w:rsid w:val="007F653A"/>
    <w:rsid w:val="007F654F"/>
    <w:rsid w:val="007F6622"/>
    <w:rsid w:val="007F672D"/>
    <w:rsid w:val="007F694A"/>
    <w:rsid w:val="007F69E5"/>
    <w:rsid w:val="007F6A5E"/>
    <w:rsid w:val="007F6C56"/>
    <w:rsid w:val="007F6E68"/>
    <w:rsid w:val="007F702A"/>
    <w:rsid w:val="007F70CE"/>
    <w:rsid w:val="007F726D"/>
    <w:rsid w:val="007F747A"/>
    <w:rsid w:val="007F753E"/>
    <w:rsid w:val="007F7577"/>
    <w:rsid w:val="007F7611"/>
    <w:rsid w:val="007F767D"/>
    <w:rsid w:val="007F773A"/>
    <w:rsid w:val="007F7C02"/>
    <w:rsid w:val="007F7C49"/>
    <w:rsid w:val="007F7CA0"/>
    <w:rsid w:val="007F7DB4"/>
    <w:rsid w:val="007F7E93"/>
    <w:rsid w:val="007F7EEA"/>
    <w:rsid w:val="007F7EF5"/>
    <w:rsid w:val="007F7F49"/>
    <w:rsid w:val="007F7FAE"/>
    <w:rsid w:val="008000D5"/>
    <w:rsid w:val="00800252"/>
    <w:rsid w:val="00800543"/>
    <w:rsid w:val="008007C0"/>
    <w:rsid w:val="00800820"/>
    <w:rsid w:val="0080083A"/>
    <w:rsid w:val="008008BA"/>
    <w:rsid w:val="008008CD"/>
    <w:rsid w:val="008009F3"/>
    <w:rsid w:val="00800ACE"/>
    <w:rsid w:val="00800C76"/>
    <w:rsid w:val="0080111C"/>
    <w:rsid w:val="008011D7"/>
    <w:rsid w:val="00801341"/>
    <w:rsid w:val="008014DA"/>
    <w:rsid w:val="00801511"/>
    <w:rsid w:val="0080180D"/>
    <w:rsid w:val="00801822"/>
    <w:rsid w:val="008019EC"/>
    <w:rsid w:val="00801A46"/>
    <w:rsid w:val="00801C15"/>
    <w:rsid w:val="00801DBB"/>
    <w:rsid w:val="00801DC6"/>
    <w:rsid w:val="00801E01"/>
    <w:rsid w:val="00802250"/>
    <w:rsid w:val="008022D9"/>
    <w:rsid w:val="008026C0"/>
    <w:rsid w:val="00802716"/>
    <w:rsid w:val="00802938"/>
    <w:rsid w:val="00802B39"/>
    <w:rsid w:val="00802BD6"/>
    <w:rsid w:val="00802F50"/>
    <w:rsid w:val="00803420"/>
    <w:rsid w:val="008034A6"/>
    <w:rsid w:val="00803921"/>
    <w:rsid w:val="00803C4A"/>
    <w:rsid w:val="00803CF3"/>
    <w:rsid w:val="00803D22"/>
    <w:rsid w:val="00803D7A"/>
    <w:rsid w:val="00803E6F"/>
    <w:rsid w:val="00803FD4"/>
    <w:rsid w:val="00804077"/>
    <w:rsid w:val="0080411B"/>
    <w:rsid w:val="00804523"/>
    <w:rsid w:val="00804564"/>
    <w:rsid w:val="008045BC"/>
    <w:rsid w:val="00804684"/>
    <w:rsid w:val="00804733"/>
    <w:rsid w:val="00804C83"/>
    <w:rsid w:val="00804F8F"/>
    <w:rsid w:val="00804FE8"/>
    <w:rsid w:val="0080511E"/>
    <w:rsid w:val="00805153"/>
    <w:rsid w:val="0080539C"/>
    <w:rsid w:val="00805523"/>
    <w:rsid w:val="00805568"/>
    <w:rsid w:val="0080581D"/>
    <w:rsid w:val="00805AA8"/>
    <w:rsid w:val="00805B07"/>
    <w:rsid w:val="00805C86"/>
    <w:rsid w:val="00805CF6"/>
    <w:rsid w:val="00805D09"/>
    <w:rsid w:val="00805E5D"/>
    <w:rsid w:val="00805F60"/>
    <w:rsid w:val="008060F7"/>
    <w:rsid w:val="008061F9"/>
    <w:rsid w:val="00806270"/>
    <w:rsid w:val="00806509"/>
    <w:rsid w:val="008067D1"/>
    <w:rsid w:val="008068F0"/>
    <w:rsid w:val="00806B6D"/>
    <w:rsid w:val="00806C83"/>
    <w:rsid w:val="0080715B"/>
    <w:rsid w:val="0080718A"/>
    <w:rsid w:val="0080794F"/>
    <w:rsid w:val="00807A8C"/>
    <w:rsid w:val="00807B7A"/>
    <w:rsid w:val="00807E0D"/>
    <w:rsid w:val="00807EEF"/>
    <w:rsid w:val="00810181"/>
    <w:rsid w:val="00810216"/>
    <w:rsid w:val="0081021C"/>
    <w:rsid w:val="00810397"/>
    <w:rsid w:val="00810531"/>
    <w:rsid w:val="008106FC"/>
    <w:rsid w:val="0081081F"/>
    <w:rsid w:val="0081082F"/>
    <w:rsid w:val="008108C7"/>
    <w:rsid w:val="00810A08"/>
    <w:rsid w:val="00810B5B"/>
    <w:rsid w:val="00810B6A"/>
    <w:rsid w:val="00810C26"/>
    <w:rsid w:val="00810C90"/>
    <w:rsid w:val="00810F19"/>
    <w:rsid w:val="00810F28"/>
    <w:rsid w:val="00810FB3"/>
    <w:rsid w:val="008112E0"/>
    <w:rsid w:val="0081148D"/>
    <w:rsid w:val="008115A7"/>
    <w:rsid w:val="008118A5"/>
    <w:rsid w:val="00811939"/>
    <w:rsid w:val="00811943"/>
    <w:rsid w:val="00811BFD"/>
    <w:rsid w:val="00811C3D"/>
    <w:rsid w:val="00811F2C"/>
    <w:rsid w:val="0081204E"/>
    <w:rsid w:val="00812063"/>
    <w:rsid w:val="00812377"/>
    <w:rsid w:val="008123C5"/>
    <w:rsid w:val="0081249F"/>
    <w:rsid w:val="008124E3"/>
    <w:rsid w:val="0081273A"/>
    <w:rsid w:val="00812907"/>
    <w:rsid w:val="00812A30"/>
    <w:rsid w:val="00812AE1"/>
    <w:rsid w:val="00812B9A"/>
    <w:rsid w:val="00812D97"/>
    <w:rsid w:val="00812ED8"/>
    <w:rsid w:val="00813109"/>
    <w:rsid w:val="00813209"/>
    <w:rsid w:val="008132C6"/>
    <w:rsid w:val="008132EF"/>
    <w:rsid w:val="008133A7"/>
    <w:rsid w:val="00813441"/>
    <w:rsid w:val="008139E0"/>
    <w:rsid w:val="00813AB0"/>
    <w:rsid w:val="00813BF4"/>
    <w:rsid w:val="00813CDE"/>
    <w:rsid w:val="00813DE3"/>
    <w:rsid w:val="00813F63"/>
    <w:rsid w:val="0081407B"/>
    <w:rsid w:val="008141C6"/>
    <w:rsid w:val="00814327"/>
    <w:rsid w:val="008144E5"/>
    <w:rsid w:val="00814761"/>
    <w:rsid w:val="00814846"/>
    <w:rsid w:val="00814B68"/>
    <w:rsid w:val="00814E65"/>
    <w:rsid w:val="0081537B"/>
    <w:rsid w:val="0081545B"/>
    <w:rsid w:val="008154F1"/>
    <w:rsid w:val="0081563F"/>
    <w:rsid w:val="00815641"/>
    <w:rsid w:val="0081566C"/>
    <w:rsid w:val="0081567A"/>
    <w:rsid w:val="008156DB"/>
    <w:rsid w:val="008158E3"/>
    <w:rsid w:val="00815AAE"/>
    <w:rsid w:val="00815C81"/>
    <w:rsid w:val="00815EAE"/>
    <w:rsid w:val="0081609A"/>
    <w:rsid w:val="00816491"/>
    <w:rsid w:val="008164B6"/>
    <w:rsid w:val="008164F9"/>
    <w:rsid w:val="0081662C"/>
    <w:rsid w:val="008166C0"/>
    <w:rsid w:val="008166CF"/>
    <w:rsid w:val="00816812"/>
    <w:rsid w:val="0081699E"/>
    <w:rsid w:val="00816C93"/>
    <w:rsid w:val="00816D96"/>
    <w:rsid w:val="00816ED6"/>
    <w:rsid w:val="00817057"/>
    <w:rsid w:val="00817073"/>
    <w:rsid w:val="00817703"/>
    <w:rsid w:val="008177F7"/>
    <w:rsid w:val="008178D0"/>
    <w:rsid w:val="0081791F"/>
    <w:rsid w:val="00817AA3"/>
    <w:rsid w:val="00817AC0"/>
    <w:rsid w:val="00817B39"/>
    <w:rsid w:val="00817BD3"/>
    <w:rsid w:val="00817C4D"/>
    <w:rsid w:val="00817CA5"/>
    <w:rsid w:val="008200BE"/>
    <w:rsid w:val="00820300"/>
    <w:rsid w:val="008203FA"/>
    <w:rsid w:val="008204DD"/>
    <w:rsid w:val="00820895"/>
    <w:rsid w:val="008209DE"/>
    <w:rsid w:val="00820AA0"/>
    <w:rsid w:val="00820BEA"/>
    <w:rsid w:val="00820E14"/>
    <w:rsid w:val="008211C9"/>
    <w:rsid w:val="00821528"/>
    <w:rsid w:val="00821632"/>
    <w:rsid w:val="00821681"/>
    <w:rsid w:val="008218CB"/>
    <w:rsid w:val="00821C53"/>
    <w:rsid w:val="00821D5C"/>
    <w:rsid w:val="00822239"/>
    <w:rsid w:val="0082224C"/>
    <w:rsid w:val="008223D4"/>
    <w:rsid w:val="00822687"/>
    <w:rsid w:val="0082269F"/>
    <w:rsid w:val="00822813"/>
    <w:rsid w:val="00822849"/>
    <w:rsid w:val="00822860"/>
    <w:rsid w:val="00822BB9"/>
    <w:rsid w:val="00822C86"/>
    <w:rsid w:val="00822CDB"/>
    <w:rsid w:val="00822DC0"/>
    <w:rsid w:val="00822E89"/>
    <w:rsid w:val="00822FA3"/>
    <w:rsid w:val="00822FB6"/>
    <w:rsid w:val="008231FF"/>
    <w:rsid w:val="008234B5"/>
    <w:rsid w:val="00823716"/>
    <w:rsid w:val="00823954"/>
    <w:rsid w:val="00823A6B"/>
    <w:rsid w:val="00823E67"/>
    <w:rsid w:val="00824488"/>
    <w:rsid w:val="008245B7"/>
    <w:rsid w:val="008246A3"/>
    <w:rsid w:val="00824AF3"/>
    <w:rsid w:val="00824D5A"/>
    <w:rsid w:val="00824E16"/>
    <w:rsid w:val="00824E91"/>
    <w:rsid w:val="008251C1"/>
    <w:rsid w:val="00825437"/>
    <w:rsid w:val="00825482"/>
    <w:rsid w:val="00825570"/>
    <w:rsid w:val="008255F1"/>
    <w:rsid w:val="0082562A"/>
    <w:rsid w:val="00825687"/>
    <w:rsid w:val="008259A5"/>
    <w:rsid w:val="00825B7D"/>
    <w:rsid w:val="00825D3D"/>
    <w:rsid w:val="00825E2B"/>
    <w:rsid w:val="00825F10"/>
    <w:rsid w:val="0082632B"/>
    <w:rsid w:val="00826425"/>
    <w:rsid w:val="0082653D"/>
    <w:rsid w:val="00826732"/>
    <w:rsid w:val="00826AA9"/>
    <w:rsid w:val="00826C8F"/>
    <w:rsid w:val="00826D4D"/>
    <w:rsid w:val="00826D90"/>
    <w:rsid w:val="00826DC3"/>
    <w:rsid w:val="00826EE9"/>
    <w:rsid w:val="0082707E"/>
    <w:rsid w:val="008270E0"/>
    <w:rsid w:val="008270E4"/>
    <w:rsid w:val="008271C4"/>
    <w:rsid w:val="0082733A"/>
    <w:rsid w:val="00827351"/>
    <w:rsid w:val="008273B8"/>
    <w:rsid w:val="008273CB"/>
    <w:rsid w:val="0082752B"/>
    <w:rsid w:val="00827CE9"/>
    <w:rsid w:val="00827D5D"/>
    <w:rsid w:val="00827DA8"/>
    <w:rsid w:val="00827EE7"/>
    <w:rsid w:val="00827F23"/>
    <w:rsid w:val="0083002C"/>
    <w:rsid w:val="00830090"/>
    <w:rsid w:val="0083027C"/>
    <w:rsid w:val="0083030B"/>
    <w:rsid w:val="008304D9"/>
    <w:rsid w:val="00830952"/>
    <w:rsid w:val="00830980"/>
    <w:rsid w:val="00830C6F"/>
    <w:rsid w:val="00830CEA"/>
    <w:rsid w:val="00831135"/>
    <w:rsid w:val="008311B8"/>
    <w:rsid w:val="008311D4"/>
    <w:rsid w:val="00831269"/>
    <w:rsid w:val="0083126A"/>
    <w:rsid w:val="008312AC"/>
    <w:rsid w:val="008313FF"/>
    <w:rsid w:val="008317C6"/>
    <w:rsid w:val="00831BEA"/>
    <w:rsid w:val="00831C12"/>
    <w:rsid w:val="00831D06"/>
    <w:rsid w:val="00831D9C"/>
    <w:rsid w:val="00831DC3"/>
    <w:rsid w:val="00831DC9"/>
    <w:rsid w:val="00831F69"/>
    <w:rsid w:val="008322BF"/>
    <w:rsid w:val="0083254F"/>
    <w:rsid w:val="008326A6"/>
    <w:rsid w:val="008327C6"/>
    <w:rsid w:val="00832AA5"/>
    <w:rsid w:val="00832FD5"/>
    <w:rsid w:val="008331C3"/>
    <w:rsid w:val="00833281"/>
    <w:rsid w:val="0083358C"/>
    <w:rsid w:val="00833AD0"/>
    <w:rsid w:val="00833BDD"/>
    <w:rsid w:val="00833C2A"/>
    <w:rsid w:val="00834243"/>
    <w:rsid w:val="00834266"/>
    <w:rsid w:val="008342C5"/>
    <w:rsid w:val="008344CF"/>
    <w:rsid w:val="00834543"/>
    <w:rsid w:val="008345DF"/>
    <w:rsid w:val="0083467C"/>
    <w:rsid w:val="00834844"/>
    <w:rsid w:val="00834860"/>
    <w:rsid w:val="0083487D"/>
    <w:rsid w:val="00834927"/>
    <w:rsid w:val="00834A41"/>
    <w:rsid w:val="00834A6D"/>
    <w:rsid w:val="00834AF0"/>
    <w:rsid w:val="00834BDB"/>
    <w:rsid w:val="00834E4A"/>
    <w:rsid w:val="00834F6B"/>
    <w:rsid w:val="00834FE6"/>
    <w:rsid w:val="00835154"/>
    <w:rsid w:val="008352CD"/>
    <w:rsid w:val="008354D8"/>
    <w:rsid w:val="00835524"/>
    <w:rsid w:val="008355AE"/>
    <w:rsid w:val="0083577D"/>
    <w:rsid w:val="0083581A"/>
    <w:rsid w:val="00835C7A"/>
    <w:rsid w:val="00835D2D"/>
    <w:rsid w:val="00835E1F"/>
    <w:rsid w:val="00835EDE"/>
    <w:rsid w:val="008361B0"/>
    <w:rsid w:val="00836473"/>
    <w:rsid w:val="008364CC"/>
    <w:rsid w:val="008366D5"/>
    <w:rsid w:val="00836718"/>
    <w:rsid w:val="00836A55"/>
    <w:rsid w:val="00836CE4"/>
    <w:rsid w:val="00836F79"/>
    <w:rsid w:val="008374C4"/>
    <w:rsid w:val="00837581"/>
    <w:rsid w:val="00837663"/>
    <w:rsid w:val="00837748"/>
    <w:rsid w:val="0083797D"/>
    <w:rsid w:val="00837B14"/>
    <w:rsid w:val="00837DF4"/>
    <w:rsid w:val="00837EA3"/>
    <w:rsid w:val="0084001A"/>
    <w:rsid w:val="008400C0"/>
    <w:rsid w:val="008404C1"/>
    <w:rsid w:val="008404D7"/>
    <w:rsid w:val="00840578"/>
    <w:rsid w:val="00840871"/>
    <w:rsid w:val="00840AE4"/>
    <w:rsid w:val="00841014"/>
    <w:rsid w:val="00841177"/>
    <w:rsid w:val="00841201"/>
    <w:rsid w:val="0084120F"/>
    <w:rsid w:val="0084123C"/>
    <w:rsid w:val="008413B4"/>
    <w:rsid w:val="00841423"/>
    <w:rsid w:val="00841648"/>
    <w:rsid w:val="00841725"/>
    <w:rsid w:val="008417F4"/>
    <w:rsid w:val="00841F60"/>
    <w:rsid w:val="008420E8"/>
    <w:rsid w:val="00842111"/>
    <w:rsid w:val="0084218D"/>
    <w:rsid w:val="00842341"/>
    <w:rsid w:val="008424C8"/>
    <w:rsid w:val="008424C9"/>
    <w:rsid w:val="008426F1"/>
    <w:rsid w:val="00842857"/>
    <w:rsid w:val="00842A5C"/>
    <w:rsid w:val="00842AA3"/>
    <w:rsid w:val="00842DB3"/>
    <w:rsid w:val="00842FB8"/>
    <w:rsid w:val="00843440"/>
    <w:rsid w:val="008436E1"/>
    <w:rsid w:val="00843876"/>
    <w:rsid w:val="008438F6"/>
    <w:rsid w:val="00843A7C"/>
    <w:rsid w:val="00843CBF"/>
    <w:rsid w:val="00843E40"/>
    <w:rsid w:val="00843F7F"/>
    <w:rsid w:val="0084421C"/>
    <w:rsid w:val="0084429C"/>
    <w:rsid w:val="008443AE"/>
    <w:rsid w:val="00844731"/>
    <w:rsid w:val="00844782"/>
    <w:rsid w:val="0084491B"/>
    <w:rsid w:val="00844B60"/>
    <w:rsid w:val="00845009"/>
    <w:rsid w:val="008451F0"/>
    <w:rsid w:val="0084575B"/>
    <w:rsid w:val="0084579C"/>
    <w:rsid w:val="008459A8"/>
    <w:rsid w:val="00845BFA"/>
    <w:rsid w:val="00845FCC"/>
    <w:rsid w:val="00846134"/>
    <w:rsid w:val="008463C5"/>
    <w:rsid w:val="0084646D"/>
    <w:rsid w:val="008465FE"/>
    <w:rsid w:val="008466CC"/>
    <w:rsid w:val="00846D7F"/>
    <w:rsid w:val="00846D8C"/>
    <w:rsid w:val="00846DE1"/>
    <w:rsid w:val="00846DEF"/>
    <w:rsid w:val="00847146"/>
    <w:rsid w:val="008473E3"/>
    <w:rsid w:val="00847406"/>
    <w:rsid w:val="00847454"/>
    <w:rsid w:val="00847516"/>
    <w:rsid w:val="0084758F"/>
    <w:rsid w:val="008478BC"/>
    <w:rsid w:val="008479AC"/>
    <w:rsid w:val="00847B83"/>
    <w:rsid w:val="00847DD2"/>
    <w:rsid w:val="00850130"/>
    <w:rsid w:val="00850569"/>
    <w:rsid w:val="00850572"/>
    <w:rsid w:val="0085060E"/>
    <w:rsid w:val="0085072D"/>
    <w:rsid w:val="008507EC"/>
    <w:rsid w:val="00850AFA"/>
    <w:rsid w:val="00850C93"/>
    <w:rsid w:val="00850D68"/>
    <w:rsid w:val="00850FBB"/>
    <w:rsid w:val="008511A0"/>
    <w:rsid w:val="00851428"/>
    <w:rsid w:val="008514E7"/>
    <w:rsid w:val="00851549"/>
    <w:rsid w:val="0085172F"/>
    <w:rsid w:val="008517D3"/>
    <w:rsid w:val="008518D8"/>
    <w:rsid w:val="00851ADC"/>
    <w:rsid w:val="00851DCA"/>
    <w:rsid w:val="00851E6F"/>
    <w:rsid w:val="00851F20"/>
    <w:rsid w:val="008520CD"/>
    <w:rsid w:val="008521AB"/>
    <w:rsid w:val="0085222D"/>
    <w:rsid w:val="0085236D"/>
    <w:rsid w:val="00852487"/>
    <w:rsid w:val="0085251C"/>
    <w:rsid w:val="00852700"/>
    <w:rsid w:val="00852A55"/>
    <w:rsid w:val="00852AF4"/>
    <w:rsid w:val="00852C27"/>
    <w:rsid w:val="00852F55"/>
    <w:rsid w:val="00852F59"/>
    <w:rsid w:val="0085300E"/>
    <w:rsid w:val="008530F3"/>
    <w:rsid w:val="008531A7"/>
    <w:rsid w:val="00853611"/>
    <w:rsid w:val="008536C4"/>
    <w:rsid w:val="0085378A"/>
    <w:rsid w:val="008539E1"/>
    <w:rsid w:val="00853E30"/>
    <w:rsid w:val="00853E74"/>
    <w:rsid w:val="00853EE0"/>
    <w:rsid w:val="00854157"/>
    <w:rsid w:val="0085430B"/>
    <w:rsid w:val="00854340"/>
    <w:rsid w:val="008543B2"/>
    <w:rsid w:val="008544B8"/>
    <w:rsid w:val="00854908"/>
    <w:rsid w:val="00854C54"/>
    <w:rsid w:val="00854E83"/>
    <w:rsid w:val="008551B4"/>
    <w:rsid w:val="00855376"/>
    <w:rsid w:val="0085539D"/>
    <w:rsid w:val="008553B7"/>
    <w:rsid w:val="00855795"/>
    <w:rsid w:val="00855859"/>
    <w:rsid w:val="0085597E"/>
    <w:rsid w:val="00855E2C"/>
    <w:rsid w:val="00855EC0"/>
    <w:rsid w:val="00855F22"/>
    <w:rsid w:val="0085626D"/>
    <w:rsid w:val="008562AD"/>
    <w:rsid w:val="00856334"/>
    <w:rsid w:val="00856523"/>
    <w:rsid w:val="008565EF"/>
    <w:rsid w:val="008566A7"/>
    <w:rsid w:val="00856781"/>
    <w:rsid w:val="008568A0"/>
    <w:rsid w:val="0085692E"/>
    <w:rsid w:val="008569CC"/>
    <w:rsid w:val="00856BD1"/>
    <w:rsid w:val="00856C0E"/>
    <w:rsid w:val="00856E81"/>
    <w:rsid w:val="00857574"/>
    <w:rsid w:val="008575F1"/>
    <w:rsid w:val="00857969"/>
    <w:rsid w:val="00857D21"/>
    <w:rsid w:val="00857D69"/>
    <w:rsid w:val="0086024C"/>
    <w:rsid w:val="00860286"/>
    <w:rsid w:val="00860448"/>
    <w:rsid w:val="008605CB"/>
    <w:rsid w:val="008605D1"/>
    <w:rsid w:val="0086072A"/>
    <w:rsid w:val="0086078F"/>
    <w:rsid w:val="00860945"/>
    <w:rsid w:val="00860954"/>
    <w:rsid w:val="00860A47"/>
    <w:rsid w:val="00860AA3"/>
    <w:rsid w:val="00860BB5"/>
    <w:rsid w:val="00860EC5"/>
    <w:rsid w:val="00860FB0"/>
    <w:rsid w:val="008613BE"/>
    <w:rsid w:val="008614F0"/>
    <w:rsid w:val="00861734"/>
    <w:rsid w:val="00861821"/>
    <w:rsid w:val="0086183F"/>
    <w:rsid w:val="008619D1"/>
    <w:rsid w:val="00861A5D"/>
    <w:rsid w:val="00861DA9"/>
    <w:rsid w:val="00861FAC"/>
    <w:rsid w:val="00862782"/>
    <w:rsid w:val="008629C2"/>
    <w:rsid w:val="008629F2"/>
    <w:rsid w:val="00862B1B"/>
    <w:rsid w:val="00862DD8"/>
    <w:rsid w:val="00862ED5"/>
    <w:rsid w:val="00862EE6"/>
    <w:rsid w:val="008630A9"/>
    <w:rsid w:val="00863506"/>
    <w:rsid w:val="008635BE"/>
    <w:rsid w:val="00863BE3"/>
    <w:rsid w:val="00863FEF"/>
    <w:rsid w:val="00864053"/>
    <w:rsid w:val="0086413E"/>
    <w:rsid w:val="00864274"/>
    <w:rsid w:val="0086443B"/>
    <w:rsid w:val="008644EA"/>
    <w:rsid w:val="00864A50"/>
    <w:rsid w:val="00864A63"/>
    <w:rsid w:val="00864DE9"/>
    <w:rsid w:val="00864F10"/>
    <w:rsid w:val="0086518B"/>
    <w:rsid w:val="0086553E"/>
    <w:rsid w:val="00865543"/>
    <w:rsid w:val="00865813"/>
    <w:rsid w:val="00865A50"/>
    <w:rsid w:val="00865B0B"/>
    <w:rsid w:val="00865B8B"/>
    <w:rsid w:val="008660EC"/>
    <w:rsid w:val="0086629A"/>
    <w:rsid w:val="008662A6"/>
    <w:rsid w:val="008662F8"/>
    <w:rsid w:val="00866871"/>
    <w:rsid w:val="008669DC"/>
    <w:rsid w:val="008669E0"/>
    <w:rsid w:val="00866A50"/>
    <w:rsid w:val="00866ADB"/>
    <w:rsid w:val="00866B3C"/>
    <w:rsid w:val="00866D18"/>
    <w:rsid w:val="00866EB5"/>
    <w:rsid w:val="00867053"/>
    <w:rsid w:val="00867666"/>
    <w:rsid w:val="008677D1"/>
    <w:rsid w:val="00867926"/>
    <w:rsid w:val="00867A5F"/>
    <w:rsid w:val="00867C11"/>
    <w:rsid w:val="00867E1F"/>
    <w:rsid w:val="00867ED2"/>
    <w:rsid w:val="0087017B"/>
    <w:rsid w:val="0087025E"/>
    <w:rsid w:val="008704AD"/>
    <w:rsid w:val="00870647"/>
    <w:rsid w:val="00870788"/>
    <w:rsid w:val="008708B7"/>
    <w:rsid w:val="008708FA"/>
    <w:rsid w:val="00870BAE"/>
    <w:rsid w:val="00870C73"/>
    <w:rsid w:val="0087114A"/>
    <w:rsid w:val="008712D4"/>
    <w:rsid w:val="00871455"/>
    <w:rsid w:val="00871490"/>
    <w:rsid w:val="008716A5"/>
    <w:rsid w:val="008716A8"/>
    <w:rsid w:val="00871AA5"/>
    <w:rsid w:val="00871B61"/>
    <w:rsid w:val="00871C65"/>
    <w:rsid w:val="00871CB6"/>
    <w:rsid w:val="00871E3A"/>
    <w:rsid w:val="00871E58"/>
    <w:rsid w:val="00871EEA"/>
    <w:rsid w:val="008720AA"/>
    <w:rsid w:val="00872321"/>
    <w:rsid w:val="008723A4"/>
    <w:rsid w:val="00872792"/>
    <w:rsid w:val="00872A6D"/>
    <w:rsid w:val="00872B52"/>
    <w:rsid w:val="00872BD5"/>
    <w:rsid w:val="00872BF7"/>
    <w:rsid w:val="00872C6C"/>
    <w:rsid w:val="00872F54"/>
    <w:rsid w:val="008733F7"/>
    <w:rsid w:val="0087392B"/>
    <w:rsid w:val="00873B37"/>
    <w:rsid w:val="00873B82"/>
    <w:rsid w:val="00873C53"/>
    <w:rsid w:val="00873D5A"/>
    <w:rsid w:val="00873DCE"/>
    <w:rsid w:val="00873E17"/>
    <w:rsid w:val="00873E69"/>
    <w:rsid w:val="00873EFF"/>
    <w:rsid w:val="00874013"/>
    <w:rsid w:val="008740C0"/>
    <w:rsid w:val="00874325"/>
    <w:rsid w:val="008744CE"/>
    <w:rsid w:val="00874528"/>
    <w:rsid w:val="0087464C"/>
    <w:rsid w:val="0087468D"/>
    <w:rsid w:val="00874745"/>
    <w:rsid w:val="008747F3"/>
    <w:rsid w:val="00874816"/>
    <w:rsid w:val="00874908"/>
    <w:rsid w:val="00874919"/>
    <w:rsid w:val="00874A05"/>
    <w:rsid w:val="00874C9B"/>
    <w:rsid w:val="00874D70"/>
    <w:rsid w:val="00874D9A"/>
    <w:rsid w:val="00875089"/>
    <w:rsid w:val="008755C9"/>
    <w:rsid w:val="00875714"/>
    <w:rsid w:val="00875791"/>
    <w:rsid w:val="00875851"/>
    <w:rsid w:val="0087587D"/>
    <w:rsid w:val="0087644E"/>
    <w:rsid w:val="00876735"/>
    <w:rsid w:val="0087682D"/>
    <w:rsid w:val="00876BE2"/>
    <w:rsid w:val="00876DF8"/>
    <w:rsid w:val="00876DFC"/>
    <w:rsid w:val="00876E94"/>
    <w:rsid w:val="00876EC2"/>
    <w:rsid w:val="00877159"/>
    <w:rsid w:val="008771DF"/>
    <w:rsid w:val="00877240"/>
    <w:rsid w:val="008776E8"/>
    <w:rsid w:val="008779E8"/>
    <w:rsid w:val="00877AE2"/>
    <w:rsid w:val="00877AEA"/>
    <w:rsid w:val="00877B78"/>
    <w:rsid w:val="00877BC8"/>
    <w:rsid w:val="00877C14"/>
    <w:rsid w:val="00880068"/>
    <w:rsid w:val="008802C0"/>
    <w:rsid w:val="008806C4"/>
    <w:rsid w:val="008808DC"/>
    <w:rsid w:val="00880C24"/>
    <w:rsid w:val="00880CB6"/>
    <w:rsid w:val="00880D3F"/>
    <w:rsid w:val="00880DC7"/>
    <w:rsid w:val="00880DEF"/>
    <w:rsid w:val="00880E48"/>
    <w:rsid w:val="00880E64"/>
    <w:rsid w:val="008812CD"/>
    <w:rsid w:val="00881305"/>
    <w:rsid w:val="0088131A"/>
    <w:rsid w:val="00881412"/>
    <w:rsid w:val="008815D6"/>
    <w:rsid w:val="008816C8"/>
    <w:rsid w:val="008817CA"/>
    <w:rsid w:val="00881833"/>
    <w:rsid w:val="00881890"/>
    <w:rsid w:val="00881BA7"/>
    <w:rsid w:val="00881BC1"/>
    <w:rsid w:val="00881E77"/>
    <w:rsid w:val="00881EB8"/>
    <w:rsid w:val="00881F2F"/>
    <w:rsid w:val="00882163"/>
    <w:rsid w:val="008821CC"/>
    <w:rsid w:val="008822A0"/>
    <w:rsid w:val="00882612"/>
    <w:rsid w:val="00882A6C"/>
    <w:rsid w:val="00882B16"/>
    <w:rsid w:val="00882CC4"/>
    <w:rsid w:val="00882D2F"/>
    <w:rsid w:val="00882E59"/>
    <w:rsid w:val="00882FD2"/>
    <w:rsid w:val="00882FE7"/>
    <w:rsid w:val="00883086"/>
    <w:rsid w:val="008830DF"/>
    <w:rsid w:val="008834EB"/>
    <w:rsid w:val="0088394A"/>
    <w:rsid w:val="00883A4F"/>
    <w:rsid w:val="00883BD5"/>
    <w:rsid w:val="00883C82"/>
    <w:rsid w:val="00883CE8"/>
    <w:rsid w:val="00883EE2"/>
    <w:rsid w:val="00883FD0"/>
    <w:rsid w:val="008840FF"/>
    <w:rsid w:val="008844AC"/>
    <w:rsid w:val="00884857"/>
    <w:rsid w:val="00884BCA"/>
    <w:rsid w:val="00884EED"/>
    <w:rsid w:val="00884EFE"/>
    <w:rsid w:val="00885036"/>
    <w:rsid w:val="00885105"/>
    <w:rsid w:val="0088516F"/>
    <w:rsid w:val="008853AE"/>
    <w:rsid w:val="00885643"/>
    <w:rsid w:val="00885742"/>
    <w:rsid w:val="0088597E"/>
    <w:rsid w:val="008859C7"/>
    <w:rsid w:val="00885A20"/>
    <w:rsid w:val="00885B48"/>
    <w:rsid w:val="00885B6E"/>
    <w:rsid w:val="00885BAF"/>
    <w:rsid w:val="00885C56"/>
    <w:rsid w:val="00885E41"/>
    <w:rsid w:val="00885F6F"/>
    <w:rsid w:val="00886084"/>
    <w:rsid w:val="0088675A"/>
    <w:rsid w:val="00886CA7"/>
    <w:rsid w:val="00886D79"/>
    <w:rsid w:val="00886DB5"/>
    <w:rsid w:val="00887106"/>
    <w:rsid w:val="00887131"/>
    <w:rsid w:val="008872C2"/>
    <w:rsid w:val="00887312"/>
    <w:rsid w:val="008874A7"/>
    <w:rsid w:val="0088751D"/>
    <w:rsid w:val="00887537"/>
    <w:rsid w:val="00887A3D"/>
    <w:rsid w:val="00890066"/>
    <w:rsid w:val="00890151"/>
    <w:rsid w:val="008902BC"/>
    <w:rsid w:val="00890338"/>
    <w:rsid w:val="008903AE"/>
    <w:rsid w:val="008905FB"/>
    <w:rsid w:val="00890748"/>
    <w:rsid w:val="008909E2"/>
    <w:rsid w:val="00890C94"/>
    <w:rsid w:val="00890D29"/>
    <w:rsid w:val="00890E28"/>
    <w:rsid w:val="00890EDA"/>
    <w:rsid w:val="00891003"/>
    <w:rsid w:val="00891045"/>
    <w:rsid w:val="008910FD"/>
    <w:rsid w:val="00891117"/>
    <w:rsid w:val="008912AB"/>
    <w:rsid w:val="008913EF"/>
    <w:rsid w:val="00891479"/>
    <w:rsid w:val="008918D7"/>
    <w:rsid w:val="00891F75"/>
    <w:rsid w:val="0089207E"/>
    <w:rsid w:val="008920A7"/>
    <w:rsid w:val="00892259"/>
    <w:rsid w:val="0089244D"/>
    <w:rsid w:val="00892CC5"/>
    <w:rsid w:val="008932BA"/>
    <w:rsid w:val="00893658"/>
    <w:rsid w:val="0089396E"/>
    <w:rsid w:val="00893B58"/>
    <w:rsid w:val="00893DFB"/>
    <w:rsid w:val="00893E63"/>
    <w:rsid w:val="00893EFC"/>
    <w:rsid w:val="00893F57"/>
    <w:rsid w:val="00893FB0"/>
    <w:rsid w:val="0089427A"/>
    <w:rsid w:val="008942EE"/>
    <w:rsid w:val="0089439D"/>
    <w:rsid w:val="0089458C"/>
    <w:rsid w:val="00894602"/>
    <w:rsid w:val="008947E8"/>
    <w:rsid w:val="0089490A"/>
    <w:rsid w:val="00894CE8"/>
    <w:rsid w:val="00894DB2"/>
    <w:rsid w:val="00894ECA"/>
    <w:rsid w:val="008951CA"/>
    <w:rsid w:val="00895224"/>
    <w:rsid w:val="0089532F"/>
    <w:rsid w:val="0089536A"/>
    <w:rsid w:val="008953AE"/>
    <w:rsid w:val="008953F0"/>
    <w:rsid w:val="008956DD"/>
    <w:rsid w:val="0089590A"/>
    <w:rsid w:val="00895A4F"/>
    <w:rsid w:val="00895BD5"/>
    <w:rsid w:val="00895BD7"/>
    <w:rsid w:val="00895D48"/>
    <w:rsid w:val="00895D8B"/>
    <w:rsid w:val="00895DB7"/>
    <w:rsid w:val="00895EAD"/>
    <w:rsid w:val="00895EC7"/>
    <w:rsid w:val="0089659C"/>
    <w:rsid w:val="0089661F"/>
    <w:rsid w:val="0089697B"/>
    <w:rsid w:val="00896A96"/>
    <w:rsid w:val="00896C46"/>
    <w:rsid w:val="00896CD4"/>
    <w:rsid w:val="00897001"/>
    <w:rsid w:val="008970C5"/>
    <w:rsid w:val="008970EF"/>
    <w:rsid w:val="00897216"/>
    <w:rsid w:val="00897263"/>
    <w:rsid w:val="00897738"/>
    <w:rsid w:val="00897772"/>
    <w:rsid w:val="0089777F"/>
    <w:rsid w:val="008978BF"/>
    <w:rsid w:val="00897AEC"/>
    <w:rsid w:val="00897BFE"/>
    <w:rsid w:val="00897F46"/>
    <w:rsid w:val="008A01B2"/>
    <w:rsid w:val="008A0405"/>
    <w:rsid w:val="008A0649"/>
    <w:rsid w:val="008A095C"/>
    <w:rsid w:val="008A0AB0"/>
    <w:rsid w:val="008A0B41"/>
    <w:rsid w:val="008A0F0D"/>
    <w:rsid w:val="008A104B"/>
    <w:rsid w:val="008A162D"/>
    <w:rsid w:val="008A178A"/>
    <w:rsid w:val="008A1866"/>
    <w:rsid w:val="008A1B3F"/>
    <w:rsid w:val="008A1C5D"/>
    <w:rsid w:val="008A1D97"/>
    <w:rsid w:val="008A1DCB"/>
    <w:rsid w:val="008A22B4"/>
    <w:rsid w:val="008A2A05"/>
    <w:rsid w:val="008A2C7F"/>
    <w:rsid w:val="008A2CBC"/>
    <w:rsid w:val="008A2F51"/>
    <w:rsid w:val="008A349A"/>
    <w:rsid w:val="008A3546"/>
    <w:rsid w:val="008A357D"/>
    <w:rsid w:val="008A36C3"/>
    <w:rsid w:val="008A3C42"/>
    <w:rsid w:val="008A3CA1"/>
    <w:rsid w:val="008A3E9B"/>
    <w:rsid w:val="008A3F12"/>
    <w:rsid w:val="008A40D8"/>
    <w:rsid w:val="008A40F3"/>
    <w:rsid w:val="008A4786"/>
    <w:rsid w:val="008A49EB"/>
    <w:rsid w:val="008A4AB3"/>
    <w:rsid w:val="008A4C44"/>
    <w:rsid w:val="008A4DE3"/>
    <w:rsid w:val="008A4F1C"/>
    <w:rsid w:val="008A5027"/>
    <w:rsid w:val="008A51FB"/>
    <w:rsid w:val="008A5275"/>
    <w:rsid w:val="008A5308"/>
    <w:rsid w:val="008A532C"/>
    <w:rsid w:val="008A5408"/>
    <w:rsid w:val="008A5434"/>
    <w:rsid w:val="008A5805"/>
    <w:rsid w:val="008A5858"/>
    <w:rsid w:val="008A5914"/>
    <w:rsid w:val="008A597B"/>
    <w:rsid w:val="008A5AC1"/>
    <w:rsid w:val="008A5B22"/>
    <w:rsid w:val="008A5B29"/>
    <w:rsid w:val="008A5D38"/>
    <w:rsid w:val="008A5EC4"/>
    <w:rsid w:val="008A5F7F"/>
    <w:rsid w:val="008A6038"/>
    <w:rsid w:val="008A60AC"/>
    <w:rsid w:val="008A62E7"/>
    <w:rsid w:val="008A6440"/>
    <w:rsid w:val="008A670D"/>
    <w:rsid w:val="008A67BB"/>
    <w:rsid w:val="008A6848"/>
    <w:rsid w:val="008A6B24"/>
    <w:rsid w:val="008A6B69"/>
    <w:rsid w:val="008A701D"/>
    <w:rsid w:val="008A721B"/>
    <w:rsid w:val="008A72B7"/>
    <w:rsid w:val="008A746F"/>
    <w:rsid w:val="008A7B0E"/>
    <w:rsid w:val="008A7B1E"/>
    <w:rsid w:val="008A7C40"/>
    <w:rsid w:val="008A7C77"/>
    <w:rsid w:val="008A7CBD"/>
    <w:rsid w:val="008A7F38"/>
    <w:rsid w:val="008B076C"/>
    <w:rsid w:val="008B0860"/>
    <w:rsid w:val="008B0C57"/>
    <w:rsid w:val="008B0CAF"/>
    <w:rsid w:val="008B0E32"/>
    <w:rsid w:val="008B0EB2"/>
    <w:rsid w:val="008B0F66"/>
    <w:rsid w:val="008B10AB"/>
    <w:rsid w:val="008B1571"/>
    <w:rsid w:val="008B16DE"/>
    <w:rsid w:val="008B1776"/>
    <w:rsid w:val="008B1A11"/>
    <w:rsid w:val="008B1BB5"/>
    <w:rsid w:val="008B1C92"/>
    <w:rsid w:val="008B1F62"/>
    <w:rsid w:val="008B1FFD"/>
    <w:rsid w:val="008B23A4"/>
    <w:rsid w:val="008B2782"/>
    <w:rsid w:val="008B297D"/>
    <w:rsid w:val="008B29A0"/>
    <w:rsid w:val="008B2C40"/>
    <w:rsid w:val="008B2EFF"/>
    <w:rsid w:val="008B319B"/>
    <w:rsid w:val="008B31E2"/>
    <w:rsid w:val="008B3219"/>
    <w:rsid w:val="008B3713"/>
    <w:rsid w:val="008B3D37"/>
    <w:rsid w:val="008B3D56"/>
    <w:rsid w:val="008B3E99"/>
    <w:rsid w:val="008B4077"/>
    <w:rsid w:val="008B40DF"/>
    <w:rsid w:val="008B41F7"/>
    <w:rsid w:val="008B441D"/>
    <w:rsid w:val="008B45FB"/>
    <w:rsid w:val="008B4894"/>
    <w:rsid w:val="008B4B8E"/>
    <w:rsid w:val="008B4BD7"/>
    <w:rsid w:val="008B4C1A"/>
    <w:rsid w:val="008B4D49"/>
    <w:rsid w:val="008B4D4A"/>
    <w:rsid w:val="008B538C"/>
    <w:rsid w:val="008B53C3"/>
    <w:rsid w:val="008B54CE"/>
    <w:rsid w:val="008B55BB"/>
    <w:rsid w:val="008B5F88"/>
    <w:rsid w:val="008B61D9"/>
    <w:rsid w:val="008B68AC"/>
    <w:rsid w:val="008B69B8"/>
    <w:rsid w:val="008B6A9A"/>
    <w:rsid w:val="008B6BAA"/>
    <w:rsid w:val="008B6EBC"/>
    <w:rsid w:val="008B6FBC"/>
    <w:rsid w:val="008B70AC"/>
    <w:rsid w:val="008B711F"/>
    <w:rsid w:val="008B7173"/>
    <w:rsid w:val="008B720E"/>
    <w:rsid w:val="008B7250"/>
    <w:rsid w:val="008B72F4"/>
    <w:rsid w:val="008B733E"/>
    <w:rsid w:val="008B76AE"/>
    <w:rsid w:val="008B786B"/>
    <w:rsid w:val="008B7AEB"/>
    <w:rsid w:val="008B7C5B"/>
    <w:rsid w:val="008B7D77"/>
    <w:rsid w:val="008B7F6F"/>
    <w:rsid w:val="008B7FC4"/>
    <w:rsid w:val="008C0013"/>
    <w:rsid w:val="008C002E"/>
    <w:rsid w:val="008C0318"/>
    <w:rsid w:val="008C04A5"/>
    <w:rsid w:val="008C04E5"/>
    <w:rsid w:val="008C0595"/>
    <w:rsid w:val="008C05BB"/>
    <w:rsid w:val="008C06FD"/>
    <w:rsid w:val="008C0766"/>
    <w:rsid w:val="008C0784"/>
    <w:rsid w:val="008C0845"/>
    <w:rsid w:val="008C0918"/>
    <w:rsid w:val="008C096F"/>
    <w:rsid w:val="008C0A49"/>
    <w:rsid w:val="008C0B18"/>
    <w:rsid w:val="008C0C42"/>
    <w:rsid w:val="008C0E3F"/>
    <w:rsid w:val="008C0EDD"/>
    <w:rsid w:val="008C0F1B"/>
    <w:rsid w:val="008C112C"/>
    <w:rsid w:val="008C17A2"/>
    <w:rsid w:val="008C17B7"/>
    <w:rsid w:val="008C1998"/>
    <w:rsid w:val="008C1A82"/>
    <w:rsid w:val="008C1A9B"/>
    <w:rsid w:val="008C1C7B"/>
    <w:rsid w:val="008C1F53"/>
    <w:rsid w:val="008C2400"/>
    <w:rsid w:val="008C2414"/>
    <w:rsid w:val="008C26EA"/>
    <w:rsid w:val="008C273F"/>
    <w:rsid w:val="008C2B32"/>
    <w:rsid w:val="008C2DC7"/>
    <w:rsid w:val="008C2E0F"/>
    <w:rsid w:val="008C3654"/>
    <w:rsid w:val="008C3B05"/>
    <w:rsid w:val="008C3B4F"/>
    <w:rsid w:val="008C3B5B"/>
    <w:rsid w:val="008C3C28"/>
    <w:rsid w:val="008C3C4B"/>
    <w:rsid w:val="008C3DD1"/>
    <w:rsid w:val="008C3E71"/>
    <w:rsid w:val="008C3F39"/>
    <w:rsid w:val="008C4226"/>
    <w:rsid w:val="008C4526"/>
    <w:rsid w:val="008C4633"/>
    <w:rsid w:val="008C4771"/>
    <w:rsid w:val="008C4814"/>
    <w:rsid w:val="008C4BD5"/>
    <w:rsid w:val="008C4CB5"/>
    <w:rsid w:val="008C4ED3"/>
    <w:rsid w:val="008C4FA7"/>
    <w:rsid w:val="008C5187"/>
    <w:rsid w:val="008C5296"/>
    <w:rsid w:val="008C53FC"/>
    <w:rsid w:val="008C5405"/>
    <w:rsid w:val="008C54C8"/>
    <w:rsid w:val="008C559A"/>
    <w:rsid w:val="008C5848"/>
    <w:rsid w:val="008C599B"/>
    <w:rsid w:val="008C5B36"/>
    <w:rsid w:val="008C5B3F"/>
    <w:rsid w:val="008C5C54"/>
    <w:rsid w:val="008C60A8"/>
    <w:rsid w:val="008C60AC"/>
    <w:rsid w:val="008C6179"/>
    <w:rsid w:val="008C62EB"/>
    <w:rsid w:val="008C63CF"/>
    <w:rsid w:val="008C63DE"/>
    <w:rsid w:val="008C63FB"/>
    <w:rsid w:val="008C6485"/>
    <w:rsid w:val="008C6651"/>
    <w:rsid w:val="008C687F"/>
    <w:rsid w:val="008C68DC"/>
    <w:rsid w:val="008C6AF3"/>
    <w:rsid w:val="008C6C47"/>
    <w:rsid w:val="008C6F07"/>
    <w:rsid w:val="008C6FFD"/>
    <w:rsid w:val="008C7262"/>
    <w:rsid w:val="008C7352"/>
    <w:rsid w:val="008C7404"/>
    <w:rsid w:val="008C7412"/>
    <w:rsid w:val="008C7501"/>
    <w:rsid w:val="008C7764"/>
    <w:rsid w:val="008C79CA"/>
    <w:rsid w:val="008C7A0F"/>
    <w:rsid w:val="008C7F71"/>
    <w:rsid w:val="008D0128"/>
    <w:rsid w:val="008D033F"/>
    <w:rsid w:val="008D036D"/>
    <w:rsid w:val="008D03E8"/>
    <w:rsid w:val="008D051E"/>
    <w:rsid w:val="008D0592"/>
    <w:rsid w:val="008D05F1"/>
    <w:rsid w:val="008D0651"/>
    <w:rsid w:val="008D0710"/>
    <w:rsid w:val="008D0762"/>
    <w:rsid w:val="008D0872"/>
    <w:rsid w:val="008D0A4D"/>
    <w:rsid w:val="008D10BD"/>
    <w:rsid w:val="008D1204"/>
    <w:rsid w:val="008D120B"/>
    <w:rsid w:val="008D14E7"/>
    <w:rsid w:val="008D179C"/>
    <w:rsid w:val="008D17C6"/>
    <w:rsid w:val="008D17FA"/>
    <w:rsid w:val="008D1C6F"/>
    <w:rsid w:val="008D1F43"/>
    <w:rsid w:val="008D232A"/>
    <w:rsid w:val="008D2396"/>
    <w:rsid w:val="008D23F4"/>
    <w:rsid w:val="008D2411"/>
    <w:rsid w:val="008D24CD"/>
    <w:rsid w:val="008D2680"/>
    <w:rsid w:val="008D29DC"/>
    <w:rsid w:val="008D2C54"/>
    <w:rsid w:val="008D2DC3"/>
    <w:rsid w:val="008D2EFD"/>
    <w:rsid w:val="008D31B4"/>
    <w:rsid w:val="008D339F"/>
    <w:rsid w:val="008D3438"/>
    <w:rsid w:val="008D345E"/>
    <w:rsid w:val="008D3480"/>
    <w:rsid w:val="008D3742"/>
    <w:rsid w:val="008D37DE"/>
    <w:rsid w:val="008D3905"/>
    <w:rsid w:val="008D3928"/>
    <w:rsid w:val="008D3CB8"/>
    <w:rsid w:val="008D3EA2"/>
    <w:rsid w:val="008D3EBE"/>
    <w:rsid w:val="008D3F06"/>
    <w:rsid w:val="008D3FBB"/>
    <w:rsid w:val="008D409B"/>
    <w:rsid w:val="008D42F6"/>
    <w:rsid w:val="008D4394"/>
    <w:rsid w:val="008D4519"/>
    <w:rsid w:val="008D46ED"/>
    <w:rsid w:val="008D487D"/>
    <w:rsid w:val="008D48AF"/>
    <w:rsid w:val="008D48DE"/>
    <w:rsid w:val="008D4A39"/>
    <w:rsid w:val="008D4DD9"/>
    <w:rsid w:val="008D4ED8"/>
    <w:rsid w:val="008D4F74"/>
    <w:rsid w:val="008D5320"/>
    <w:rsid w:val="008D53D9"/>
    <w:rsid w:val="008D5449"/>
    <w:rsid w:val="008D54DE"/>
    <w:rsid w:val="008D58BB"/>
    <w:rsid w:val="008D5BFE"/>
    <w:rsid w:val="008D5E94"/>
    <w:rsid w:val="008D6072"/>
    <w:rsid w:val="008D6171"/>
    <w:rsid w:val="008D6223"/>
    <w:rsid w:val="008D6478"/>
    <w:rsid w:val="008D677F"/>
    <w:rsid w:val="008D69A1"/>
    <w:rsid w:val="008D6AD0"/>
    <w:rsid w:val="008D6BDF"/>
    <w:rsid w:val="008D6C88"/>
    <w:rsid w:val="008D6D30"/>
    <w:rsid w:val="008D6D32"/>
    <w:rsid w:val="008D6DCD"/>
    <w:rsid w:val="008D6E32"/>
    <w:rsid w:val="008D6EF1"/>
    <w:rsid w:val="008D6FB1"/>
    <w:rsid w:val="008D70B5"/>
    <w:rsid w:val="008D7160"/>
    <w:rsid w:val="008D721E"/>
    <w:rsid w:val="008D75CE"/>
    <w:rsid w:val="008D7840"/>
    <w:rsid w:val="008D786E"/>
    <w:rsid w:val="008D78A6"/>
    <w:rsid w:val="008D78FE"/>
    <w:rsid w:val="008D7912"/>
    <w:rsid w:val="008D7B02"/>
    <w:rsid w:val="008D7B64"/>
    <w:rsid w:val="008D7CF2"/>
    <w:rsid w:val="008D7D07"/>
    <w:rsid w:val="008D7D2A"/>
    <w:rsid w:val="008D7F13"/>
    <w:rsid w:val="008E0058"/>
    <w:rsid w:val="008E037A"/>
    <w:rsid w:val="008E043B"/>
    <w:rsid w:val="008E068D"/>
    <w:rsid w:val="008E06A8"/>
    <w:rsid w:val="008E0725"/>
    <w:rsid w:val="008E08F5"/>
    <w:rsid w:val="008E0A34"/>
    <w:rsid w:val="008E0A8C"/>
    <w:rsid w:val="008E0A95"/>
    <w:rsid w:val="008E0BCD"/>
    <w:rsid w:val="008E0FBE"/>
    <w:rsid w:val="008E102D"/>
    <w:rsid w:val="008E116F"/>
    <w:rsid w:val="008E11C2"/>
    <w:rsid w:val="008E1486"/>
    <w:rsid w:val="008E1497"/>
    <w:rsid w:val="008E15E1"/>
    <w:rsid w:val="008E1667"/>
    <w:rsid w:val="008E1802"/>
    <w:rsid w:val="008E1BDE"/>
    <w:rsid w:val="008E1D95"/>
    <w:rsid w:val="008E1F35"/>
    <w:rsid w:val="008E2401"/>
    <w:rsid w:val="008E2432"/>
    <w:rsid w:val="008E24D2"/>
    <w:rsid w:val="008E2563"/>
    <w:rsid w:val="008E2667"/>
    <w:rsid w:val="008E279B"/>
    <w:rsid w:val="008E2952"/>
    <w:rsid w:val="008E2D52"/>
    <w:rsid w:val="008E3005"/>
    <w:rsid w:val="008E328A"/>
    <w:rsid w:val="008E33FD"/>
    <w:rsid w:val="008E3C82"/>
    <w:rsid w:val="008E43CF"/>
    <w:rsid w:val="008E442F"/>
    <w:rsid w:val="008E44ED"/>
    <w:rsid w:val="008E452A"/>
    <w:rsid w:val="008E4607"/>
    <w:rsid w:val="008E471F"/>
    <w:rsid w:val="008E47B5"/>
    <w:rsid w:val="008E486E"/>
    <w:rsid w:val="008E4B55"/>
    <w:rsid w:val="008E4E55"/>
    <w:rsid w:val="008E5062"/>
    <w:rsid w:val="008E53EE"/>
    <w:rsid w:val="008E56C3"/>
    <w:rsid w:val="008E5721"/>
    <w:rsid w:val="008E585B"/>
    <w:rsid w:val="008E5880"/>
    <w:rsid w:val="008E58E8"/>
    <w:rsid w:val="008E5914"/>
    <w:rsid w:val="008E5ABA"/>
    <w:rsid w:val="008E5BBC"/>
    <w:rsid w:val="008E5CE4"/>
    <w:rsid w:val="008E60E2"/>
    <w:rsid w:val="008E615E"/>
    <w:rsid w:val="008E6292"/>
    <w:rsid w:val="008E63D5"/>
    <w:rsid w:val="008E668B"/>
    <w:rsid w:val="008E6807"/>
    <w:rsid w:val="008E68C6"/>
    <w:rsid w:val="008E6A38"/>
    <w:rsid w:val="008E6C40"/>
    <w:rsid w:val="008E6D09"/>
    <w:rsid w:val="008E6D20"/>
    <w:rsid w:val="008E6D4D"/>
    <w:rsid w:val="008E6E16"/>
    <w:rsid w:val="008E6E65"/>
    <w:rsid w:val="008E74DC"/>
    <w:rsid w:val="008E7753"/>
    <w:rsid w:val="008E785F"/>
    <w:rsid w:val="008E78A7"/>
    <w:rsid w:val="008E7B73"/>
    <w:rsid w:val="008E7B7E"/>
    <w:rsid w:val="008E7D71"/>
    <w:rsid w:val="008F01A7"/>
    <w:rsid w:val="008F0246"/>
    <w:rsid w:val="008F0466"/>
    <w:rsid w:val="008F06C9"/>
    <w:rsid w:val="008F0898"/>
    <w:rsid w:val="008F091B"/>
    <w:rsid w:val="008F09DB"/>
    <w:rsid w:val="008F0BF2"/>
    <w:rsid w:val="008F0DD0"/>
    <w:rsid w:val="008F0E88"/>
    <w:rsid w:val="008F10B7"/>
    <w:rsid w:val="008F1139"/>
    <w:rsid w:val="008F116D"/>
    <w:rsid w:val="008F1415"/>
    <w:rsid w:val="008F148B"/>
    <w:rsid w:val="008F1497"/>
    <w:rsid w:val="008F1593"/>
    <w:rsid w:val="008F15FA"/>
    <w:rsid w:val="008F1611"/>
    <w:rsid w:val="008F180C"/>
    <w:rsid w:val="008F18AC"/>
    <w:rsid w:val="008F1C11"/>
    <w:rsid w:val="008F1D0B"/>
    <w:rsid w:val="008F1D14"/>
    <w:rsid w:val="008F1ECA"/>
    <w:rsid w:val="008F1ED0"/>
    <w:rsid w:val="008F23EB"/>
    <w:rsid w:val="008F24AB"/>
    <w:rsid w:val="008F25B5"/>
    <w:rsid w:val="008F26FE"/>
    <w:rsid w:val="008F27A6"/>
    <w:rsid w:val="008F28CA"/>
    <w:rsid w:val="008F2AA6"/>
    <w:rsid w:val="008F2BD6"/>
    <w:rsid w:val="008F2E2A"/>
    <w:rsid w:val="008F2E91"/>
    <w:rsid w:val="008F2F42"/>
    <w:rsid w:val="008F3096"/>
    <w:rsid w:val="008F30EB"/>
    <w:rsid w:val="008F31C5"/>
    <w:rsid w:val="008F3393"/>
    <w:rsid w:val="008F367A"/>
    <w:rsid w:val="008F3997"/>
    <w:rsid w:val="008F4094"/>
    <w:rsid w:val="008F4760"/>
    <w:rsid w:val="008F477E"/>
    <w:rsid w:val="008F4A0B"/>
    <w:rsid w:val="008F518D"/>
    <w:rsid w:val="008F5241"/>
    <w:rsid w:val="008F53F9"/>
    <w:rsid w:val="008F5674"/>
    <w:rsid w:val="008F5699"/>
    <w:rsid w:val="008F5745"/>
    <w:rsid w:val="008F575E"/>
    <w:rsid w:val="008F57E8"/>
    <w:rsid w:val="008F5988"/>
    <w:rsid w:val="008F5A1D"/>
    <w:rsid w:val="008F5BD6"/>
    <w:rsid w:val="008F5BE5"/>
    <w:rsid w:val="008F5E17"/>
    <w:rsid w:val="008F60C8"/>
    <w:rsid w:val="008F6279"/>
    <w:rsid w:val="008F6553"/>
    <w:rsid w:val="008F675A"/>
    <w:rsid w:val="008F6C8C"/>
    <w:rsid w:val="008F6D2E"/>
    <w:rsid w:val="008F711C"/>
    <w:rsid w:val="008F73EF"/>
    <w:rsid w:val="008F7647"/>
    <w:rsid w:val="008F7777"/>
    <w:rsid w:val="008F7813"/>
    <w:rsid w:val="008F79A0"/>
    <w:rsid w:val="008F7EBF"/>
    <w:rsid w:val="008F7EDF"/>
    <w:rsid w:val="008F7F13"/>
    <w:rsid w:val="009004BB"/>
    <w:rsid w:val="00900667"/>
    <w:rsid w:val="009006A7"/>
    <w:rsid w:val="0090077A"/>
    <w:rsid w:val="009007D4"/>
    <w:rsid w:val="00900808"/>
    <w:rsid w:val="00900935"/>
    <w:rsid w:val="00900A08"/>
    <w:rsid w:val="00900BE4"/>
    <w:rsid w:val="00900C60"/>
    <w:rsid w:val="009012F2"/>
    <w:rsid w:val="00901616"/>
    <w:rsid w:val="0090189D"/>
    <w:rsid w:val="00901BA0"/>
    <w:rsid w:val="00901BA6"/>
    <w:rsid w:val="00901CC5"/>
    <w:rsid w:val="00901DDD"/>
    <w:rsid w:val="00901E8C"/>
    <w:rsid w:val="0090214D"/>
    <w:rsid w:val="00902649"/>
    <w:rsid w:val="009027D1"/>
    <w:rsid w:val="009028F8"/>
    <w:rsid w:val="00902A88"/>
    <w:rsid w:val="00902AAE"/>
    <w:rsid w:val="00902ADF"/>
    <w:rsid w:val="00902CA3"/>
    <w:rsid w:val="00902FD5"/>
    <w:rsid w:val="00902FFC"/>
    <w:rsid w:val="00903271"/>
    <w:rsid w:val="00903409"/>
    <w:rsid w:val="00903602"/>
    <w:rsid w:val="00903644"/>
    <w:rsid w:val="00903C35"/>
    <w:rsid w:val="00903F8A"/>
    <w:rsid w:val="00904063"/>
    <w:rsid w:val="009041E8"/>
    <w:rsid w:val="0090440A"/>
    <w:rsid w:val="00904565"/>
    <w:rsid w:val="0090478F"/>
    <w:rsid w:val="009047BC"/>
    <w:rsid w:val="009047FE"/>
    <w:rsid w:val="009048D9"/>
    <w:rsid w:val="00904A19"/>
    <w:rsid w:val="00904F53"/>
    <w:rsid w:val="0090517A"/>
    <w:rsid w:val="009051CA"/>
    <w:rsid w:val="00905204"/>
    <w:rsid w:val="00905263"/>
    <w:rsid w:val="009054E6"/>
    <w:rsid w:val="00905607"/>
    <w:rsid w:val="00905792"/>
    <w:rsid w:val="009058A0"/>
    <w:rsid w:val="00905AB6"/>
    <w:rsid w:val="00905BAB"/>
    <w:rsid w:val="00905C76"/>
    <w:rsid w:val="00905CC8"/>
    <w:rsid w:val="009062B5"/>
    <w:rsid w:val="00906576"/>
    <w:rsid w:val="00906AA5"/>
    <w:rsid w:val="00906B01"/>
    <w:rsid w:val="00906BF0"/>
    <w:rsid w:val="00906C9D"/>
    <w:rsid w:val="00906E61"/>
    <w:rsid w:val="009071B9"/>
    <w:rsid w:val="00907550"/>
    <w:rsid w:val="009075FF"/>
    <w:rsid w:val="00907637"/>
    <w:rsid w:val="009076C8"/>
    <w:rsid w:val="009076EB"/>
    <w:rsid w:val="00907C0C"/>
    <w:rsid w:val="00907D73"/>
    <w:rsid w:val="009102B6"/>
    <w:rsid w:val="009102EB"/>
    <w:rsid w:val="0091069E"/>
    <w:rsid w:val="00910BDE"/>
    <w:rsid w:val="00910E11"/>
    <w:rsid w:val="009112D0"/>
    <w:rsid w:val="00911390"/>
    <w:rsid w:val="009114BA"/>
    <w:rsid w:val="00911555"/>
    <w:rsid w:val="009115A6"/>
    <w:rsid w:val="0091177A"/>
    <w:rsid w:val="009117A7"/>
    <w:rsid w:val="00911890"/>
    <w:rsid w:val="0091199A"/>
    <w:rsid w:val="009119ED"/>
    <w:rsid w:val="00911AC6"/>
    <w:rsid w:val="00911EB1"/>
    <w:rsid w:val="00911FE6"/>
    <w:rsid w:val="00912253"/>
    <w:rsid w:val="00912430"/>
    <w:rsid w:val="00912574"/>
    <w:rsid w:val="009125A9"/>
    <w:rsid w:val="009125DC"/>
    <w:rsid w:val="00912803"/>
    <w:rsid w:val="00912A8E"/>
    <w:rsid w:val="00912B09"/>
    <w:rsid w:val="00912C6E"/>
    <w:rsid w:val="00912D4C"/>
    <w:rsid w:val="009130D4"/>
    <w:rsid w:val="00913163"/>
    <w:rsid w:val="00913680"/>
    <w:rsid w:val="009138CA"/>
    <w:rsid w:val="009138DF"/>
    <w:rsid w:val="009138EE"/>
    <w:rsid w:val="00913991"/>
    <w:rsid w:val="009139ED"/>
    <w:rsid w:val="00913A4D"/>
    <w:rsid w:val="00913C9A"/>
    <w:rsid w:val="00913E1F"/>
    <w:rsid w:val="00913E95"/>
    <w:rsid w:val="00913ED4"/>
    <w:rsid w:val="0091405D"/>
    <w:rsid w:val="00914116"/>
    <w:rsid w:val="009142DE"/>
    <w:rsid w:val="009143B4"/>
    <w:rsid w:val="00914429"/>
    <w:rsid w:val="009144C5"/>
    <w:rsid w:val="00914665"/>
    <w:rsid w:val="00914781"/>
    <w:rsid w:val="0091481F"/>
    <w:rsid w:val="00914B71"/>
    <w:rsid w:val="00914BB2"/>
    <w:rsid w:val="00914D81"/>
    <w:rsid w:val="00914DCA"/>
    <w:rsid w:val="00914E24"/>
    <w:rsid w:val="00914F1E"/>
    <w:rsid w:val="00914FA2"/>
    <w:rsid w:val="00915283"/>
    <w:rsid w:val="009152B9"/>
    <w:rsid w:val="0091558F"/>
    <w:rsid w:val="00915630"/>
    <w:rsid w:val="009157CA"/>
    <w:rsid w:val="009158AF"/>
    <w:rsid w:val="009158BB"/>
    <w:rsid w:val="00915916"/>
    <w:rsid w:val="00915B4B"/>
    <w:rsid w:val="00915BA4"/>
    <w:rsid w:val="00915D11"/>
    <w:rsid w:val="00915D33"/>
    <w:rsid w:val="00915F79"/>
    <w:rsid w:val="009162F3"/>
    <w:rsid w:val="00916466"/>
    <w:rsid w:val="009165AA"/>
    <w:rsid w:val="0091679F"/>
    <w:rsid w:val="00916CFF"/>
    <w:rsid w:val="009172D4"/>
    <w:rsid w:val="00917399"/>
    <w:rsid w:val="009176D6"/>
    <w:rsid w:val="00917C23"/>
    <w:rsid w:val="00917CEF"/>
    <w:rsid w:val="00917E28"/>
    <w:rsid w:val="00917F06"/>
    <w:rsid w:val="0092006A"/>
    <w:rsid w:val="009202C6"/>
    <w:rsid w:val="00920308"/>
    <w:rsid w:val="0092042D"/>
    <w:rsid w:val="009204F4"/>
    <w:rsid w:val="00920596"/>
    <w:rsid w:val="009207EE"/>
    <w:rsid w:val="009208AD"/>
    <w:rsid w:val="00920AAD"/>
    <w:rsid w:val="00920ACB"/>
    <w:rsid w:val="00920B41"/>
    <w:rsid w:val="00920C62"/>
    <w:rsid w:val="00920DC5"/>
    <w:rsid w:val="00920E2C"/>
    <w:rsid w:val="0092115E"/>
    <w:rsid w:val="009213E6"/>
    <w:rsid w:val="009214ED"/>
    <w:rsid w:val="00921799"/>
    <w:rsid w:val="00921847"/>
    <w:rsid w:val="00921907"/>
    <w:rsid w:val="00921A51"/>
    <w:rsid w:val="00921B3B"/>
    <w:rsid w:val="00921B9A"/>
    <w:rsid w:val="00921CC8"/>
    <w:rsid w:val="00921D84"/>
    <w:rsid w:val="00921EC1"/>
    <w:rsid w:val="009220B9"/>
    <w:rsid w:val="009220CC"/>
    <w:rsid w:val="009225E6"/>
    <w:rsid w:val="0092272B"/>
    <w:rsid w:val="0092279F"/>
    <w:rsid w:val="00922D38"/>
    <w:rsid w:val="00922E6C"/>
    <w:rsid w:val="00922EB1"/>
    <w:rsid w:val="00922EDE"/>
    <w:rsid w:val="00922F8B"/>
    <w:rsid w:val="0092316C"/>
    <w:rsid w:val="0092319A"/>
    <w:rsid w:val="0092320E"/>
    <w:rsid w:val="0092367B"/>
    <w:rsid w:val="009236C0"/>
    <w:rsid w:val="00923719"/>
    <w:rsid w:val="00923731"/>
    <w:rsid w:val="00923B7E"/>
    <w:rsid w:val="00923D59"/>
    <w:rsid w:val="00923DE5"/>
    <w:rsid w:val="00923DF6"/>
    <w:rsid w:val="00924262"/>
    <w:rsid w:val="00924407"/>
    <w:rsid w:val="009247B7"/>
    <w:rsid w:val="009247C6"/>
    <w:rsid w:val="00924AB0"/>
    <w:rsid w:val="00924CFB"/>
    <w:rsid w:val="00924FED"/>
    <w:rsid w:val="00925485"/>
    <w:rsid w:val="00925AA5"/>
    <w:rsid w:val="00925D90"/>
    <w:rsid w:val="00925FF2"/>
    <w:rsid w:val="009260C0"/>
    <w:rsid w:val="009260D7"/>
    <w:rsid w:val="00926214"/>
    <w:rsid w:val="009262F1"/>
    <w:rsid w:val="0092641B"/>
    <w:rsid w:val="00926A45"/>
    <w:rsid w:val="00926A4E"/>
    <w:rsid w:val="00926B88"/>
    <w:rsid w:val="00926BB4"/>
    <w:rsid w:val="00926FD7"/>
    <w:rsid w:val="00926FEC"/>
    <w:rsid w:val="0092700C"/>
    <w:rsid w:val="009270E3"/>
    <w:rsid w:val="0092712D"/>
    <w:rsid w:val="0092757F"/>
    <w:rsid w:val="0092772D"/>
    <w:rsid w:val="00927A13"/>
    <w:rsid w:val="00927A1A"/>
    <w:rsid w:val="00927C38"/>
    <w:rsid w:val="00927CF6"/>
    <w:rsid w:val="00927D2A"/>
    <w:rsid w:val="00927D4E"/>
    <w:rsid w:val="00927D62"/>
    <w:rsid w:val="0093005D"/>
    <w:rsid w:val="009301A1"/>
    <w:rsid w:val="00930292"/>
    <w:rsid w:val="009304B1"/>
    <w:rsid w:val="009305AB"/>
    <w:rsid w:val="00930697"/>
    <w:rsid w:val="009307D6"/>
    <w:rsid w:val="00930C2E"/>
    <w:rsid w:val="00930CA2"/>
    <w:rsid w:val="00930CEC"/>
    <w:rsid w:val="00930DAF"/>
    <w:rsid w:val="00930DB7"/>
    <w:rsid w:val="00930E37"/>
    <w:rsid w:val="00930EC5"/>
    <w:rsid w:val="00930F9B"/>
    <w:rsid w:val="0093111B"/>
    <w:rsid w:val="009311E9"/>
    <w:rsid w:val="009313ED"/>
    <w:rsid w:val="0093146E"/>
    <w:rsid w:val="009316C5"/>
    <w:rsid w:val="009316ED"/>
    <w:rsid w:val="009316F6"/>
    <w:rsid w:val="00931AF6"/>
    <w:rsid w:val="00931C10"/>
    <w:rsid w:val="00931D1F"/>
    <w:rsid w:val="00932103"/>
    <w:rsid w:val="00932134"/>
    <w:rsid w:val="00932369"/>
    <w:rsid w:val="0093236A"/>
    <w:rsid w:val="009323D7"/>
    <w:rsid w:val="00932A54"/>
    <w:rsid w:val="00932BA3"/>
    <w:rsid w:val="00932C6A"/>
    <w:rsid w:val="00932DBF"/>
    <w:rsid w:val="00932DC2"/>
    <w:rsid w:val="009330A1"/>
    <w:rsid w:val="00933136"/>
    <w:rsid w:val="00933179"/>
    <w:rsid w:val="0093335D"/>
    <w:rsid w:val="0093338C"/>
    <w:rsid w:val="009333E9"/>
    <w:rsid w:val="00933416"/>
    <w:rsid w:val="009335BB"/>
    <w:rsid w:val="00933728"/>
    <w:rsid w:val="00933800"/>
    <w:rsid w:val="0093385F"/>
    <w:rsid w:val="0093398D"/>
    <w:rsid w:val="00933D4A"/>
    <w:rsid w:val="00933F9E"/>
    <w:rsid w:val="00934479"/>
    <w:rsid w:val="009344DE"/>
    <w:rsid w:val="009347BD"/>
    <w:rsid w:val="00934884"/>
    <w:rsid w:val="00934CA0"/>
    <w:rsid w:val="00934CDD"/>
    <w:rsid w:val="00934FAF"/>
    <w:rsid w:val="0093507D"/>
    <w:rsid w:val="0093510F"/>
    <w:rsid w:val="009352E0"/>
    <w:rsid w:val="0093540D"/>
    <w:rsid w:val="00935525"/>
    <w:rsid w:val="0093562C"/>
    <w:rsid w:val="00935CC9"/>
    <w:rsid w:val="00935DAE"/>
    <w:rsid w:val="00935DC2"/>
    <w:rsid w:val="00935E28"/>
    <w:rsid w:val="009360A0"/>
    <w:rsid w:val="00936164"/>
    <w:rsid w:val="0093635F"/>
    <w:rsid w:val="00936584"/>
    <w:rsid w:val="00936789"/>
    <w:rsid w:val="00936DB2"/>
    <w:rsid w:val="00936EBD"/>
    <w:rsid w:val="00936FFB"/>
    <w:rsid w:val="0093701D"/>
    <w:rsid w:val="0093715B"/>
    <w:rsid w:val="00937231"/>
    <w:rsid w:val="009378EE"/>
    <w:rsid w:val="00937B83"/>
    <w:rsid w:val="00937C49"/>
    <w:rsid w:val="00937EC4"/>
    <w:rsid w:val="00937FAC"/>
    <w:rsid w:val="0094005C"/>
    <w:rsid w:val="0094019D"/>
    <w:rsid w:val="00940280"/>
    <w:rsid w:val="009402DD"/>
    <w:rsid w:val="009403B0"/>
    <w:rsid w:val="0094055A"/>
    <w:rsid w:val="00940616"/>
    <w:rsid w:val="00940B00"/>
    <w:rsid w:val="00940BA3"/>
    <w:rsid w:val="00940CCD"/>
    <w:rsid w:val="00940D7F"/>
    <w:rsid w:val="009410F2"/>
    <w:rsid w:val="00941178"/>
    <w:rsid w:val="0094117F"/>
    <w:rsid w:val="009411A0"/>
    <w:rsid w:val="00941332"/>
    <w:rsid w:val="00941525"/>
    <w:rsid w:val="00941667"/>
    <w:rsid w:val="009419BD"/>
    <w:rsid w:val="00941AE6"/>
    <w:rsid w:val="00941D4B"/>
    <w:rsid w:val="00941F4C"/>
    <w:rsid w:val="00942077"/>
    <w:rsid w:val="009420DD"/>
    <w:rsid w:val="0094254D"/>
    <w:rsid w:val="00942C11"/>
    <w:rsid w:val="00942F02"/>
    <w:rsid w:val="009431AD"/>
    <w:rsid w:val="0094324A"/>
    <w:rsid w:val="009433B8"/>
    <w:rsid w:val="0094351F"/>
    <w:rsid w:val="009436D1"/>
    <w:rsid w:val="009437AC"/>
    <w:rsid w:val="00943A76"/>
    <w:rsid w:val="00943CD6"/>
    <w:rsid w:val="00943DE3"/>
    <w:rsid w:val="00943EC1"/>
    <w:rsid w:val="00943EFE"/>
    <w:rsid w:val="00943FDE"/>
    <w:rsid w:val="009441F9"/>
    <w:rsid w:val="0094420F"/>
    <w:rsid w:val="009442CC"/>
    <w:rsid w:val="0094452E"/>
    <w:rsid w:val="00944A29"/>
    <w:rsid w:val="0094554D"/>
    <w:rsid w:val="00945991"/>
    <w:rsid w:val="009459C5"/>
    <w:rsid w:val="00945D5F"/>
    <w:rsid w:val="00945F91"/>
    <w:rsid w:val="00946143"/>
    <w:rsid w:val="00946355"/>
    <w:rsid w:val="009463AB"/>
    <w:rsid w:val="00946496"/>
    <w:rsid w:val="00946606"/>
    <w:rsid w:val="009466AE"/>
    <w:rsid w:val="00946915"/>
    <w:rsid w:val="00946BC3"/>
    <w:rsid w:val="009470A4"/>
    <w:rsid w:val="009473A4"/>
    <w:rsid w:val="009473C9"/>
    <w:rsid w:val="00947477"/>
    <w:rsid w:val="00947636"/>
    <w:rsid w:val="00947969"/>
    <w:rsid w:val="009479D9"/>
    <w:rsid w:val="00947A0C"/>
    <w:rsid w:val="00950568"/>
    <w:rsid w:val="00950624"/>
    <w:rsid w:val="00950773"/>
    <w:rsid w:val="00950908"/>
    <w:rsid w:val="00950958"/>
    <w:rsid w:val="00950A62"/>
    <w:rsid w:val="00950BE4"/>
    <w:rsid w:val="00950EB5"/>
    <w:rsid w:val="00950F9C"/>
    <w:rsid w:val="009511AC"/>
    <w:rsid w:val="009512D4"/>
    <w:rsid w:val="009514A6"/>
    <w:rsid w:val="00951B86"/>
    <w:rsid w:val="00951BF9"/>
    <w:rsid w:val="00951C67"/>
    <w:rsid w:val="00951D04"/>
    <w:rsid w:val="00951D42"/>
    <w:rsid w:val="0095235F"/>
    <w:rsid w:val="00952424"/>
    <w:rsid w:val="009527BF"/>
    <w:rsid w:val="00952AC7"/>
    <w:rsid w:val="00952CA9"/>
    <w:rsid w:val="00952F40"/>
    <w:rsid w:val="00953014"/>
    <w:rsid w:val="00953169"/>
    <w:rsid w:val="009534B7"/>
    <w:rsid w:val="00953562"/>
    <w:rsid w:val="009538DF"/>
    <w:rsid w:val="00953AE0"/>
    <w:rsid w:val="00953E77"/>
    <w:rsid w:val="009540EE"/>
    <w:rsid w:val="00954296"/>
    <w:rsid w:val="00954364"/>
    <w:rsid w:val="00954387"/>
    <w:rsid w:val="009543C8"/>
    <w:rsid w:val="009547F8"/>
    <w:rsid w:val="00954A01"/>
    <w:rsid w:val="00954B69"/>
    <w:rsid w:val="00954D2F"/>
    <w:rsid w:val="00954D67"/>
    <w:rsid w:val="00955008"/>
    <w:rsid w:val="00955170"/>
    <w:rsid w:val="00955224"/>
    <w:rsid w:val="0095553C"/>
    <w:rsid w:val="00955658"/>
    <w:rsid w:val="00955821"/>
    <w:rsid w:val="00955CAD"/>
    <w:rsid w:val="00955D3A"/>
    <w:rsid w:val="00955D94"/>
    <w:rsid w:val="00955E2B"/>
    <w:rsid w:val="00955EC0"/>
    <w:rsid w:val="00955EDC"/>
    <w:rsid w:val="009563C7"/>
    <w:rsid w:val="00956535"/>
    <w:rsid w:val="0095681F"/>
    <w:rsid w:val="00956A74"/>
    <w:rsid w:val="00956D42"/>
    <w:rsid w:val="009573F9"/>
    <w:rsid w:val="009574C8"/>
    <w:rsid w:val="00957944"/>
    <w:rsid w:val="00957A2B"/>
    <w:rsid w:val="00957B4E"/>
    <w:rsid w:val="00957DA9"/>
    <w:rsid w:val="00957E43"/>
    <w:rsid w:val="00957ECA"/>
    <w:rsid w:val="00957F2D"/>
    <w:rsid w:val="0096033C"/>
    <w:rsid w:val="0096056C"/>
    <w:rsid w:val="009605B4"/>
    <w:rsid w:val="00960C2E"/>
    <w:rsid w:val="00960D4F"/>
    <w:rsid w:val="00960EEB"/>
    <w:rsid w:val="00961043"/>
    <w:rsid w:val="00961340"/>
    <w:rsid w:val="009614B0"/>
    <w:rsid w:val="00961795"/>
    <w:rsid w:val="009619C1"/>
    <w:rsid w:val="009619F2"/>
    <w:rsid w:val="00961C0E"/>
    <w:rsid w:val="00962375"/>
    <w:rsid w:val="00962549"/>
    <w:rsid w:val="00962626"/>
    <w:rsid w:val="00962797"/>
    <w:rsid w:val="009627E4"/>
    <w:rsid w:val="009627E7"/>
    <w:rsid w:val="00962A71"/>
    <w:rsid w:val="00962ACF"/>
    <w:rsid w:val="00962DD7"/>
    <w:rsid w:val="00962FFF"/>
    <w:rsid w:val="009630AD"/>
    <w:rsid w:val="0096321D"/>
    <w:rsid w:val="009632F3"/>
    <w:rsid w:val="00963375"/>
    <w:rsid w:val="00963385"/>
    <w:rsid w:val="00963849"/>
    <w:rsid w:val="009638B7"/>
    <w:rsid w:val="00963EB3"/>
    <w:rsid w:val="00963F20"/>
    <w:rsid w:val="00963FB6"/>
    <w:rsid w:val="00964112"/>
    <w:rsid w:val="009643F1"/>
    <w:rsid w:val="009643FE"/>
    <w:rsid w:val="00964460"/>
    <w:rsid w:val="0096465D"/>
    <w:rsid w:val="00964805"/>
    <w:rsid w:val="009648E7"/>
    <w:rsid w:val="009649A0"/>
    <w:rsid w:val="00964A14"/>
    <w:rsid w:val="00964C9D"/>
    <w:rsid w:val="009652B3"/>
    <w:rsid w:val="0096532E"/>
    <w:rsid w:val="0096536D"/>
    <w:rsid w:val="00965625"/>
    <w:rsid w:val="00965652"/>
    <w:rsid w:val="00965749"/>
    <w:rsid w:val="009657CC"/>
    <w:rsid w:val="00965B59"/>
    <w:rsid w:val="00965DCF"/>
    <w:rsid w:val="0096653A"/>
    <w:rsid w:val="00966627"/>
    <w:rsid w:val="00966AF0"/>
    <w:rsid w:val="00966B3A"/>
    <w:rsid w:val="00966F54"/>
    <w:rsid w:val="0096713D"/>
    <w:rsid w:val="00967214"/>
    <w:rsid w:val="009674BC"/>
    <w:rsid w:val="009674E2"/>
    <w:rsid w:val="00967589"/>
    <w:rsid w:val="00967595"/>
    <w:rsid w:val="00967597"/>
    <w:rsid w:val="00967647"/>
    <w:rsid w:val="009676F6"/>
    <w:rsid w:val="00967707"/>
    <w:rsid w:val="0096794D"/>
    <w:rsid w:val="00967B20"/>
    <w:rsid w:val="00967CA6"/>
    <w:rsid w:val="00967E08"/>
    <w:rsid w:val="00967F65"/>
    <w:rsid w:val="009704FE"/>
    <w:rsid w:val="0097090D"/>
    <w:rsid w:val="009709ED"/>
    <w:rsid w:val="00971225"/>
    <w:rsid w:val="00971246"/>
    <w:rsid w:val="0097128F"/>
    <w:rsid w:val="00971E39"/>
    <w:rsid w:val="00971F44"/>
    <w:rsid w:val="00971FF7"/>
    <w:rsid w:val="00972083"/>
    <w:rsid w:val="00972129"/>
    <w:rsid w:val="0097255E"/>
    <w:rsid w:val="009727E2"/>
    <w:rsid w:val="00972976"/>
    <w:rsid w:val="009729AF"/>
    <w:rsid w:val="009729D4"/>
    <w:rsid w:val="009729FB"/>
    <w:rsid w:val="00972CBE"/>
    <w:rsid w:val="009732CE"/>
    <w:rsid w:val="0097345E"/>
    <w:rsid w:val="0097347B"/>
    <w:rsid w:val="009734A9"/>
    <w:rsid w:val="009736CD"/>
    <w:rsid w:val="00973984"/>
    <w:rsid w:val="009739B0"/>
    <w:rsid w:val="00973AAD"/>
    <w:rsid w:val="00973F3E"/>
    <w:rsid w:val="00974211"/>
    <w:rsid w:val="00974650"/>
    <w:rsid w:val="009747BD"/>
    <w:rsid w:val="00974929"/>
    <w:rsid w:val="00974A31"/>
    <w:rsid w:val="00974D01"/>
    <w:rsid w:val="00974DEA"/>
    <w:rsid w:val="00975091"/>
    <w:rsid w:val="0097509A"/>
    <w:rsid w:val="00975255"/>
    <w:rsid w:val="009753E7"/>
    <w:rsid w:val="00975546"/>
    <w:rsid w:val="0097588E"/>
    <w:rsid w:val="009758EA"/>
    <w:rsid w:val="00975BF5"/>
    <w:rsid w:val="00976152"/>
    <w:rsid w:val="00976188"/>
    <w:rsid w:val="00976331"/>
    <w:rsid w:val="00976423"/>
    <w:rsid w:val="00976550"/>
    <w:rsid w:val="00976627"/>
    <w:rsid w:val="009766D7"/>
    <w:rsid w:val="00976886"/>
    <w:rsid w:val="0097691A"/>
    <w:rsid w:val="00976B89"/>
    <w:rsid w:val="009770E0"/>
    <w:rsid w:val="00977282"/>
    <w:rsid w:val="00977367"/>
    <w:rsid w:val="009777CB"/>
    <w:rsid w:val="009778AF"/>
    <w:rsid w:val="00977A61"/>
    <w:rsid w:val="00977E6C"/>
    <w:rsid w:val="00977EF4"/>
    <w:rsid w:val="0098003D"/>
    <w:rsid w:val="009801BC"/>
    <w:rsid w:val="009802C2"/>
    <w:rsid w:val="00980759"/>
    <w:rsid w:val="00980790"/>
    <w:rsid w:val="009809E2"/>
    <w:rsid w:val="00980A99"/>
    <w:rsid w:val="00980AD9"/>
    <w:rsid w:val="00980CCB"/>
    <w:rsid w:val="00980D87"/>
    <w:rsid w:val="00980EFF"/>
    <w:rsid w:val="00980FBF"/>
    <w:rsid w:val="00980FDC"/>
    <w:rsid w:val="00981175"/>
    <w:rsid w:val="00981233"/>
    <w:rsid w:val="00981366"/>
    <w:rsid w:val="009814BF"/>
    <w:rsid w:val="0098152B"/>
    <w:rsid w:val="009817B0"/>
    <w:rsid w:val="00981864"/>
    <w:rsid w:val="0098186D"/>
    <w:rsid w:val="00981B32"/>
    <w:rsid w:val="00981CE3"/>
    <w:rsid w:val="00981FA4"/>
    <w:rsid w:val="009821C9"/>
    <w:rsid w:val="009821CE"/>
    <w:rsid w:val="00982277"/>
    <w:rsid w:val="00982295"/>
    <w:rsid w:val="0098231F"/>
    <w:rsid w:val="00982341"/>
    <w:rsid w:val="00982345"/>
    <w:rsid w:val="0098271D"/>
    <w:rsid w:val="00982759"/>
    <w:rsid w:val="00982818"/>
    <w:rsid w:val="0098299B"/>
    <w:rsid w:val="00982AFD"/>
    <w:rsid w:val="00982DC3"/>
    <w:rsid w:val="00982DDA"/>
    <w:rsid w:val="00982F69"/>
    <w:rsid w:val="00982FA7"/>
    <w:rsid w:val="0098304D"/>
    <w:rsid w:val="00983349"/>
    <w:rsid w:val="009833AD"/>
    <w:rsid w:val="00983572"/>
    <w:rsid w:val="009835BC"/>
    <w:rsid w:val="00983733"/>
    <w:rsid w:val="00983776"/>
    <w:rsid w:val="009837B9"/>
    <w:rsid w:val="009837E5"/>
    <w:rsid w:val="009837ED"/>
    <w:rsid w:val="00983969"/>
    <w:rsid w:val="00983ADC"/>
    <w:rsid w:val="00983B4E"/>
    <w:rsid w:val="00983C2C"/>
    <w:rsid w:val="00983F99"/>
    <w:rsid w:val="00984320"/>
    <w:rsid w:val="00984448"/>
    <w:rsid w:val="0098444E"/>
    <w:rsid w:val="0098468C"/>
    <w:rsid w:val="00984A29"/>
    <w:rsid w:val="00984B04"/>
    <w:rsid w:val="00984BFD"/>
    <w:rsid w:val="00984CF7"/>
    <w:rsid w:val="00984DFB"/>
    <w:rsid w:val="00984EC3"/>
    <w:rsid w:val="0098515C"/>
    <w:rsid w:val="009851C3"/>
    <w:rsid w:val="0098521C"/>
    <w:rsid w:val="009853FD"/>
    <w:rsid w:val="00985448"/>
    <w:rsid w:val="00985897"/>
    <w:rsid w:val="00985A31"/>
    <w:rsid w:val="00985B42"/>
    <w:rsid w:val="00985B93"/>
    <w:rsid w:val="00985DC9"/>
    <w:rsid w:val="009862B0"/>
    <w:rsid w:val="00986362"/>
    <w:rsid w:val="009865B0"/>
    <w:rsid w:val="0098695A"/>
    <w:rsid w:val="00986A25"/>
    <w:rsid w:val="00986A4D"/>
    <w:rsid w:val="00986D14"/>
    <w:rsid w:val="00986D92"/>
    <w:rsid w:val="00986DFD"/>
    <w:rsid w:val="00986F7F"/>
    <w:rsid w:val="0098705F"/>
    <w:rsid w:val="009870E3"/>
    <w:rsid w:val="00987446"/>
    <w:rsid w:val="0098791D"/>
    <w:rsid w:val="00987AA9"/>
    <w:rsid w:val="00987E01"/>
    <w:rsid w:val="00987EED"/>
    <w:rsid w:val="00987F48"/>
    <w:rsid w:val="00987F8D"/>
    <w:rsid w:val="0099018F"/>
    <w:rsid w:val="009901B1"/>
    <w:rsid w:val="009902AD"/>
    <w:rsid w:val="0099030B"/>
    <w:rsid w:val="0099070E"/>
    <w:rsid w:val="00990B24"/>
    <w:rsid w:val="00990BE3"/>
    <w:rsid w:val="00990CD7"/>
    <w:rsid w:val="00990F78"/>
    <w:rsid w:val="009910FC"/>
    <w:rsid w:val="0099113F"/>
    <w:rsid w:val="00991338"/>
    <w:rsid w:val="009915A6"/>
    <w:rsid w:val="009916A4"/>
    <w:rsid w:val="009916E9"/>
    <w:rsid w:val="009917C9"/>
    <w:rsid w:val="0099187E"/>
    <w:rsid w:val="00991899"/>
    <w:rsid w:val="009918CF"/>
    <w:rsid w:val="0099196E"/>
    <w:rsid w:val="00991C06"/>
    <w:rsid w:val="00991CA7"/>
    <w:rsid w:val="00991F44"/>
    <w:rsid w:val="00991F83"/>
    <w:rsid w:val="00992022"/>
    <w:rsid w:val="00992372"/>
    <w:rsid w:val="00992479"/>
    <w:rsid w:val="00992815"/>
    <w:rsid w:val="00992890"/>
    <w:rsid w:val="00992B12"/>
    <w:rsid w:val="00992D9A"/>
    <w:rsid w:val="00992DA5"/>
    <w:rsid w:val="00992E03"/>
    <w:rsid w:val="00992E64"/>
    <w:rsid w:val="0099324F"/>
    <w:rsid w:val="00993342"/>
    <w:rsid w:val="00993B9C"/>
    <w:rsid w:val="00993C48"/>
    <w:rsid w:val="00993CFB"/>
    <w:rsid w:val="00994060"/>
    <w:rsid w:val="00994090"/>
    <w:rsid w:val="009942A9"/>
    <w:rsid w:val="00994341"/>
    <w:rsid w:val="009945D1"/>
    <w:rsid w:val="009947C6"/>
    <w:rsid w:val="0099497D"/>
    <w:rsid w:val="00994993"/>
    <w:rsid w:val="00994B1E"/>
    <w:rsid w:val="00994C29"/>
    <w:rsid w:val="00994E17"/>
    <w:rsid w:val="00994F75"/>
    <w:rsid w:val="0099531A"/>
    <w:rsid w:val="0099533B"/>
    <w:rsid w:val="009954F3"/>
    <w:rsid w:val="0099558E"/>
    <w:rsid w:val="0099571B"/>
    <w:rsid w:val="00995860"/>
    <w:rsid w:val="00995933"/>
    <w:rsid w:val="00995C3A"/>
    <w:rsid w:val="00995C63"/>
    <w:rsid w:val="00995D1E"/>
    <w:rsid w:val="00995E68"/>
    <w:rsid w:val="0099632F"/>
    <w:rsid w:val="009963DA"/>
    <w:rsid w:val="009966EB"/>
    <w:rsid w:val="00996D31"/>
    <w:rsid w:val="00996DE7"/>
    <w:rsid w:val="00996E35"/>
    <w:rsid w:val="00996EF9"/>
    <w:rsid w:val="009971B6"/>
    <w:rsid w:val="009973B3"/>
    <w:rsid w:val="00997705"/>
    <w:rsid w:val="00997706"/>
    <w:rsid w:val="00997773"/>
    <w:rsid w:val="00997904"/>
    <w:rsid w:val="00997A04"/>
    <w:rsid w:val="00997AE1"/>
    <w:rsid w:val="00997C21"/>
    <w:rsid w:val="009A00A3"/>
    <w:rsid w:val="009A039A"/>
    <w:rsid w:val="009A0404"/>
    <w:rsid w:val="009A0733"/>
    <w:rsid w:val="009A07CD"/>
    <w:rsid w:val="009A088F"/>
    <w:rsid w:val="009A09E3"/>
    <w:rsid w:val="009A0A60"/>
    <w:rsid w:val="009A0B58"/>
    <w:rsid w:val="009A0BAE"/>
    <w:rsid w:val="009A10E3"/>
    <w:rsid w:val="009A15BF"/>
    <w:rsid w:val="009A1BE6"/>
    <w:rsid w:val="009A1D72"/>
    <w:rsid w:val="009A20BB"/>
    <w:rsid w:val="009A234D"/>
    <w:rsid w:val="009A251E"/>
    <w:rsid w:val="009A2674"/>
    <w:rsid w:val="009A271D"/>
    <w:rsid w:val="009A277C"/>
    <w:rsid w:val="009A27D0"/>
    <w:rsid w:val="009A28E2"/>
    <w:rsid w:val="009A2997"/>
    <w:rsid w:val="009A2AB5"/>
    <w:rsid w:val="009A2B16"/>
    <w:rsid w:val="009A3385"/>
    <w:rsid w:val="009A345D"/>
    <w:rsid w:val="009A34B8"/>
    <w:rsid w:val="009A35C3"/>
    <w:rsid w:val="009A363B"/>
    <w:rsid w:val="009A3724"/>
    <w:rsid w:val="009A38D9"/>
    <w:rsid w:val="009A39E0"/>
    <w:rsid w:val="009A3D67"/>
    <w:rsid w:val="009A41CA"/>
    <w:rsid w:val="009A4325"/>
    <w:rsid w:val="009A45F5"/>
    <w:rsid w:val="009A4666"/>
    <w:rsid w:val="009A4AD6"/>
    <w:rsid w:val="009A4AD7"/>
    <w:rsid w:val="009A4AEA"/>
    <w:rsid w:val="009A4C00"/>
    <w:rsid w:val="009A4E9F"/>
    <w:rsid w:val="009A50D3"/>
    <w:rsid w:val="009A5125"/>
    <w:rsid w:val="009A5139"/>
    <w:rsid w:val="009A5515"/>
    <w:rsid w:val="009A5558"/>
    <w:rsid w:val="009A55D0"/>
    <w:rsid w:val="009A56C6"/>
    <w:rsid w:val="009A5A0D"/>
    <w:rsid w:val="009A5ACF"/>
    <w:rsid w:val="009A5BC6"/>
    <w:rsid w:val="009A5C6F"/>
    <w:rsid w:val="009A5DDA"/>
    <w:rsid w:val="009A60E0"/>
    <w:rsid w:val="009A6120"/>
    <w:rsid w:val="009A6216"/>
    <w:rsid w:val="009A62A5"/>
    <w:rsid w:val="009A648E"/>
    <w:rsid w:val="009A658F"/>
    <w:rsid w:val="009A6A35"/>
    <w:rsid w:val="009A6CCE"/>
    <w:rsid w:val="009A6D36"/>
    <w:rsid w:val="009A6DF3"/>
    <w:rsid w:val="009A6E28"/>
    <w:rsid w:val="009A70CA"/>
    <w:rsid w:val="009A7318"/>
    <w:rsid w:val="009A7409"/>
    <w:rsid w:val="009A7536"/>
    <w:rsid w:val="009A755F"/>
    <w:rsid w:val="009A759D"/>
    <w:rsid w:val="009A76BA"/>
    <w:rsid w:val="009A7719"/>
    <w:rsid w:val="009A775F"/>
    <w:rsid w:val="009A776A"/>
    <w:rsid w:val="009A778A"/>
    <w:rsid w:val="009A7807"/>
    <w:rsid w:val="009A78AB"/>
    <w:rsid w:val="009A7997"/>
    <w:rsid w:val="009A7D8B"/>
    <w:rsid w:val="009B0017"/>
    <w:rsid w:val="009B01D3"/>
    <w:rsid w:val="009B0208"/>
    <w:rsid w:val="009B0636"/>
    <w:rsid w:val="009B06E6"/>
    <w:rsid w:val="009B088F"/>
    <w:rsid w:val="009B0E92"/>
    <w:rsid w:val="009B0F08"/>
    <w:rsid w:val="009B102D"/>
    <w:rsid w:val="009B11F3"/>
    <w:rsid w:val="009B123A"/>
    <w:rsid w:val="009B146A"/>
    <w:rsid w:val="009B17B8"/>
    <w:rsid w:val="009B1A40"/>
    <w:rsid w:val="009B1D5C"/>
    <w:rsid w:val="009B1E22"/>
    <w:rsid w:val="009B1E6D"/>
    <w:rsid w:val="009B1EFD"/>
    <w:rsid w:val="009B2249"/>
    <w:rsid w:val="009B2526"/>
    <w:rsid w:val="009B261F"/>
    <w:rsid w:val="009B2671"/>
    <w:rsid w:val="009B27CD"/>
    <w:rsid w:val="009B2933"/>
    <w:rsid w:val="009B2A6F"/>
    <w:rsid w:val="009B2A87"/>
    <w:rsid w:val="009B2AC3"/>
    <w:rsid w:val="009B2B28"/>
    <w:rsid w:val="009B2C0D"/>
    <w:rsid w:val="009B2C9E"/>
    <w:rsid w:val="009B2DC3"/>
    <w:rsid w:val="009B2F8A"/>
    <w:rsid w:val="009B3453"/>
    <w:rsid w:val="009B3467"/>
    <w:rsid w:val="009B34A5"/>
    <w:rsid w:val="009B36C0"/>
    <w:rsid w:val="009B3A11"/>
    <w:rsid w:val="009B3A61"/>
    <w:rsid w:val="009B3F4F"/>
    <w:rsid w:val="009B4123"/>
    <w:rsid w:val="009B4249"/>
    <w:rsid w:val="009B441A"/>
    <w:rsid w:val="009B4A31"/>
    <w:rsid w:val="009B4AF6"/>
    <w:rsid w:val="009B4BC8"/>
    <w:rsid w:val="009B4F3F"/>
    <w:rsid w:val="009B4FF9"/>
    <w:rsid w:val="009B5049"/>
    <w:rsid w:val="009B52DE"/>
    <w:rsid w:val="009B53F6"/>
    <w:rsid w:val="009B5493"/>
    <w:rsid w:val="009B54A7"/>
    <w:rsid w:val="009B5586"/>
    <w:rsid w:val="009B5663"/>
    <w:rsid w:val="009B5BA9"/>
    <w:rsid w:val="009B5C96"/>
    <w:rsid w:val="009B5D1E"/>
    <w:rsid w:val="009B5EA5"/>
    <w:rsid w:val="009B5FC0"/>
    <w:rsid w:val="009B607E"/>
    <w:rsid w:val="009B618E"/>
    <w:rsid w:val="009B62F7"/>
    <w:rsid w:val="009B6666"/>
    <w:rsid w:val="009B66FA"/>
    <w:rsid w:val="009B6A74"/>
    <w:rsid w:val="009B6C54"/>
    <w:rsid w:val="009B6D70"/>
    <w:rsid w:val="009B6EBD"/>
    <w:rsid w:val="009B6F74"/>
    <w:rsid w:val="009B70DE"/>
    <w:rsid w:val="009B70E5"/>
    <w:rsid w:val="009B71E9"/>
    <w:rsid w:val="009B71ED"/>
    <w:rsid w:val="009B728E"/>
    <w:rsid w:val="009B747F"/>
    <w:rsid w:val="009B76F8"/>
    <w:rsid w:val="009B78BE"/>
    <w:rsid w:val="009B7CBF"/>
    <w:rsid w:val="009C01BA"/>
    <w:rsid w:val="009C025D"/>
    <w:rsid w:val="009C0284"/>
    <w:rsid w:val="009C076D"/>
    <w:rsid w:val="009C07BF"/>
    <w:rsid w:val="009C08F6"/>
    <w:rsid w:val="009C0901"/>
    <w:rsid w:val="009C0CA6"/>
    <w:rsid w:val="009C0F84"/>
    <w:rsid w:val="009C151C"/>
    <w:rsid w:val="009C154A"/>
    <w:rsid w:val="009C1592"/>
    <w:rsid w:val="009C15DA"/>
    <w:rsid w:val="009C1634"/>
    <w:rsid w:val="009C1845"/>
    <w:rsid w:val="009C1935"/>
    <w:rsid w:val="009C1959"/>
    <w:rsid w:val="009C1AD0"/>
    <w:rsid w:val="009C1BDD"/>
    <w:rsid w:val="009C1C25"/>
    <w:rsid w:val="009C1C77"/>
    <w:rsid w:val="009C1CC6"/>
    <w:rsid w:val="009C1E33"/>
    <w:rsid w:val="009C1EFD"/>
    <w:rsid w:val="009C20FD"/>
    <w:rsid w:val="009C2313"/>
    <w:rsid w:val="009C2328"/>
    <w:rsid w:val="009C2392"/>
    <w:rsid w:val="009C2621"/>
    <w:rsid w:val="009C2715"/>
    <w:rsid w:val="009C27C9"/>
    <w:rsid w:val="009C29A8"/>
    <w:rsid w:val="009C2B54"/>
    <w:rsid w:val="009C304E"/>
    <w:rsid w:val="009C30EA"/>
    <w:rsid w:val="009C34DC"/>
    <w:rsid w:val="009C37FB"/>
    <w:rsid w:val="009C390E"/>
    <w:rsid w:val="009C3945"/>
    <w:rsid w:val="009C3A17"/>
    <w:rsid w:val="009C3A8F"/>
    <w:rsid w:val="009C3AFC"/>
    <w:rsid w:val="009C3BFA"/>
    <w:rsid w:val="009C3C31"/>
    <w:rsid w:val="009C3D2A"/>
    <w:rsid w:val="009C3D30"/>
    <w:rsid w:val="009C3FB9"/>
    <w:rsid w:val="009C4097"/>
    <w:rsid w:val="009C4181"/>
    <w:rsid w:val="009C421E"/>
    <w:rsid w:val="009C4239"/>
    <w:rsid w:val="009C45B4"/>
    <w:rsid w:val="009C46B6"/>
    <w:rsid w:val="009C472E"/>
    <w:rsid w:val="009C4956"/>
    <w:rsid w:val="009C4A0C"/>
    <w:rsid w:val="009C4B88"/>
    <w:rsid w:val="009C4BAF"/>
    <w:rsid w:val="009C4C9C"/>
    <w:rsid w:val="009C4E33"/>
    <w:rsid w:val="009C4EF1"/>
    <w:rsid w:val="009C537E"/>
    <w:rsid w:val="009C53A1"/>
    <w:rsid w:val="009C554E"/>
    <w:rsid w:val="009C5580"/>
    <w:rsid w:val="009C55BC"/>
    <w:rsid w:val="009C56BC"/>
    <w:rsid w:val="009C56DB"/>
    <w:rsid w:val="009C56FB"/>
    <w:rsid w:val="009C5A3C"/>
    <w:rsid w:val="009C5C57"/>
    <w:rsid w:val="009C6B68"/>
    <w:rsid w:val="009C6D9E"/>
    <w:rsid w:val="009C6F98"/>
    <w:rsid w:val="009C773A"/>
    <w:rsid w:val="009C785C"/>
    <w:rsid w:val="009C7882"/>
    <w:rsid w:val="009C7A0A"/>
    <w:rsid w:val="009C7A96"/>
    <w:rsid w:val="009C7BBF"/>
    <w:rsid w:val="009C7BF6"/>
    <w:rsid w:val="009C7DA2"/>
    <w:rsid w:val="009C7DB9"/>
    <w:rsid w:val="009D0270"/>
    <w:rsid w:val="009D0324"/>
    <w:rsid w:val="009D0756"/>
    <w:rsid w:val="009D10B7"/>
    <w:rsid w:val="009D10BE"/>
    <w:rsid w:val="009D154F"/>
    <w:rsid w:val="009D1694"/>
    <w:rsid w:val="009D1821"/>
    <w:rsid w:val="009D187F"/>
    <w:rsid w:val="009D1A04"/>
    <w:rsid w:val="009D1A08"/>
    <w:rsid w:val="009D1A52"/>
    <w:rsid w:val="009D1ECF"/>
    <w:rsid w:val="009D2081"/>
    <w:rsid w:val="009D21FA"/>
    <w:rsid w:val="009D23ED"/>
    <w:rsid w:val="009D242C"/>
    <w:rsid w:val="009D27D8"/>
    <w:rsid w:val="009D2B93"/>
    <w:rsid w:val="009D2CFF"/>
    <w:rsid w:val="009D2DA5"/>
    <w:rsid w:val="009D2DF8"/>
    <w:rsid w:val="009D2E3B"/>
    <w:rsid w:val="009D2E61"/>
    <w:rsid w:val="009D2FAE"/>
    <w:rsid w:val="009D30BE"/>
    <w:rsid w:val="009D317D"/>
    <w:rsid w:val="009D31D6"/>
    <w:rsid w:val="009D327B"/>
    <w:rsid w:val="009D33CC"/>
    <w:rsid w:val="009D36C8"/>
    <w:rsid w:val="009D3742"/>
    <w:rsid w:val="009D3935"/>
    <w:rsid w:val="009D3B1C"/>
    <w:rsid w:val="009D3BF6"/>
    <w:rsid w:val="009D3C23"/>
    <w:rsid w:val="009D3C95"/>
    <w:rsid w:val="009D425D"/>
    <w:rsid w:val="009D44A1"/>
    <w:rsid w:val="009D44C8"/>
    <w:rsid w:val="009D4584"/>
    <w:rsid w:val="009D4591"/>
    <w:rsid w:val="009D498C"/>
    <w:rsid w:val="009D49BC"/>
    <w:rsid w:val="009D4A41"/>
    <w:rsid w:val="009D4D47"/>
    <w:rsid w:val="009D4EED"/>
    <w:rsid w:val="009D5165"/>
    <w:rsid w:val="009D55FC"/>
    <w:rsid w:val="009D5661"/>
    <w:rsid w:val="009D56FC"/>
    <w:rsid w:val="009D574B"/>
    <w:rsid w:val="009D57F6"/>
    <w:rsid w:val="009D58C7"/>
    <w:rsid w:val="009D5AA6"/>
    <w:rsid w:val="009D5C46"/>
    <w:rsid w:val="009D5EFB"/>
    <w:rsid w:val="009D60B7"/>
    <w:rsid w:val="009D63FF"/>
    <w:rsid w:val="009D6446"/>
    <w:rsid w:val="009D6649"/>
    <w:rsid w:val="009D66C7"/>
    <w:rsid w:val="009D6768"/>
    <w:rsid w:val="009D67DF"/>
    <w:rsid w:val="009D6B09"/>
    <w:rsid w:val="009D6CD4"/>
    <w:rsid w:val="009D6D91"/>
    <w:rsid w:val="009D7042"/>
    <w:rsid w:val="009D70CB"/>
    <w:rsid w:val="009D758B"/>
    <w:rsid w:val="009D7649"/>
    <w:rsid w:val="009D774E"/>
    <w:rsid w:val="009D7753"/>
    <w:rsid w:val="009D77DE"/>
    <w:rsid w:val="009D7AC6"/>
    <w:rsid w:val="009D7BD3"/>
    <w:rsid w:val="009D7F46"/>
    <w:rsid w:val="009D7FC1"/>
    <w:rsid w:val="009E03E1"/>
    <w:rsid w:val="009E0A01"/>
    <w:rsid w:val="009E0CA5"/>
    <w:rsid w:val="009E0D7F"/>
    <w:rsid w:val="009E0E79"/>
    <w:rsid w:val="009E1013"/>
    <w:rsid w:val="009E12B7"/>
    <w:rsid w:val="009E1372"/>
    <w:rsid w:val="009E13AB"/>
    <w:rsid w:val="009E1613"/>
    <w:rsid w:val="009E171B"/>
    <w:rsid w:val="009E1F52"/>
    <w:rsid w:val="009E228C"/>
    <w:rsid w:val="009E229E"/>
    <w:rsid w:val="009E2519"/>
    <w:rsid w:val="009E2786"/>
    <w:rsid w:val="009E2953"/>
    <w:rsid w:val="009E2A1F"/>
    <w:rsid w:val="009E2B97"/>
    <w:rsid w:val="009E2BEA"/>
    <w:rsid w:val="009E2CD5"/>
    <w:rsid w:val="009E2DFE"/>
    <w:rsid w:val="009E2F65"/>
    <w:rsid w:val="009E3261"/>
    <w:rsid w:val="009E3565"/>
    <w:rsid w:val="009E3751"/>
    <w:rsid w:val="009E3B99"/>
    <w:rsid w:val="009E3D6F"/>
    <w:rsid w:val="009E3EB0"/>
    <w:rsid w:val="009E4514"/>
    <w:rsid w:val="009E45F0"/>
    <w:rsid w:val="009E465B"/>
    <w:rsid w:val="009E4661"/>
    <w:rsid w:val="009E4877"/>
    <w:rsid w:val="009E4895"/>
    <w:rsid w:val="009E4CF0"/>
    <w:rsid w:val="009E4EC9"/>
    <w:rsid w:val="009E4FFC"/>
    <w:rsid w:val="009E507D"/>
    <w:rsid w:val="009E52A3"/>
    <w:rsid w:val="009E5608"/>
    <w:rsid w:val="009E5712"/>
    <w:rsid w:val="009E57E5"/>
    <w:rsid w:val="009E582B"/>
    <w:rsid w:val="009E59C8"/>
    <w:rsid w:val="009E5E5F"/>
    <w:rsid w:val="009E5E91"/>
    <w:rsid w:val="009E6241"/>
    <w:rsid w:val="009E6421"/>
    <w:rsid w:val="009E646B"/>
    <w:rsid w:val="009E66CE"/>
    <w:rsid w:val="009E66D0"/>
    <w:rsid w:val="009E66EF"/>
    <w:rsid w:val="009E6773"/>
    <w:rsid w:val="009E682C"/>
    <w:rsid w:val="009E6D21"/>
    <w:rsid w:val="009E6D78"/>
    <w:rsid w:val="009E6F93"/>
    <w:rsid w:val="009E6FAE"/>
    <w:rsid w:val="009E7045"/>
    <w:rsid w:val="009E7054"/>
    <w:rsid w:val="009E707C"/>
    <w:rsid w:val="009E70D7"/>
    <w:rsid w:val="009E7112"/>
    <w:rsid w:val="009E7190"/>
    <w:rsid w:val="009E734C"/>
    <w:rsid w:val="009E7372"/>
    <w:rsid w:val="009E74F0"/>
    <w:rsid w:val="009E7687"/>
    <w:rsid w:val="009E7729"/>
    <w:rsid w:val="009E7C09"/>
    <w:rsid w:val="009E7CCB"/>
    <w:rsid w:val="009E7DBD"/>
    <w:rsid w:val="009F0110"/>
    <w:rsid w:val="009F0140"/>
    <w:rsid w:val="009F0217"/>
    <w:rsid w:val="009F052B"/>
    <w:rsid w:val="009F0652"/>
    <w:rsid w:val="009F088E"/>
    <w:rsid w:val="009F0909"/>
    <w:rsid w:val="009F097A"/>
    <w:rsid w:val="009F09A5"/>
    <w:rsid w:val="009F0BEF"/>
    <w:rsid w:val="009F0E16"/>
    <w:rsid w:val="009F127C"/>
    <w:rsid w:val="009F1516"/>
    <w:rsid w:val="009F16BE"/>
    <w:rsid w:val="009F1719"/>
    <w:rsid w:val="009F1DED"/>
    <w:rsid w:val="009F1EA5"/>
    <w:rsid w:val="009F1F65"/>
    <w:rsid w:val="009F204E"/>
    <w:rsid w:val="009F2051"/>
    <w:rsid w:val="009F20C0"/>
    <w:rsid w:val="009F21A7"/>
    <w:rsid w:val="009F220B"/>
    <w:rsid w:val="009F22A6"/>
    <w:rsid w:val="009F26CE"/>
    <w:rsid w:val="009F2987"/>
    <w:rsid w:val="009F2D60"/>
    <w:rsid w:val="009F2D97"/>
    <w:rsid w:val="009F2E22"/>
    <w:rsid w:val="009F324F"/>
    <w:rsid w:val="009F32F1"/>
    <w:rsid w:val="009F3742"/>
    <w:rsid w:val="009F396C"/>
    <w:rsid w:val="009F3B09"/>
    <w:rsid w:val="009F43FD"/>
    <w:rsid w:val="009F4507"/>
    <w:rsid w:val="009F4662"/>
    <w:rsid w:val="009F486D"/>
    <w:rsid w:val="009F4F76"/>
    <w:rsid w:val="009F5036"/>
    <w:rsid w:val="009F505E"/>
    <w:rsid w:val="009F555B"/>
    <w:rsid w:val="009F5940"/>
    <w:rsid w:val="009F59AB"/>
    <w:rsid w:val="009F5D9F"/>
    <w:rsid w:val="009F6024"/>
    <w:rsid w:val="009F6182"/>
    <w:rsid w:val="009F643D"/>
    <w:rsid w:val="009F66A7"/>
    <w:rsid w:val="009F6745"/>
    <w:rsid w:val="009F68F8"/>
    <w:rsid w:val="009F69DB"/>
    <w:rsid w:val="009F6C77"/>
    <w:rsid w:val="009F6EE6"/>
    <w:rsid w:val="009F7000"/>
    <w:rsid w:val="009F71A2"/>
    <w:rsid w:val="009F723D"/>
    <w:rsid w:val="009F726D"/>
    <w:rsid w:val="009F73A7"/>
    <w:rsid w:val="009F73D4"/>
    <w:rsid w:val="009F76E8"/>
    <w:rsid w:val="009F7794"/>
    <w:rsid w:val="009F7ABA"/>
    <w:rsid w:val="009F7D95"/>
    <w:rsid w:val="009F7ED1"/>
    <w:rsid w:val="009F7FAE"/>
    <w:rsid w:val="00A001A3"/>
    <w:rsid w:val="00A0021D"/>
    <w:rsid w:val="00A0040A"/>
    <w:rsid w:val="00A004BD"/>
    <w:rsid w:val="00A00620"/>
    <w:rsid w:val="00A006A7"/>
    <w:rsid w:val="00A007D5"/>
    <w:rsid w:val="00A00844"/>
    <w:rsid w:val="00A00924"/>
    <w:rsid w:val="00A00945"/>
    <w:rsid w:val="00A009D8"/>
    <w:rsid w:val="00A00CA9"/>
    <w:rsid w:val="00A00DE8"/>
    <w:rsid w:val="00A00E2E"/>
    <w:rsid w:val="00A00F82"/>
    <w:rsid w:val="00A012D8"/>
    <w:rsid w:val="00A013A2"/>
    <w:rsid w:val="00A01428"/>
    <w:rsid w:val="00A015E8"/>
    <w:rsid w:val="00A01836"/>
    <w:rsid w:val="00A018B0"/>
    <w:rsid w:val="00A01911"/>
    <w:rsid w:val="00A01CF6"/>
    <w:rsid w:val="00A01F13"/>
    <w:rsid w:val="00A01FA2"/>
    <w:rsid w:val="00A01FA3"/>
    <w:rsid w:val="00A02112"/>
    <w:rsid w:val="00A02222"/>
    <w:rsid w:val="00A0245B"/>
    <w:rsid w:val="00A024C2"/>
    <w:rsid w:val="00A02522"/>
    <w:rsid w:val="00A0256D"/>
    <w:rsid w:val="00A02694"/>
    <w:rsid w:val="00A02697"/>
    <w:rsid w:val="00A02854"/>
    <w:rsid w:val="00A02A4B"/>
    <w:rsid w:val="00A02D17"/>
    <w:rsid w:val="00A02E94"/>
    <w:rsid w:val="00A03408"/>
    <w:rsid w:val="00A03613"/>
    <w:rsid w:val="00A036A8"/>
    <w:rsid w:val="00A03861"/>
    <w:rsid w:val="00A038DA"/>
    <w:rsid w:val="00A03A44"/>
    <w:rsid w:val="00A03FD7"/>
    <w:rsid w:val="00A03FEE"/>
    <w:rsid w:val="00A0400F"/>
    <w:rsid w:val="00A04013"/>
    <w:rsid w:val="00A04132"/>
    <w:rsid w:val="00A044B2"/>
    <w:rsid w:val="00A04551"/>
    <w:rsid w:val="00A04554"/>
    <w:rsid w:val="00A0462F"/>
    <w:rsid w:val="00A04A86"/>
    <w:rsid w:val="00A04AA1"/>
    <w:rsid w:val="00A04DE0"/>
    <w:rsid w:val="00A04E4D"/>
    <w:rsid w:val="00A04E87"/>
    <w:rsid w:val="00A05031"/>
    <w:rsid w:val="00A0505C"/>
    <w:rsid w:val="00A05162"/>
    <w:rsid w:val="00A0539B"/>
    <w:rsid w:val="00A05422"/>
    <w:rsid w:val="00A05437"/>
    <w:rsid w:val="00A054A6"/>
    <w:rsid w:val="00A0552E"/>
    <w:rsid w:val="00A05640"/>
    <w:rsid w:val="00A057E0"/>
    <w:rsid w:val="00A058D3"/>
    <w:rsid w:val="00A05979"/>
    <w:rsid w:val="00A059F5"/>
    <w:rsid w:val="00A05B48"/>
    <w:rsid w:val="00A05C3C"/>
    <w:rsid w:val="00A05CBB"/>
    <w:rsid w:val="00A05E91"/>
    <w:rsid w:val="00A05E9B"/>
    <w:rsid w:val="00A05EE3"/>
    <w:rsid w:val="00A05F88"/>
    <w:rsid w:val="00A05F8E"/>
    <w:rsid w:val="00A06112"/>
    <w:rsid w:val="00A061E2"/>
    <w:rsid w:val="00A0626D"/>
    <w:rsid w:val="00A06307"/>
    <w:rsid w:val="00A064E1"/>
    <w:rsid w:val="00A06D29"/>
    <w:rsid w:val="00A06F22"/>
    <w:rsid w:val="00A071CA"/>
    <w:rsid w:val="00A073B1"/>
    <w:rsid w:val="00A07468"/>
    <w:rsid w:val="00A075B7"/>
    <w:rsid w:val="00A077DB"/>
    <w:rsid w:val="00A07A12"/>
    <w:rsid w:val="00A07BD2"/>
    <w:rsid w:val="00A07C2C"/>
    <w:rsid w:val="00A07D39"/>
    <w:rsid w:val="00A07D47"/>
    <w:rsid w:val="00A07DC9"/>
    <w:rsid w:val="00A103CA"/>
    <w:rsid w:val="00A10593"/>
    <w:rsid w:val="00A1061E"/>
    <w:rsid w:val="00A10675"/>
    <w:rsid w:val="00A107DB"/>
    <w:rsid w:val="00A10E8F"/>
    <w:rsid w:val="00A110E9"/>
    <w:rsid w:val="00A1128C"/>
    <w:rsid w:val="00A112A0"/>
    <w:rsid w:val="00A11372"/>
    <w:rsid w:val="00A114FE"/>
    <w:rsid w:val="00A116B7"/>
    <w:rsid w:val="00A11DC5"/>
    <w:rsid w:val="00A12057"/>
    <w:rsid w:val="00A126CA"/>
    <w:rsid w:val="00A1289D"/>
    <w:rsid w:val="00A12B53"/>
    <w:rsid w:val="00A12B8A"/>
    <w:rsid w:val="00A12C1F"/>
    <w:rsid w:val="00A12C6B"/>
    <w:rsid w:val="00A12F62"/>
    <w:rsid w:val="00A13310"/>
    <w:rsid w:val="00A1339F"/>
    <w:rsid w:val="00A133CE"/>
    <w:rsid w:val="00A133E3"/>
    <w:rsid w:val="00A13596"/>
    <w:rsid w:val="00A13A5B"/>
    <w:rsid w:val="00A13B7F"/>
    <w:rsid w:val="00A13C4D"/>
    <w:rsid w:val="00A13EBD"/>
    <w:rsid w:val="00A13FAD"/>
    <w:rsid w:val="00A1409F"/>
    <w:rsid w:val="00A142D3"/>
    <w:rsid w:val="00A143B5"/>
    <w:rsid w:val="00A146BB"/>
    <w:rsid w:val="00A14C85"/>
    <w:rsid w:val="00A14C87"/>
    <w:rsid w:val="00A14D31"/>
    <w:rsid w:val="00A14E40"/>
    <w:rsid w:val="00A14E48"/>
    <w:rsid w:val="00A14EAA"/>
    <w:rsid w:val="00A14F91"/>
    <w:rsid w:val="00A14FE9"/>
    <w:rsid w:val="00A154D1"/>
    <w:rsid w:val="00A15586"/>
    <w:rsid w:val="00A155F0"/>
    <w:rsid w:val="00A15612"/>
    <w:rsid w:val="00A15665"/>
    <w:rsid w:val="00A15776"/>
    <w:rsid w:val="00A157D9"/>
    <w:rsid w:val="00A15A0C"/>
    <w:rsid w:val="00A15BC5"/>
    <w:rsid w:val="00A15DB0"/>
    <w:rsid w:val="00A15E29"/>
    <w:rsid w:val="00A15F16"/>
    <w:rsid w:val="00A15F73"/>
    <w:rsid w:val="00A15FDB"/>
    <w:rsid w:val="00A16029"/>
    <w:rsid w:val="00A16177"/>
    <w:rsid w:val="00A161C7"/>
    <w:rsid w:val="00A1694C"/>
    <w:rsid w:val="00A16BE2"/>
    <w:rsid w:val="00A16D12"/>
    <w:rsid w:val="00A16DA9"/>
    <w:rsid w:val="00A16DED"/>
    <w:rsid w:val="00A16E7A"/>
    <w:rsid w:val="00A16ED6"/>
    <w:rsid w:val="00A174C2"/>
    <w:rsid w:val="00A178CE"/>
    <w:rsid w:val="00A17E56"/>
    <w:rsid w:val="00A201F7"/>
    <w:rsid w:val="00A20208"/>
    <w:rsid w:val="00A203A6"/>
    <w:rsid w:val="00A20442"/>
    <w:rsid w:val="00A2046B"/>
    <w:rsid w:val="00A2068C"/>
    <w:rsid w:val="00A206D5"/>
    <w:rsid w:val="00A209B1"/>
    <w:rsid w:val="00A20D58"/>
    <w:rsid w:val="00A20EEE"/>
    <w:rsid w:val="00A2104D"/>
    <w:rsid w:val="00A2133A"/>
    <w:rsid w:val="00A2135D"/>
    <w:rsid w:val="00A21386"/>
    <w:rsid w:val="00A21399"/>
    <w:rsid w:val="00A21474"/>
    <w:rsid w:val="00A21BFD"/>
    <w:rsid w:val="00A21D4F"/>
    <w:rsid w:val="00A221E2"/>
    <w:rsid w:val="00A22507"/>
    <w:rsid w:val="00A22570"/>
    <w:rsid w:val="00A227CF"/>
    <w:rsid w:val="00A22932"/>
    <w:rsid w:val="00A22D73"/>
    <w:rsid w:val="00A22E46"/>
    <w:rsid w:val="00A23043"/>
    <w:rsid w:val="00A23264"/>
    <w:rsid w:val="00A23469"/>
    <w:rsid w:val="00A234E7"/>
    <w:rsid w:val="00A23559"/>
    <w:rsid w:val="00A2374D"/>
    <w:rsid w:val="00A2381D"/>
    <w:rsid w:val="00A23849"/>
    <w:rsid w:val="00A238F8"/>
    <w:rsid w:val="00A2395A"/>
    <w:rsid w:val="00A239CB"/>
    <w:rsid w:val="00A239EF"/>
    <w:rsid w:val="00A23A53"/>
    <w:rsid w:val="00A23AAC"/>
    <w:rsid w:val="00A23B15"/>
    <w:rsid w:val="00A23CF0"/>
    <w:rsid w:val="00A23E8C"/>
    <w:rsid w:val="00A23E96"/>
    <w:rsid w:val="00A24013"/>
    <w:rsid w:val="00A2408C"/>
    <w:rsid w:val="00A242E3"/>
    <w:rsid w:val="00A2434F"/>
    <w:rsid w:val="00A24482"/>
    <w:rsid w:val="00A2451D"/>
    <w:rsid w:val="00A2453C"/>
    <w:rsid w:val="00A24675"/>
    <w:rsid w:val="00A24732"/>
    <w:rsid w:val="00A24C20"/>
    <w:rsid w:val="00A24E05"/>
    <w:rsid w:val="00A2507F"/>
    <w:rsid w:val="00A250F5"/>
    <w:rsid w:val="00A2513D"/>
    <w:rsid w:val="00A25705"/>
    <w:rsid w:val="00A25725"/>
    <w:rsid w:val="00A25779"/>
    <w:rsid w:val="00A258C2"/>
    <w:rsid w:val="00A25B83"/>
    <w:rsid w:val="00A25BE6"/>
    <w:rsid w:val="00A25C24"/>
    <w:rsid w:val="00A25C53"/>
    <w:rsid w:val="00A25CBF"/>
    <w:rsid w:val="00A25D13"/>
    <w:rsid w:val="00A25DE1"/>
    <w:rsid w:val="00A25E44"/>
    <w:rsid w:val="00A26057"/>
    <w:rsid w:val="00A260C9"/>
    <w:rsid w:val="00A26278"/>
    <w:rsid w:val="00A2635B"/>
    <w:rsid w:val="00A26577"/>
    <w:rsid w:val="00A265DA"/>
    <w:rsid w:val="00A266C7"/>
    <w:rsid w:val="00A26A74"/>
    <w:rsid w:val="00A26F9E"/>
    <w:rsid w:val="00A27537"/>
    <w:rsid w:val="00A27683"/>
    <w:rsid w:val="00A2784D"/>
    <w:rsid w:val="00A27EB7"/>
    <w:rsid w:val="00A27F29"/>
    <w:rsid w:val="00A301BF"/>
    <w:rsid w:val="00A303EA"/>
    <w:rsid w:val="00A3044F"/>
    <w:rsid w:val="00A30473"/>
    <w:rsid w:val="00A3050B"/>
    <w:rsid w:val="00A306B5"/>
    <w:rsid w:val="00A306C0"/>
    <w:rsid w:val="00A308E7"/>
    <w:rsid w:val="00A30C9F"/>
    <w:rsid w:val="00A30F06"/>
    <w:rsid w:val="00A313E8"/>
    <w:rsid w:val="00A31868"/>
    <w:rsid w:val="00A31954"/>
    <w:rsid w:val="00A31A77"/>
    <w:rsid w:val="00A31DDF"/>
    <w:rsid w:val="00A32053"/>
    <w:rsid w:val="00A32081"/>
    <w:rsid w:val="00A320FE"/>
    <w:rsid w:val="00A323A3"/>
    <w:rsid w:val="00A3245B"/>
    <w:rsid w:val="00A32784"/>
    <w:rsid w:val="00A32868"/>
    <w:rsid w:val="00A329CF"/>
    <w:rsid w:val="00A32B8C"/>
    <w:rsid w:val="00A33714"/>
    <w:rsid w:val="00A33793"/>
    <w:rsid w:val="00A33D30"/>
    <w:rsid w:val="00A33D4F"/>
    <w:rsid w:val="00A34034"/>
    <w:rsid w:val="00A34664"/>
    <w:rsid w:val="00A3470F"/>
    <w:rsid w:val="00A3474C"/>
    <w:rsid w:val="00A347B7"/>
    <w:rsid w:val="00A34A43"/>
    <w:rsid w:val="00A34AD0"/>
    <w:rsid w:val="00A34D33"/>
    <w:rsid w:val="00A34D71"/>
    <w:rsid w:val="00A34FB7"/>
    <w:rsid w:val="00A3549B"/>
    <w:rsid w:val="00A355A3"/>
    <w:rsid w:val="00A3598B"/>
    <w:rsid w:val="00A35D83"/>
    <w:rsid w:val="00A35F6D"/>
    <w:rsid w:val="00A35FD3"/>
    <w:rsid w:val="00A360DD"/>
    <w:rsid w:val="00A361EC"/>
    <w:rsid w:val="00A36273"/>
    <w:rsid w:val="00A365DF"/>
    <w:rsid w:val="00A36655"/>
    <w:rsid w:val="00A369CE"/>
    <w:rsid w:val="00A370D5"/>
    <w:rsid w:val="00A37406"/>
    <w:rsid w:val="00A3749B"/>
    <w:rsid w:val="00A37A0B"/>
    <w:rsid w:val="00A37A6A"/>
    <w:rsid w:val="00A37BD7"/>
    <w:rsid w:val="00A37C5D"/>
    <w:rsid w:val="00A37D87"/>
    <w:rsid w:val="00A40009"/>
    <w:rsid w:val="00A400F6"/>
    <w:rsid w:val="00A402F2"/>
    <w:rsid w:val="00A40606"/>
    <w:rsid w:val="00A406DB"/>
    <w:rsid w:val="00A407E0"/>
    <w:rsid w:val="00A409D4"/>
    <w:rsid w:val="00A40C13"/>
    <w:rsid w:val="00A40C4B"/>
    <w:rsid w:val="00A40E1E"/>
    <w:rsid w:val="00A40EEC"/>
    <w:rsid w:val="00A40FFC"/>
    <w:rsid w:val="00A41046"/>
    <w:rsid w:val="00A412D4"/>
    <w:rsid w:val="00A417F7"/>
    <w:rsid w:val="00A41875"/>
    <w:rsid w:val="00A418B6"/>
    <w:rsid w:val="00A41C41"/>
    <w:rsid w:val="00A41C7C"/>
    <w:rsid w:val="00A41F85"/>
    <w:rsid w:val="00A41FE0"/>
    <w:rsid w:val="00A4205B"/>
    <w:rsid w:val="00A426E1"/>
    <w:rsid w:val="00A427C1"/>
    <w:rsid w:val="00A42A69"/>
    <w:rsid w:val="00A42A78"/>
    <w:rsid w:val="00A42A9D"/>
    <w:rsid w:val="00A42B14"/>
    <w:rsid w:val="00A42B6E"/>
    <w:rsid w:val="00A42DBE"/>
    <w:rsid w:val="00A42DF1"/>
    <w:rsid w:val="00A42F28"/>
    <w:rsid w:val="00A4302F"/>
    <w:rsid w:val="00A431BF"/>
    <w:rsid w:val="00A43560"/>
    <w:rsid w:val="00A43943"/>
    <w:rsid w:val="00A43B32"/>
    <w:rsid w:val="00A43CF6"/>
    <w:rsid w:val="00A44035"/>
    <w:rsid w:val="00A44060"/>
    <w:rsid w:val="00A4439A"/>
    <w:rsid w:val="00A4445F"/>
    <w:rsid w:val="00A444A2"/>
    <w:rsid w:val="00A4456A"/>
    <w:rsid w:val="00A44648"/>
    <w:rsid w:val="00A44755"/>
    <w:rsid w:val="00A4476E"/>
    <w:rsid w:val="00A44838"/>
    <w:rsid w:val="00A44840"/>
    <w:rsid w:val="00A44859"/>
    <w:rsid w:val="00A448D7"/>
    <w:rsid w:val="00A4534D"/>
    <w:rsid w:val="00A4550A"/>
    <w:rsid w:val="00A4561F"/>
    <w:rsid w:val="00A45A0D"/>
    <w:rsid w:val="00A45ACB"/>
    <w:rsid w:val="00A45B05"/>
    <w:rsid w:val="00A45B96"/>
    <w:rsid w:val="00A45DD5"/>
    <w:rsid w:val="00A45F3B"/>
    <w:rsid w:val="00A46212"/>
    <w:rsid w:val="00A46244"/>
    <w:rsid w:val="00A4650C"/>
    <w:rsid w:val="00A4658E"/>
    <w:rsid w:val="00A46864"/>
    <w:rsid w:val="00A4696C"/>
    <w:rsid w:val="00A46CF5"/>
    <w:rsid w:val="00A46F65"/>
    <w:rsid w:val="00A47087"/>
    <w:rsid w:val="00A470FC"/>
    <w:rsid w:val="00A47291"/>
    <w:rsid w:val="00A47320"/>
    <w:rsid w:val="00A4743E"/>
    <w:rsid w:val="00A47573"/>
    <w:rsid w:val="00A4778C"/>
    <w:rsid w:val="00A478E5"/>
    <w:rsid w:val="00A47A42"/>
    <w:rsid w:val="00A47A90"/>
    <w:rsid w:val="00A47C82"/>
    <w:rsid w:val="00A47DA4"/>
    <w:rsid w:val="00A47E14"/>
    <w:rsid w:val="00A50112"/>
    <w:rsid w:val="00A501A4"/>
    <w:rsid w:val="00A5054F"/>
    <w:rsid w:val="00A5055D"/>
    <w:rsid w:val="00A50593"/>
    <w:rsid w:val="00A5090F"/>
    <w:rsid w:val="00A50D23"/>
    <w:rsid w:val="00A50D88"/>
    <w:rsid w:val="00A50E72"/>
    <w:rsid w:val="00A5116C"/>
    <w:rsid w:val="00A51436"/>
    <w:rsid w:val="00A51439"/>
    <w:rsid w:val="00A5164E"/>
    <w:rsid w:val="00A517DA"/>
    <w:rsid w:val="00A51943"/>
    <w:rsid w:val="00A5198C"/>
    <w:rsid w:val="00A51B9E"/>
    <w:rsid w:val="00A51F01"/>
    <w:rsid w:val="00A52190"/>
    <w:rsid w:val="00A52513"/>
    <w:rsid w:val="00A52544"/>
    <w:rsid w:val="00A52937"/>
    <w:rsid w:val="00A52AA1"/>
    <w:rsid w:val="00A52FC6"/>
    <w:rsid w:val="00A53292"/>
    <w:rsid w:val="00A5335C"/>
    <w:rsid w:val="00A5338C"/>
    <w:rsid w:val="00A53449"/>
    <w:rsid w:val="00A53579"/>
    <w:rsid w:val="00A53859"/>
    <w:rsid w:val="00A53930"/>
    <w:rsid w:val="00A53D54"/>
    <w:rsid w:val="00A53E1C"/>
    <w:rsid w:val="00A53F80"/>
    <w:rsid w:val="00A54337"/>
    <w:rsid w:val="00A5447F"/>
    <w:rsid w:val="00A54574"/>
    <w:rsid w:val="00A54654"/>
    <w:rsid w:val="00A5472E"/>
    <w:rsid w:val="00A549A4"/>
    <w:rsid w:val="00A54E3B"/>
    <w:rsid w:val="00A54E83"/>
    <w:rsid w:val="00A54F96"/>
    <w:rsid w:val="00A551AE"/>
    <w:rsid w:val="00A551C3"/>
    <w:rsid w:val="00A551CA"/>
    <w:rsid w:val="00A553A1"/>
    <w:rsid w:val="00A553CD"/>
    <w:rsid w:val="00A55422"/>
    <w:rsid w:val="00A55574"/>
    <w:rsid w:val="00A55964"/>
    <w:rsid w:val="00A55A35"/>
    <w:rsid w:val="00A55F3A"/>
    <w:rsid w:val="00A55FB2"/>
    <w:rsid w:val="00A561A7"/>
    <w:rsid w:val="00A562A0"/>
    <w:rsid w:val="00A56368"/>
    <w:rsid w:val="00A56436"/>
    <w:rsid w:val="00A564B2"/>
    <w:rsid w:val="00A56656"/>
    <w:rsid w:val="00A566C4"/>
    <w:rsid w:val="00A56790"/>
    <w:rsid w:val="00A567A4"/>
    <w:rsid w:val="00A56923"/>
    <w:rsid w:val="00A5697F"/>
    <w:rsid w:val="00A569E7"/>
    <w:rsid w:val="00A56D33"/>
    <w:rsid w:val="00A56D83"/>
    <w:rsid w:val="00A570CC"/>
    <w:rsid w:val="00A57404"/>
    <w:rsid w:val="00A57429"/>
    <w:rsid w:val="00A5756E"/>
    <w:rsid w:val="00A5776B"/>
    <w:rsid w:val="00A5783E"/>
    <w:rsid w:val="00A57869"/>
    <w:rsid w:val="00A57A1E"/>
    <w:rsid w:val="00A57CEE"/>
    <w:rsid w:val="00A57FDD"/>
    <w:rsid w:val="00A6011B"/>
    <w:rsid w:val="00A60152"/>
    <w:rsid w:val="00A602E6"/>
    <w:rsid w:val="00A60595"/>
    <w:rsid w:val="00A6098A"/>
    <w:rsid w:val="00A60B98"/>
    <w:rsid w:val="00A60F47"/>
    <w:rsid w:val="00A610FC"/>
    <w:rsid w:val="00A61150"/>
    <w:rsid w:val="00A6124C"/>
    <w:rsid w:val="00A617DF"/>
    <w:rsid w:val="00A6182B"/>
    <w:rsid w:val="00A61936"/>
    <w:rsid w:val="00A619C7"/>
    <w:rsid w:val="00A619E7"/>
    <w:rsid w:val="00A61CD3"/>
    <w:rsid w:val="00A61D87"/>
    <w:rsid w:val="00A61E0B"/>
    <w:rsid w:val="00A61E23"/>
    <w:rsid w:val="00A61F14"/>
    <w:rsid w:val="00A61FAE"/>
    <w:rsid w:val="00A62162"/>
    <w:rsid w:val="00A62265"/>
    <w:rsid w:val="00A6229D"/>
    <w:rsid w:val="00A62359"/>
    <w:rsid w:val="00A625EA"/>
    <w:rsid w:val="00A6274B"/>
    <w:rsid w:val="00A62DAC"/>
    <w:rsid w:val="00A62E42"/>
    <w:rsid w:val="00A62EFA"/>
    <w:rsid w:val="00A63031"/>
    <w:rsid w:val="00A6307F"/>
    <w:rsid w:val="00A630C9"/>
    <w:rsid w:val="00A63282"/>
    <w:rsid w:val="00A632D0"/>
    <w:rsid w:val="00A6354F"/>
    <w:rsid w:val="00A63707"/>
    <w:rsid w:val="00A638B3"/>
    <w:rsid w:val="00A6396D"/>
    <w:rsid w:val="00A63E8E"/>
    <w:rsid w:val="00A640D9"/>
    <w:rsid w:val="00A64124"/>
    <w:rsid w:val="00A64129"/>
    <w:rsid w:val="00A641A6"/>
    <w:rsid w:val="00A642CC"/>
    <w:rsid w:val="00A6446F"/>
    <w:rsid w:val="00A64A71"/>
    <w:rsid w:val="00A64B81"/>
    <w:rsid w:val="00A64BD2"/>
    <w:rsid w:val="00A64D54"/>
    <w:rsid w:val="00A64F84"/>
    <w:rsid w:val="00A65089"/>
    <w:rsid w:val="00A652B8"/>
    <w:rsid w:val="00A652F2"/>
    <w:rsid w:val="00A65308"/>
    <w:rsid w:val="00A6545B"/>
    <w:rsid w:val="00A65769"/>
    <w:rsid w:val="00A657ED"/>
    <w:rsid w:val="00A658C7"/>
    <w:rsid w:val="00A65AAE"/>
    <w:rsid w:val="00A65E5C"/>
    <w:rsid w:val="00A65E70"/>
    <w:rsid w:val="00A65F3D"/>
    <w:rsid w:val="00A6625C"/>
    <w:rsid w:val="00A66899"/>
    <w:rsid w:val="00A668AA"/>
    <w:rsid w:val="00A669DA"/>
    <w:rsid w:val="00A66A21"/>
    <w:rsid w:val="00A66A5F"/>
    <w:rsid w:val="00A66B5F"/>
    <w:rsid w:val="00A66F10"/>
    <w:rsid w:val="00A66F5C"/>
    <w:rsid w:val="00A670F5"/>
    <w:rsid w:val="00A671B1"/>
    <w:rsid w:val="00A67740"/>
    <w:rsid w:val="00A67A6C"/>
    <w:rsid w:val="00A67A81"/>
    <w:rsid w:val="00A67BED"/>
    <w:rsid w:val="00A67D5B"/>
    <w:rsid w:val="00A70059"/>
    <w:rsid w:val="00A70181"/>
    <w:rsid w:val="00A701A5"/>
    <w:rsid w:val="00A70594"/>
    <w:rsid w:val="00A70755"/>
    <w:rsid w:val="00A70788"/>
    <w:rsid w:val="00A70A66"/>
    <w:rsid w:val="00A70C45"/>
    <w:rsid w:val="00A70E44"/>
    <w:rsid w:val="00A71036"/>
    <w:rsid w:val="00A710D1"/>
    <w:rsid w:val="00A711CB"/>
    <w:rsid w:val="00A7124C"/>
    <w:rsid w:val="00A714E7"/>
    <w:rsid w:val="00A7171B"/>
    <w:rsid w:val="00A717BC"/>
    <w:rsid w:val="00A7199E"/>
    <w:rsid w:val="00A71BAD"/>
    <w:rsid w:val="00A71EC9"/>
    <w:rsid w:val="00A721FF"/>
    <w:rsid w:val="00A722ED"/>
    <w:rsid w:val="00A7236C"/>
    <w:rsid w:val="00A7267F"/>
    <w:rsid w:val="00A726F4"/>
    <w:rsid w:val="00A72739"/>
    <w:rsid w:val="00A728BA"/>
    <w:rsid w:val="00A72960"/>
    <w:rsid w:val="00A72D4E"/>
    <w:rsid w:val="00A72D8F"/>
    <w:rsid w:val="00A72DF1"/>
    <w:rsid w:val="00A736D0"/>
    <w:rsid w:val="00A73707"/>
    <w:rsid w:val="00A73853"/>
    <w:rsid w:val="00A73BB9"/>
    <w:rsid w:val="00A73BDC"/>
    <w:rsid w:val="00A73DBA"/>
    <w:rsid w:val="00A74011"/>
    <w:rsid w:val="00A740AD"/>
    <w:rsid w:val="00A74341"/>
    <w:rsid w:val="00A745E9"/>
    <w:rsid w:val="00A74663"/>
    <w:rsid w:val="00A74815"/>
    <w:rsid w:val="00A74990"/>
    <w:rsid w:val="00A749B1"/>
    <w:rsid w:val="00A74A6E"/>
    <w:rsid w:val="00A74AB6"/>
    <w:rsid w:val="00A74DB5"/>
    <w:rsid w:val="00A75029"/>
    <w:rsid w:val="00A7518F"/>
    <w:rsid w:val="00A752BF"/>
    <w:rsid w:val="00A7534D"/>
    <w:rsid w:val="00A75491"/>
    <w:rsid w:val="00A754CB"/>
    <w:rsid w:val="00A754E4"/>
    <w:rsid w:val="00A755B0"/>
    <w:rsid w:val="00A755FF"/>
    <w:rsid w:val="00A75691"/>
    <w:rsid w:val="00A757C9"/>
    <w:rsid w:val="00A75875"/>
    <w:rsid w:val="00A75914"/>
    <w:rsid w:val="00A75B56"/>
    <w:rsid w:val="00A75DC4"/>
    <w:rsid w:val="00A75FC3"/>
    <w:rsid w:val="00A76100"/>
    <w:rsid w:val="00A761EA"/>
    <w:rsid w:val="00A761EB"/>
    <w:rsid w:val="00A76460"/>
    <w:rsid w:val="00A76491"/>
    <w:rsid w:val="00A76702"/>
    <w:rsid w:val="00A76A90"/>
    <w:rsid w:val="00A76CE6"/>
    <w:rsid w:val="00A76D80"/>
    <w:rsid w:val="00A76E00"/>
    <w:rsid w:val="00A76EDD"/>
    <w:rsid w:val="00A76FF9"/>
    <w:rsid w:val="00A771FA"/>
    <w:rsid w:val="00A774B7"/>
    <w:rsid w:val="00A777F0"/>
    <w:rsid w:val="00A77885"/>
    <w:rsid w:val="00A778B7"/>
    <w:rsid w:val="00A77C53"/>
    <w:rsid w:val="00A77EAE"/>
    <w:rsid w:val="00A80007"/>
    <w:rsid w:val="00A80173"/>
    <w:rsid w:val="00A80254"/>
    <w:rsid w:val="00A8032A"/>
    <w:rsid w:val="00A804AD"/>
    <w:rsid w:val="00A80612"/>
    <w:rsid w:val="00A8072D"/>
    <w:rsid w:val="00A809E9"/>
    <w:rsid w:val="00A80A0A"/>
    <w:rsid w:val="00A80F7D"/>
    <w:rsid w:val="00A811B1"/>
    <w:rsid w:val="00A811C2"/>
    <w:rsid w:val="00A813E1"/>
    <w:rsid w:val="00A81496"/>
    <w:rsid w:val="00A81798"/>
    <w:rsid w:val="00A817CC"/>
    <w:rsid w:val="00A81C36"/>
    <w:rsid w:val="00A81EFA"/>
    <w:rsid w:val="00A81F59"/>
    <w:rsid w:val="00A821F5"/>
    <w:rsid w:val="00A8233C"/>
    <w:rsid w:val="00A8237D"/>
    <w:rsid w:val="00A82727"/>
    <w:rsid w:val="00A82817"/>
    <w:rsid w:val="00A82C22"/>
    <w:rsid w:val="00A82CAF"/>
    <w:rsid w:val="00A82D7B"/>
    <w:rsid w:val="00A82E32"/>
    <w:rsid w:val="00A82F5A"/>
    <w:rsid w:val="00A8360E"/>
    <w:rsid w:val="00A8384B"/>
    <w:rsid w:val="00A83896"/>
    <w:rsid w:val="00A83A3A"/>
    <w:rsid w:val="00A83E86"/>
    <w:rsid w:val="00A84060"/>
    <w:rsid w:val="00A84153"/>
    <w:rsid w:val="00A84185"/>
    <w:rsid w:val="00A845FD"/>
    <w:rsid w:val="00A84887"/>
    <w:rsid w:val="00A849AE"/>
    <w:rsid w:val="00A84D80"/>
    <w:rsid w:val="00A84EFF"/>
    <w:rsid w:val="00A8509A"/>
    <w:rsid w:val="00A85314"/>
    <w:rsid w:val="00A85347"/>
    <w:rsid w:val="00A853BD"/>
    <w:rsid w:val="00A85BA2"/>
    <w:rsid w:val="00A85CBC"/>
    <w:rsid w:val="00A85EB2"/>
    <w:rsid w:val="00A85EBD"/>
    <w:rsid w:val="00A85EDF"/>
    <w:rsid w:val="00A85EE9"/>
    <w:rsid w:val="00A86012"/>
    <w:rsid w:val="00A860CF"/>
    <w:rsid w:val="00A86314"/>
    <w:rsid w:val="00A8661D"/>
    <w:rsid w:val="00A8673F"/>
    <w:rsid w:val="00A867CF"/>
    <w:rsid w:val="00A86856"/>
    <w:rsid w:val="00A86868"/>
    <w:rsid w:val="00A86950"/>
    <w:rsid w:val="00A8695B"/>
    <w:rsid w:val="00A86982"/>
    <w:rsid w:val="00A872B0"/>
    <w:rsid w:val="00A87326"/>
    <w:rsid w:val="00A87873"/>
    <w:rsid w:val="00A87ACF"/>
    <w:rsid w:val="00A87C44"/>
    <w:rsid w:val="00A87CDC"/>
    <w:rsid w:val="00A87F87"/>
    <w:rsid w:val="00A9023C"/>
    <w:rsid w:val="00A902FD"/>
    <w:rsid w:val="00A90316"/>
    <w:rsid w:val="00A903B0"/>
    <w:rsid w:val="00A9073D"/>
    <w:rsid w:val="00A907A3"/>
    <w:rsid w:val="00A90D21"/>
    <w:rsid w:val="00A90EA4"/>
    <w:rsid w:val="00A90F09"/>
    <w:rsid w:val="00A914FA"/>
    <w:rsid w:val="00A915F5"/>
    <w:rsid w:val="00A91C5A"/>
    <w:rsid w:val="00A92419"/>
    <w:rsid w:val="00A9243E"/>
    <w:rsid w:val="00A928C7"/>
    <w:rsid w:val="00A92E54"/>
    <w:rsid w:val="00A92F66"/>
    <w:rsid w:val="00A92FD4"/>
    <w:rsid w:val="00A930CB"/>
    <w:rsid w:val="00A932F0"/>
    <w:rsid w:val="00A93401"/>
    <w:rsid w:val="00A934C8"/>
    <w:rsid w:val="00A93806"/>
    <w:rsid w:val="00A93817"/>
    <w:rsid w:val="00A93A56"/>
    <w:rsid w:val="00A93AE8"/>
    <w:rsid w:val="00A942D4"/>
    <w:rsid w:val="00A94320"/>
    <w:rsid w:val="00A943D3"/>
    <w:rsid w:val="00A94531"/>
    <w:rsid w:val="00A94653"/>
    <w:rsid w:val="00A9494A"/>
    <w:rsid w:val="00A949C2"/>
    <w:rsid w:val="00A94CFD"/>
    <w:rsid w:val="00A94D8D"/>
    <w:rsid w:val="00A94DA1"/>
    <w:rsid w:val="00A94DAF"/>
    <w:rsid w:val="00A950FF"/>
    <w:rsid w:val="00A9526D"/>
    <w:rsid w:val="00A95343"/>
    <w:rsid w:val="00A9534F"/>
    <w:rsid w:val="00A953B9"/>
    <w:rsid w:val="00A95CBA"/>
    <w:rsid w:val="00A95F27"/>
    <w:rsid w:val="00A95F74"/>
    <w:rsid w:val="00A960DF"/>
    <w:rsid w:val="00A96165"/>
    <w:rsid w:val="00A963D5"/>
    <w:rsid w:val="00A9649F"/>
    <w:rsid w:val="00A964D6"/>
    <w:rsid w:val="00A964FE"/>
    <w:rsid w:val="00A967D9"/>
    <w:rsid w:val="00A9698B"/>
    <w:rsid w:val="00A96EB2"/>
    <w:rsid w:val="00A96EFF"/>
    <w:rsid w:val="00A9707A"/>
    <w:rsid w:val="00A970CB"/>
    <w:rsid w:val="00A97160"/>
    <w:rsid w:val="00A97171"/>
    <w:rsid w:val="00A9735D"/>
    <w:rsid w:val="00A97410"/>
    <w:rsid w:val="00A97515"/>
    <w:rsid w:val="00A976AE"/>
    <w:rsid w:val="00A976B8"/>
    <w:rsid w:val="00A97878"/>
    <w:rsid w:val="00A9797B"/>
    <w:rsid w:val="00A979B4"/>
    <w:rsid w:val="00A97C97"/>
    <w:rsid w:val="00A97EB8"/>
    <w:rsid w:val="00A97F18"/>
    <w:rsid w:val="00A97FCC"/>
    <w:rsid w:val="00AA010F"/>
    <w:rsid w:val="00AA036C"/>
    <w:rsid w:val="00AA03D4"/>
    <w:rsid w:val="00AA0457"/>
    <w:rsid w:val="00AA0489"/>
    <w:rsid w:val="00AA0644"/>
    <w:rsid w:val="00AA0659"/>
    <w:rsid w:val="00AA08D7"/>
    <w:rsid w:val="00AA0948"/>
    <w:rsid w:val="00AA0988"/>
    <w:rsid w:val="00AA09F4"/>
    <w:rsid w:val="00AA0B9F"/>
    <w:rsid w:val="00AA0DA2"/>
    <w:rsid w:val="00AA0E05"/>
    <w:rsid w:val="00AA0E5A"/>
    <w:rsid w:val="00AA111C"/>
    <w:rsid w:val="00AA1615"/>
    <w:rsid w:val="00AA16F0"/>
    <w:rsid w:val="00AA1715"/>
    <w:rsid w:val="00AA17E8"/>
    <w:rsid w:val="00AA19A4"/>
    <w:rsid w:val="00AA19D1"/>
    <w:rsid w:val="00AA1DF3"/>
    <w:rsid w:val="00AA23D1"/>
    <w:rsid w:val="00AA23F5"/>
    <w:rsid w:val="00AA24B0"/>
    <w:rsid w:val="00AA2557"/>
    <w:rsid w:val="00AA2598"/>
    <w:rsid w:val="00AA29B1"/>
    <w:rsid w:val="00AA2B71"/>
    <w:rsid w:val="00AA2C18"/>
    <w:rsid w:val="00AA2EA9"/>
    <w:rsid w:val="00AA2EDF"/>
    <w:rsid w:val="00AA34B8"/>
    <w:rsid w:val="00AA374F"/>
    <w:rsid w:val="00AA3853"/>
    <w:rsid w:val="00AA38B0"/>
    <w:rsid w:val="00AA3A71"/>
    <w:rsid w:val="00AA4082"/>
    <w:rsid w:val="00AA409A"/>
    <w:rsid w:val="00AA42B2"/>
    <w:rsid w:val="00AA42F2"/>
    <w:rsid w:val="00AA4350"/>
    <w:rsid w:val="00AA43C8"/>
    <w:rsid w:val="00AA4569"/>
    <w:rsid w:val="00AA45A9"/>
    <w:rsid w:val="00AA4624"/>
    <w:rsid w:val="00AA4C87"/>
    <w:rsid w:val="00AA4E21"/>
    <w:rsid w:val="00AA539C"/>
    <w:rsid w:val="00AA5441"/>
    <w:rsid w:val="00AA55A8"/>
    <w:rsid w:val="00AA586B"/>
    <w:rsid w:val="00AA5B12"/>
    <w:rsid w:val="00AA5F2E"/>
    <w:rsid w:val="00AA617A"/>
    <w:rsid w:val="00AA6336"/>
    <w:rsid w:val="00AA63B6"/>
    <w:rsid w:val="00AA644E"/>
    <w:rsid w:val="00AA6615"/>
    <w:rsid w:val="00AA6696"/>
    <w:rsid w:val="00AA6766"/>
    <w:rsid w:val="00AA684D"/>
    <w:rsid w:val="00AA6C4C"/>
    <w:rsid w:val="00AA6C80"/>
    <w:rsid w:val="00AA6DC7"/>
    <w:rsid w:val="00AA705E"/>
    <w:rsid w:val="00AA729E"/>
    <w:rsid w:val="00AA7387"/>
    <w:rsid w:val="00AA73D4"/>
    <w:rsid w:val="00AA74DA"/>
    <w:rsid w:val="00AA7502"/>
    <w:rsid w:val="00AA759C"/>
    <w:rsid w:val="00AA77D9"/>
    <w:rsid w:val="00AA7EAE"/>
    <w:rsid w:val="00AA7F82"/>
    <w:rsid w:val="00AB017D"/>
    <w:rsid w:val="00AB05A2"/>
    <w:rsid w:val="00AB06A4"/>
    <w:rsid w:val="00AB0730"/>
    <w:rsid w:val="00AB099C"/>
    <w:rsid w:val="00AB0A7F"/>
    <w:rsid w:val="00AB0AA0"/>
    <w:rsid w:val="00AB0CC9"/>
    <w:rsid w:val="00AB0D49"/>
    <w:rsid w:val="00AB0D8D"/>
    <w:rsid w:val="00AB0EE6"/>
    <w:rsid w:val="00AB13A4"/>
    <w:rsid w:val="00AB149B"/>
    <w:rsid w:val="00AB16B6"/>
    <w:rsid w:val="00AB1740"/>
    <w:rsid w:val="00AB1826"/>
    <w:rsid w:val="00AB1AEC"/>
    <w:rsid w:val="00AB1CF7"/>
    <w:rsid w:val="00AB1DC1"/>
    <w:rsid w:val="00AB1E0A"/>
    <w:rsid w:val="00AB1E77"/>
    <w:rsid w:val="00AB2065"/>
    <w:rsid w:val="00AB22E3"/>
    <w:rsid w:val="00AB2388"/>
    <w:rsid w:val="00AB2573"/>
    <w:rsid w:val="00AB26C6"/>
    <w:rsid w:val="00AB280C"/>
    <w:rsid w:val="00AB2A76"/>
    <w:rsid w:val="00AB2C46"/>
    <w:rsid w:val="00AB2C81"/>
    <w:rsid w:val="00AB306F"/>
    <w:rsid w:val="00AB322E"/>
    <w:rsid w:val="00AB3257"/>
    <w:rsid w:val="00AB3549"/>
    <w:rsid w:val="00AB3A5D"/>
    <w:rsid w:val="00AB3CBA"/>
    <w:rsid w:val="00AB3D1F"/>
    <w:rsid w:val="00AB3E20"/>
    <w:rsid w:val="00AB3EDC"/>
    <w:rsid w:val="00AB426B"/>
    <w:rsid w:val="00AB4547"/>
    <w:rsid w:val="00AB4564"/>
    <w:rsid w:val="00AB4994"/>
    <w:rsid w:val="00AB4BC2"/>
    <w:rsid w:val="00AB4CF9"/>
    <w:rsid w:val="00AB4E64"/>
    <w:rsid w:val="00AB4EC8"/>
    <w:rsid w:val="00AB5067"/>
    <w:rsid w:val="00AB5068"/>
    <w:rsid w:val="00AB569B"/>
    <w:rsid w:val="00AB56A5"/>
    <w:rsid w:val="00AB5883"/>
    <w:rsid w:val="00AB5A0A"/>
    <w:rsid w:val="00AB5D83"/>
    <w:rsid w:val="00AB5F58"/>
    <w:rsid w:val="00AB61C1"/>
    <w:rsid w:val="00AB6339"/>
    <w:rsid w:val="00AB6365"/>
    <w:rsid w:val="00AB641F"/>
    <w:rsid w:val="00AB66B9"/>
    <w:rsid w:val="00AB6774"/>
    <w:rsid w:val="00AB690B"/>
    <w:rsid w:val="00AB6AD3"/>
    <w:rsid w:val="00AB6B23"/>
    <w:rsid w:val="00AB6B25"/>
    <w:rsid w:val="00AB6B85"/>
    <w:rsid w:val="00AB715E"/>
    <w:rsid w:val="00AB721F"/>
    <w:rsid w:val="00AB7369"/>
    <w:rsid w:val="00AB742D"/>
    <w:rsid w:val="00AB75A7"/>
    <w:rsid w:val="00AB76C9"/>
    <w:rsid w:val="00AB79FC"/>
    <w:rsid w:val="00AB7A9A"/>
    <w:rsid w:val="00AB7F45"/>
    <w:rsid w:val="00AC022C"/>
    <w:rsid w:val="00AC0364"/>
    <w:rsid w:val="00AC0546"/>
    <w:rsid w:val="00AC0877"/>
    <w:rsid w:val="00AC0B8A"/>
    <w:rsid w:val="00AC0BCB"/>
    <w:rsid w:val="00AC0DCA"/>
    <w:rsid w:val="00AC1378"/>
    <w:rsid w:val="00AC1A74"/>
    <w:rsid w:val="00AC1AB3"/>
    <w:rsid w:val="00AC1C3F"/>
    <w:rsid w:val="00AC1CBC"/>
    <w:rsid w:val="00AC1EA9"/>
    <w:rsid w:val="00AC1EAA"/>
    <w:rsid w:val="00AC1EB4"/>
    <w:rsid w:val="00AC1EC2"/>
    <w:rsid w:val="00AC21EF"/>
    <w:rsid w:val="00AC2527"/>
    <w:rsid w:val="00AC2572"/>
    <w:rsid w:val="00AC26DB"/>
    <w:rsid w:val="00AC2767"/>
    <w:rsid w:val="00AC28C7"/>
    <w:rsid w:val="00AC2C12"/>
    <w:rsid w:val="00AC2F9C"/>
    <w:rsid w:val="00AC306F"/>
    <w:rsid w:val="00AC3196"/>
    <w:rsid w:val="00AC342F"/>
    <w:rsid w:val="00AC3749"/>
    <w:rsid w:val="00AC3865"/>
    <w:rsid w:val="00AC389E"/>
    <w:rsid w:val="00AC3A05"/>
    <w:rsid w:val="00AC3D41"/>
    <w:rsid w:val="00AC3D4C"/>
    <w:rsid w:val="00AC3D85"/>
    <w:rsid w:val="00AC3F04"/>
    <w:rsid w:val="00AC4065"/>
    <w:rsid w:val="00AC40B4"/>
    <w:rsid w:val="00AC40CE"/>
    <w:rsid w:val="00AC40DC"/>
    <w:rsid w:val="00AC43C1"/>
    <w:rsid w:val="00AC43D0"/>
    <w:rsid w:val="00AC4597"/>
    <w:rsid w:val="00AC45BC"/>
    <w:rsid w:val="00AC46A5"/>
    <w:rsid w:val="00AC4931"/>
    <w:rsid w:val="00AC4D2B"/>
    <w:rsid w:val="00AC4E4B"/>
    <w:rsid w:val="00AC4EAC"/>
    <w:rsid w:val="00AC51AB"/>
    <w:rsid w:val="00AC523A"/>
    <w:rsid w:val="00AC5313"/>
    <w:rsid w:val="00AC542E"/>
    <w:rsid w:val="00AC5914"/>
    <w:rsid w:val="00AC5AA6"/>
    <w:rsid w:val="00AC5B51"/>
    <w:rsid w:val="00AC5BA7"/>
    <w:rsid w:val="00AC5BDB"/>
    <w:rsid w:val="00AC5DC3"/>
    <w:rsid w:val="00AC5F37"/>
    <w:rsid w:val="00AC6183"/>
    <w:rsid w:val="00AC61D1"/>
    <w:rsid w:val="00AC65B6"/>
    <w:rsid w:val="00AC68C2"/>
    <w:rsid w:val="00AC69AC"/>
    <w:rsid w:val="00AC6A8A"/>
    <w:rsid w:val="00AC6C45"/>
    <w:rsid w:val="00AC6E19"/>
    <w:rsid w:val="00AC75E2"/>
    <w:rsid w:val="00AC7775"/>
    <w:rsid w:val="00AC79BC"/>
    <w:rsid w:val="00AC7A05"/>
    <w:rsid w:val="00AC7AEA"/>
    <w:rsid w:val="00AC7B62"/>
    <w:rsid w:val="00AC7BB4"/>
    <w:rsid w:val="00AD00F7"/>
    <w:rsid w:val="00AD0216"/>
    <w:rsid w:val="00AD0349"/>
    <w:rsid w:val="00AD04D1"/>
    <w:rsid w:val="00AD053B"/>
    <w:rsid w:val="00AD05F1"/>
    <w:rsid w:val="00AD06F6"/>
    <w:rsid w:val="00AD0927"/>
    <w:rsid w:val="00AD0A6F"/>
    <w:rsid w:val="00AD0B02"/>
    <w:rsid w:val="00AD0B75"/>
    <w:rsid w:val="00AD0BF4"/>
    <w:rsid w:val="00AD0D21"/>
    <w:rsid w:val="00AD0E7E"/>
    <w:rsid w:val="00AD0FA5"/>
    <w:rsid w:val="00AD1059"/>
    <w:rsid w:val="00AD1149"/>
    <w:rsid w:val="00AD1356"/>
    <w:rsid w:val="00AD1769"/>
    <w:rsid w:val="00AD1BF3"/>
    <w:rsid w:val="00AD1C74"/>
    <w:rsid w:val="00AD2114"/>
    <w:rsid w:val="00AD216F"/>
    <w:rsid w:val="00AD2266"/>
    <w:rsid w:val="00AD2374"/>
    <w:rsid w:val="00AD25CE"/>
    <w:rsid w:val="00AD2B8D"/>
    <w:rsid w:val="00AD2EA1"/>
    <w:rsid w:val="00AD3017"/>
    <w:rsid w:val="00AD334E"/>
    <w:rsid w:val="00AD3374"/>
    <w:rsid w:val="00AD3378"/>
    <w:rsid w:val="00AD3440"/>
    <w:rsid w:val="00AD363B"/>
    <w:rsid w:val="00AD36EC"/>
    <w:rsid w:val="00AD37A8"/>
    <w:rsid w:val="00AD38EE"/>
    <w:rsid w:val="00AD3F8F"/>
    <w:rsid w:val="00AD412B"/>
    <w:rsid w:val="00AD45F4"/>
    <w:rsid w:val="00AD4698"/>
    <w:rsid w:val="00AD4986"/>
    <w:rsid w:val="00AD4B28"/>
    <w:rsid w:val="00AD4C5E"/>
    <w:rsid w:val="00AD4E55"/>
    <w:rsid w:val="00AD4EBF"/>
    <w:rsid w:val="00AD4FC3"/>
    <w:rsid w:val="00AD526D"/>
    <w:rsid w:val="00AD55C8"/>
    <w:rsid w:val="00AD5830"/>
    <w:rsid w:val="00AD58E5"/>
    <w:rsid w:val="00AD58F0"/>
    <w:rsid w:val="00AD5C78"/>
    <w:rsid w:val="00AD604E"/>
    <w:rsid w:val="00AD605F"/>
    <w:rsid w:val="00AD6238"/>
    <w:rsid w:val="00AD623D"/>
    <w:rsid w:val="00AD640E"/>
    <w:rsid w:val="00AD65DB"/>
    <w:rsid w:val="00AD6751"/>
    <w:rsid w:val="00AD680F"/>
    <w:rsid w:val="00AD699F"/>
    <w:rsid w:val="00AD6C99"/>
    <w:rsid w:val="00AD706D"/>
    <w:rsid w:val="00AD712D"/>
    <w:rsid w:val="00AD71D2"/>
    <w:rsid w:val="00AD71F3"/>
    <w:rsid w:val="00AD7206"/>
    <w:rsid w:val="00AD7240"/>
    <w:rsid w:val="00AD72B0"/>
    <w:rsid w:val="00AD76CB"/>
    <w:rsid w:val="00AD78BD"/>
    <w:rsid w:val="00AD7BF0"/>
    <w:rsid w:val="00AD7E23"/>
    <w:rsid w:val="00AD7F64"/>
    <w:rsid w:val="00AE03E4"/>
    <w:rsid w:val="00AE03FB"/>
    <w:rsid w:val="00AE0840"/>
    <w:rsid w:val="00AE0A5C"/>
    <w:rsid w:val="00AE0C02"/>
    <w:rsid w:val="00AE0D3A"/>
    <w:rsid w:val="00AE0E3D"/>
    <w:rsid w:val="00AE0EB3"/>
    <w:rsid w:val="00AE0F2F"/>
    <w:rsid w:val="00AE10E4"/>
    <w:rsid w:val="00AE11A5"/>
    <w:rsid w:val="00AE1256"/>
    <w:rsid w:val="00AE1631"/>
    <w:rsid w:val="00AE16B9"/>
    <w:rsid w:val="00AE17A7"/>
    <w:rsid w:val="00AE1B1A"/>
    <w:rsid w:val="00AE1C98"/>
    <w:rsid w:val="00AE1DDB"/>
    <w:rsid w:val="00AE1E1E"/>
    <w:rsid w:val="00AE1F58"/>
    <w:rsid w:val="00AE1F96"/>
    <w:rsid w:val="00AE21C9"/>
    <w:rsid w:val="00AE23C4"/>
    <w:rsid w:val="00AE2436"/>
    <w:rsid w:val="00AE27B2"/>
    <w:rsid w:val="00AE27D3"/>
    <w:rsid w:val="00AE2A20"/>
    <w:rsid w:val="00AE2DCE"/>
    <w:rsid w:val="00AE2F90"/>
    <w:rsid w:val="00AE2F9A"/>
    <w:rsid w:val="00AE31DB"/>
    <w:rsid w:val="00AE3227"/>
    <w:rsid w:val="00AE32A6"/>
    <w:rsid w:val="00AE33EE"/>
    <w:rsid w:val="00AE35DE"/>
    <w:rsid w:val="00AE374C"/>
    <w:rsid w:val="00AE37FE"/>
    <w:rsid w:val="00AE3A8A"/>
    <w:rsid w:val="00AE3B09"/>
    <w:rsid w:val="00AE3B18"/>
    <w:rsid w:val="00AE3B91"/>
    <w:rsid w:val="00AE3D36"/>
    <w:rsid w:val="00AE4206"/>
    <w:rsid w:val="00AE4224"/>
    <w:rsid w:val="00AE4769"/>
    <w:rsid w:val="00AE488F"/>
    <w:rsid w:val="00AE489E"/>
    <w:rsid w:val="00AE48E0"/>
    <w:rsid w:val="00AE4C4E"/>
    <w:rsid w:val="00AE4F6F"/>
    <w:rsid w:val="00AE522B"/>
    <w:rsid w:val="00AE5232"/>
    <w:rsid w:val="00AE552A"/>
    <w:rsid w:val="00AE557A"/>
    <w:rsid w:val="00AE576D"/>
    <w:rsid w:val="00AE5820"/>
    <w:rsid w:val="00AE5B6B"/>
    <w:rsid w:val="00AE5B9E"/>
    <w:rsid w:val="00AE5BB2"/>
    <w:rsid w:val="00AE5BBF"/>
    <w:rsid w:val="00AE5DB7"/>
    <w:rsid w:val="00AE61F9"/>
    <w:rsid w:val="00AE6394"/>
    <w:rsid w:val="00AE64D2"/>
    <w:rsid w:val="00AE656D"/>
    <w:rsid w:val="00AE6627"/>
    <w:rsid w:val="00AE66C2"/>
    <w:rsid w:val="00AE670F"/>
    <w:rsid w:val="00AE695E"/>
    <w:rsid w:val="00AE6B10"/>
    <w:rsid w:val="00AE6BE9"/>
    <w:rsid w:val="00AE6CE0"/>
    <w:rsid w:val="00AE7454"/>
    <w:rsid w:val="00AE748F"/>
    <w:rsid w:val="00AE77DA"/>
    <w:rsid w:val="00AE77E1"/>
    <w:rsid w:val="00AE77F0"/>
    <w:rsid w:val="00AE79F2"/>
    <w:rsid w:val="00AE7A70"/>
    <w:rsid w:val="00AE7E29"/>
    <w:rsid w:val="00AE7EE3"/>
    <w:rsid w:val="00AE7F03"/>
    <w:rsid w:val="00AF007C"/>
    <w:rsid w:val="00AF0382"/>
    <w:rsid w:val="00AF04C7"/>
    <w:rsid w:val="00AF06BC"/>
    <w:rsid w:val="00AF0A80"/>
    <w:rsid w:val="00AF0D5F"/>
    <w:rsid w:val="00AF0D9B"/>
    <w:rsid w:val="00AF0E33"/>
    <w:rsid w:val="00AF0ECF"/>
    <w:rsid w:val="00AF1103"/>
    <w:rsid w:val="00AF162E"/>
    <w:rsid w:val="00AF1676"/>
    <w:rsid w:val="00AF1ADE"/>
    <w:rsid w:val="00AF1E2F"/>
    <w:rsid w:val="00AF1F71"/>
    <w:rsid w:val="00AF1F87"/>
    <w:rsid w:val="00AF2219"/>
    <w:rsid w:val="00AF238E"/>
    <w:rsid w:val="00AF24EA"/>
    <w:rsid w:val="00AF2686"/>
    <w:rsid w:val="00AF2900"/>
    <w:rsid w:val="00AF2937"/>
    <w:rsid w:val="00AF2949"/>
    <w:rsid w:val="00AF2B3C"/>
    <w:rsid w:val="00AF2CE6"/>
    <w:rsid w:val="00AF2D41"/>
    <w:rsid w:val="00AF2DA6"/>
    <w:rsid w:val="00AF2F33"/>
    <w:rsid w:val="00AF3111"/>
    <w:rsid w:val="00AF3129"/>
    <w:rsid w:val="00AF31ED"/>
    <w:rsid w:val="00AF3408"/>
    <w:rsid w:val="00AF34DF"/>
    <w:rsid w:val="00AF35A0"/>
    <w:rsid w:val="00AF3952"/>
    <w:rsid w:val="00AF3967"/>
    <w:rsid w:val="00AF3AA5"/>
    <w:rsid w:val="00AF3D98"/>
    <w:rsid w:val="00AF3E56"/>
    <w:rsid w:val="00AF408D"/>
    <w:rsid w:val="00AF4107"/>
    <w:rsid w:val="00AF4215"/>
    <w:rsid w:val="00AF49B6"/>
    <w:rsid w:val="00AF4F5A"/>
    <w:rsid w:val="00AF535D"/>
    <w:rsid w:val="00AF5606"/>
    <w:rsid w:val="00AF5645"/>
    <w:rsid w:val="00AF5652"/>
    <w:rsid w:val="00AF58A6"/>
    <w:rsid w:val="00AF5975"/>
    <w:rsid w:val="00AF5C08"/>
    <w:rsid w:val="00AF5C75"/>
    <w:rsid w:val="00AF5F0D"/>
    <w:rsid w:val="00AF6038"/>
    <w:rsid w:val="00AF63F2"/>
    <w:rsid w:val="00AF6622"/>
    <w:rsid w:val="00AF6D01"/>
    <w:rsid w:val="00AF6E09"/>
    <w:rsid w:val="00AF6FCD"/>
    <w:rsid w:val="00AF7036"/>
    <w:rsid w:val="00AF7087"/>
    <w:rsid w:val="00AF70BE"/>
    <w:rsid w:val="00AF7455"/>
    <w:rsid w:val="00AF7563"/>
    <w:rsid w:val="00AF7614"/>
    <w:rsid w:val="00AF7A11"/>
    <w:rsid w:val="00AF7A87"/>
    <w:rsid w:val="00AF7AD1"/>
    <w:rsid w:val="00AF7DA4"/>
    <w:rsid w:val="00AF7DD9"/>
    <w:rsid w:val="00AF7DE0"/>
    <w:rsid w:val="00AF7F55"/>
    <w:rsid w:val="00B00019"/>
    <w:rsid w:val="00B0027F"/>
    <w:rsid w:val="00B00437"/>
    <w:rsid w:val="00B00661"/>
    <w:rsid w:val="00B0079C"/>
    <w:rsid w:val="00B01763"/>
    <w:rsid w:val="00B01778"/>
    <w:rsid w:val="00B01848"/>
    <w:rsid w:val="00B01878"/>
    <w:rsid w:val="00B01A3E"/>
    <w:rsid w:val="00B01F72"/>
    <w:rsid w:val="00B01FAF"/>
    <w:rsid w:val="00B020D6"/>
    <w:rsid w:val="00B02254"/>
    <w:rsid w:val="00B022FE"/>
    <w:rsid w:val="00B0232D"/>
    <w:rsid w:val="00B02612"/>
    <w:rsid w:val="00B0275E"/>
    <w:rsid w:val="00B027B5"/>
    <w:rsid w:val="00B0281C"/>
    <w:rsid w:val="00B02C44"/>
    <w:rsid w:val="00B02CFB"/>
    <w:rsid w:val="00B02D39"/>
    <w:rsid w:val="00B02E18"/>
    <w:rsid w:val="00B02EFD"/>
    <w:rsid w:val="00B03390"/>
    <w:rsid w:val="00B033A9"/>
    <w:rsid w:val="00B034BB"/>
    <w:rsid w:val="00B034BF"/>
    <w:rsid w:val="00B0392B"/>
    <w:rsid w:val="00B03A96"/>
    <w:rsid w:val="00B03ABD"/>
    <w:rsid w:val="00B03B07"/>
    <w:rsid w:val="00B03D78"/>
    <w:rsid w:val="00B03DD6"/>
    <w:rsid w:val="00B041AB"/>
    <w:rsid w:val="00B04204"/>
    <w:rsid w:val="00B042DB"/>
    <w:rsid w:val="00B0431B"/>
    <w:rsid w:val="00B04585"/>
    <w:rsid w:val="00B04674"/>
    <w:rsid w:val="00B0482E"/>
    <w:rsid w:val="00B04882"/>
    <w:rsid w:val="00B04884"/>
    <w:rsid w:val="00B04893"/>
    <w:rsid w:val="00B04C40"/>
    <w:rsid w:val="00B04D36"/>
    <w:rsid w:val="00B04EA3"/>
    <w:rsid w:val="00B04EB2"/>
    <w:rsid w:val="00B04F73"/>
    <w:rsid w:val="00B04F85"/>
    <w:rsid w:val="00B05289"/>
    <w:rsid w:val="00B052EB"/>
    <w:rsid w:val="00B057E4"/>
    <w:rsid w:val="00B05809"/>
    <w:rsid w:val="00B05873"/>
    <w:rsid w:val="00B058E3"/>
    <w:rsid w:val="00B06064"/>
    <w:rsid w:val="00B060EF"/>
    <w:rsid w:val="00B0622D"/>
    <w:rsid w:val="00B0639B"/>
    <w:rsid w:val="00B06520"/>
    <w:rsid w:val="00B065ED"/>
    <w:rsid w:val="00B0673C"/>
    <w:rsid w:val="00B06781"/>
    <w:rsid w:val="00B06836"/>
    <w:rsid w:val="00B06A95"/>
    <w:rsid w:val="00B06B8C"/>
    <w:rsid w:val="00B06C9D"/>
    <w:rsid w:val="00B06D67"/>
    <w:rsid w:val="00B07055"/>
    <w:rsid w:val="00B070C4"/>
    <w:rsid w:val="00B071BB"/>
    <w:rsid w:val="00B0726B"/>
    <w:rsid w:val="00B0727D"/>
    <w:rsid w:val="00B07469"/>
    <w:rsid w:val="00B075D4"/>
    <w:rsid w:val="00B07608"/>
    <w:rsid w:val="00B07DAA"/>
    <w:rsid w:val="00B07DCA"/>
    <w:rsid w:val="00B10074"/>
    <w:rsid w:val="00B10392"/>
    <w:rsid w:val="00B10524"/>
    <w:rsid w:val="00B1056F"/>
    <w:rsid w:val="00B10667"/>
    <w:rsid w:val="00B10699"/>
    <w:rsid w:val="00B1070E"/>
    <w:rsid w:val="00B10986"/>
    <w:rsid w:val="00B10A0B"/>
    <w:rsid w:val="00B10B31"/>
    <w:rsid w:val="00B10B32"/>
    <w:rsid w:val="00B10BBD"/>
    <w:rsid w:val="00B10D7F"/>
    <w:rsid w:val="00B10F2B"/>
    <w:rsid w:val="00B111D9"/>
    <w:rsid w:val="00B1123B"/>
    <w:rsid w:val="00B11282"/>
    <w:rsid w:val="00B11377"/>
    <w:rsid w:val="00B113AE"/>
    <w:rsid w:val="00B1159E"/>
    <w:rsid w:val="00B11782"/>
    <w:rsid w:val="00B11815"/>
    <w:rsid w:val="00B11C86"/>
    <w:rsid w:val="00B12613"/>
    <w:rsid w:val="00B12632"/>
    <w:rsid w:val="00B12835"/>
    <w:rsid w:val="00B12857"/>
    <w:rsid w:val="00B12920"/>
    <w:rsid w:val="00B12BDC"/>
    <w:rsid w:val="00B130D1"/>
    <w:rsid w:val="00B13401"/>
    <w:rsid w:val="00B1360E"/>
    <w:rsid w:val="00B13C07"/>
    <w:rsid w:val="00B13E4D"/>
    <w:rsid w:val="00B13FB7"/>
    <w:rsid w:val="00B13FD8"/>
    <w:rsid w:val="00B14113"/>
    <w:rsid w:val="00B14142"/>
    <w:rsid w:val="00B1419C"/>
    <w:rsid w:val="00B141F8"/>
    <w:rsid w:val="00B1441E"/>
    <w:rsid w:val="00B14713"/>
    <w:rsid w:val="00B14B1A"/>
    <w:rsid w:val="00B14D49"/>
    <w:rsid w:val="00B14E2E"/>
    <w:rsid w:val="00B1504E"/>
    <w:rsid w:val="00B151CB"/>
    <w:rsid w:val="00B15302"/>
    <w:rsid w:val="00B154E5"/>
    <w:rsid w:val="00B15657"/>
    <w:rsid w:val="00B15778"/>
    <w:rsid w:val="00B158DA"/>
    <w:rsid w:val="00B15C07"/>
    <w:rsid w:val="00B15C86"/>
    <w:rsid w:val="00B15D19"/>
    <w:rsid w:val="00B160E6"/>
    <w:rsid w:val="00B161E2"/>
    <w:rsid w:val="00B163E6"/>
    <w:rsid w:val="00B16421"/>
    <w:rsid w:val="00B16424"/>
    <w:rsid w:val="00B16A4B"/>
    <w:rsid w:val="00B16BA0"/>
    <w:rsid w:val="00B16C2B"/>
    <w:rsid w:val="00B16C73"/>
    <w:rsid w:val="00B16CF5"/>
    <w:rsid w:val="00B17172"/>
    <w:rsid w:val="00B1748F"/>
    <w:rsid w:val="00B1760E"/>
    <w:rsid w:val="00B17A38"/>
    <w:rsid w:val="00B17AFB"/>
    <w:rsid w:val="00B17AFC"/>
    <w:rsid w:val="00B17C28"/>
    <w:rsid w:val="00B17E30"/>
    <w:rsid w:val="00B17F23"/>
    <w:rsid w:val="00B200DA"/>
    <w:rsid w:val="00B202B0"/>
    <w:rsid w:val="00B204F8"/>
    <w:rsid w:val="00B20806"/>
    <w:rsid w:val="00B20AEE"/>
    <w:rsid w:val="00B21188"/>
    <w:rsid w:val="00B21295"/>
    <w:rsid w:val="00B214C6"/>
    <w:rsid w:val="00B216DF"/>
    <w:rsid w:val="00B21880"/>
    <w:rsid w:val="00B21A0D"/>
    <w:rsid w:val="00B21AA1"/>
    <w:rsid w:val="00B21C55"/>
    <w:rsid w:val="00B21C94"/>
    <w:rsid w:val="00B21F03"/>
    <w:rsid w:val="00B21F15"/>
    <w:rsid w:val="00B21F34"/>
    <w:rsid w:val="00B21F9B"/>
    <w:rsid w:val="00B2207E"/>
    <w:rsid w:val="00B2239D"/>
    <w:rsid w:val="00B22517"/>
    <w:rsid w:val="00B2287D"/>
    <w:rsid w:val="00B22DE4"/>
    <w:rsid w:val="00B22F6E"/>
    <w:rsid w:val="00B230F5"/>
    <w:rsid w:val="00B23459"/>
    <w:rsid w:val="00B236BB"/>
    <w:rsid w:val="00B237B4"/>
    <w:rsid w:val="00B237F3"/>
    <w:rsid w:val="00B23A34"/>
    <w:rsid w:val="00B23B3D"/>
    <w:rsid w:val="00B24151"/>
    <w:rsid w:val="00B241B5"/>
    <w:rsid w:val="00B2444A"/>
    <w:rsid w:val="00B24516"/>
    <w:rsid w:val="00B24550"/>
    <w:rsid w:val="00B24654"/>
    <w:rsid w:val="00B246E3"/>
    <w:rsid w:val="00B2487C"/>
    <w:rsid w:val="00B24DBD"/>
    <w:rsid w:val="00B24F80"/>
    <w:rsid w:val="00B250EA"/>
    <w:rsid w:val="00B25244"/>
    <w:rsid w:val="00B25744"/>
    <w:rsid w:val="00B258E0"/>
    <w:rsid w:val="00B2595D"/>
    <w:rsid w:val="00B25D38"/>
    <w:rsid w:val="00B25EB5"/>
    <w:rsid w:val="00B25FAE"/>
    <w:rsid w:val="00B260AC"/>
    <w:rsid w:val="00B26199"/>
    <w:rsid w:val="00B263FE"/>
    <w:rsid w:val="00B2645D"/>
    <w:rsid w:val="00B265E8"/>
    <w:rsid w:val="00B26A00"/>
    <w:rsid w:val="00B26A80"/>
    <w:rsid w:val="00B26AA3"/>
    <w:rsid w:val="00B26C64"/>
    <w:rsid w:val="00B26D55"/>
    <w:rsid w:val="00B26F7E"/>
    <w:rsid w:val="00B27288"/>
    <w:rsid w:val="00B272EB"/>
    <w:rsid w:val="00B27315"/>
    <w:rsid w:val="00B27717"/>
    <w:rsid w:val="00B27D6D"/>
    <w:rsid w:val="00B27E09"/>
    <w:rsid w:val="00B27E9D"/>
    <w:rsid w:val="00B30035"/>
    <w:rsid w:val="00B3024D"/>
    <w:rsid w:val="00B30427"/>
    <w:rsid w:val="00B30595"/>
    <w:rsid w:val="00B309B3"/>
    <w:rsid w:val="00B30C2C"/>
    <w:rsid w:val="00B30D14"/>
    <w:rsid w:val="00B30D4D"/>
    <w:rsid w:val="00B30E9F"/>
    <w:rsid w:val="00B31613"/>
    <w:rsid w:val="00B317E3"/>
    <w:rsid w:val="00B31912"/>
    <w:rsid w:val="00B319AD"/>
    <w:rsid w:val="00B31D1A"/>
    <w:rsid w:val="00B31D50"/>
    <w:rsid w:val="00B32028"/>
    <w:rsid w:val="00B32040"/>
    <w:rsid w:val="00B32482"/>
    <w:rsid w:val="00B3248D"/>
    <w:rsid w:val="00B32534"/>
    <w:rsid w:val="00B325CE"/>
    <w:rsid w:val="00B32690"/>
    <w:rsid w:val="00B3273B"/>
    <w:rsid w:val="00B32AE3"/>
    <w:rsid w:val="00B32BAC"/>
    <w:rsid w:val="00B3302F"/>
    <w:rsid w:val="00B330A6"/>
    <w:rsid w:val="00B33220"/>
    <w:rsid w:val="00B333F8"/>
    <w:rsid w:val="00B334A9"/>
    <w:rsid w:val="00B334F0"/>
    <w:rsid w:val="00B33796"/>
    <w:rsid w:val="00B33827"/>
    <w:rsid w:val="00B33853"/>
    <w:rsid w:val="00B3390B"/>
    <w:rsid w:val="00B339F3"/>
    <w:rsid w:val="00B33A2D"/>
    <w:rsid w:val="00B33C14"/>
    <w:rsid w:val="00B33D12"/>
    <w:rsid w:val="00B33F81"/>
    <w:rsid w:val="00B34249"/>
    <w:rsid w:val="00B3435C"/>
    <w:rsid w:val="00B345A1"/>
    <w:rsid w:val="00B3472B"/>
    <w:rsid w:val="00B34876"/>
    <w:rsid w:val="00B349E1"/>
    <w:rsid w:val="00B34A74"/>
    <w:rsid w:val="00B34AA4"/>
    <w:rsid w:val="00B34C88"/>
    <w:rsid w:val="00B352F7"/>
    <w:rsid w:val="00B35369"/>
    <w:rsid w:val="00B35383"/>
    <w:rsid w:val="00B3583B"/>
    <w:rsid w:val="00B3584C"/>
    <w:rsid w:val="00B35C47"/>
    <w:rsid w:val="00B35D99"/>
    <w:rsid w:val="00B35DC2"/>
    <w:rsid w:val="00B35FC7"/>
    <w:rsid w:val="00B3613A"/>
    <w:rsid w:val="00B36335"/>
    <w:rsid w:val="00B36544"/>
    <w:rsid w:val="00B36B7C"/>
    <w:rsid w:val="00B36CD7"/>
    <w:rsid w:val="00B36DA1"/>
    <w:rsid w:val="00B36F36"/>
    <w:rsid w:val="00B370D6"/>
    <w:rsid w:val="00B37235"/>
    <w:rsid w:val="00B373A5"/>
    <w:rsid w:val="00B373B0"/>
    <w:rsid w:val="00B376B6"/>
    <w:rsid w:val="00B376FD"/>
    <w:rsid w:val="00B377B4"/>
    <w:rsid w:val="00B37A8F"/>
    <w:rsid w:val="00B37ADD"/>
    <w:rsid w:val="00B37B08"/>
    <w:rsid w:val="00B37D83"/>
    <w:rsid w:val="00B37DC9"/>
    <w:rsid w:val="00B40156"/>
    <w:rsid w:val="00B403CE"/>
    <w:rsid w:val="00B40411"/>
    <w:rsid w:val="00B404F9"/>
    <w:rsid w:val="00B40540"/>
    <w:rsid w:val="00B4054D"/>
    <w:rsid w:val="00B40701"/>
    <w:rsid w:val="00B4087A"/>
    <w:rsid w:val="00B40929"/>
    <w:rsid w:val="00B40CE4"/>
    <w:rsid w:val="00B40CF6"/>
    <w:rsid w:val="00B40D12"/>
    <w:rsid w:val="00B40D50"/>
    <w:rsid w:val="00B40F3E"/>
    <w:rsid w:val="00B4103E"/>
    <w:rsid w:val="00B4130E"/>
    <w:rsid w:val="00B41314"/>
    <w:rsid w:val="00B41420"/>
    <w:rsid w:val="00B414EB"/>
    <w:rsid w:val="00B41B18"/>
    <w:rsid w:val="00B41BD6"/>
    <w:rsid w:val="00B41E8A"/>
    <w:rsid w:val="00B420A7"/>
    <w:rsid w:val="00B427D5"/>
    <w:rsid w:val="00B42A47"/>
    <w:rsid w:val="00B42B29"/>
    <w:rsid w:val="00B43148"/>
    <w:rsid w:val="00B4341C"/>
    <w:rsid w:val="00B43537"/>
    <w:rsid w:val="00B435B2"/>
    <w:rsid w:val="00B43641"/>
    <w:rsid w:val="00B43698"/>
    <w:rsid w:val="00B4394D"/>
    <w:rsid w:val="00B43AD7"/>
    <w:rsid w:val="00B43B63"/>
    <w:rsid w:val="00B43BD0"/>
    <w:rsid w:val="00B43D2D"/>
    <w:rsid w:val="00B43DB3"/>
    <w:rsid w:val="00B43E1C"/>
    <w:rsid w:val="00B43E41"/>
    <w:rsid w:val="00B4426B"/>
    <w:rsid w:val="00B445E0"/>
    <w:rsid w:val="00B449C2"/>
    <w:rsid w:val="00B44F4A"/>
    <w:rsid w:val="00B44F86"/>
    <w:rsid w:val="00B44F91"/>
    <w:rsid w:val="00B45025"/>
    <w:rsid w:val="00B45048"/>
    <w:rsid w:val="00B450AA"/>
    <w:rsid w:val="00B4520E"/>
    <w:rsid w:val="00B45463"/>
    <w:rsid w:val="00B45995"/>
    <w:rsid w:val="00B45ACF"/>
    <w:rsid w:val="00B45C51"/>
    <w:rsid w:val="00B460E6"/>
    <w:rsid w:val="00B46138"/>
    <w:rsid w:val="00B4620C"/>
    <w:rsid w:val="00B46342"/>
    <w:rsid w:val="00B4642C"/>
    <w:rsid w:val="00B4662B"/>
    <w:rsid w:val="00B46815"/>
    <w:rsid w:val="00B46890"/>
    <w:rsid w:val="00B469F8"/>
    <w:rsid w:val="00B46A6F"/>
    <w:rsid w:val="00B46EBE"/>
    <w:rsid w:val="00B47027"/>
    <w:rsid w:val="00B4722F"/>
    <w:rsid w:val="00B4731D"/>
    <w:rsid w:val="00B47395"/>
    <w:rsid w:val="00B47468"/>
    <w:rsid w:val="00B475C2"/>
    <w:rsid w:val="00B4760A"/>
    <w:rsid w:val="00B4760E"/>
    <w:rsid w:val="00B47877"/>
    <w:rsid w:val="00B478E6"/>
    <w:rsid w:val="00B4797D"/>
    <w:rsid w:val="00B47A20"/>
    <w:rsid w:val="00B47C89"/>
    <w:rsid w:val="00B47F81"/>
    <w:rsid w:val="00B50053"/>
    <w:rsid w:val="00B500D2"/>
    <w:rsid w:val="00B50430"/>
    <w:rsid w:val="00B507DF"/>
    <w:rsid w:val="00B508F3"/>
    <w:rsid w:val="00B509A2"/>
    <w:rsid w:val="00B50C0A"/>
    <w:rsid w:val="00B50DB5"/>
    <w:rsid w:val="00B50F8B"/>
    <w:rsid w:val="00B510BF"/>
    <w:rsid w:val="00B510FE"/>
    <w:rsid w:val="00B51221"/>
    <w:rsid w:val="00B516EE"/>
    <w:rsid w:val="00B51836"/>
    <w:rsid w:val="00B51A2B"/>
    <w:rsid w:val="00B51A42"/>
    <w:rsid w:val="00B51B0E"/>
    <w:rsid w:val="00B51B43"/>
    <w:rsid w:val="00B51B5D"/>
    <w:rsid w:val="00B51D99"/>
    <w:rsid w:val="00B51DC4"/>
    <w:rsid w:val="00B51E7C"/>
    <w:rsid w:val="00B521A1"/>
    <w:rsid w:val="00B5230F"/>
    <w:rsid w:val="00B528B7"/>
    <w:rsid w:val="00B52958"/>
    <w:rsid w:val="00B529BC"/>
    <w:rsid w:val="00B52AF7"/>
    <w:rsid w:val="00B52CE2"/>
    <w:rsid w:val="00B52F76"/>
    <w:rsid w:val="00B52FEF"/>
    <w:rsid w:val="00B5329D"/>
    <w:rsid w:val="00B533A3"/>
    <w:rsid w:val="00B53420"/>
    <w:rsid w:val="00B53476"/>
    <w:rsid w:val="00B53743"/>
    <w:rsid w:val="00B53B88"/>
    <w:rsid w:val="00B53C8F"/>
    <w:rsid w:val="00B53EBD"/>
    <w:rsid w:val="00B53F91"/>
    <w:rsid w:val="00B54147"/>
    <w:rsid w:val="00B5426E"/>
    <w:rsid w:val="00B5431B"/>
    <w:rsid w:val="00B54A5B"/>
    <w:rsid w:val="00B54B8C"/>
    <w:rsid w:val="00B54CF6"/>
    <w:rsid w:val="00B54D4E"/>
    <w:rsid w:val="00B54D58"/>
    <w:rsid w:val="00B5517D"/>
    <w:rsid w:val="00B555E2"/>
    <w:rsid w:val="00B55643"/>
    <w:rsid w:val="00B5575A"/>
    <w:rsid w:val="00B557A8"/>
    <w:rsid w:val="00B557E0"/>
    <w:rsid w:val="00B55A6A"/>
    <w:rsid w:val="00B55B04"/>
    <w:rsid w:val="00B55BF4"/>
    <w:rsid w:val="00B55C29"/>
    <w:rsid w:val="00B55CEC"/>
    <w:rsid w:val="00B55DB5"/>
    <w:rsid w:val="00B55FF1"/>
    <w:rsid w:val="00B56088"/>
    <w:rsid w:val="00B564C1"/>
    <w:rsid w:val="00B56566"/>
    <w:rsid w:val="00B565F2"/>
    <w:rsid w:val="00B56661"/>
    <w:rsid w:val="00B56C9D"/>
    <w:rsid w:val="00B56DC4"/>
    <w:rsid w:val="00B56F40"/>
    <w:rsid w:val="00B57218"/>
    <w:rsid w:val="00B5767D"/>
    <w:rsid w:val="00B578E4"/>
    <w:rsid w:val="00B57D69"/>
    <w:rsid w:val="00B57E26"/>
    <w:rsid w:val="00B57EB6"/>
    <w:rsid w:val="00B6000A"/>
    <w:rsid w:val="00B600F0"/>
    <w:rsid w:val="00B6019C"/>
    <w:rsid w:val="00B60414"/>
    <w:rsid w:val="00B604AC"/>
    <w:rsid w:val="00B6053F"/>
    <w:rsid w:val="00B606E5"/>
    <w:rsid w:val="00B607C6"/>
    <w:rsid w:val="00B60A34"/>
    <w:rsid w:val="00B60BB7"/>
    <w:rsid w:val="00B60C4E"/>
    <w:rsid w:val="00B60D9E"/>
    <w:rsid w:val="00B60E6B"/>
    <w:rsid w:val="00B60F68"/>
    <w:rsid w:val="00B61286"/>
    <w:rsid w:val="00B612BD"/>
    <w:rsid w:val="00B61417"/>
    <w:rsid w:val="00B61427"/>
    <w:rsid w:val="00B61545"/>
    <w:rsid w:val="00B61727"/>
    <w:rsid w:val="00B617A3"/>
    <w:rsid w:val="00B618DD"/>
    <w:rsid w:val="00B618F9"/>
    <w:rsid w:val="00B61A3A"/>
    <w:rsid w:val="00B61AF5"/>
    <w:rsid w:val="00B61B4D"/>
    <w:rsid w:val="00B61B6E"/>
    <w:rsid w:val="00B61B98"/>
    <w:rsid w:val="00B61E52"/>
    <w:rsid w:val="00B61F09"/>
    <w:rsid w:val="00B61FB8"/>
    <w:rsid w:val="00B62121"/>
    <w:rsid w:val="00B62173"/>
    <w:rsid w:val="00B624B7"/>
    <w:rsid w:val="00B62569"/>
    <w:rsid w:val="00B62712"/>
    <w:rsid w:val="00B6271D"/>
    <w:rsid w:val="00B62A73"/>
    <w:rsid w:val="00B62B1A"/>
    <w:rsid w:val="00B62CB2"/>
    <w:rsid w:val="00B62DCB"/>
    <w:rsid w:val="00B62E87"/>
    <w:rsid w:val="00B63404"/>
    <w:rsid w:val="00B63465"/>
    <w:rsid w:val="00B635D2"/>
    <w:rsid w:val="00B635E8"/>
    <w:rsid w:val="00B6384F"/>
    <w:rsid w:val="00B63A0B"/>
    <w:rsid w:val="00B63A28"/>
    <w:rsid w:val="00B63B75"/>
    <w:rsid w:val="00B6419A"/>
    <w:rsid w:val="00B64623"/>
    <w:rsid w:val="00B6465D"/>
    <w:rsid w:val="00B6476D"/>
    <w:rsid w:val="00B64803"/>
    <w:rsid w:val="00B649DA"/>
    <w:rsid w:val="00B64AD5"/>
    <w:rsid w:val="00B64B43"/>
    <w:rsid w:val="00B64B70"/>
    <w:rsid w:val="00B64BDE"/>
    <w:rsid w:val="00B64CE0"/>
    <w:rsid w:val="00B64D1B"/>
    <w:rsid w:val="00B64E20"/>
    <w:rsid w:val="00B6521D"/>
    <w:rsid w:val="00B652A4"/>
    <w:rsid w:val="00B65347"/>
    <w:rsid w:val="00B653BF"/>
    <w:rsid w:val="00B655C7"/>
    <w:rsid w:val="00B657A6"/>
    <w:rsid w:val="00B65A85"/>
    <w:rsid w:val="00B65B87"/>
    <w:rsid w:val="00B65D1D"/>
    <w:rsid w:val="00B65D61"/>
    <w:rsid w:val="00B65DE1"/>
    <w:rsid w:val="00B65E15"/>
    <w:rsid w:val="00B65EA9"/>
    <w:rsid w:val="00B65F76"/>
    <w:rsid w:val="00B66010"/>
    <w:rsid w:val="00B660A9"/>
    <w:rsid w:val="00B660EA"/>
    <w:rsid w:val="00B662FB"/>
    <w:rsid w:val="00B663D7"/>
    <w:rsid w:val="00B664F8"/>
    <w:rsid w:val="00B6656D"/>
    <w:rsid w:val="00B665C8"/>
    <w:rsid w:val="00B6668F"/>
    <w:rsid w:val="00B66861"/>
    <w:rsid w:val="00B66B99"/>
    <w:rsid w:val="00B66BE6"/>
    <w:rsid w:val="00B66C17"/>
    <w:rsid w:val="00B66CAE"/>
    <w:rsid w:val="00B66EB2"/>
    <w:rsid w:val="00B67211"/>
    <w:rsid w:val="00B67353"/>
    <w:rsid w:val="00B674A0"/>
    <w:rsid w:val="00B679DA"/>
    <w:rsid w:val="00B67A48"/>
    <w:rsid w:val="00B67D71"/>
    <w:rsid w:val="00B67D84"/>
    <w:rsid w:val="00B67EC3"/>
    <w:rsid w:val="00B7018B"/>
    <w:rsid w:val="00B702AF"/>
    <w:rsid w:val="00B702CF"/>
    <w:rsid w:val="00B70360"/>
    <w:rsid w:val="00B7049C"/>
    <w:rsid w:val="00B707A0"/>
    <w:rsid w:val="00B70CA7"/>
    <w:rsid w:val="00B70D3E"/>
    <w:rsid w:val="00B70D9E"/>
    <w:rsid w:val="00B71511"/>
    <w:rsid w:val="00B71566"/>
    <w:rsid w:val="00B7169F"/>
    <w:rsid w:val="00B71721"/>
    <w:rsid w:val="00B719A6"/>
    <w:rsid w:val="00B71A08"/>
    <w:rsid w:val="00B71C4E"/>
    <w:rsid w:val="00B71D68"/>
    <w:rsid w:val="00B72242"/>
    <w:rsid w:val="00B72266"/>
    <w:rsid w:val="00B722F4"/>
    <w:rsid w:val="00B72426"/>
    <w:rsid w:val="00B724B5"/>
    <w:rsid w:val="00B724FE"/>
    <w:rsid w:val="00B72741"/>
    <w:rsid w:val="00B7288B"/>
    <w:rsid w:val="00B72A72"/>
    <w:rsid w:val="00B72AF0"/>
    <w:rsid w:val="00B72C04"/>
    <w:rsid w:val="00B72F1F"/>
    <w:rsid w:val="00B730EF"/>
    <w:rsid w:val="00B731DB"/>
    <w:rsid w:val="00B73769"/>
    <w:rsid w:val="00B73776"/>
    <w:rsid w:val="00B73796"/>
    <w:rsid w:val="00B737D8"/>
    <w:rsid w:val="00B737EB"/>
    <w:rsid w:val="00B73891"/>
    <w:rsid w:val="00B73B76"/>
    <w:rsid w:val="00B73BEE"/>
    <w:rsid w:val="00B73FAD"/>
    <w:rsid w:val="00B74093"/>
    <w:rsid w:val="00B74225"/>
    <w:rsid w:val="00B74647"/>
    <w:rsid w:val="00B74743"/>
    <w:rsid w:val="00B74908"/>
    <w:rsid w:val="00B74998"/>
    <w:rsid w:val="00B74AC6"/>
    <w:rsid w:val="00B74B72"/>
    <w:rsid w:val="00B74C9D"/>
    <w:rsid w:val="00B74F5F"/>
    <w:rsid w:val="00B75372"/>
    <w:rsid w:val="00B756D7"/>
    <w:rsid w:val="00B759B4"/>
    <w:rsid w:val="00B75B50"/>
    <w:rsid w:val="00B75DCD"/>
    <w:rsid w:val="00B75DD1"/>
    <w:rsid w:val="00B76117"/>
    <w:rsid w:val="00B76292"/>
    <w:rsid w:val="00B762D5"/>
    <w:rsid w:val="00B765FD"/>
    <w:rsid w:val="00B7699A"/>
    <w:rsid w:val="00B769C1"/>
    <w:rsid w:val="00B76BBA"/>
    <w:rsid w:val="00B76BBB"/>
    <w:rsid w:val="00B76C55"/>
    <w:rsid w:val="00B76DE6"/>
    <w:rsid w:val="00B76F5A"/>
    <w:rsid w:val="00B7708F"/>
    <w:rsid w:val="00B7729D"/>
    <w:rsid w:val="00B772F3"/>
    <w:rsid w:val="00B7731A"/>
    <w:rsid w:val="00B774F4"/>
    <w:rsid w:val="00B77547"/>
    <w:rsid w:val="00B775EE"/>
    <w:rsid w:val="00B776E9"/>
    <w:rsid w:val="00B77826"/>
    <w:rsid w:val="00B77871"/>
    <w:rsid w:val="00B7796B"/>
    <w:rsid w:val="00B77A8F"/>
    <w:rsid w:val="00B77BA2"/>
    <w:rsid w:val="00B77E91"/>
    <w:rsid w:val="00B77EFF"/>
    <w:rsid w:val="00B80473"/>
    <w:rsid w:val="00B80483"/>
    <w:rsid w:val="00B806B4"/>
    <w:rsid w:val="00B8093D"/>
    <w:rsid w:val="00B80984"/>
    <w:rsid w:val="00B80B45"/>
    <w:rsid w:val="00B80BB8"/>
    <w:rsid w:val="00B80BFE"/>
    <w:rsid w:val="00B80D68"/>
    <w:rsid w:val="00B813A5"/>
    <w:rsid w:val="00B814F6"/>
    <w:rsid w:val="00B815E8"/>
    <w:rsid w:val="00B81994"/>
    <w:rsid w:val="00B819BD"/>
    <w:rsid w:val="00B81A01"/>
    <w:rsid w:val="00B822F0"/>
    <w:rsid w:val="00B82305"/>
    <w:rsid w:val="00B824BD"/>
    <w:rsid w:val="00B8290C"/>
    <w:rsid w:val="00B82CF8"/>
    <w:rsid w:val="00B82D16"/>
    <w:rsid w:val="00B83066"/>
    <w:rsid w:val="00B8323E"/>
    <w:rsid w:val="00B832DF"/>
    <w:rsid w:val="00B8346F"/>
    <w:rsid w:val="00B835DC"/>
    <w:rsid w:val="00B8367D"/>
    <w:rsid w:val="00B839E3"/>
    <w:rsid w:val="00B83B22"/>
    <w:rsid w:val="00B83B79"/>
    <w:rsid w:val="00B83CFA"/>
    <w:rsid w:val="00B83D4E"/>
    <w:rsid w:val="00B83D7B"/>
    <w:rsid w:val="00B83E11"/>
    <w:rsid w:val="00B83E7D"/>
    <w:rsid w:val="00B83FE6"/>
    <w:rsid w:val="00B84020"/>
    <w:rsid w:val="00B840FE"/>
    <w:rsid w:val="00B84102"/>
    <w:rsid w:val="00B842D6"/>
    <w:rsid w:val="00B8447C"/>
    <w:rsid w:val="00B844CE"/>
    <w:rsid w:val="00B84517"/>
    <w:rsid w:val="00B8459E"/>
    <w:rsid w:val="00B84957"/>
    <w:rsid w:val="00B84B6D"/>
    <w:rsid w:val="00B84CDB"/>
    <w:rsid w:val="00B84D94"/>
    <w:rsid w:val="00B851C5"/>
    <w:rsid w:val="00B85228"/>
    <w:rsid w:val="00B85414"/>
    <w:rsid w:val="00B854D8"/>
    <w:rsid w:val="00B856BB"/>
    <w:rsid w:val="00B857AE"/>
    <w:rsid w:val="00B857E9"/>
    <w:rsid w:val="00B85EFA"/>
    <w:rsid w:val="00B864DD"/>
    <w:rsid w:val="00B8652A"/>
    <w:rsid w:val="00B8664A"/>
    <w:rsid w:val="00B86BF2"/>
    <w:rsid w:val="00B86CC1"/>
    <w:rsid w:val="00B86E6D"/>
    <w:rsid w:val="00B87583"/>
    <w:rsid w:val="00B87717"/>
    <w:rsid w:val="00B87927"/>
    <w:rsid w:val="00B87A00"/>
    <w:rsid w:val="00B87C1C"/>
    <w:rsid w:val="00B87CD4"/>
    <w:rsid w:val="00B87DE2"/>
    <w:rsid w:val="00B90A3A"/>
    <w:rsid w:val="00B90C30"/>
    <w:rsid w:val="00B90D25"/>
    <w:rsid w:val="00B9109D"/>
    <w:rsid w:val="00B91120"/>
    <w:rsid w:val="00B9128B"/>
    <w:rsid w:val="00B912A9"/>
    <w:rsid w:val="00B91424"/>
    <w:rsid w:val="00B91913"/>
    <w:rsid w:val="00B91B54"/>
    <w:rsid w:val="00B91BBF"/>
    <w:rsid w:val="00B91BF3"/>
    <w:rsid w:val="00B91C10"/>
    <w:rsid w:val="00B91D94"/>
    <w:rsid w:val="00B91EA8"/>
    <w:rsid w:val="00B91EF0"/>
    <w:rsid w:val="00B9223B"/>
    <w:rsid w:val="00B92257"/>
    <w:rsid w:val="00B92331"/>
    <w:rsid w:val="00B923D1"/>
    <w:rsid w:val="00B923DB"/>
    <w:rsid w:val="00B924AA"/>
    <w:rsid w:val="00B925A0"/>
    <w:rsid w:val="00B925A9"/>
    <w:rsid w:val="00B9262A"/>
    <w:rsid w:val="00B92721"/>
    <w:rsid w:val="00B9280A"/>
    <w:rsid w:val="00B928F9"/>
    <w:rsid w:val="00B928FD"/>
    <w:rsid w:val="00B92C9E"/>
    <w:rsid w:val="00B92CCE"/>
    <w:rsid w:val="00B92D1D"/>
    <w:rsid w:val="00B92E1F"/>
    <w:rsid w:val="00B92E7B"/>
    <w:rsid w:val="00B932B6"/>
    <w:rsid w:val="00B934C3"/>
    <w:rsid w:val="00B93550"/>
    <w:rsid w:val="00B935BC"/>
    <w:rsid w:val="00B9362E"/>
    <w:rsid w:val="00B938BF"/>
    <w:rsid w:val="00B93E4E"/>
    <w:rsid w:val="00B93FF6"/>
    <w:rsid w:val="00B943F9"/>
    <w:rsid w:val="00B94425"/>
    <w:rsid w:val="00B9453C"/>
    <w:rsid w:val="00B945A7"/>
    <w:rsid w:val="00B9481A"/>
    <w:rsid w:val="00B94C3A"/>
    <w:rsid w:val="00B94DBB"/>
    <w:rsid w:val="00B94FAF"/>
    <w:rsid w:val="00B94FDE"/>
    <w:rsid w:val="00B9513B"/>
    <w:rsid w:val="00B95406"/>
    <w:rsid w:val="00B955E0"/>
    <w:rsid w:val="00B955E8"/>
    <w:rsid w:val="00B95849"/>
    <w:rsid w:val="00B95B62"/>
    <w:rsid w:val="00B961C8"/>
    <w:rsid w:val="00B96587"/>
    <w:rsid w:val="00B966A5"/>
    <w:rsid w:val="00B9673E"/>
    <w:rsid w:val="00B96834"/>
    <w:rsid w:val="00B96B7E"/>
    <w:rsid w:val="00B96B9E"/>
    <w:rsid w:val="00B96D1A"/>
    <w:rsid w:val="00B96E1C"/>
    <w:rsid w:val="00B96FAA"/>
    <w:rsid w:val="00B9704E"/>
    <w:rsid w:val="00B97097"/>
    <w:rsid w:val="00B9737A"/>
    <w:rsid w:val="00B97533"/>
    <w:rsid w:val="00B97622"/>
    <w:rsid w:val="00B97695"/>
    <w:rsid w:val="00B97834"/>
    <w:rsid w:val="00B97D89"/>
    <w:rsid w:val="00B97E3B"/>
    <w:rsid w:val="00BA06A7"/>
    <w:rsid w:val="00BA0740"/>
    <w:rsid w:val="00BA0A0D"/>
    <w:rsid w:val="00BA0A58"/>
    <w:rsid w:val="00BA0AB2"/>
    <w:rsid w:val="00BA0AE4"/>
    <w:rsid w:val="00BA0C68"/>
    <w:rsid w:val="00BA0E17"/>
    <w:rsid w:val="00BA0E67"/>
    <w:rsid w:val="00BA0F35"/>
    <w:rsid w:val="00BA0FF4"/>
    <w:rsid w:val="00BA10A8"/>
    <w:rsid w:val="00BA122D"/>
    <w:rsid w:val="00BA1262"/>
    <w:rsid w:val="00BA155A"/>
    <w:rsid w:val="00BA17B6"/>
    <w:rsid w:val="00BA1973"/>
    <w:rsid w:val="00BA1AB9"/>
    <w:rsid w:val="00BA1B65"/>
    <w:rsid w:val="00BA1DFD"/>
    <w:rsid w:val="00BA1F6A"/>
    <w:rsid w:val="00BA23FD"/>
    <w:rsid w:val="00BA24DC"/>
    <w:rsid w:val="00BA2589"/>
    <w:rsid w:val="00BA25B5"/>
    <w:rsid w:val="00BA266D"/>
    <w:rsid w:val="00BA2708"/>
    <w:rsid w:val="00BA28F7"/>
    <w:rsid w:val="00BA2A3B"/>
    <w:rsid w:val="00BA2CE9"/>
    <w:rsid w:val="00BA2DC8"/>
    <w:rsid w:val="00BA31E7"/>
    <w:rsid w:val="00BA32F4"/>
    <w:rsid w:val="00BA3502"/>
    <w:rsid w:val="00BA354A"/>
    <w:rsid w:val="00BA358D"/>
    <w:rsid w:val="00BA3687"/>
    <w:rsid w:val="00BA3872"/>
    <w:rsid w:val="00BA3998"/>
    <w:rsid w:val="00BA39F9"/>
    <w:rsid w:val="00BA3D1A"/>
    <w:rsid w:val="00BA3F54"/>
    <w:rsid w:val="00BA40D2"/>
    <w:rsid w:val="00BA45CD"/>
    <w:rsid w:val="00BA4669"/>
    <w:rsid w:val="00BA4798"/>
    <w:rsid w:val="00BA4865"/>
    <w:rsid w:val="00BA497A"/>
    <w:rsid w:val="00BA4DC6"/>
    <w:rsid w:val="00BA4EA8"/>
    <w:rsid w:val="00BA4EEE"/>
    <w:rsid w:val="00BA510B"/>
    <w:rsid w:val="00BA565C"/>
    <w:rsid w:val="00BA597D"/>
    <w:rsid w:val="00BA5ADA"/>
    <w:rsid w:val="00BA5B96"/>
    <w:rsid w:val="00BA5D48"/>
    <w:rsid w:val="00BA5DA2"/>
    <w:rsid w:val="00BA5DB3"/>
    <w:rsid w:val="00BA5DD2"/>
    <w:rsid w:val="00BA6402"/>
    <w:rsid w:val="00BA675A"/>
    <w:rsid w:val="00BA6784"/>
    <w:rsid w:val="00BA68EF"/>
    <w:rsid w:val="00BA6E8C"/>
    <w:rsid w:val="00BA7137"/>
    <w:rsid w:val="00BA7265"/>
    <w:rsid w:val="00BA7560"/>
    <w:rsid w:val="00BA7678"/>
    <w:rsid w:val="00BA7736"/>
    <w:rsid w:val="00BA7824"/>
    <w:rsid w:val="00BA78C3"/>
    <w:rsid w:val="00BA7A3F"/>
    <w:rsid w:val="00BA7BD4"/>
    <w:rsid w:val="00BB00F3"/>
    <w:rsid w:val="00BB0119"/>
    <w:rsid w:val="00BB01F5"/>
    <w:rsid w:val="00BB042A"/>
    <w:rsid w:val="00BB056A"/>
    <w:rsid w:val="00BB0B09"/>
    <w:rsid w:val="00BB0B72"/>
    <w:rsid w:val="00BB0DAC"/>
    <w:rsid w:val="00BB0DF9"/>
    <w:rsid w:val="00BB0EA2"/>
    <w:rsid w:val="00BB0F8D"/>
    <w:rsid w:val="00BB0FAA"/>
    <w:rsid w:val="00BB108F"/>
    <w:rsid w:val="00BB1240"/>
    <w:rsid w:val="00BB127C"/>
    <w:rsid w:val="00BB1516"/>
    <w:rsid w:val="00BB1517"/>
    <w:rsid w:val="00BB164F"/>
    <w:rsid w:val="00BB18EA"/>
    <w:rsid w:val="00BB190E"/>
    <w:rsid w:val="00BB1A41"/>
    <w:rsid w:val="00BB1CCC"/>
    <w:rsid w:val="00BB2030"/>
    <w:rsid w:val="00BB2057"/>
    <w:rsid w:val="00BB2105"/>
    <w:rsid w:val="00BB2729"/>
    <w:rsid w:val="00BB277E"/>
    <w:rsid w:val="00BB2969"/>
    <w:rsid w:val="00BB2C32"/>
    <w:rsid w:val="00BB3057"/>
    <w:rsid w:val="00BB3340"/>
    <w:rsid w:val="00BB3463"/>
    <w:rsid w:val="00BB3B24"/>
    <w:rsid w:val="00BB3C28"/>
    <w:rsid w:val="00BB3FDB"/>
    <w:rsid w:val="00BB487D"/>
    <w:rsid w:val="00BB4AC2"/>
    <w:rsid w:val="00BB4ECE"/>
    <w:rsid w:val="00BB4FB1"/>
    <w:rsid w:val="00BB5149"/>
    <w:rsid w:val="00BB532E"/>
    <w:rsid w:val="00BB551E"/>
    <w:rsid w:val="00BB5692"/>
    <w:rsid w:val="00BB5727"/>
    <w:rsid w:val="00BB5859"/>
    <w:rsid w:val="00BB5989"/>
    <w:rsid w:val="00BB5AD1"/>
    <w:rsid w:val="00BB5D67"/>
    <w:rsid w:val="00BB5DF1"/>
    <w:rsid w:val="00BB602F"/>
    <w:rsid w:val="00BB645B"/>
    <w:rsid w:val="00BB6731"/>
    <w:rsid w:val="00BB6798"/>
    <w:rsid w:val="00BB6A7E"/>
    <w:rsid w:val="00BB6D64"/>
    <w:rsid w:val="00BB6E07"/>
    <w:rsid w:val="00BB6E88"/>
    <w:rsid w:val="00BB7460"/>
    <w:rsid w:val="00BB74BD"/>
    <w:rsid w:val="00BB74F3"/>
    <w:rsid w:val="00BB75E7"/>
    <w:rsid w:val="00BB78BE"/>
    <w:rsid w:val="00BB7D72"/>
    <w:rsid w:val="00BB7DE3"/>
    <w:rsid w:val="00BB7DE5"/>
    <w:rsid w:val="00BB7DF7"/>
    <w:rsid w:val="00BB7E60"/>
    <w:rsid w:val="00BC0467"/>
    <w:rsid w:val="00BC07EE"/>
    <w:rsid w:val="00BC085D"/>
    <w:rsid w:val="00BC0D14"/>
    <w:rsid w:val="00BC0D17"/>
    <w:rsid w:val="00BC0F05"/>
    <w:rsid w:val="00BC1140"/>
    <w:rsid w:val="00BC140A"/>
    <w:rsid w:val="00BC1DF7"/>
    <w:rsid w:val="00BC2413"/>
    <w:rsid w:val="00BC25EB"/>
    <w:rsid w:val="00BC28A7"/>
    <w:rsid w:val="00BC29A7"/>
    <w:rsid w:val="00BC2A72"/>
    <w:rsid w:val="00BC2A8A"/>
    <w:rsid w:val="00BC2B84"/>
    <w:rsid w:val="00BC2C74"/>
    <w:rsid w:val="00BC2CC9"/>
    <w:rsid w:val="00BC2D40"/>
    <w:rsid w:val="00BC2E67"/>
    <w:rsid w:val="00BC31D3"/>
    <w:rsid w:val="00BC349A"/>
    <w:rsid w:val="00BC3868"/>
    <w:rsid w:val="00BC38B6"/>
    <w:rsid w:val="00BC3926"/>
    <w:rsid w:val="00BC3964"/>
    <w:rsid w:val="00BC396F"/>
    <w:rsid w:val="00BC39E9"/>
    <w:rsid w:val="00BC3A9B"/>
    <w:rsid w:val="00BC3C8C"/>
    <w:rsid w:val="00BC3DBA"/>
    <w:rsid w:val="00BC40C9"/>
    <w:rsid w:val="00BC45D9"/>
    <w:rsid w:val="00BC48C0"/>
    <w:rsid w:val="00BC4969"/>
    <w:rsid w:val="00BC496A"/>
    <w:rsid w:val="00BC4DCD"/>
    <w:rsid w:val="00BC4E36"/>
    <w:rsid w:val="00BC545B"/>
    <w:rsid w:val="00BC58C4"/>
    <w:rsid w:val="00BC5920"/>
    <w:rsid w:val="00BC59F9"/>
    <w:rsid w:val="00BC5F40"/>
    <w:rsid w:val="00BC5FBF"/>
    <w:rsid w:val="00BC60F5"/>
    <w:rsid w:val="00BC63A1"/>
    <w:rsid w:val="00BC63B7"/>
    <w:rsid w:val="00BC65D1"/>
    <w:rsid w:val="00BC65FB"/>
    <w:rsid w:val="00BC673D"/>
    <w:rsid w:val="00BC68D1"/>
    <w:rsid w:val="00BC6BE2"/>
    <w:rsid w:val="00BC6D92"/>
    <w:rsid w:val="00BC6DA0"/>
    <w:rsid w:val="00BC6E69"/>
    <w:rsid w:val="00BC75BB"/>
    <w:rsid w:val="00BC7C10"/>
    <w:rsid w:val="00BC7C7F"/>
    <w:rsid w:val="00BD0033"/>
    <w:rsid w:val="00BD0062"/>
    <w:rsid w:val="00BD0155"/>
    <w:rsid w:val="00BD03B2"/>
    <w:rsid w:val="00BD093F"/>
    <w:rsid w:val="00BD09EA"/>
    <w:rsid w:val="00BD0D97"/>
    <w:rsid w:val="00BD1128"/>
    <w:rsid w:val="00BD11EA"/>
    <w:rsid w:val="00BD1203"/>
    <w:rsid w:val="00BD1309"/>
    <w:rsid w:val="00BD1332"/>
    <w:rsid w:val="00BD1398"/>
    <w:rsid w:val="00BD1723"/>
    <w:rsid w:val="00BD183A"/>
    <w:rsid w:val="00BD1906"/>
    <w:rsid w:val="00BD1A0F"/>
    <w:rsid w:val="00BD1B67"/>
    <w:rsid w:val="00BD1BB2"/>
    <w:rsid w:val="00BD1CFB"/>
    <w:rsid w:val="00BD2170"/>
    <w:rsid w:val="00BD26AA"/>
    <w:rsid w:val="00BD2B12"/>
    <w:rsid w:val="00BD2F75"/>
    <w:rsid w:val="00BD3053"/>
    <w:rsid w:val="00BD30FB"/>
    <w:rsid w:val="00BD333D"/>
    <w:rsid w:val="00BD33DC"/>
    <w:rsid w:val="00BD3524"/>
    <w:rsid w:val="00BD3549"/>
    <w:rsid w:val="00BD36E8"/>
    <w:rsid w:val="00BD3705"/>
    <w:rsid w:val="00BD3762"/>
    <w:rsid w:val="00BD38B5"/>
    <w:rsid w:val="00BD3962"/>
    <w:rsid w:val="00BD3A6B"/>
    <w:rsid w:val="00BD3DD9"/>
    <w:rsid w:val="00BD3E13"/>
    <w:rsid w:val="00BD3FE2"/>
    <w:rsid w:val="00BD432E"/>
    <w:rsid w:val="00BD4495"/>
    <w:rsid w:val="00BD454F"/>
    <w:rsid w:val="00BD457B"/>
    <w:rsid w:val="00BD4756"/>
    <w:rsid w:val="00BD4937"/>
    <w:rsid w:val="00BD4BDB"/>
    <w:rsid w:val="00BD4D14"/>
    <w:rsid w:val="00BD4FCF"/>
    <w:rsid w:val="00BD5065"/>
    <w:rsid w:val="00BD5219"/>
    <w:rsid w:val="00BD547E"/>
    <w:rsid w:val="00BD576A"/>
    <w:rsid w:val="00BD58E6"/>
    <w:rsid w:val="00BD599D"/>
    <w:rsid w:val="00BD59BC"/>
    <w:rsid w:val="00BD5A44"/>
    <w:rsid w:val="00BD5D60"/>
    <w:rsid w:val="00BD5DE7"/>
    <w:rsid w:val="00BD60F7"/>
    <w:rsid w:val="00BD6221"/>
    <w:rsid w:val="00BD6481"/>
    <w:rsid w:val="00BD68D4"/>
    <w:rsid w:val="00BD6B4E"/>
    <w:rsid w:val="00BD6BFE"/>
    <w:rsid w:val="00BD6D09"/>
    <w:rsid w:val="00BD6E20"/>
    <w:rsid w:val="00BD6ECF"/>
    <w:rsid w:val="00BD6F4A"/>
    <w:rsid w:val="00BD705C"/>
    <w:rsid w:val="00BD7389"/>
    <w:rsid w:val="00BD7394"/>
    <w:rsid w:val="00BD74DF"/>
    <w:rsid w:val="00BD7B9E"/>
    <w:rsid w:val="00BD7DA5"/>
    <w:rsid w:val="00BD7E1A"/>
    <w:rsid w:val="00BD7EF6"/>
    <w:rsid w:val="00BE0100"/>
    <w:rsid w:val="00BE0211"/>
    <w:rsid w:val="00BE0235"/>
    <w:rsid w:val="00BE02D9"/>
    <w:rsid w:val="00BE0329"/>
    <w:rsid w:val="00BE04A6"/>
    <w:rsid w:val="00BE0521"/>
    <w:rsid w:val="00BE057E"/>
    <w:rsid w:val="00BE0581"/>
    <w:rsid w:val="00BE08C7"/>
    <w:rsid w:val="00BE0928"/>
    <w:rsid w:val="00BE0997"/>
    <w:rsid w:val="00BE103B"/>
    <w:rsid w:val="00BE107F"/>
    <w:rsid w:val="00BE1200"/>
    <w:rsid w:val="00BE1232"/>
    <w:rsid w:val="00BE134B"/>
    <w:rsid w:val="00BE1401"/>
    <w:rsid w:val="00BE1564"/>
    <w:rsid w:val="00BE19AD"/>
    <w:rsid w:val="00BE1E53"/>
    <w:rsid w:val="00BE20CA"/>
    <w:rsid w:val="00BE236C"/>
    <w:rsid w:val="00BE2543"/>
    <w:rsid w:val="00BE255A"/>
    <w:rsid w:val="00BE279C"/>
    <w:rsid w:val="00BE28F5"/>
    <w:rsid w:val="00BE294F"/>
    <w:rsid w:val="00BE29AD"/>
    <w:rsid w:val="00BE2A7E"/>
    <w:rsid w:val="00BE2CF1"/>
    <w:rsid w:val="00BE2EEA"/>
    <w:rsid w:val="00BE2F6F"/>
    <w:rsid w:val="00BE3376"/>
    <w:rsid w:val="00BE341F"/>
    <w:rsid w:val="00BE3996"/>
    <w:rsid w:val="00BE39B6"/>
    <w:rsid w:val="00BE39EC"/>
    <w:rsid w:val="00BE3AF9"/>
    <w:rsid w:val="00BE3B36"/>
    <w:rsid w:val="00BE3B88"/>
    <w:rsid w:val="00BE3CA8"/>
    <w:rsid w:val="00BE3CDC"/>
    <w:rsid w:val="00BE3D1F"/>
    <w:rsid w:val="00BE3E7E"/>
    <w:rsid w:val="00BE3ED8"/>
    <w:rsid w:val="00BE4069"/>
    <w:rsid w:val="00BE4110"/>
    <w:rsid w:val="00BE43A4"/>
    <w:rsid w:val="00BE455B"/>
    <w:rsid w:val="00BE45F5"/>
    <w:rsid w:val="00BE46CA"/>
    <w:rsid w:val="00BE46E4"/>
    <w:rsid w:val="00BE4BB1"/>
    <w:rsid w:val="00BE4C59"/>
    <w:rsid w:val="00BE528E"/>
    <w:rsid w:val="00BE537E"/>
    <w:rsid w:val="00BE54B7"/>
    <w:rsid w:val="00BE54FF"/>
    <w:rsid w:val="00BE55E8"/>
    <w:rsid w:val="00BE5645"/>
    <w:rsid w:val="00BE5876"/>
    <w:rsid w:val="00BE58D8"/>
    <w:rsid w:val="00BE5A9F"/>
    <w:rsid w:val="00BE5E3D"/>
    <w:rsid w:val="00BE5EA6"/>
    <w:rsid w:val="00BE5EBD"/>
    <w:rsid w:val="00BE63D4"/>
    <w:rsid w:val="00BE63FF"/>
    <w:rsid w:val="00BE6732"/>
    <w:rsid w:val="00BE6B50"/>
    <w:rsid w:val="00BE6CC3"/>
    <w:rsid w:val="00BE6CE4"/>
    <w:rsid w:val="00BE6D1E"/>
    <w:rsid w:val="00BE6EF4"/>
    <w:rsid w:val="00BE71B9"/>
    <w:rsid w:val="00BE74D8"/>
    <w:rsid w:val="00BE75C8"/>
    <w:rsid w:val="00BE76BC"/>
    <w:rsid w:val="00BE7706"/>
    <w:rsid w:val="00BE77B5"/>
    <w:rsid w:val="00BE78D3"/>
    <w:rsid w:val="00BE7951"/>
    <w:rsid w:val="00BE79CF"/>
    <w:rsid w:val="00BE7EA5"/>
    <w:rsid w:val="00BF0055"/>
    <w:rsid w:val="00BF0079"/>
    <w:rsid w:val="00BF015E"/>
    <w:rsid w:val="00BF0382"/>
    <w:rsid w:val="00BF03E2"/>
    <w:rsid w:val="00BF04B8"/>
    <w:rsid w:val="00BF0772"/>
    <w:rsid w:val="00BF0831"/>
    <w:rsid w:val="00BF08D0"/>
    <w:rsid w:val="00BF0A85"/>
    <w:rsid w:val="00BF0B3E"/>
    <w:rsid w:val="00BF0BC3"/>
    <w:rsid w:val="00BF0D48"/>
    <w:rsid w:val="00BF0E78"/>
    <w:rsid w:val="00BF1096"/>
    <w:rsid w:val="00BF1364"/>
    <w:rsid w:val="00BF152D"/>
    <w:rsid w:val="00BF170F"/>
    <w:rsid w:val="00BF1834"/>
    <w:rsid w:val="00BF19CE"/>
    <w:rsid w:val="00BF1A1A"/>
    <w:rsid w:val="00BF1CF2"/>
    <w:rsid w:val="00BF1E54"/>
    <w:rsid w:val="00BF1E61"/>
    <w:rsid w:val="00BF1EB8"/>
    <w:rsid w:val="00BF2085"/>
    <w:rsid w:val="00BF20CB"/>
    <w:rsid w:val="00BF2179"/>
    <w:rsid w:val="00BF2199"/>
    <w:rsid w:val="00BF225D"/>
    <w:rsid w:val="00BF251A"/>
    <w:rsid w:val="00BF256B"/>
    <w:rsid w:val="00BF2851"/>
    <w:rsid w:val="00BF2A08"/>
    <w:rsid w:val="00BF2A98"/>
    <w:rsid w:val="00BF2CD6"/>
    <w:rsid w:val="00BF2EF4"/>
    <w:rsid w:val="00BF319D"/>
    <w:rsid w:val="00BF31DF"/>
    <w:rsid w:val="00BF328B"/>
    <w:rsid w:val="00BF32F1"/>
    <w:rsid w:val="00BF354C"/>
    <w:rsid w:val="00BF3587"/>
    <w:rsid w:val="00BF37A2"/>
    <w:rsid w:val="00BF39C1"/>
    <w:rsid w:val="00BF3C83"/>
    <w:rsid w:val="00BF3DD0"/>
    <w:rsid w:val="00BF3E61"/>
    <w:rsid w:val="00BF3E97"/>
    <w:rsid w:val="00BF41E3"/>
    <w:rsid w:val="00BF4361"/>
    <w:rsid w:val="00BF441D"/>
    <w:rsid w:val="00BF44E0"/>
    <w:rsid w:val="00BF45B4"/>
    <w:rsid w:val="00BF45E4"/>
    <w:rsid w:val="00BF4818"/>
    <w:rsid w:val="00BF4865"/>
    <w:rsid w:val="00BF489A"/>
    <w:rsid w:val="00BF49D4"/>
    <w:rsid w:val="00BF49EA"/>
    <w:rsid w:val="00BF4A30"/>
    <w:rsid w:val="00BF4D8E"/>
    <w:rsid w:val="00BF4ED4"/>
    <w:rsid w:val="00BF4FA3"/>
    <w:rsid w:val="00BF5050"/>
    <w:rsid w:val="00BF51D1"/>
    <w:rsid w:val="00BF53D7"/>
    <w:rsid w:val="00BF545E"/>
    <w:rsid w:val="00BF55F5"/>
    <w:rsid w:val="00BF56BC"/>
    <w:rsid w:val="00BF580E"/>
    <w:rsid w:val="00BF5918"/>
    <w:rsid w:val="00BF6144"/>
    <w:rsid w:val="00BF6249"/>
    <w:rsid w:val="00BF6516"/>
    <w:rsid w:val="00BF674E"/>
    <w:rsid w:val="00BF69D8"/>
    <w:rsid w:val="00BF6A19"/>
    <w:rsid w:val="00BF6E40"/>
    <w:rsid w:val="00BF71CA"/>
    <w:rsid w:val="00BF73A8"/>
    <w:rsid w:val="00BF73C2"/>
    <w:rsid w:val="00BF73E6"/>
    <w:rsid w:val="00BF74CB"/>
    <w:rsid w:val="00BF7640"/>
    <w:rsid w:val="00BF7651"/>
    <w:rsid w:val="00BF7692"/>
    <w:rsid w:val="00BF7960"/>
    <w:rsid w:val="00BF79BA"/>
    <w:rsid w:val="00BF79DA"/>
    <w:rsid w:val="00BF7CC9"/>
    <w:rsid w:val="00BF7E0F"/>
    <w:rsid w:val="00BF7EDA"/>
    <w:rsid w:val="00C00052"/>
    <w:rsid w:val="00C0007C"/>
    <w:rsid w:val="00C003A6"/>
    <w:rsid w:val="00C004C4"/>
    <w:rsid w:val="00C00533"/>
    <w:rsid w:val="00C005FC"/>
    <w:rsid w:val="00C007E7"/>
    <w:rsid w:val="00C00841"/>
    <w:rsid w:val="00C008EE"/>
    <w:rsid w:val="00C00980"/>
    <w:rsid w:val="00C00D08"/>
    <w:rsid w:val="00C00E26"/>
    <w:rsid w:val="00C00E96"/>
    <w:rsid w:val="00C00EAF"/>
    <w:rsid w:val="00C01060"/>
    <w:rsid w:val="00C011FD"/>
    <w:rsid w:val="00C018B3"/>
    <w:rsid w:val="00C01A7E"/>
    <w:rsid w:val="00C01B90"/>
    <w:rsid w:val="00C01DCC"/>
    <w:rsid w:val="00C01EE8"/>
    <w:rsid w:val="00C01FDE"/>
    <w:rsid w:val="00C0218D"/>
    <w:rsid w:val="00C02302"/>
    <w:rsid w:val="00C02653"/>
    <w:rsid w:val="00C0282B"/>
    <w:rsid w:val="00C028A2"/>
    <w:rsid w:val="00C028E5"/>
    <w:rsid w:val="00C02C93"/>
    <w:rsid w:val="00C02E22"/>
    <w:rsid w:val="00C02E36"/>
    <w:rsid w:val="00C02EB1"/>
    <w:rsid w:val="00C0301D"/>
    <w:rsid w:val="00C03076"/>
    <w:rsid w:val="00C03121"/>
    <w:rsid w:val="00C03378"/>
    <w:rsid w:val="00C03822"/>
    <w:rsid w:val="00C03C3F"/>
    <w:rsid w:val="00C03C81"/>
    <w:rsid w:val="00C03D87"/>
    <w:rsid w:val="00C04038"/>
    <w:rsid w:val="00C04048"/>
    <w:rsid w:val="00C040DC"/>
    <w:rsid w:val="00C04271"/>
    <w:rsid w:val="00C044F7"/>
    <w:rsid w:val="00C0496E"/>
    <w:rsid w:val="00C049E5"/>
    <w:rsid w:val="00C04D5C"/>
    <w:rsid w:val="00C051B4"/>
    <w:rsid w:val="00C053A9"/>
    <w:rsid w:val="00C058DB"/>
    <w:rsid w:val="00C05958"/>
    <w:rsid w:val="00C05C48"/>
    <w:rsid w:val="00C05DDE"/>
    <w:rsid w:val="00C05E41"/>
    <w:rsid w:val="00C06070"/>
    <w:rsid w:val="00C0613C"/>
    <w:rsid w:val="00C0619A"/>
    <w:rsid w:val="00C06376"/>
    <w:rsid w:val="00C063B4"/>
    <w:rsid w:val="00C063E3"/>
    <w:rsid w:val="00C06586"/>
    <w:rsid w:val="00C06CD6"/>
    <w:rsid w:val="00C06FB3"/>
    <w:rsid w:val="00C0700E"/>
    <w:rsid w:val="00C07269"/>
    <w:rsid w:val="00C07293"/>
    <w:rsid w:val="00C072F1"/>
    <w:rsid w:val="00C073A2"/>
    <w:rsid w:val="00C07466"/>
    <w:rsid w:val="00C07479"/>
    <w:rsid w:val="00C07558"/>
    <w:rsid w:val="00C075DA"/>
    <w:rsid w:val="00C07C80"/>
    <w:rsid w:val="00C07F56"/>
    <w:rsid w:val="00C10114"/>
    <w:rsid w:val="00C1073A"/>
    <w:rsid w:val="00C10A65"/>
    <w:rsid w:val="00C10B1B"/>
    <w:rsid w:val="00C10CCD"/>
    <w:rsid w:val="00C10E9E"/>
    <w:rsid w:val="00C10F38"/>
    <w:rsid w:val="00C10FFB"/>
    <w:rsid w:val="00C11026"/>
    <w:rsid w:val="00C1149A"/>
    <w:rsid w:val="00C116B0"/>
    <w:rsid w:val="00C11A46"/>
    <w:rsid w:val="00C11B7E"/>
    <w:rsid w:val="00C11C80"/>
    <w:rsid w:val="00C11D7A"/>
    <w:rsid w:val="00C11E2A"/>
    <w:rsid w:val="00C12111"/>
    <w:rsid w:val="00C12223"/>
    <w:rsid w:val="00C12252"/>
    <w:rsid w:val="00C12640"/>
    <w:rsid w:val="00C1266E"/>
    <w:rsid w:val="00C127A6"/>
    <w:rsid w:val="00C12FC3"/>
    <w:rsid w:val="00C13033"/>
    <w:rsid w:val="00C13117"/>
    <w:rsid w:val="00C1319D"/>
    <w:rsid w:val="00C131B2"/>
    <w:rsid w:val="00C1324F"/>
    <w:rsid w:val="00C136BF"/>
    <w:rsid w:val="00C13704"/>
    <w:rsid w:val="00C1375C"/>
    <w:rsid w:val="00C13A36"/>
    <w:rsid w:val="00C13AC9"/>
    <w:rsid w:val="00C13AF4"/>
    <w:rsid w:val="00C13D56"/>
    <w:rsid w:val="00C13D64"/>
    <w:rsid w:val="00C13FA7"/>
    <w:rsid w:val="00C140CC"/>
    <w:rsid w:val="00C142AA"/>
    <w:rsid w:val="00C1440E"/>
    <w:rsid w:val="00C14B3F"/>
    <w:rsid w:val="00C14C53"/>
    <w:rsid w:val="00C14E92"/>
    <w:rsid w:val="00C1516E"/>
    <w:rsid w:val="00C152D9"/>
    <w:rsid w:val="00C15574"/>
    <w:rsid w:val="00C15648"/>
    <w:rsid w:val="00C156EE"/>
    <w:rsid w:val="00C1591B"/>
    <w:rsid w:val="00C15985"/>
    <w:rsid w:val="00C15A11"/>
    <w:rsid w:val="00C15ADB"/>
    <w:rsid w:val="00C15BB8"/>
    <w:rsid w:val="00C15C62"/>
    <w:rsid w:val="00C15F82"/>
    <w:rsid w:val="00C16043"/>
    <w:rsid w:val="00C16116"/>
    <w:rsid w:val="00C16672"/>
    <w:rsid w:val="00C167E5"/>
    <w:rsid w:val="00C16956"/>
    <w:rsid w:val="00C16A1E"/>
    <w:rsid w:val="00C16B50"/>
    <w:rsid w:val="00C16CAC"/>
    <w:rsid w:val="00C16D6A"/>
    <w:rsid w:val="00C17101"/>
    <w:rsid w:val="00C17498"/>
    <w:rsid w:val="00C179E0"/>
    <w:rsid w:val="00C17D66"/>
    <w:rsid w:val="00C17E18"/>
    <w:rsid w:val="00C17FD2"/>
    <w:rsid w:val="00C2016F"/>
    <w:rsid w:val="00C20273"/>
    <w:rsid w:val="00C202B3"/>
    <w:rsid w:val="00C2039C"/>
    <w:rsid w:val="00C20903"/>
    <w:rsid w:val="00C20AD8"/>
    <w:rsid w:val="00C20B59"/>
    <w:rsid w:val="00C20BD2"/>
    <w:rsid w:val="00C2113E"/>
    <w:rsid w:val="00C21207"/>
    <w:rsid w:val="00C21596"/>
    <w:rsid w:val="00C2166B"/>
    <w:rsid w:val="00C216EE"/>
    <w:rsid w:val="00C2186E"/>
    <w:rsid w:val="00C2196E"/>
    <w:rsid w:val="00C21BCE"/>
    <w:rsid w:val="00C21EE0"/>
    <w:rsid w:val="00C221B3"/>
    <w:rsid w:val="00C2241A"/>
    <w:rsid w:val="00C22482"/>
    <w:rsid w:val="00C22528"/>
    <w:rsid w:val="00C22796"/>
    <w:rsid w:val="00C227F8"/>
    <w:rsid w:val="00C22A45"/>
    <w:rsid w:val="00C22E4A"/>
    <w:rsid w:val="00C22EBE"/>
    <w:rsid w:val="00C230AA"/>
    <w:rsid w:val="00C233EC"/>
    <w:rsid w:val="00C234CF"/>
    <w:rsid w:val="00C237DB"/>
    <w:rsid w:val="00C23812"/>
    <w:rsid w:val="00C23BDE"/>
    <w:rsid w:val="00C23C13"/>
    <w:rsid w:val="00C23C68"/>
    <w:rsid w:val="00C23D09"/>
    <w:rsid w:val="00C24033"/>
    <w:rsid w:val="00C240CF"/>
    <w:rsid w:val="00C24145"/>
    <w:rsid w:val="00C24244"/>
    <w:rsid w:val="00C2434E"/>
    <w:rsid w:val="00C245E8"/>
    <w:rsid w:val="00C24633"/>
    <w:rsid w:val="00C24788"/>
    <w:rsid w:val="00C24793"/>
    <w:rsid w:val="00C24D99"/>
    <w:rsid w:val="00C24E94"/>
    <w:rsid w:val="00C2516A"/>
    <w:rsid w:val="00C2516F"/>
    <w:rsid w:val="00C251D9"/>
    <w:rsid w:val="00C25329"/>
    <w:rsid w:val="00C253F2"/>
    <w:rsid w:val="00C25400"/>
    <w:rsid w:val="00C2543D"/>
    <w:rsid w:val="00C2586E"/>
    <w:rsid w:val="00C259BF"/>
    <w:rsid w:val="00C25BB9"/>
    <w:rsid w:val="00C25C16"/>
    <w:rsid w:val="00C25C76"/>
    <w:rsid w:val="00C25C91"/>
    <w:rsid w:val="00C25EE5"/>
    <w:rsid w:val="00C2602E"/>
    <w:rsid w:val="00C26046"/>
    <w:rsid w:val="00C263EA"/>
    <w:rsid w:val="00C2671F"/>
    <w:rsid w:val="00C26783"/>
    <w:rsid w:val="00C2679A"/>
    <w:rsid w:val="00C26ADF"/>
    <w:rsid w:val="00C26C0D"/>
    <w:rsid w:val="00C26CC8"/>
    <w:rsid w:val="00C26E51"/>
    <w:rsid w:val="00C26F93"/>
    <w:rsid w:val="00C271B8"/>
    <w:rsid w:val="00C27445"/>
    <w:rsid w:val="00C27449"/>
    <w:rsid w:val="00C2753F"/>
    <w:rsid w:val="00C279BB"/>
    <w:rsid w:val="00C27A29"/>
    <w:rsid w:val="00C27B0F"/>
    <w:rsid w:val="00C30194"/>
    <w:rsid w:val="00C30297"/>
    <w:rsid w:val="00C304F0"/>
    <w:rsid w:val="00C3053D"/>
    <w:rsid w:val="00C30547"/>
    <w:rsid w:val="00C30817"/>
    <w:rsid w:val="00C30AAF"/>
    <w:rsid w:val="00C30BCF"/>
    <w:rsid w:val="00C30E1A"/>
    <w:rsid w:val="00C310AF"/>
    <w:rsid w:val="00C311BD"/>
    <w:rsid w:val="00C312CC"/>
    <w:rsid w:val="00C31301"/>
    <w:rsid w:val="00C3136B"/>
    <w:rsid w:val="00C313F9"/>
    <w:rsid w:val="00C3183A"/>
    <w:rsid w:val="00C318A2"/>
    <w:rsid w:val="00C31917"/>
    <w:rsid w:val="00C31BB4"/>
    <w:rsid w:val="00C31E67"/>
    <w:rsid w:val="00C31E93"/>
    <w:rsid w:val="00C31FA9"/>
    <w:rsid w:val="00C31FEC"/>
    <w:rsid w:val="00C32041"/>
    <w:rsid w:val="00C320B9"/>
    <w:rsid w:val="00C3217C"/>
    <w:rsid w:val="00C321CB"/>
    <w:rsid w:val="00C321CD"/>
    <w:rsid w:val="00C321CE"/>
    <w:rsid w:val="00C32200"/>
    <w:rsid w:val="00C326E5"/>
    <w:rsid w:val="00C32719"/>
    <w:rsid w:val="00C32B2F"/>
    <w:rsid w:val="00C32CCF"/>
    <w:rsid w:val="00C32CE5"/>
    <w:rsid w:val="00C32D99"/>
    <w:rsid w:val="00C32DA9"/>
    <w:rsid w:val="00C32E3B"/>
    <w:rsid w:val="00C32FD1"/>
    <w:rsid w:val="00C330D4"/>
    <w:rsid w:val="00C333A5"/>
    <w:rsid w:val="00C336A2"/>
    <w:rsid w:val="00C33939"/>
    <w:rsid w:val="00C339D9"/>
    <w:rsid w:val="00C33A56"/>
    <w:rsid w:val="00C33B52"/>
    <w:rsid w:val="00C33D70"/>
    <w:rsid w:val="00C3464B"/>
    <w:rsid w:val="00C346A8"/>
    <w:rsid w:val="00C346EE"/>
    <w:rsid w:val="00C347C6"/>
    <w:rsid w:val="00C34BD7"/>
    <w:rsid w:val="00C34BE7"/>
    <w:rsid w:val="00C34EBE"/>
    <w:rsid w:val="00C34ED7"/>
    <w:rsid w:val="00C350B8"/>
    <w:rsid w:val="00C350C8"/>
    <w:rsid w:val="00C3538B"/>
    <w:rsid w:val="00C353B3"/>
    <w:rsid w:val="00C353C9"/>
    <w:rsid w:val="00C3540B"/>
    <w:rsid w:val="00C35581"/>
    <w:rsid w:val="00C35683"/>
    <w:rsid w:val="00C35775"/>
    <w:rsid w:val="00C35AD3"/>
    <w:rsid w:val="00C35BAE"/>
    <w:rsid w:val="00C35E10"/>
    <w:rsid w:val="00C35E34"/>
    <w:rsid w:val="00C35E8A"/>
    <w:rsid w:val="00C362D7"/>
    <w:rsid w:val="00C36428"/>
    <w:rsid w:val="00C36591"/>
    <w:rsid w:val="00C365A8"/>
    <w:rsid w:val="00C366F8"/>
    <w:rsid w:val="00C36979"/>
    <w:rsid w:val="00C36B98"/>
    <w:rsid w:val="00C3737E"/>
    <w:rsid w:val="00C373AC"/>
    <w:rsid w:val="00C374E6"/>
    <w:rsid w:val="00C3754A"/>
    <w:rsid w:val="00C37692"/>
    <w:rsid w:val="00C377A4"/>
    <w:rsid w:val="00C37848"/>
    <w:rsid w:val="00C37A04"/>
    <w:rsid w:val="00C37ABC"/>
    <w:rsid w:val="00C37AC4"/>
    <w:rsid w:val="00C37B5B"/>
    <w:rsid w:val="00C37D37"/>
    <w:rsid w:val="00C37DEE"/>
    <w:rsid w:val="00C37FF7"/>
    <w:rsid w:val="00C401CC"/>
    <w:rsid w:val="00C401F8"/>
    <w:rsid w:val="00C404DF"/>
    <w:rsid w:val="00C40512"/>
    <w:rsid w:val="00C406B3"/>
    <w:rsid w:val="00C40703"/>
    <w:rsid w:val="00C40715"/>
    <w:rsid w:val="00C40945"/>
    <w:rsid w:val="00C40ACE"/>
    <w:rsid w:val="00C40B93"/>
    <w:rsid w:val="00C40D31"/>
    <w:rsid w:val="00C40E24"/>
    <w:rsid w:val="00C40E2F"/>
    <w:rsid w:val="00C40EF8"/>
    <w:rsid w:val="00C40F32"/>
    <w:rsid w:val="00C41235"/>
    <w:rsid w:val="00C4128B"/>
    <w:rsid w:val="00C4144E"/>
    <w:rsid w:val="00C4166B"/>
    <w:rsid w:val="00C41892"/>
    <w:rsid w:val="00C420D4"/>
    <w:rsid w:val="00C4263B"/>
    <w:rsid w:val="00C4269B"/>
    <w:rsid w:val="00C4270A"/>
    <w:rsid w:val="00C4272E"/>
    <w:rsid w:val="00C427FD"/>
    <w:rsid w:val="00C42C4D"/>
    <w:rsid w:val="00C42D8C"/>
    <w:rsid w:val="00C42FAD"/>
    <w:rsid w:val="00C42FF8"/>
    <w:rsid w:val="00C4305E"/>
    <w:rsid w:val="00C431B2"/>
    <w:rsid w:val="00C437D5"/>
    <w:rsid w:val="00C43A7A"/>
    <w:rsid w:val="00C43ABC"/>
    <w:rsid w:val="00C43CE5"/>
    <w:rsid w:val="00C43FB6"/>
    <w:rsid w:val="00C44569"/>
    <w:rsid w:val="00C44743"/>
    <w:rsid w:val="00C44948"/>
    <w:rsid w:val="00C44972"/>
    <w:rsid w:val="00C44CC0"/>
    <w:rsid w:val="00C44CEA"/>
    <w:rsid w:val="00C44E06"/>
    <w:rsid w:val="00C45227"/>
    <w:rsid w:val="00C45321"/>
    <w:rsid w:val="00C455CA"/>
    <w:rsid w:val="00C456AE"/>
    <w:rsid w:val="00C457DC"/>
    <w:rsid w:val="00C4594C"/>
    <w:rsid w:val="00C45AE7"/>
    <w:rsid w:val="00C45B03"/>
    <w:rsid w:val="00C45B9D"/>
    <w:rsid w:val="00C45C5B"/>
    <w:rsid w:val="00C45F1D"/>
    <w:rsid w:val="00C45FB8"/>
    <w:rsid w:val="00C46648"/>
    <w:rsid w:val="00C46982"/>
    <w:rsid w:val="00C46A20"/>
    <w:rsid w:val="00C46C08"/>
    <w:rsid w:val="00C47199"/>
    <w:rsid w:val="00C4769C"/>
    <w:rsid w:val="00C47895"/>
    <w:rsid w:val="00C47BE9"/>
    <w:rsid w:val="00C47CCE"/>
    <w:rsid w:val="00C47D12"/>
    <w:rsid w:val="00C47D25"/>
    <w:rsid w:val="00C503B5"/>
    <w:rsid w:val="00C5056D"/>
    <w:rsid w:val="00C50639"/>
    <w:rsid w:val="00C5066D"/>
    <w:rsid w:val="00C5071B"/>
    <w:rsid w:val="00C5082F"/>
    <w:rsid w:val="00C508AF"/>
    <w:rsid w:val="00C508BB"/>
    <w:rsid w:val="00C50ABE"/>
    <w:rsid w:val="00C50B48"/>
    <w:rsid w:val="00C50C06"/>
    <w:rsid w:val="00C50FF6"/>
    <w:rsid w:val="00C510EB"/>
    <w:rsid w:val="00C510F0"/>
    <w:rsid w:val="00C510F9"/>
    <w:rsid w:val="00C5111C"/>
    <w:rsid w:val="00C51256"/>
    <w:rsid w:val="00C51373"/>
    <w:rsid w:val="00C513EC"/>
    <w:rsid w:val="00C514AC"/>
    <w:rsid w:val="00C51815"/>
    <w:rsid w:val="00C51CC0"/>
    <w:rsid w:val="00C51D6B"/>
    <w:rsid w:val="00C51E07"/>
    <w:rsid w:val="00C51E40"/>
    <w:rsid w:val="00C51E65"/>
    <w:rsid w:val="00C5206D"/>
    <w:rsid w:val="00C5254A"/>
    <w:rsid w:val="00C52800"/>
    <w:rsid w:val="00C5291D"/>
    <w:rsid w:val="00C52EB6"/>
    <w:rsid w:val="00C52F5A"/>
    <w:rsid w:val="00C530E6"/>
    <w:rsid w:val="00C53201"/>
    <w:rsid w:val="00C53244"/>
    <w:rsid w:val="00C532FE"/>
    <w:rsid w:val="00C53938"/>
    <w:rsid w:val="00C539DF"/>
    <w:rsid w:val="00C53B34"/>
    <w:rsid w:val="00C53F18"/>
    <w:rsid w:val="00C542D6"/>
    <w:rsid w:val="00C5436C"/>
    <w:rsid w:val="00C54784"/>
    <w:rsid w:val="00C54FF6"/>
    <w:rsid w:val="00C5529D"/>
    <w:rsid w:val="00C552B2"/>
    <w:rsid w:val="00C5533E"/>
    <w:rsid w:val="00C554A7"/>
    <w:rsid w:val="00C554BB"/>
    <w:rsid w:val="00C555AC"/>
    <w:rsid w:val="00C555F8"/>
    <w:rsid w:val="00C557F5"/>
    <w:rsid w:val="00C55AE5"/>
    <w:rsid w:val="00C55B17"/>
    <w:rsid w:val="00C55B94"/>
    <w:rsid w:val="00C55DEE"/>
    <w:rsid w:val="00C55EF9"/>
    <w:rsid w:val="00C55F07"/>
    <w:rsid w:val="00C55FA7"/>
    <w:rsid w:val="00C56123"/>
    <w:rsid w:val="00C56515"/>
    <w:rsid w:val="00C56AAB"/>
    <w:rsid w:val="00C56AC4"/>
    <w:rsid w:val="00C56C8A"/>
    <w:rsid w:val="00C56D65"/>
    <w:rsid w:val="00C56EB0"/>
    <w:rsid w:val="00C56EE5"/>
    <w:rsid w:val="00C56F12"/>
    <w:rsid w:val="00C57337"/>
    <w:rsid w:val="00C57428"/>
    <w:rsid w:val="00C574D6"/>
    <w:rsid w:val="00C575EA"/>
    <w:rsid w:val="00C57664"/>
    <w:rsid w:val="00C577A1"/>
    <w:rsid w:val="00C579A5"/>
    <w:rsid w:val="00C57F1B"/>
    <w:rsid w:val="00C60308"/>
    <w:rsid w:val="00C605E3"/>
    <w:rsid w:val="00C60734"/>
    <w:rsid w:val="00C609EA"/>
    <w:rsid w:val="00C60A71"/>
    <w:rsid w:val="00C60AF6"/>
    <w:rsid w:val="00C60B41"/>
    <w:rsid w:val="00C60BBB"/>
    <w:rsid w:val="00C60BDC"/>
    <w:rsid w:val="00C60E1A"/>
    <w:rsid w:val="00C60E54"/>
    <w:rsid w:val="00C60FAE"/>
    <w:rsid w:val="00C610E7"/>
    <w:rsid w:val="00C610F6"/>
    <w:rsid w:val="00C61134"/>
    <w:rsid w:val="00C61318"/>
    <w:rsid w:val="00C614D1"/>
    <w:rsid w:val="00C61582"/>
    <w:rsid w:val="00C61A2E"/>
    <w:rsid w:val="00C61A3A"/>
    <w:rsid w:val="00C61C2F"/>
    <w:rsid w:val="00C62270"/>
    <w:rsid w:val="00C62363"/>
    <w:rsid w:val="00C6265E"/>
    <w:rsid w:val="00C627F3"/>
    <w:rsid w:val="00C62D58"/>
    <w:rsid w:val="00C62DA7"/>
    <w:rsid w:val="00C62E2A"/>
    <w:rsid w:val="00C63015"/>
    <w:rsid w:val="00C631A2"/>
    <w:rsid w:val="00C633E5"/>
    <w:rsid w:val="00C635B8"/>
    <w:rsid w:val="00C6370F"/>
    <w:rsid w:val="00C6374B"/>
    <w:rsid w:val="00C638A9"/>
    <w:rsid w:val="00C63B9B"/>
    <w:rsid w:val="00C63F74"/>
    <w:rsid w:val="00C64060"/>
    <w:rsid w:val="00C64279"/>
    <w:rsid w:val="00C64511"/>
    <w:rsid w:val="00C645E3"/>
    <w:rsid w:val="00C646DC"/>
    <w:rsid w:val="00C64762"/>
    <w:rsid w:val="00C64813"/>
    <w:rsid w:val="00C64990"/>
    <w:rsid w:val="00C64C6E"/>
    <w:rsid w:val="00C64E6D"/>
    <w:rsid w:val="00C64F60"/>
    <w:rsid w:val="00C64FAB"/>
    <w:rsid w:val="00C65033"/>
    <w:rsid w:val="00C650A4"/>
    <w:rsid w:val="00C650D6"/>
    <w:rsid w:val="00C651BB"/>
    <w:rsid w:val="00C65520"/>
    <w:rsid w:val="00C6559D"/>
    <w:rsid w:val="00C65B35"/>
    <w:rsid w:val="00C65C4A"/>
    <w:rsid w:val="00C65DF7"/>
    <w:rsid w:val="00C65E33"/>
    <w:rsid w:val="00C65FF5"/>
    <w:rsid w:val="00C66291"/>
    <w:rsid w:val="00C6664D"/>
    <w:rsid w:val="00C66718"/>
    <w:rsid w:val="00C66877"/>
    <w:rsid w:val="00C66911"/>
    <w:rsid w:val="00C669B6"/>
    <w:rsid w:val="00C669BA"/>
    <w:rsid w:val="00C66CDE"/>
    <w:rsid w:val="00C670EB"/>
    <w:rsid w:val="00C671F8"/>
    <w:rsid w:val="00C674B2"/>
    <w:rsid w:val="00C6774E"/>
    <w:rsid w:val="00C678CB"/>
    <w:rsid w:val="00C67A00"/>
    <w:rsid w:val="00C67AF5"/>
    <w:rsid w:val="00C67E5C"/>
    <w:rsid w:val="00C700F8"/>
    <w:rsid w:val="00C70458"/>
    <w:rsid w:val="00C706BE"/>
    <w:rsid w:val="00C70884"/>
    <w:rsid w:val="00C70A50"/>
    <w:rsid w:val="00C70C55"/>
    <w:rsid w:val="00C70D41"/>
    <w:rsid w:val="00C70DA4"/>
    <w:rsid w:val="00C70F1B"/>
    <w:rsid w:val="00C710E1"/>
    <w:rsid w:val="00C71351"/>
    <w:rsid w:val="00C713B4"/>
    <w:rsid w:val="00C713ED"/>
    <w:rsid w:val="00C71485"/>
    <w:rsid w:val="00C71682"/>
    <w:rsid w:val="00C7195B"/>
    <w:rsid w:val="00C71B3D"/>
    <w:rsid w:val="00C71CD0"/>
    <w:rsid w:val="00C71F13"/>
    <w:rsid w:val="00C71F35"/>
    <w:rsid w:val="00C7226F"/>
    <w:rsid w:val="00C72318"/>
    <w:rsid w:val="00C7237C"/>
    <w:rsid w:val="00C72446"/>
    <w:rsid w:val="00C724E6"/>
    <w:rsid w:val="00C7278C"/>
    <w:rsid w:val="00C727E9"/>
    <w:rsid w:val="00C72A32"/>
    <w:rsid w:val="00C72AA3"/>
    <w:rsid w:val="00C72B90"/>
    <w:rsid w:val="00C72D67"/>
    <w:rsid w:val="00C72D8B"/>
    <w:rsid w:val="00C73164"/>
    <w:rsid w:val="00C73224"/>
    <w:rsid w:val="00C734E8"/>
    <w:rsid w:val="00C7376A"/>
    <w:rsid w:val="00C73869"/>
    <w:rsid w:val="00C73994"/>
    <w:rsid w:val="00C73BE8"/>
    <w:rsid w:val="00C73E9F"/>
    <w:rsid w:val="00C73F2C"/>
    <w:rsid w:val="00C74079"/>
    <w:rsid w:val="00C740D0"/>
    <w:rsid w:val="00C74158"/>
    <w:rsid w:val="00C74192"/>
    <w:rsid w:val="00C74252"/>
    <w:rsid w:val="00C7431B"/>
    <w:rsid w:val="00C743A5"/>
    <w:rsid w:val="00C747A5"/>
    <w:rsid w:val="00C747B8"/>
    <w:rsid w:val="00C74AC5"/>
    <w:rsid w:val="00C74ED8"/>
    <w:rsid w:val="00C74F37"/>
    <w:rsid w:val="00C7514C"/>
    <w:rsid w:val="00C75236"/>
    <w:rsid w:val="00C753DD"/>
    <w:rsid w:val="00C753FD"/>
    <w:rsid w:val="00C7551E"/>
    <w:rsid w:val="00C755BB"/>
    <w:rsid w:val="00C75B45"/>
    <w:rsid w:val="00C75C1E"/>
    <w:rsid w:val="00C75C45"/>
    <w:rsid w:val="00C75C64"/>
    <w:rsid w:val="00C75E6A"/>
    <w:rsid w:val="00C75EFF"/>
    <w:rsid w:val="00C75F98"/>
    <w:rsid w:val="00C75FFF"/>
    <w:rsid w:val="00C76101"/>
    <w:rsid w:val="00C7616E"/>
    <w:rsid w:val="00C76183"/>
    <w:rsid w:val="00C767C3"/>
    <w:rsid w:val="00C76B93"/>
    <w:rsid w:val="00C76C2D"/>
    <w:rsid w:val="00C76D98"/>
    <w:rsid w:val="00C77133"/>
    <w:rsid w:val="00C77902"/>
    <w:rsid w:val="00C77A3A"/>
    <w:rsid w:val="00C77B14"/>
    <w:rsid w:val="00C77CE4"/>
    <w:rsid w:val="00C77F02"/>
    <w:rsid w:val="00C77FD4"/>
    <w:rsid w:val="00C8025D"/>
    <w:rsid w:val="00C80306"/>
    <w:rsid w:val="00C806C5"/>
    <w:rsid w:val="00C80CBC"/>
    <w:rsid w:val="00C80E13"/>
    <w:rsid w:val="00C80EC5"/>
    <w:rsid w:val="00C80ED5"/>
    <w:rsid w:val="00C811F8"/>
    <w:rsid w:val="00C813FF"/>
    <w:rsid w:val="00C81403"/>
    <w:rsid w:val="00C814E4"/>
    <w:rsid w:val="00C81644"/>
    <w:rsid w:val="00C81842"/>
    <w:rsid w:val="00C8189A"/>
    <w:rsid w:val="00C81B96"/>
    <w:rsid w:val="00C81BB2"/>
    <w:rsid w:val="00C822A9"/>
    <w:rsid w:val="00C82392"/>
    <w:rsid w:val="00C8271C"/>
    <w:rsid w:val="00C8290D"/>
    <w:rsid w:val="00C82C60"/>
    <w:rsid w:val="00C82EF4"/>
    <w:rsid w:val="00C8300D"/>
    <w:rsid w:val="00C83046"/>
    <w:rsid w:val="00C833F2"/>
    <w:rsid w:val="00C833F4"/>
    <w:rsid w:val="00C8351A"/>
    <w:rsid w:val="00C8351D"/>
    <w:rsid w:val="00C836E9"/>
    <w:rsid w:val="00C838B3"/>
    <w:rsid w:val="00C83A03"/>
    <w:rsid w:val="00C83B3D"/>
    <w:rsid w:val="00C83C5D"/>
    <w:rsid w:val="00C83C79"/>
    <w:rsid w:val="00C83CE7"/>
    <w:rsid w:val="00C83E17"/>
    <w:rsid w:val="00C83EF0"/>
    <w:rsid w:val="00C84002"/>
    <w:rsid w:val="00C8470F"/>
    <w:rsid w:val="00C84792"/>
    <w:rsid w:val="00C84960"/>
    <w:rsid w:val="00C849C1"/>
    <w:rsid w:val="00C84E93"/>
    <w:rsid w:val="00C84F22"/>
    <w:rsid w:val="00C85251"/>
    <w:rsid w:val="00C85314"/>
    <w:rsid w:val="00C853CF"/>
    <w:rsid w:val="00C8547D"/>
    <w:rsid w:val="00C8595D"/>
    <w:rsid w:val="00C8595F"/>
    <w:rsid w:val="00C85B18"/>
    <w:rsid w:val="00C85CFA"/>
    <w:rsid w:val="00C861D5"/>
    <w:rsid w:val="00C86407"/>
    <w:rsid w:val="00C86441"/>
    <w:rsid w:val="00C86529"/>
    <w:rsid w:val="00C86A1D"/>
    <w:rsid w:val="00C86A28"/>
    <w:rsid w:val="00C86EAD"/>
    <w:rsid w:val="00C87032"/>
    <w:rsid w:val="00C870B2"/>
    <w:rsid w:val="00C8753A"/>
    <w:rsid w:val="00C87592"/>
    <w:rsid w:val="00C8763E"/>
    <w:rsid w:val="00C877A5"/>
    <w:rsid w:val="00C878DF"/>
    <w:rsid w:val="00C879FB"/>
    <w:rsid w:val="00C87D2E"/>
    <w:rsid w:val="00C87D77"/>
    <w:rsid w:val="00C87D83"/>
    <w:rsid w:val="00C87EA7"/>
    <w:rsid w:val="00C87F5C"/>
    <w:rsid w:val="00C90047"/>
    <w:rsid w:val="00C90208"/>
    <w:rsid w:val="00C90396"/>
    <w:rsid w:val="00C90405"/>
    <w:rsid w:val="00C905F3"/>
    <w:rsid w:val="00C909D0"/>
    <w:rsid w:val="00C90D5C"/>
    <w:rsid w:val="00C90E53"/>
    <w:rsid w:val="00C91041"/>
    <w:rsid w:val="00C9111D"/>
    <w:rsid w:val="00C91185"/>
    <w:rsid w:val="00C911A9"/>
    <w:rsid w:val="00C911E0"/>
    <w:rsid w:val="00C9135E"/>
    <w:rsid w:val="00C913C7"/>
    <w:rsid w:val="00C915C1"/>
    <w:rsid w:val="00C915E6"/>
    <w:rsid w:val="00C91622"/>
    <w:rsid w:val="00C918CE"/>
    <w:rsid w:val="00C919B2"/>
    <w:rsid w:val="00C919B6"/>
    <w:rsid w:val="00C91C38"/>
    <w:rsid w:val="00C91C50"/>
    <w:rsid w:val="00C91CC1"/>
    <w:rsid w:val="00C91F4D"/>
    <w:rsid w:val="00C91F98"/>
    <w:rsid w:val="00C924AE"/>
    <w:rsid w:val="00C92D3B"/>
    <w:rsid w:val="00C92E25"/>
    <w:rsid w:val="00C93044"/>
    <w:rsid w:val="00C930DF"/>
    <w:rsid w:val="00C93131"/>
    <w:rsid w:val="00C931C4"/>
    <w:rsid w:val="00C9359E"/>
    <w:rsid w:val="00C935D2"/>
    <w:rsid w:val="00C937D4"/>
    <w:rsid w:val="00C937E8"/>
    <w:rsid w:val="00C93CE5"/>
    <w:rsid w:val="00C93D2F"/>
    <w:rsid w:val="00C940B0"/>
    <w:rsid w:val="00C9423E"/>
    <w:rsid w:val="00C943A8"/>
    <w:rsid w:val="00C943FB"/>
    <w:rsid w:val="00C94666"/>
    <w:rsid w:val="00C9494B"/>
    <w:rsid w:val="00C94A6B"/>
    <w:rsid w:val="00C94AB2"/>
    <w:rsid w:val="00C94BC2"/>
    <w:rsid w:val="00C94D6D"/>
    <w:rsid w:val="00C94F5E"/>
    <w:rsid w:val="00C952EB"/>
    <w:rsid w:val="00C953E8"/>
    <w:rsid w:val="00C9541C"/>
    <w:rsid w:val="00C95551"/>
    <w:rsid w:val="00C95614"/>
    <w:rsid w:val="00C95979"/>
    <w:rsid w:val="00C95A38"/>
    <w:rsid w:val="00C95B45"/>
    <w:rsid w:val="00C95E13"/>
    <w:rsid w:val="00C961BA"/>
    <w:rsid w:val="00C9636B"/>
    <w:rsid w:val="00C963BC"/>
    <w:rsid w:val="00C963C9"/>
    <w:rsid w:val="00C964E0"/>
    <w:rsid w:val="00C96643"/>
    <w:rsid w:val="00C966A3"/>
    <w:rsid w:val="00C966D5"/>
    <w:rsid w:val="00C96A1E"/>
    <w:rsid w:val="00C96CE4"/>
    <w:rsid w:val="00C97069"/>
    <w:rsid w:val="00C977AD"/>
    <w:rsid w:val="00C97849"/>
    <w:rsid w:val="00C979B6"/>
    <w:rsid w:val="00C97B7A"/>
    <w:rsid w:val="00C97BC3"/>
    <w:rsid w:val="00CA0116"/>
    <w:rsid w:val="00CA023A"/>
    <w:rsid w:val="00CA0249"/>
    <w:rsid w:val="00CA02DC"/>
    <w:rsid w:val="00CA042B"/>
    <w:rsid w:val="00CA0431"/>
    <w:rsid w:val="00CA063A"/>
    <w:rsid w:val="00CA079E"/>
    <w:rsid w:val="00CA0B74"/>
    <w:rsid w:val="00CA0CAF"/>
    <w:rsid w:val="00CA0DB3"/>
    <w:rsid w:val="00CA0F1F"/>
    <w:rsid w:val="00CA1224"/>
    <w:rsid w:val="00CA129F"/>
    <w:rsid w:val="00CA1339"/>
    <w:rsid w:val="00CA1441"/>
    <w:rsid w:val="00CA14CB"/>
    <w:rsid w:val="00CA1957"/>
    <w:rsid w:val="00CA1CAC"/>
    <w:rsid w:val="00CA1CAE"/>
    <w:rsid w:val="00CA1CC8"/>
    <w:rsid w:val="00CA27E1"/>
    <w:rsid w:val="00CA2863"/>
    <w:rsid w:val="00CA289F"/>
    <w:rsid w:val="00CA29A0"/>
    <w:rsid w:val="00CA2BBD"/>
    <w:rsid w:val="00CA2D63"/>
    <w:rsid w:val="00CA2DF3"/>
    <w:rsid w:val="00CA2E3F"/>
    <w:rsid w:val="00CA2EC6"/>
    <w:rsid w:val="00CA2EE1"/>
    <w:rsid w:val="00CA3065"/>
    <w:rsid w:val="00CA3138"/>
    <w:rsid w:val="00CA31B9"/>
    <w:rsid w:val="00CA33B6"/>
    <w:rsid w:val="00CA35B8"/>
    <w:rsid w:val="00CA368A"/>
    <w:rsid w:val="00CA3715"/>
    <w:rsid w:val="00CA377C"/>
    <w:rsid w:val="00CA3A74"/>
    <w:rsid w:val="00CA3A8E"/>
    <w:rsid w:val="00CA3B51"/>
    <w:rsid w:val="00CA3B90"/>
    <w:rsid w:val="00CA3C0E"/>
    <w:rsid w:val="00CA3CF5"/>
    <w:rsid w:val="00CA3DDB"/>
    <w:rsid w:val="00CA3ECC"/>
    <w:rsid w:val="00CA3ED0"/>
    <w:rsid w:val="00CA4309"/>
    <w:rsid w:val="00CA433F"/>
    <w:rsid w:val="00CA434F"/>
    <w:rsid w:val="00CA458A"/>
    <w:rsid w:val="00CA46B1"/>
    <w:rsid w:val="00CA47C4"/>
    <w:rsid w:val="00CA488A"/>
    <w:rsid w:val="00CA4BC0"/>
    <w:rsid w:val="00CA5069"/>
    <w:rsid w:val="00CA538F"/>
    <w:rsid w:val="00CA53D5"/>
    <w:rsid w:val="00CA5477"/>
    <w:rsid w:val="00CA5606"/>
    <w:rsid w:val="00CA57C7"/>
    <w:rsid w:val="00CA59D3"/>
    <w:rsid w:val="00CA5AD7"/>
    <w:rsid w:val="00CA5C02"/>
    <w:rsid w:val="00CA5CA8"/>
    <w:rsid w:val="00CA5CBC"/>
    <w:rsid w:val="00CA5E3E"/>
    <w:rsid w:val="00CA6040"/>
    <w:rsid w:val="00CA62DC"/>
    <w:rsid w:val="00CA63AA"/>
    <w:rsid w:val="00CA64A0"/>
    <w:rsid w:val="00CA64B0"/>
    <w:rsid w:val="00CA66F0"/>
    <w:rsid w:val="00CA67D7"/>
    <w:rsid w:val="00CA6AC3"/>
    <w:rsid w:val="00CA6B81"/>
    <w:rsid w:val="00CA6F4E"/>
    <w:rsid w:val="00CA7026"/>
    <w:rsid w:val="00CA7397"/>
    <w:rsid w:val="00CA7554"/>
    <w:rsid w:val="00CA767C"/>
    <w:rsid w:val="00CA76C6"/>
    <w:rsid w:val="00CA777B"/>
    <w:rsid w:val="00CA791B"/>
    <w:rsid w:val="00CA7934"/>
    <w:rsid w:val="00CA7E3D"/>
    <w:rsid w:val="00CA7F65"/>
    <w:rsid w:val="00CB0157"/>
    <w:rsid w:val="00CB03E4"/>
    <w:rsid w:val="00CB0743"/>
    <w:rsid w:val="00CB0930"/>
    <w:rsid w:val="00CB0D9F"/>
    <w:rsid w:val="00CB0DDA"/>
    <w:rsid w:val="00CB0F39"/>
    <w:rsid w:val="00CB0F6F"/>
    <w:rsid w:val="00CB0FC5"/>
    <w:rsid w:val="00CB1130"/>
    <w:rsid w:val="00CB1145"/>
    <w:rsid w:val="00CB128E"/>
    <w:rsid w:val="00CB1355"/>
    <w:rsid w:val="00CB13A7"/>
    <w:rsid w:val="00CB1718"/>
    <w:rsid w:val="00CB18B2"/>
    <w:rsid w:val="00CB18E7"/>
    <w:rsid w:val="00CB194B"/>
    <w:rsid w:val="00CB1A84"/>
    <w:rsid w:val="00CB1B75"/>
    <w:rsid w:val="00CB1DDB"/>
    <w:rsid w:val="00CB1F3E"/>
    <w:rsid w:val="00CB20A2"/>
    <w:rsid w:val="00CB213C"/>
    <w:rsid w:val="00CB21B9"/>
    <w:rsid w:val="00CB21EA"/>
    <w:rsid w:val="00CB2235"/>
    <w:rsid w:val="00CB23EF"/>
    <w:rsid w:val="00CB24B7"/>
    <w:rsid w:val="00CB24EB"/>
    <w:rsid w:val="00CB264D"/>
    <w:rsid w:val="00CB26D7"/>
    <w:rsid w:val="00CB27FC"/>
    <w:rsid w:val="00CB28D4"/>
    <w:rsid w:val="00CB28E9"/>
    <w:rsid w:val="00CB2DF7"/>
    <w:rsid w:val="00CB2F39"/>
    <w:rsid w:val="00CB303C"/>
    <w:rsid w:val="00CB3262"/>
    <w:rsid w:val="00CB3587"/>
    <w:rsid w:val="00CB377D"/>
    <w:rsid w:val="00CB38E0"/>
    <w:rsid w:val="00CB3A9E"/>
    <w:rsid w:val="00CB3BCD"/>
    <w:rsid w:val="00CB3D8B"/>
    <w:rsid w:val="00CB421B"/>
    <w:rsid w:val="00CB485B"/>
    <w:rsid w:val="00CB4954"/>
    <w:rsid w:val="00CB4A10"/>
    <w:rsid w:val="00CB4C16"/>
    <w:rsid w:val="00CB4F5F"/>
    <w:rsid w:val="00CB514C"/>
    <w:rsid w:val="00CB5178"/>
    <w:rsid w:val="00CB5196"/>
    <w:rsid w:val="00CB5205"/>
    <w:rsid w:val="00CB52AF"/>
    <w:rsid w:val="00CB533A"/>
    <w:rsid w:val="00CB536F"/>
    <w:rsid w:val="00CB5776"/>
    <w:rsid w:val="00CB5BE1"/>
    <w:rsid w:val="00CB5C13"/>
    <w:rsid w:val="00CB5E80"/>
    <w:rsid w:val="00CB5E84"/>
    <w:rsid w:val="00CB5F21"/>
    <w:rsid w:val="00CB5FF9"/>
    <w:rsid w:val="00CB6031"/>
    <w:rsid w:val="00CB62BC"/>
    <w:rsid w:val="00CB6970"/>
    <w:rsid w:val="00CB6A0B"/>
    <w:rsid w:val="00CB6A4E"/>
    <w:rsid w:val="00CB6D91"/>
    <w:rsid w:val="00CB6DF0"/>
    <w:rsid w:val="00CB6FF7"/>
    <w:rsid w:val="00CB7190"/>
    <w:rsid w:val="00CB7245"/>
    <w:rsid w:val="00CB72CA"/>
    <w:rsid w:val="00CB7385"/>
    <w:rsid w:val="00CB7544"/>
    <w:rsid w:val="00CB75F6"/>
    <w:rsid w:val="00CB766B"/>
    <w:rsid w:val="00CB78F0"/>
    <w:rsid w:val="00CB78F8"/>
    <w:rsid w:val="00CB797D"/>
    <w:rsid w:val="00CB79B4"/>
    <w:rsid w:val="00CB79D5"/>
    <w:rsid w:val="00CB7AEA"/>
    <w:rsid w:val="00CB7BA2"/>
    <w:rsid w:val="00CB7D60"/>
    <w:rsid w:val="00CB7E54"/>
    <w:rsid w:val="00CC0288"/>
    <w:rsid w:val="00CC046E"/>
    <w:rsid w:val="00CC05FE"/>
    <w:rsid w:val="00CC064F"/>
    <w:rsid w:val="00CC06DB"/>
    <w:rsid w:val="00CC074D"/>
    <w:rsid w:val="00CC09EC"/>
    <w:rsid w:val="00CC0AE1"/>
    <w:rsid w:val="00CC0BB0"/>
    <w:rsid w:val="00CC0DEC"/>
    <w:rsid w:val="00CC0F1F"/>
    <w:rsid w:val="00CC10C2"/>
    <w:rsid w:val="00CC112F"/>
    <w:rsid w:val="00CC1243"/>
    <w:rsid w:val="00CC1A2D"/>
    <w:rsid w:val="00CC1C04"/>
    <w:rsid w:val="00CC1CBE"/>
    <w:rsid w:val="00CC1E75"/>
    <w:rsid w:val="00CC1F84"/>
    <w:rsid w:val="00CC2225"/>
    <w:rsid w:val="00CC2356"/>
    <w:rsid w:val="00CC23F7"/>
    <w:rsid w:val="00CC2532"/>
    <w:rsid w:val="00CC26EF"/>
    <w:rsid w:val="00CC277D"/>
    <w:rsid w:val="00CC27A4"/>
    <w:rsid w:val="00CC282F"/>
    <w:rsid w:val="00CC2E46"/>
    <w:rsid w:val="00CC2F0F"/>
    <w:rsid w:val="00CC31D4"/>
    <w:rsid w:val="00CC32D3"/>
    <w:rsid w:val="00CC360B"/>
    <w:rsid w:val="00CC3642"/>
    <w:rsid w:val="00CC382A"/>
    <w:rsid w:val="00CC3860"/>
    <w:rsid w:val="00CC38AC"/>
    <w:rsid w:val="00CC3993"/>
    <w:rsid w:val="00CC3A13"/>
    <w:rsid w:val="00CC3A7E"/>
    <w:rsid w:val="00CC3AF8"/>
    <w:rsid w:val="00CC3B5D"/>
    <w:rsid w:val="00CC3B78"/>
    <w:rsid w:val="00CC3BBF"/>
    <w:rsid w:val="00CC3C68"/>
    <w:rsid w:val="00CC3D45"/>
    <w:rsid w:val="00CC4115"/>
    <w:rsid w:val="00CC4481"/>
    <w:rsid w:val="00CC44B1"/>
    <w:rsid w:val="00CC4562"/>
    <w:rsid w:val="00CC45E4"/>
    <w:rsid w:val="00CC480E"/>
    <w:rsid w:val="00CC4943"/>
    <w:rsid w:val="00CC496D"/>
    <w:rsid w:val="00CC497B"/>
    <w:rsid w:val="00CC4BFD"/>
    <w:rsid w:val="00CC4D75"/>
    <w:rsid w:val="00CC5095"/>
    <w:rsid w:val="00CC519C"/>
    <w:rsid w:val="00CC51DA"/>
    <w:rsid w:val="00CC541D"/>
    <w:rsid w:val="00CC559D"/>
    <w:rsid w:val="00CC55F1"/>
    <w:rsid w:val="00CC5719"/>
    <w:rsid w:val="00CC585A"/>
    <w:rsid w:val="00CC5BF1"/>
    <w:rsid w:val="00CC5F9A"/>
    <w:rsid w:val="00CC60D6"/>
    <w:rsid w:val="00CC631A"/>
    <w:rsid w:val="00CC63BB"/>
    <w:rsid w:val="00CC6467"/>
    <w:rsid w:val="00CC6C80"/>
    <w:rsid w:val="00CC6D52"/>
    <w:rsid w:val="00CC6E3E"/>
    <w:rsid w:val="00CC6E7B"/>
    <w:rsid w:val="00CC6EA3"/>
    <w:rsid w:val="00CC74FE"/>
    <w:rsid w:val="00CC77C7"/>
    <w:rsid w:val="00CC7892"/>
    <w:rsid w:val="00CC7910"/>
    <w:rsid w:val="00CC794F"/>
    <w:rsid w:val="00CC79D8"/>
    <w:rsid w:val="00CC7A2D"/>
    <w:rsid w:val="00CC7AB9"/>
    <w:rsid w:val="00CC7C85"/>
    <w:rsid w:val="00CD0390"/>
    <w:rsid w:val="00CD04AB"/>
    <w:rsid w:val="00CD056A"/>
    <w:rsid w:val="00CD0792"/>
    <w:rsid w:val="00CD090C"/>
    <w:rsid w:val="00CD093C"/>
    <w:rsid w:val="00CD0B08"/>
    <w:rsid w:val="00CD0C13"/>
    <w:rsid w:val="00CD0C9A"/>
    <w:rsid w:val="00CD0D95"/>
    <w:rsid w:val="00CD0F8C"/>
    <w:rsid w:val="00CD10D8"/>
    <w:rsid w:val="00CD1166"/>
    <w:rsid w:val="00CD11C8"/>
    <w:rsid w:val="00CD143E"/>
    <w:rsid w:val="00CD148B"/>
    <w:rsid w:val="00CD1931"/>
    <w:rsid w:val="00CD19F3"/>
    <w:rsid w:val="00CD1C79"/>
    <w:rsid w:val="00CD1D7E"/>
    <w:rsid w:val="00CD23E4"/>
    <w:rsid w:val="00CD2557"/>
    <w:rsid w:val="00CD27BC"/>
    <w:rsid w:val="00CD2899"/>
    <w:rsid w:val="00CD2A4D"/>
    <w:rsid w:val="00CD2A5E"/>
    <w:rsid w:val="00CD2AD6"/>
    <w:rsid w:val="00CD2B15"/>
    <w:rsid w:val="00CD2B49"/>
    <w:rsid w:val="00CD2B9A"/>
    <w:rsid w:val="00CD2CEE"/>
    <w:rsid w:val="00CD313A"/>
    <w:rsid w:val="00CD324D"/>
    <w:rsid w:val="00CD33F9"/>
    <w:rsid w:val="00CD3656"/>
    <w:rsid w:val="00CD3991"/>
    <w:rsid w:val="00CD39F3"/>
    <w:rsid w:val="00CD3A3C"/>
    <w:rsid w:val="00CD3A77"/>
    <w:rsid w:val="00CD3B0A"/>
    <w:rsid w:val="00CD3CDC"/>
    <w:rsid w:val="00CD42F4"/>
    <w:rsid w:val="00CD434C"/>
    <w:rsid w:val="00CD440A"/>
    <w:rsid w:val="00CD448A"/>
    <w:rsid w:val="00CD44A5"/>
    <w:rsid w:val="00CD44DA"/>
    <w:rsid w:val="00CD450A"/>
    <w:rsid w:val="00CD45A2"/>
    <w:rsid w:val="00CD466D"/>
    <w:rsid w:val="00CD4798"/>
    <w:rsid w:val="00CD4838"/>
    <w:rsid w:val="00CD4843"/>
    <w:rsid w:val="00CD48CC"/>
    <w:rsid w:val="00CD4E88"/>
    <w:rsid w:val="00CD4E99"/>
    <w:rsid w:val="00CD500F"/>
    <w:rsid w:val="00CD517F"/>
    <w:rsid w:val="00CD51E4"/>
    <w:rsid w:val="00CD5396"/>
    <w:rsid w:val="00CD5414"/>
    <w:rsid w:val="00CD5475"/>
    <w:rsid w:val="00CD556F"/>
    <w:rsid w:val="00CD55CA"/>
    <w:rsid w:val="00CD565B"/>
    <w:rsid w:val="00CD5662"/>
    <w:rsid w:val="00CD592D"/>
    <w:rsid w:val="00CD5AFB"/>
    <w:rsid w:val="00CD5B81"/>
    <w:rsid w:val="00CD5BB4"/>
    <w:rsid w:val="00CD5C8A"/>
    <w:rsid w:val="00CD5EEA"/>
    <w:rsid w:val="00CD6015"/>
    <w:rsid w:val="00CD6031"/>
    <w:rsid w:val="00CD6159"/>
    <w:rsid w:val="00CD6451"/>
    <w:rsid w:val="00CD6453"/>
    <w:rsid w:val="00CD654B"/>
    <w:rsid w:val="00CD6BC3"/>
    <w:rsid w:val="00CD6DA2"/>
    <w:rsid w:val="00CD6DFF"/>
    <w:rsid w:val="00CD6E48"/>
    <w:rsid w:val="00CD6FAC"/>
    <w:rsid w:val="00CD7049"/>
    <w:rsid w:val="00CD7186"/>
    <w:rsid w:val="00CD7397"/>
    <w:rsid w:val="00CD73B5"/>
    <w:rsid w:val="00CD7502"/>
    <w:rsid w:val="00CD76CE"/>
    <w:rsid w:val="00CD772D"/>
    <w:rsid w:val="00CD7A50"/>
    <w:rsid w:val="00CD7B08"/>
    <w:rsid w:val="00CD7D68"/>
    <w:rsid w:val="00CE00AC"/>
    <w:rsid w:val="00CE0443"/>
    <w:rsid w:val="00CE06A8"/>
    <w:rsid w:val="00CE0853"/>
    <w:rsid w:val="00CE0881"/>
    <w:rsid w:val="00CE0E79"/>
    <w:rsid w:val="00CE0FDC"/>
    <w:rsid w:val="00CE1122"/>
    <w:rsid w:val="00CE128A"/>
    <w:rsid w:val="00CE163D"/>
    <w:rsid w:val="00CE1984"/>
    <w:rsid w:val="00CE1A43"/>
    <w:rsid w:val="00CE1D88"/>
    <w:rsid w:val="00CE1FBD"/>
    <w:rsid w:val="00CE204A"/>
    <w:rsid w:val="00CE2069"/>
    <w:rsid w:val="00CE2134"/>
    <w:rsid w:val="00CE219B"/>
    <w:rsid w:val="00CE223E"/>
    <w:rsid w:val="00CE23E6"/>
    <w:rsid w:val="00CE2485"/>
    <w:rsid w:val="00CE2616"/>
    <w:rsid w:val="00CE2662"/>
    <w:rsid w:val="00CE2937"/>
    <w:rsid w:val="00CE2B71"/>
    <w:rsid w:val="00CE2B7D"/>
    <w:rsid w:val="00CE2E58"/>
    <w:rsid w:val="00CE2E7C"/>
    <w:rsid w:val="00CE3016"/>
    <w:rsid w:val="00CE310C"/>
    <w:rsid w:val="00CE32A6"/>
    <w:rsid w:val="00CE33B4"/>
    <w:rsid w:val="00CE38D1"/>
    <w:rsid w:val="00CE3BD4"/>
    <w:rsid w:val="00CE3BFA"/>
    <w:rsid w:val="00CE3DAD"/>
    <w:rsid w:val="00CE3DE9"/>
    <w:rsid w:val="00CE3E9D"/>
    <w:rsid w:val="00CE3F14"/>
    <w:rsid w:val="00CE3F40"/>
    <w:rsid w:val="00CE4145"/>
    <w:rsid w:val="00CE41A9"/>
    <w:rsid w:val="00CE4309"/>
    <w:rsid w:val="00CE4446"/>
    <w:rsid w:val="00CE447D"/>
    <w:rsid w:val="00CE4855"/>
    <w:rsid w:val="00CE4A75"/>
    <w:rsid w:val="00CE4C28"/>
    <w:rsid w:val="00CE4E79"/>
    <w:rsid w:val="00CE5099"/>
    <w:rsid w:val="00CE5211"/>
    <w:rsid w:val="00CE52DF"/>
    <w:rsid w:val="00CE52E0"/>
    <w:rsid w:val="00CE53FA"/>
    <w:rsid w:val="00CE5652"/>
    <w:rsid w:val="00CE571D"/>
    <w:rsid w:val="00CE5AFE"/>
    <w:rsid w:val="00CE5BE1"/>
    <w:rsid w:val="00CE5C1B"/>
    <w:rsid w:val="00CE5DCB"/>
    <w:rsid w:val="00CE6055"/>
    <w:rsid w:val="00CE6125"/>
    <w:rsid w:val="00CE6270"/>
    <w:rsid w:val="00CE6441"/>
    <w:rsid w:val="00CE6706"/>
    <w:rsid w:val="00CE6E5C"/>
    <w:rsid w:val="00CE70B2"/>
    <w:rsid w:val="00CE72EF"/>
    <w:rsid w:val="00CE73A5"/>
    <w:rsid w:val="00CE767C"/>
    <w:rsid w:val="00CE7915"/>
    <w:rsid w:val="00CE7DFD"/>
    <w:rsid w:val="00CE7EBA"/>
    <w:rsid w:val="00CE7F2A"/>
    <w:rsid w:val="00CF00C4"/>
    <w:rsid w:val="00CF0380"/>
    <w:rsid w:val="00CF050B"/>
    <w:rsid w:val="00CF0581"/>
    <w:rsid w:val="00CF079F"/>
    <w:rsid w:val="00CF0880"/>
    <w:rsid w:val="00CF0916"/>
    <w:rsid w:val="00CF09C2"/>
    <w:rsid w:val="00CF0B04"/>
    <w:rsid w:val="00CF0B4A"/>
    <w:rsid w:val="00CF0D5C"/>
    <w:rsid w:val="00CF1178"/>
    <w:rsid w:val="00CF12C0"/>
    <w:rsid w:val="00CF13C1"/>
    <w:rsid w:val="00CF19C8"/>
    <w:rsid w:val="00CF1A9D"/>
    <w:rsid w:val="00CF1C42"/>
    <w:rsid w:val="00CF1E00"/>
    <w:rsid w:val="00CF1E5F"/>
    <w:rsid w:val="00CF1FAB"/>
    <w:rsid w:val="00CF20B8"/>
    <w:rsid w:val="00CF20C4"/>
    <w:rsid w:val="00CF262C"/>
    <w:rsid w:val="00CF2830"/>
    <w:rsid w:val="00CF28DB"/>
    <w:rsid w:val="00CF2965"/>
    <w:rsid w:val="00CF297E"/>
    <w:rsid w:val="00CF29BE"/>
    <w:rsid w:val="00CF2A2A"/>
    <w:rsid w:val="00CF2A4E"/>
    <w:rsid w:val="00CF2A9B"/>
    <w:rsid w:val="00CF2AA0"/>
    <w:rsid w:val="00CF2BF1"/>
    <w:rsid w:val="00CF2C68"/>
    <w:rsid w:val="00CF3113"/>
    <w:rsid w:val="00CF31CD"/>
    <w:rsid w:val="00CF3297"/>
    <w:rsid w:val="00CF3307"/>
    <w:rsid w:val="00CF3536"/>
    <w:rsid w:val="00CF3A87"/>
    <w:rsid w:val="00CF3A97"/>
    <w:rsid w:val="00CF3F0D"/>
    <w:rsid w:val="00CF3FFA"/>
    <w:rsid w:val="00CF4202"/>
    <w:rsid w:val="00CF439F"/>
    <w:rsid w:val="00CF450B"/>
    <w:rsid w:val="00CF45BC"/>
    <w:rsid w:val="00CF48C0"/>
    <w:rsid w:val="00CF4C73"/>
    <w:rsid w:val="00CF4E33"/>
    <w:rsid w:val="00CF5356"/>
    <w:rsid w:val="00CF54E2"/>
    <w:rsid w:val="00CF5FBA"/>
    <w:rsid w:val="00CF603F"/>
    <w:rsid w:val="00CF6497"/>
    <w:rsid w:val="00CF64E8"/>
    <w:rsid w:val="00CF65FC"/>
    <w:rsid w:val="00CF6737"/>
    <w:rsid w:val="00CF6805"/>
    <w:rsid w:val="00CF692E"/>
    <w:rsid w:val="00CF6DF3"/>
    <w:rsid w:val="00CF6E87"/>
    <w:rsid w:val="00CF6EBD"/>
    <w:rsid w:val="00CF7111"/>
    <w:rsid w:val="00CF7137"/>
    <w:rsid w:val="00CF7509"/>
    <w:rsid w:val="00CF758C"/>
    <w:rsid w:val="00CF775E"/>
    <w:rsid w:val="00CF7B85"/>
    <w:rsid w:val="00CF7C10"/>
    <w:rsid w:val="00CF7C7F"/>
    <w:rsid w:val="00CF7E3F"/>
    <w:rsid w:val="00CF7E47"/>
    <w:rsid w:val="00D00257"/>
    <w:rsid w:val="00D003B7"/>
    <w:rsid w:val="00D003DE"/>
    <w:rsid w:val="00D00546"/>
    <w:rsid w:val="00D005F7"/>
    <w:rsid w:val="00D00628"/>
    <w:rsid w:val="00D00948"/>
    <w:rsid w:val="00D00A8E"/>
    <w:rsid w:val="00D00C6C"/>
    <w:rsid w:val="00D00D0F"/>
    <w:rsid w:val="00D01087"/>
    <w:rsid w:val="00D01209"/>
    <w:rsid w:val="00D01531"/>
    <w:rsid w:val="00D015AA"/>
    <w:rsid w:val="00D01643"/>
    <w:rsid w:val="00D017D9"/>
    <w:rsid w:val="00D0243C"/>
    <w:rsid w:val="00D0283B"/>
    <w:rsid w:val="00D0290E"/>
    <w:rsid w:val="00D02982"/>
    <w:rsid w:val="00D02A5E"/>
    <w:rsid w:val="00D02FEA"/>
    <w:rsid w:val="00D03371"/>
    <w:rsid w:val="00D03599"/>
    <w:rsid w:val="00D036F1"/>
    <w:rsid w:val="00D03B9E"/>
    <w:rsid w:val="00D03BC2"/>
    <w:rsid w:val="00D03C3C"/>
    <w:rsid w:val="00D03C4A"/>
    <w:rsid w:val="00D03CBD"/>
    <w:rsid w:val="00D03E6F"/>
    <w:rsid w:val="00D04024"/>
    <w:rsid w:val="00D042F4"/>
    <w:rsid w:val="00D04A82"/>
    <w:rsid w:val="00D04D60"/>
    <w:rsid w:val="00D04D7D"/>
    <w:rsid w:val="00D04E2E"/>
    <w:rsid w:val="00D0505B"/>
    <w:rsid w:val="00D0553F"/>
    <w:rsid w:val="00D05561"/>
    <w:rsid w:val="00D055FC"/>
    <w:rsid w:val="00D05715"/>
    <w:rsid w:val="00D05F09"/>
    <w:rsid w:val="00D05F2A"/>
    <w:rsid w:val="00D061A2"/>
    <w:rsid w:val="00D0624F"/>
    <w:rsid w:val="00D06353"/>
    <w:rsid w:val="00D06484"/>
    <w:rsid w:val="00D064D4"/>
    <w:rsid w:val="00D064EB"/>
    <w:rsid w:val="00D0653B"/>
    <w:rsid w:val="00D06782"/>
    <w:rsid w:val="00D06C57"/>
    <w:rsid w:val="00D06D5B"/>
    <w:rsid w:val="00D06E25"/>
    <w:rsid w:val="00D07297"/>
    <w:rsid w:val="00D072AF"/>
    <w:rsid w:val="00D07575"/>
    <w:rsid w:val="00D07619"/>
    <w:rsid w:val="00D07759"/>
    <w:rsid w:val="00D07777"/>
    <w:rsid w:val="00D07B7C"/>
    <w:rsid w:val="00D07E66"/>
    <w:rsid w:val="00D07E96"/>
    <w:rsid w:val="00D07EB6"/>
    <w:rsid w:val="00D101F7"/>
    <w:rsid w:val="00D10320"/>
    <w:rsid w:val="00D1032A"/>
    <w:rsid w:val="00D1033B"/>
    <w:rsid w:val="00D1046C"/>
    <w:rsid w:val="00D10485"/>
    <w:rsid w:val="00D1092E"/>
    <w:rsid w:val="00D1094A"/>
    <w:rsid w:val="00D10DAD"/>
    <w:rsid w:val="00D10DD4"/>
    <w:rsid w:val="00D10F6E"/>
    <w:rsid w:val="00D11157"/>
    <w:rsid w:val="00D11292"/>
    <w:rsid w:val="00D11341"/>
    <w:rsid w:val="00D11614"/>
    <w:rsid w:val="00D1171D"/>
    <w:rsid w:val="00D117CF"/>
    <w:rsid w:val="00D1183F"/>
    <w:rsid w:val="00D11A82"/>
    <w:rsid w:val="00D11AD2"/>
    <w:rsid w:val="00D11FD5"/>
    <w:rsid w:val="00D1211E"/>
    <w:rsid w:val="00D12491"/>
    <w:rsid w:val="00D125D7"/>
    <w:rsid w:val="00D12828"/>
    <w:rsid w:val="00D12B01"/>
    <w:rsid w:val="00D12F0E"/>
    <w:rsid w:val="00D1310B"/>
    <w:rsid w:val="00D13194"/>
    <w:rsid w:val="00D131F7"/>
    <w:rsid w:val="00D13B0E"/>
    <w:rsid w:val="00D13C69"/>
    <w:rsid w:val="00D13C82"/>
    <w:rsid w:val="00D13E1A"/>
    <w:rsid w:val="00D13ED5"/>
    <w:rsid w:val="00D1430E"/>
    <w:rsid w:val="00D14391"/>
    <w:rsid w:val="00D145F5"/>
    <w:rsid w:val="00D14615"/>
    <w:rsid w:val="00D1461E"/>
    <w:rsid w:val="00D14760"/>
    <w:rsid w:val="00D14794"/>
    <w:rsid w:val="00D148FC"/>
    <w:rsid w:val="00D14D79"/>
    <w:rsid w:val="00D14DEE"/>
    <w:rsid w:val="00D14EF0"/>
    <w:rsid w:val="00D14F03"/>
    <w:rsid w:val="00D15073"/>
    <w:rsid w:val="00D151DF"/>
    <w:rsid w:val="00D155A4"/>
    <w:rsid w:val="00D155B9"/>
    <w:rsid w:val="00D155CF"/>
    <w:rsid w:val="00D1570E"/>
    <w:rsid w:val="00D15842"/>
    <w:rsid w:val="00D1598F"/>
    <w:rsid w:val="00D15A94"/>
    <w:rsid w:val="00D15B39"/>
    <w:rsid w:val="00D15D92"/>
    <w:rsid w:val="00D15EC7"/>
    <w:rsid w:val="00D161CE"/>
    <w:rsid w:val="00D1637C"/>
    <w:rsid w:val="00D163CA"/>
    <w:rsid w:val="00D16411"/>
    <w:rsid w:val="00D16755"/>
    <w:rsid w:val="00D16887"/>
    <w:rsid w:val="00D16C44"/>
    <w:rsid w:val="00D16C91"/>
    <w:rsid w:val="00D16EB9"/>
    <w:rsid w:val="00D1716D"/>
    <w:rsid w:val="00D171AD"/>
    <w:rsid w:val="00D175FA"/>
    <w:rsid w:val="00D177EC"/>
    <w:rsid w:val="00D17865"/>
    <w:rsid w:val="00D17A8F"/>
    <w:rsid w:val="00D17B4B"/>
    <w:rsid w:val="00D17C96"/>
    <w:rsid w:val="00D17DF3"/>
    <w:rsid w:val="00D17E1C"/>
    <w:rsid w:val="00D17E70"/>
    <w:rsid w:val="00D17E94"/>
    <w:rsid w:val="00D17FE6"/>
    <w:rsid w:val="00D20241"/>
    <w:rsid w:val="00D202A2"/>
    <w:rsid w:val="00D205BE"/>
    <w:rsid w:val="00D2096D"/>
    <w:rsid w:val="00D20BB1"/>
    <w:rsid w:val="00D20D23"/>
    <w:rsid w:val="00D20DA6"/>
    <w:rsid w:val="00D20E91"/>
    <w:rsid w:val="00D20F3F"/>
    <w:rsid w:val="00D20FF1"/>
    <w:rsid w:val="00D2100B"/>
    <w:rsid w:val="00D21189"/>
    <w:rsid w:val="00D21340"/>
    <w:rsid w:val="00D21722"/>
    <w:rsid w:val="00D2173B"/>
    <w:rsid w:val="00D21808"/>
    <w:rsid w:val="00D218DC"/>
    <w:rsid w:val="00D218F5"/>
    <w:rsid w:val="00D21A5A"/>
    <w:rsid w:val="00D21BBD"/>
    <w:rsid w:val="00D21D92"/>
    <w:rsid w:val="00D21E15"/>
    <w:rsid w:val="00D220DB"/>
    <w:rsid w:val="00D2219A"/>
    <w:rsid w:val="00D22455"/>
    <w:rsid w:val="00D2254F"/>
    <w:rsid w:val="00D22559"/>
    <w:rsid w:val="00D22590"/>
    <w:rsid w:val="00D225DD"/>
    <w:rsid w:val="00D22891"/>
    <w:rsid w:val="00D22962"/>
    <w:rsid w:val="00D22B6A"/>
    <w:rsid w:val="00D22E42"/>
    <w:rsid w:val="00D22E7C"/>
    <w:rsid w:val="00D22FDF"/>
    <w:rsid w:val="00D2312F"/>
    <w:rsid w:val="00D23159"/>
    <w:rsid w:val="00D232B2"/>
    <w:rsid w:val="00D2335D"/>
    <w:rsid w:val="00D23409"/>
    <w:rsid w:val="00D23420"/>
    <w:rsid w:val="00D234C4"/>
    <w:rsid w:val="00D234D6"/>
    <w:rsid w:val="00D234DD"/>
    <w:rsid w:val="00D23708"/>
    <w:rsid w:val="00D2382D"/>
    <w:rsid w:val="00D23994"/>
    <w:rsid w:val="00D23A12"/>
    <w:rsid w:val="00D23AE0"/>
    <w:rsid w:val="00D23CAE"/>
    <w:rsid w:val="00D23DB3"/>
    <w:rsid w:val="00D23DDB"/>
    <w:rsid w:val="00D23E52"/>
    <w:rsid w:val="00D242D3"/>
    <w:rsid w:val="00D243F9"/>
    <w:rsid w:val="00D24915"/>
    <w:rsid w:val="00D24AF1"/>
    <w:rsid w:val="00D24B6A"/>
    <w:rsid w:val="00D24B72"/>
    <w:rsid w:val="00D24FC9"/>
    <w:rsid w:val="00D25017"/>
    <w:rsid w:val="00D250A5"/>
    <w:rsid w:val="00D250E6"/>
    <w:rsid w:val="00D2543A"/>
    <w:rsid w:val="00D25588"/>
    <w:rsid w:val="00D2562E"/>
    <w:rsid w:val="00D2574B"/>
    <w:rsid w:val="00D257CF"/>
    <w:rsid w:val="00D259D1"/>
    <w:rsid w:val="00D25D2A"/>
    <w:rsid w:val="00D25E77"/>
    <w:rsid w:val="00D25F20"/>
    <w:rsid w:val="00D25FF3"/>
    <w:rsid w:val="00D26240"/>
    <w:rsid w:val="00D26299"/>
    <w:rsid w:val="00D267D5"/>
    <w:rsid w:val="00D267FF"/>
    <w:rsid w:val="00D269AB"/>
    <w:rsid w:val="00D26A3F"/>
    <w:rsid w:val="00D26E3A"/>
    <w:rsid w:val="00D26F14"/>
    <w:rsid w:val="00D270E1"/>
    <w:rsid w:val="00D271FE"/>
    <w:rsid w:val="00D2733A"/>
    <w:rsid w:val="00D27414"/>
    <w:rsid w:val="00D27464"/>
    <w:rsid w:val="00D2760C"/>
    <w:rsid w:val="00D277F4"/>
    <w:rsid w:val="00D27885"/>
    <w:rsid w:val="00D27B2A"/>
    <w:rsid w:val="00D27D08"/>
    <w:rsid w:val="00D27D57"/>
    <w:rsid w:val="00D27DD6"/>
    <w:rsid w:val="00D27F87"/>
    <w:rsid w:val="00D30008"/>
    <w:rsid w:val="00D301F0"/>
    <w:rsid w:val="00D306F5"/>
    <w:rsid w:val="00D3091B"/>
    <w:rsid w:val="00D309BD"/>
    <w:rsid w:val="00D30D11"/>
    <w:rsid w:val="00D30D50"/>
    <w:rsid w:val="00D30DD7"/>
    <w:rsid w:val="00D30F00"/>
    <w:rsid w:val="00D3100D"/>
    <w:rsid w:val="00D3104F"/>
    <w:rsid w:val="00D3121D"/>
    <w:rsid w:val="00D312F8"/>
    <w:rsid w:val="00D31541"/>
    <w:rsid w:val="00D3162F"/>
    <w:rsid w:val="00D3164D"/>
    <w:rsid w:val="00D316A1"/>
    <w:rsid w:val="00D31972"/>
    <w:rsid w:val="00D31A6D"/>
    <w:rsid w:val="00D31DB2"/>
    <w:rsid w:val="00D3202B"/>
    <w:rsid w:val="00D32101"/>
    <w:rsid w:val="00D32360"/>
    <w:rsid w:val="00D32384"/>
    <w:rsid w:val="00D3240A"/>
    <w:rsid w:val="00D32709"/>
    <w:rsid w:val="00D32898"/>
    <w:rsid w:val="00D32912"/>
    <w:rsid w:val="00D329A3"/>
    <w:rsid w:val="00D329F1"/>
    <w:rsid w:val="00D32A0F"/>
    <w:rsid w:val="00D32BA3"/>
    <w:rsid w:val="00D32BED"/>
    <w:rsid w:val="00D32C83"/>
    <w:rsid w:val="00D32E34"/>
    <w:rsid w:val="00D32F62"/>
    <w:rsid w:val="00D332B6"/>
    <w:rsid w:val="00D3356E"/>
    <w:rsid w:val="00D33592"/>
    <w:rsid w:val="00D33598"/>
    <w:rsid w:val="00D335A4"/>
    <w:rsid w:val="00D339CD"/>
    <w:rsid w:val="00D33E20"/>
    <w:rsid w:val="00D340E4"/>
    <w:rsid w:val="00D344A2"/>
    <w:rsid w:val="00D348B4"/>
    <w:rsid w:val="00D348F8"/>
    <w:rsid w:val="00D34CC7"/>
    <w:rsid w:val="00D34D75"/>
    <w:rsid w:val="00D34D8A"/>
    <w:rsid w:val="00D34E11"/>
    <w:rsid w:val="00D3512E"/>
    <w:rsid w:val="00D35135"/>
    <w:rsid w:val="00D3522F"/>
    <w:rsid w:val="00D3532E"/>
    <w:rsid w:val="00D353A1"/>
    <w:rsid w:val="00D35457"/>
    <w:rsid w:val="00D355F0"/>
    <w:rsid w:val="00D35CE1"/>
    <w:rsid w:val="00D35D57"/>
    <w:rsid w:val="00D35DF0"/>
    <w:rsid w:val="00D362BE"/>
    <w:rsid w:val="00D36566"/>
    <w:rsid w:val="00D368E2"/>
    <w:rsid w:val="00D36E18"/>
    <w:rsid w:val="00D36F50"/>
    <w:rsid w:val="00D371DC"/>
    <w:rsid w:val="00D37225"/>
    <w:rsid w:val="00D37424"/>
    <w:rsid w:val="00D3752E"/>
    <w:rsid w:val="00D3753C"/>
    <w:rsid w:val="00D378B5"/>
    <w:rsid w:val="00D379BC"/>
    <w:rsid w:val="00D37BF9"/>
    <w:rsid w:val="00D37C55"/>
    <w:rsid w:val="00D37CD7"/>
    <w:rsid w:val="00D37D03"/>
    <w:rsid w:val="00D37D17"/>
    <w:rsid w:val="00D404E6"/>
    <w:rsid w:val="00D40797"/>
    <w:rsid w:val="00D40843"/>
    <w:rsid w:val="00D40854"/>
    <w:rsid w:val="00D40A26"/>
    <w:rsid w:val="00D40AAE"/>
    <w:rsid w:val="00D40D28"/>
    <w:rsid w:val="00D40E17"/>
    <w:rsid w:val="00D4144B"/>
    <w:rsid w:val="00D41468"/>
    <w:rsid w:val="00D417E5"/>
    <w:rsid w:val="00D4180B"/>
    <w:rsid w:val="00D41C7D"/>
    <w:rsid w:val="00D41D68"/>
    <w:rsid w:val="00D41FFB"/>
    <w:rsid w:val="00D4260F"/>
    <w:rsid w:val="00D426ED"/>
    <w:rsid w:val="00D42B02"/>
    <w:rsid w:val="00D42B24"/>
    <w:rsid w:val="00D42B76"/>
    <w:rsid w:val="00D42CF2"/>
    <w:rsid w:val="00D42D78"/>
    <w:rsid w:val="00D42F1B"/>
    <w:rsid w:val="00D43174"/>
    <w:rsid w:val="00D431C7"/>
    <w:rsid w:val="00D43378"/>
    <w:rsid w:val="00D4373B"/>
    <w:rsid w:val="00D43892"/>
    <w:rsid w:val="00D43AC8"/>
    <w:rsid w:val="00D43B1B"/>
    <w:rsid w:val="00D43DAD"/>
    <w:rsid w:val="00D43EC9"/>
    <w:rsid w:val="00D44051"/>
    <w:rsid w:val="00D442E7"/>
    <w:rsid w:val="00D444A7"/>
    <w:rsid w:val="00D4489D"/>
    <w:rsid w:val="00D44965"/>
    <w:rsid w:val="00D44A07"/>
    <w:rsid w:val="00D44ABC"/>
    <w:rsid w:val="00D44AFF"/>
    <w:rsid w:val="00D44D67"/>
    <w:rsid w:val="00D44E1F"/>
    <w:rsid w:val="00D44E36"/>
    <w:rsid w:val="00D44EF4"/>
    <w:rsid w:val="00D450DA"/>
    <w:rsid w:val="00D45285"/>
    <w:rsid w:val="00D45700"/>
    <w:rsid w:val="00D459BC"/>
    <w:rsid w:val="00D45F21"/>
    <w:rsid w:val="00D46050"/>
    <w:rsid w:val="00D4614A"/>
    <w:rsid w:val="00D46261"/>
    <w:rsid w:val="00D463AD"/>
    <w:rsid w:val="00D463DB"/>
    <w:rsid w:val="00D4651E"/>
    <w:rsid w:val="00D4669F"/>
    <w:rsid w:val="00D466C5"/>
    <w:rsid w:val="00D468C8"/>
    <w:rsid w:val="00D46A46"/>
    <w:rsid w:val="00D46D67"/>
    <w:rsid w:val="00D46E9A"/>
    <w:rsid w:val="00D47140"/>
    <w:rsid w:val="00D472DD"/>
    <w:rsid w:val="00D4750F"/>
    <w:rsid w:val="00D47680"/>
    <w:rsid w:val="00D47A24"/>
    <w:rsid w:val="00D47BDC"/>
    <w:rsid w:val="00D47FC3"/>
    <w:rsid w:val="00D5046F"/>
    <w:rsid w:val="00D504A0"/>
    <w:rsid w:val="00D50672"/>
    <w:rsid w:val="00D506AC"/>
    <w:rsid w:val="00D506F1"/>
    <w:rsid w:val="00D50724"/>
    <w:rsid w:val="00D50879"/>
    <w:rsid w:val="00D50A51"/>
    <w:rsid w:val="00D50B61"/>
    <w:rsid w:val="00D50BCA"/>
    <w:rsid w:val="00D50D58"/>
    <w:rsid w:val="00D50DF8"/>
    <w:rsid w:val="00D51199"/>
    <w:rsid w:val="00D51610"/>
    <w:rsid w:val="00D51B58"/>
    <w:rsid w:val="00D51C41"/>
    <w:rsid w:val="00D520BE"/>
    <w:rsid w:val="00D5222C"/>
    <w:rsid w:val="00D522F1"/>
    <w:rsid w:val="00D5241D"/>
    <w:rsid w:val="00D526D3"/>
    <w:rsid w:val="00D52888"/>
    <w:rsid w:val="00D528D9"/>
    <w:rsid w:val="00D529F8"/>
    <w:rsid w:val="00D52D10"/>
    <w:rsid w:val="00D52E1E"/>
    <w:rsid w:val="00D52FC2"/>
    <w:rsid w:val="00D53103"/>
    <w:rsid w:val="00D53310"/>
    <w:rsid w:val="00D53342"/>
    <w:rsid w:val="00D53728"/>
    <w:rsid w:val="00D5394F"/>
    <w:rsid w:val="00D5396B"/>
    <w:rsid w:val="00D53CB2"/>
    <w:rsid w:val="00D53EB0"/>
    <w:rsid w:val="00D54357"/>
    <w:rsid w:val="00D5441A"/>
    <w:rsid w:val="00D548B5"/>
    <w:rsid w:val="00D54A8A"/>
    <w:rsid w:val="00D54BA3"/>
    <w:rsid w:val="00D55017"/>
    <w:rsid w:val="00D550B6"/>
    <w:rsid w:val="00D55315"/>
    <w:rsid w:val="00D55488"/>
    <w:rsid w:val="00D55537"/>
    <w:rsid w:val="00D55630"/>
    <w:rsid w:val="00D5567B"/>
    <w:rsid w:val="00D5582D"/>
    <w:rsid w:val="00D55989"/>
    <w:rsid w:val="00D55990"/>
    <w:rsid w:val="00D559B7"/>
    <w:rsid w:val="00D55D13"/>
    <w:rsid w:val="00D55D1D"/>
    <w:rsid w:val="00D55D21"/>
    <w:rsid w:val="00D55D86"/>
    <w:rsid w:val="00D55DB3"/>
    <w:rsid w:val="00D56113"/>
    <w:rsid w:val="00D5632F"/>
    <w:rsid w:val="00D564AC"/>
    <w:rsid w:val="00D56AA2"/>
    <w:rsid w:val="00D57193"/>
    <w:rsid w:val="00D579A0"/>
    <w:rsid w:val="00D57B12"/>
    <w:rsid w:val="00D57B22"/>
    <w:rsid w:val="00D57C0E"/>
    <w:rsid w:val="00D57CE1"/>
    <w:rsid w:val="00D57F40"/>
    <w:rsid w:val="00D60126"/>
    <w:rsid w:val="00D60190"/>
    <w:rsid w:val="00D60216"/>
    <w:rsid w:val="00D60386"/>
    <w:rsid w:val="00D606E7"/>
    <w:rsid w:val="00D60AA8"/>
    <w:rsid w:val="00D60C11"/>
    <w:rsid w:val="00D60F66"/>
    <w:rsid w:val="00D61097"/>
    <w:rsid w:val="00D610AC"/>
    <w:rsid w:val="00D611A9"/>
    <w:rsid w:val="00D6160C"/>
    <w:rsid w:val="00D619B5"/>
    <w:rsid w:val="00D61A1F"/>
    <w:rsid w:val="00D61B2F"/>
    <w:rsid w:val="00D61B3B"/>
    <w:rsid w:val="00D61DD5"/>
    <w:rsid w:val="00D6217E"/>
    <w:rsid w:val="00D62C2B"/>
    <w:rsid w:val="00D62C2D"/>
    <w:rsid w:val="00D633D7"/>
    <w:rsid w:val="00D636C7"/>
    <w:rsid w:val="00D63705"/>
    <w:rsid w:val="00D6373D"/>
    <w:rsid w:val="00D637B1"/>
    <w:rsid w:val="00D63980"/>
    <w:rsid w:val="00D63A90"/>
    <w:rsid w:val="00D63E3D"/>
    <w:rsid w:val="00D63F17"/>
    <w:rsid w:val="00D640E4"/>
    <w:rsid w:val="00D6424B"/>
    <w:rsid w:val="00D64331"/>
    <w:rsid w:val="00D64334"/>
    <w:rsid w:val="00D643F4"/>
    <w:rsid w:val="00D646B9"/>
    <w:rsid w:val="00D647A4"/>
    <w:rsid w:val="00D647B8"/>
    <w:rsid w:val="00D647C0"/>
    <w:rsid w:val="00D64961"/>
    <w:rsid w:val="00D64AE9"/>
    <w:rsid w:val="00D64BA7"/>
    <w:rsid w:val="00D64CEC"/>
    <w:rsid w:val="00D64DD3"/>
    <w:rsid w:val="00D64E03"/>
    <w:rsid w:val="00D64ED3"/>
    <w:rsid w:val="00D6512A"/>
    <w:rsid w:val="00D652FF"/>
    <w:rsid w:val="00D65326"/>
    <w:rsid w:val="00D653BC"/>
    <w:rsid w:val="00D658E2"/>
    <w:rsid w:val="00D65C24"/>
    <w:rsid w:val="00D660BC"/>
    <w:rsid w:val="00D660D2"/>
    <w:rsid w:val="00D66300"/>
    <w:rsid w:val="00D664FA"/>
    <w:rsid w:val="00D66A2B"/>
    <w:rsid w:val="00D66B88"/>
    <w:rsid w:val="00D66C97"/>
    <w:rsid w:val="00D66FE5"/>
    <w:rsid w:val="00D670CC"/>
    <w:rsid w:val="00D67116"/>
    <w:rsid w:val="00D67211"/>
    <w:rsid w:val="00D672C9"/>
    <w:rsid w:val="00D67462"/>
    <w:rsid w:val="00D674BB"/>
    <w:rsid w:val="00D6758F"/>
    <w:rsid w:val="00D67643"/>
    <w:rsid w:val="00D677CF"/>
    <w:rsid w:val="00D677D9"/>
    <w:rsid w:val="00D67C84"/>
    <w:rsid w:val="00D67D14"/>
    <w:rsid w:val="00D67DD0"/>
    <w:rsid w:val="00D67DE7"/>
    <w:rsid w:val="00D67F96"/>
    <w:rsid w:val="00D67FDD"/>
    <w:rsid w:val="00D70207"/>
    <w:rsid w:val="00D70485"/>
    <w:rsid w:val="00D70667"/>
    <w:rsid w:val="00D70772"/>
    <w:rsid w:val="00D70943"/>
    <w:rsid w:val="00D70D5A"/>
    <w:rsid w:val="00D714C6"/>
    <w:rsid w:val="00D7179E"/>
    <w:rsid w:val="00D717E9"/>
    <w:rsid w:val="00D7182D"/>
    <w:rsid w:val="00D71A68"/>
    <w:rsid w:val="00D71AFF"/>
    <w:rsid w:val="00D71C77"/>
    <w:rsid w:val="00D71D09"/>
    <w:rsid w:val="00D71E16"/>
    <w:rsid w:val="00D71FEA"/>
    <w:rsid w:val="00D720FF"/>
    <w:rsid w:val="00D7226A"/>
    <w:rsid w:val="00D722DA"/>
    <w:rsid w:val="00D723F0"/>
    <w:rsid w:val="00D723FE"/>
    <w:rsid w:val="00D725BD"/>
    <w:rsid w:val="00D726BD"/>
    <w:rsid w:val="00D7290B"/>
    <w:rsid w:val="00D72F20"/>
    <w:rsid w:val="00D7306C"/>
    <w:rsid w:val="00D73454"/>
    <w:rsid w:val="00D734E6"/>
    <w:rsid w:val="00D735D3"/>
    <w:rsid w:val="00D7391F"/>
    <w:rsid w:val="00D739FA"/>
    <w:rsid w:val="00D73AE0"/>
    <w:rsid w:val="00D73AE8"/>
    <w:rsid w:val="00D73CE3"/>
    <w:rsid w:val="00D73D1B"/>
    <w:rsid w:val="00D73F83"/>
    <w:rsid w:val="00D740AE"/>
    <w:rsid w:val="00D7419F"/>
    <w:rsid w:val="00D741FF"/>
    <w:rsid w:val="00D744EB"/>
    <w:rsid w:val="00D746AC"/>
    <w:rsid w:val="00D746D2"/>
    <w:rsid w:val="00D749E0"/>
    <w:rsid w:val="00D74C02"/>
    <w:rsid w:val="00D74CDE"/>
    <w:rsid w:val="00D74EF4"/>
    <w:rsid w:val="00D7514A"/>
    <w:rsid w:val="00D75459"/>
    <w:rsid w:val="00D7560A"/>
    <w:rsid w:val="00D757CF"/>
    <w:rsid w:val="00D75926"/>
    <w:rsid w:val="00D75B48"/>
    <w:rsid w:val="00D75DDB"/>
    <w:rsid w:val="00D75FF9"/>
    <w:rsid w:val="00D76042"/>
    <w:rsid w:val="00D7612F"/>
    <w:rsid w:val="00D76507"/>
    <w:rsid w:val="00D7650D"/>
    <w:rsid w:val="00D7651C"/>
    <w:rsid w:val="00D76B3A"/>
    <w:rsid w:val="00D76BD4"/>
    <w:rsid w:val="00D76DCF"/>
    <w:rsid w:val="00D76E0B"/>
    <w:rsid w:val="00D76E86"/>
    <w:rsid w:val="00D76EC3"/>
    <w:rsid w:val="00D76EDC"/>
    <w:rsid w:val="00D7712A"/>
    <w:rsid w:val="00D772B3"/>
    <w:rsid w:val="00D774E1"/>
    <w:rsid w:val="00D77522"/>
    <w:rsid w:val="00D77816"/>
    <w:rsid w:val="00D778BA"/>
    <w:rsid w:val="00D77C96"/>
    <w:rsid w:val="00D800D6"/>
    <w:rsid w:val="00D80338"/>
    <w:rsid w:val="00D80347"/>
    <w:rsid w:val="00D80364"/>
    <w:rsid w:val="00D80591"/>
    <w:rsid w:val="00D806FB"/>
    <w:rsid w:val="00D80718"/>
    <w:rsid w:val="00D8074D"/>
    <w:rsid w:val="00D8076E"/>
    <w:rsid w:val="00D80856"/>
    <w:rsid w:val="00D809DE"/>
    <w:rsid w:val="00D80CF5"/>
    <w:rsid w:val="00D81045"/>
    <w:rsid w:val="00D8114D"/>
    <w:rsid w:val="00D811B3"/>
    <w:rsid w:val="00D81264"/>
    <w:rsid w:val="00D812A6"/>
    <w:rsid w:val="00D813A6"/>
    <w:rsid w:val="00D813D2"/>
    <w:rsid w:val="00D8155F"/>
    <w:rsid w:val="00D81700"/>
    <w:rsid w:val="00D817FD"/>
    <w:rsid w:val="00D81948"/>
    <w:rsid w:val="00D81A22"/>
    <w:rsid w:val="00D81A7F"/>
    <w:rsid w:val="00D81BE2"/>
    <w:rsid w:val="00D81D75"/>
    <w:rsid w:val="00D81F80"/>
    <w:rsid w:val="00D828A4"/>
    <w:rsid w:val="00D82C64"/>
    <w:rsid w:val="00D82E52"/>
    <w:rsid w:val="00D82F1F"/>
    <w:rsid w:val="00D83092"/>
    <w:rsid w:val="00D830AA"/>
    <w:rsid w:val="00D833D9"/>
    <w:rsid w:val="00D83411"/>
    <w:rsid w:val="00D8361C"/>
    <w:rsid w:val="00D83844"/>
    <w:rsid w:val="00D83A37"/>
    <w:rsid w:val="00D83BD9"/>
    <w:rsid w:val="00D83C8E"/>
    <w:rsid w:val="00D83EE1"/>
    <w:rsid w:val="00D83FB7"/>
    <w:rsid w:val="00D8401C"/>
    <w:rsid w:val="00D84131"/>
    <w:rsid w:val="00D84154"/>
    <w:rsid w:val="00D841E3"/>
    <w:rsid w:val="00D841E4"/>
    <w:rsid w:val="00D842A2"/>
    <w:rsid w:val="00D8444C"/>
    <w:rsid w:val="00D845C8"/>
    <w:rsid w:val="00D846F5"/>
    <w:rsid w:val="00D847F1"/>
    <w:rsid w:val="00D84878"/>
    <w:rsid w:val="00D84898"/>
    <w:rsid w:val="00D848CA"/>
    <w:rsid w:val="00D848D0"/>
    <w:rsid w:val="00D849D8"/>
    <w:rsid w:val="00D84AE3"/>
    <w:rsid w:val="00D84BDD"/>
    <w:rsid w:val="00D84E88"/>
    <w:rsid w:val="00D8509A"/>
    <w:rsid w:val="00D850F1"/>
    <w:rsid w:val="00D852FF"/>
    <w:rsid w:val="00D853EB"/>
    <w:rsid w:val="00D85437"/>
    <w:rsid w:val="00D854BD"/>
    <w:rsid w:val="00D85641"/>
    <w:rsid w:val="00D8573C"/>
    <w:rsid w:val="00D857BB"/>
    <w:rsid w:val="00D85946"/>
    <w:rsid w:val="00D859AF"/>
    <w:rsid w:val="00D85B98"/>
    <w:rsid w:val="00D860A8"/>
    <w:rsid w:val="00D86124"/>
    <w:rsid w:val="00D863EA"/>
    <w:rsid w:val="00D865EF"/>
    <w:rsid w:val="00D8668F"/>
    <w:rsid w:val="00D86759"/>
    <w:rsid w:val="00D86841"/>
    <w:rsid w:val="00D86850"/>
    <w:rsid w:val="00D86AD4"/>
    <w:rsid w:val="00D86D40"/>
    <w:rsid w:val="00D86E96"/>
    <w:rsid w:val="00D86F6D"/>
    <w:rsid w:val="00D872E6"/>
    <w:rsid w:val="00D8736F"/>
    <w:rsid w:val="00D8739D"/>
    <w:rsid w:val="00D87630"/>
    <w:rsid w:val="00D87A08"/>
    <w:rsid w:val="00D87D47"/>
    <w:rsid w:val="00D900BF"/>
    <w:rsid w:val="00D900D9"/>
    <w:rsid w:val="00D90252"/>
    <w:rsid w:val="00D902AA"/>
    <w:rsid w:val="00D9055A"/>
    <w:rsid w:val="00D906C4"/>
    <w:rsid w:val="00D906CE"/>
    <w:rsid w:val="00D9081A"/>
    <w:rsid w:val="00D908F1"/>
    <w:rsid w:val="00D90A0C"/>
    <w:rsid w:val="00D90BC7"/>
    <w:rsid w:val="00D90F63"/>
    <w:rsid w:val="00D90FA1"/>
    <w:rsid w:val="00D90FCC"/>
    <w:rsid w:val="00D91040"/>
    <w:rsid w:val="00D91235"/>
    <w:rsid w:val="00D91372"/>
    <w:rsid w:val="00D919CC"/>
    <w:rsid w:val="00D91A49"/>
    <w:rsid w:val="00D91AED"/>
    <w:rsid w:val="00D91D8B"/>
    <w:rsid w:val="00D91E8E"/>
    <w:rsid w:val="00D91F29"/>
    <w:rsid w:val="00D91F55"/>
    <w:rsid w:val="00D91FD4"/>
    <w:rsid w:val="00D924DB"/>
    <w:rsid w:val="00D9277F"/>
    <w:rsid w:val="00D927EA"/>
    <w:rsid w:val="00D92801"/>
    <w:rsid w:val="00D92998"/>
    <w:rsid w:val="00D92A5F"/>
    <w:rsid w:val="00D92D2F"/>
    <w:rsid w:val="00D92D83"/>
    <w:rsid w:val="00D92F7B"/>
    <w:rsid w:val="00D92FE5"/>
    <w:rsid w:val="00D9319A"/>
    <w:rsid w:val="00D9321E"/>
    <w:rsid w:val="00D93427"/>
    <w:rsid w:val="00D93442"/>
    <w:rsid w:val="00D935D4"/>
    <w:rsid w:val="00D93756"/>
    <w:rsid w:val="00D9383A"/>
    <w:rsid w:val="00D93E67"/>
    <w:rsid w:val="00D93F73"/>
    <w:rsid w:val="00D93F86"/>
    <w:rsid w:val="00D94309"/>
    <w:rsid w:val="00D94426"/>
    <w:rsid w:val="00D9457B"/>
    <w:rsid w:val="00D945AC"/>
    <w:rsid w:val="00D94619"/>
    <w:rsid w:val="00D94673"/>
    <w:rsid w:val="00D9476D"/>
    <w:rsid w:val="00D947CE"/>
    <w:rsid w:val="00D9488B"/>
    <w:rsid w:val="00D94A1F"/>
    <w:rsid w:val="00D94C0B"/>
    <w:rsid w:val="00D94CA1"/>
    <w:rsid w:val="00D94DCF"/>
    <w:rsid w:val="00D94E98"/>
    <w:rsid w:val="00D94EAE"/>
    <w:rsid w:val="00D9500B"/>
    <w:rsid w:val="00D9519D"/>
    <w:rsid w:val="00D95359"/>
    <w:rsid w:val="00D95424"/>
    <w:rsid w:val="00D954AA"/>
    <w:rsid w:val="00D954C7"/>
    <w:rsid w:val="00D95590"/>
    <w:rsid w:val="00D95906"/>
    <w:rsid w:val="00D9595F"/>
    <w:rsid w:val="00D95B69"/>
    <w:rsid w:val="00D96222"/>
    <w:rsid w:val="00D962DB"/>
    <w:rsid w:val="00D963EF"/>
    <w:rsid w:val="00D964DB"/>
    <w:rsid w:val="00D9699E"/>
    <w:rsid w:val="00D969CF"/>
    <w:rsid w:val="00D96CF0"/>
    <w:rsid w:val="00D97257"/>
    <w:rsid w:val="00D97279"/>
    <w:rsid w:val="00D9742D"/>
    <w:rsid w:val="00D974EB"/>
    <w:rsid w:val="00D97543"/>
    <w:rsid w:val="00D97708"/>
    <w:rsid w:val="00D97714"/>
    <w:rsid w:val="00D97847"/>
    <w:rsid w:val="00D978FB"/>
    <w:rsid w:val="00D97DAA"/>
    <w:rsid w:val="00D97DFB"/>
    <w:rsid w:val="00D97FF4"/>
    <w:rsid w:val="00DA02D0"/>
    <w:rsid w:val="00DA05CF"/>
    <w:rsid w:val="00DA071A"/>
    <w:rsid w:val="00DA0D3A"/>
    <w:rsid w:val="00DA0FB9"/>
    <w:rsid w:val="00DA1004"/>
    <w:rsid w:val="00DA1112"/>
    <w:rsid w:val="00DA1387"/>
    <w:rsid w:val="00DA13A8"/>
    <w:rsid w:val="00DA1645"/>
    <w:rsid w:val="00DA1A28"/>
    <w:rsid w:val="00DA1E1D"/>
    <w:rsid w:val="00DA1E61"/>
    <w:rsid w:val="00DA2004"/>
    <w:rsid w:val="00DA221C"/>
    <w:rsid w:val="00DA2451"/>
    <w:rsid w:val="00DA264E"/>
    <w:rsid w:val="00DA2D5C"/>
    <w:rsid w:val="00DA2D6C"/>
    <w:rsid w:val="00DA30BD"/>
    <w:rsid w:val="00DA32AB"/>
    <w:rsid w:val="00DA344A"/>
    <w:rsid w:val="00DA37B5"/>
    <w:rsid w:val="00DA384C"/>
    <w:rsid w:val="00DA3C0F"/>
    <w:rsid w:val="00DA3E2B"/>
    <w:rsid w:val="00DA3E73"/>
    <w:rsid w:val="00DA42E1"/>
    <w:rsid w:val="00DA45BE"/>
    <w:rsid w:val="00DA47B7"/>
    <w:rsid w:val="00DA4B35"/>
    <w:rsid w:val="00DA4B36"/>
    <w:rsid w:val="00DA5075"/>
    <w:rsid w:val="00DA524B"/>
    <w:rsid w:val="00DA538D"/>
    <w:rsid w:val="00DA5647"/>
    <w:rsid w:val="00DA56A7"/>
    <w:rsid w:val="00DA5783"/>
    <w:rsid w:val="00DA586F"/>
    <w:rsid w:val="00DA5B14"/>
    <w:rsid w:val="00DA5CE3"/>
    <w:rsid w:val="00DA5D89"/>
    <w:rsid w:val="00DA6236"/>
    <w:rsid w:val="00DA63D0"/>
    <w:rsid w:val="00DA6411"/>
    <w:rsid w:val="00DA6690"/>
    <w:rsid w:val="00DA6727"/>
    <w:rsid w:val="00DA694A"/>
    <w:rsid w:val="00DA6B8F"/>
    <w:rsid w:val="00DA6D3F"/>
    <w:rsid w:val="00DA6DA7"/>
    <w:rsid w:val="00DA7127"/>
    <w:rsid w:val="00DA73BD"/>
    <w:rsid w:val="00DA7777"/>
    <w:rsid w:val="00DA77A3"/>
    <w:rsid w:val="00DA77BA"/>
    <w:rsid w:val="00DA77C5"/>
    <w:rsid w:val="00DA7AAA"/>
    <w:rsid w:val="00DA7B17"/>
    <w:rsid w:val="00DA7BA5"/>
    <w:rsid w:val="00DA7DC0"/>
    <w:rsid w:val="00DA7EF3"/>
    <w:rsid w:val="00DB0669"/>
    <w:rsid w:val="00DB07DC"/>
    <w:rsid w:val="00DB08DA"/>
    <w:rsid w:val="00DB0AAB"/>
    <w:rsid w:val="00DB0B0D"/>
    <w:rsid w:val="00DB0CB7"/>
    <w:rsid w:val="00DB0D5F"/>
    <w:rsid w:val="00DB0EB9"/>
    <w:rsid w:val="00DB110A"/>
    <w:rsid w:val="00DB15F7"/>
    <w:rsid w:val="00DB1631"/>
    <w:rsid w:val="00DB1651"/>
    <w:rsid w:val="00DB1A84"/>
    <w:rsid w:val="00DB1C4F"/>
    <w:rsid w:val="00DB2051"/>
    <w:rsid w:val="00DB2542"/>
    <w:rsid w:val="00DB2676"/>
    <w:rsid w:val="00DB27B5"/>
    <w:rsid w:val="00DB2A1F"/>
    <w:rsid w:val="00DB2A82"/>
    <w:rsid w:val="00DB2BDB"/>
    <w:rsid w:val="00DB2C6D"/>
    <w:rsid w:val="00DB31A2"/>
    <w:rsid w:val="00DB31BF"/>
    <w:rsid w:val="00DB3211"/>
    <w:rsid w:val="00DB329D"/>
    <w:rsid w:val="00DB334D"/>
    <w:rsid w:val="00DB35E9"/>
    <w:rsid w:val="00DB3786"/>
    <w:rsid w:val="00DB38FB"/>
    <w:rsid w:val="00DB396B"/>
    <w:rsid w:val="00DB3B4C"/>
    <w:rsid w:val="00DB3B88"/>
    <w:rsid w:val="00DB3BF7"/>
    <w:rsid w:val="00DB3F3A"/>
    <w:rsid w:val="00DB4146"/>
    <w:rsid w:val="00DB41A3"/>
    <w:rsid w:val="00DB4330"/>
    <w:rsid w:val="00DB43F9"/>
    <w:rsid w:val="00DB45A8"/>
    <w:rsid w:val="00DB4748"/>
    <w:rsid w:val="00DB49A1"/>
    <w:rsid w:val="00DB4A83"/>
    <w:rsid w:val="00DB4C33"/>
    <w:rsid w:val="00DB4DE6"/>
    <w:rsid w:val="00DB504C"/>
    <w:rsid w:val="00DB5078"/>
    <w:rsid w:val="00DB525D"/>
    <w:rsid w:val="00DB530A"/>
    <w:rsid w:val="00DB56DC"/>
    <w:rsid w:val="00DB580E"/>
    <w:rsid w:val="00DB58A4"/>
    <w:rsid w:val="00DB5962"/>
    <w:rsid w:val="00DB5BB7"/>
    <w:rsid w:val="00DB6129"/>
    <w:rsid w:val="00DB614E"/>
    <w:rsid w:val="00DB6152"/>
    <w:rsid w:val="00DB61F5"/>
    <w:rsid w:val="00DB622D"/>
    <w:rsid w:val="00DB628C"/>
    <w:rsid w:val="00DB64C9"/>
    <w:rsid w:val="00DB6A12"/>
    <w:rsid w:val="00DB6A47"/>
    <w:rsid w:val="00DB6A82"/>
    <w:rsid w:val="00DB6CBE"/>
    <w:rsid w:val="00DB6EC7"/>
    <w:rsid w:val="00DB725C"/>
    <w:rsid w:val="00DB763E"/>
    <w:rsid w:val="00DB7718"/>
    <w:rsid w:val="00DB7A9F"/>
    <w:rsid w:val="00DB7AA6"/>
    <w:rsid w:val="00DB7B3D"/>
    <w:rsid w:val="00DB7B9C"/>
    <w:rsid w:val="00DB7BB9"/>
    <w:rsid w:val="00DB7BF0"/>
    <w:rsid w:val="00DB7F09"/>
    <w:rsid w:val="00DB7FC9"/>
    <w:rsid w:val="00DC00E8"/>
    <w:rsid w:val="00DC0107"/>
    <w:rsid w:val="00DC053F"/>
    <w:rsid w:val="00DC094C"/>
    <w:rsid w:val="00DC09EE"/>
    <w:rsid w:val="00DC0A25"/>
    <w:rsid w:val="00DC0B97"/>
    <w:rsid w:val="00DC0E57"/>
    <w:rsid w:val="00DC11A0"/>
    <w:rsid w:val="00DC1871"/>
    <w:rsid w:val="00DC1B74"/>
    <w:rsid w:val="00DC1C56"/>
    <w:rsid w:val="00DC21FB"/>
    <w:rsid w:val="00DC2350"/>
    <w:rsid w:val="00DC259F"/>
    <w:rsid w:val="00DC27BE"/>
    <w:rsid w:val="00DC2854"/>
    <w:rsid w:val="00DC2886"/>
    <w:rsid w:val="00DC2899"/>
    <w:rsid w:val="00DC2A71"/>
    <w:rsid w:val="00DC2B0E"/>
    <w:rsid w:val="00DC2E71"/>
    <w:rsid w:val="00DC30FB"/>
    <w:rsid w:val="00DC3176"/>
    <w:rsid w:val="00DC3266"/>
    <w:rsid w:val="00DC3431"/>
    <w:rsid w:val="00DC3493"/>
    <w:rsid w:val="00DC34C9"/>
    <w:rsid w:val="00DC3545"/>
    <w:rsid w:val="00DC36CD"/>
    <w:rsid w:val="00DC38E4"/>
    <w:rsid w:val="00DC3CB9"/>
    <w:rsid w:val="00DC3FAF"/>
    <w:rsid w:val="00DC4104"/>
    <w:rsid w:val="00DC4230"/>
    <w:rsid w:val="00DC425C"/>
    <w:rsid w:val="00DC4261"/>
    <w:rsid w:val="00DC444F"/>
    <w:rsid w:val="00DC4460"/>
    <w:rsid w:val="00DC4499"/>
    <w:rsid w:val="00DC4527"/>
    <w:rsid w:val="00DC4756"/>
    <w:rsid w:val="00DC4794"/>
    <w:rsid w:val="00DC48FC"/>
    <w:rsid w:val="00DC4A18"/>
    <w:rsid w:val="00DC4AF5"/>
    <w:rsid w:val="00DC4B6F"/>
    <w:rsid w:val="00DC4C9F"/>
    <w:rsid w:val="00DC4D7D"/>
    <w:rsid w:val="00DC4E9C"/>
    <w:rsid w:val="00DC4F5B"/>
    <w:rsid w:val="00DC5280"/>
    <w:rsid w:val="00DC52AF"/>
    <w:rsid w:val="00DC52D9"/>
    <w:rsid w:val="00DC539F"/>
    <w:rsid w:val="00DC53A1"/>
    <w:rsid w:val="00DC55B3"/>
    <w:rsid w:val="00DC562B"/>
    <w:rsid w:val="00DC5AEA"/>
    <w:rsid w:val="00DC6379"/>
    <w:rsid w:val="00DC646F"/>
    <w:rsid w:val="00DC64A6"/>
    <w:rsid w:val="00DC667D"/>
    <w:rsid w:val="00DC6719"/>
    <w:rsid w:val="00DC6778"/>
    <w:rsid w:val="00DC6AAD"/>
    <w:rsid w:val="00DC6C37"/>
    <w:rsid w:val="00DC6CCE"/>
    <w:rsid w:val="00DC6F34"/>
    <w:rsid w:val="00DC7429"/>
    <w:rsid w:val="00DC79FD"/>
    <w:rsid w:val="00DC7ADA"/>
    <w:rsid w:val="00DC7B85"/>
    <w:rsid w:val="00DC7D2E"/>
    <w:rsid w:val="00DC7DB4"/>
    <w:rsid w:val="00DC7DEB"/>
    <w:rsid w:val="00DC7E6E"/>
    <w:rsid w:val="00DD020F"/>
    <w:rsid w:val="00DD023C"/>
    <w:rsid w:val="00DD040E"/>
    <w:rsid w:val="00DD0494"/>
    <w:rsid w:val="00DD0766"/>
    <w:rsid w:val="00DD0968"/>
    <w:rsid w:val="00DD0C5A"/>
    <w:rsid w:val="00DD0F64"/>
    <w:rsid w:val="00DD1177"/>
    <w:rsid w:val="00DD1286"/>
    <w:rsid w:val="00DD128B"/>
    <w:rsid w:val="00DD12DC"/>
    <w:rsid w:val="00DD14D8"/>
    <w:rsid w:val="00DD165B"/>
    <w:rsid w:val="00DD169E"/>
    <w:rsid w:val="00DD1A01"/>
    <w:rsid w:val="00DD1FD7"/>
    <w:rsid w:val="00DD204E"/>
    <w:rsid w:val="00DD2654"/>
    <w:rsid w:val="00DD2A28"/>
    <w:rsid w:val="00DD2A59"/>
    <w:rsid w:val="00DD2EEF"/>
    <w:rsid w:val="00DD2F83"/>
    <w:rsid w:val="00DD306B"/>
    <w:rsid w:val="00DD3122"/>
    <w:rsid w:val="00DD38AE"/>
    <w:rsid w:val="00DD38BA"/>
    <w:rsid w:val="00DD392C"/>
    <w:rsid w:val="00DD3A75"/>
    <w:rsid w:val="00DD3B52"/>
    <w:rsid w:val="00DD3C59"/>
    <w:rsid w:val="00DD3CBE"/>
    <w:rsid w:val="00DD3D78"/>
    <w:rsid w:val="00DD3FAB"/>
    <w:rsid w:val="00DD4017"/>
    <w:rsid w:val="00DD4282"/>
    <w:rsid w:val="00DD4317"/>
    <w:rsid w:val="00DD48C7"/>
    <w:rsid w:val="00DD4B46"/>
    <w:rsid w:val="00DD4CC9"/>
    <w:rsid w:val="00DD4DE9"/>
    <w:rsid w:val="00DD4E08"/>
    <w:rsid w:val="00DD4EA1"/>
    <w:rsid w:val="00DD4FC5"/>
    <w:rsid w:val="00DD5084"/>
    <w:rsid w:val="00DD5327"/>
    <w:rsid w:val="00DD53DE"/>
    <w:rsid w:val="00DD54F3"/>
    <w:rsid w:val="00DD553A"/>
    <w:rsid w:val="00DD55C5"/>
    <w:rsid w:val="00DD5AC6"/>
    <w:rsid w:val="00DD5CC4"/>
    <w:rsid w:val="00DD5F84"/>
    <w:rsid w:val="00DD6146"/>
    <w:rsid w:val="00DD617F"/>
    <w:rsid w:val="00DD625E"/>
    <w:rsid w:val="00DD676E"/>
    <w:rsid w:val="00DD6834"/>
    <w:rsid w:val="00DD6CAD"/>
    <w:rsid w:val="00DD7158"/>
    <w:rsid w:val="00DD73B6"/>
    <w:rsid w:val="00DD754D"/>
    <w:rsid w:val="00DD7B50"/>
    <w:rsid w:val="00DD7DAA"/>
    <w:rsid w:val="00DD7E73"/>
    <w:rsid w:val="00DD7ED6"/>
    <w:rsid w:val="00DD7FD5"/>
    <w:rsid w:val="00DE0020"/>
    <w:rsid w:val="00DE0302"/>
    <w:rsid w:val="00DE036E"/>
    <w:rsid w:val="00DE04C3"/>
    <w:rsid w:val="00DE0847"/>
    <w:rsid w:val="00DE0B13"/>
    <w:rsid w:val="00DE0B52"/>
    <w:rsid w:val="00DE0D01"/>
    <w:rsid w:val="00DE10EB"/>
    <w:rsid w:val="00DE1192"/>
    <w:rsid w:val="00DE121F"/>
    <w:rsid w:val="00DE1415"/>
    <w:rsid w:val="00DE1742"/>
    <w:rsid w:val="00DE1805"/>
    <w:rsid w:val="00DE19B0"/>
    <w:rsid w:val="00DE1B42"/>
    <w:rsid w:val="00DE1B4E"/>
    <w:rsid w:val="00DE1DCE"/>
    <w:rsid w:val="00DE1DD6"/>
    <w:rsid w:val="00DE21D2"/>
    <w:rsid w:val="00DE240F"/>
    <w:rsid w:val="00DE2500"/>
    <w:rsid w:val="00DE260C"/>
    <w:rsid w:val="00DE270A"/>
    <w:rsid w:val="00DE2763"/>
    <w:rsid w:val="00DE2944"/>
    <w:rsid w:val="00DE298C"/>
    <w:rsid w:val="00DE2995"/>
    <w:rsid w:val="00DE29D5"/>
    <w:rsid w:val="00DE2A21"/>
    <w:rsid w:val="00DE2D3C"/>
    <w:rsid w:val="00DE2DB7"/>
    <w:rsid w:val="00DE2DEF"/>
    <w:rsid w:val="00DE2E4F"/>
    <w:rsid w:val="00DE2E55"/>
    <w:rsid w:val="00DE32D0"/>
    <w:rsid w:val="00DE3318"/>
    <w:rsid w:val="00DE3335"/>
    <w:rsid w:val="00DE3370"/>
    <w:rsid w:val="00DE33FB"/>
    <w:rsid w:val="00DE3404"/>
    <w:rsid w:val="00DE344E"/>
    <w:rsid w:val="00DE383A"/>
    <w:rsid w:val="00DE388D"/>
    <w:rsid w:val="00DE38A7"/>
    <w:rsid w:val="00DE3A40"/>
    <w:rsid w:val="00DE3A53"/>
    <w:rsid w:val="00DE3C77"/>
    <w:rsid w:val="00DE3D4F"/>
    <w:rsid w:val="00DE3FE5"/>
    <w:rsid w:val="00DE4181"/>
    <w:rsid w:val="00DE41E7"/>
    <w:rsid w:val="00DE41ED"/>
    <w:rsid w:val="00DE4467"/>
    <w:rsid w:val="00DE458F"/>
    <w:rsid w:val="00DE4601"/>
    <w:rsid w:val="00DE4712"/>
    <w:rsid w:val="00DE495A"/>
    <w:rsid w:val="00DE49AC"/>
    <w:rsid w:val="00DE49F0"/>
    <w:rsid w:val="00DE4A1E"/>
    <w:rsid w:val="00DE4BA5"/>
    <w:rsid w:val="00DE4F57"/>
    <w:rsid w:val="00DE4FA9"/>
    <w:rsid w:val="00DE503D"/>
    <w:rsid w:val="00DE5350"/>
    <w:rsid w:val="00DE5661"/>
    <w:rsid w:val="00DE576F"/>
    <w:rsid w:val="00DE5993"/>
    <w:rsid w:val="00DE5995"/>
    <w:rsid w:val="00DE5A33"/>
    <w:rsid w:val="00DE5ABA"/>
    <w:rsid w:val="00DE5AEA"/>
    <w:rsid w:val="00DE5C3B"/>
    <w:rsid w:val="00DE5E35"/>
    <w:rsid w:val="00DE5EEF"/>
    <w:rsid w:val="00DE5F46"/>
    <w:rsid w:val="00DE6346"/>
    <w:rsid w:val="00DE6455"/>
    <w:rsid w:val="00DE64BD"/>
    <w:rsid w:val="00DE64BE"/>
    <w:rsid w:val="00DE6B11"/>
    <w:rsid w:val="00DE6C9E"/>
    <w:rsid w:val="00DE6EDF"/>
    <w:rsid w:val="00DE6EE4"/>
    <w:rsid w:val="00DE70F1"/>
    <w:rsid w:val="00DE7139"/>
    <w:rsid w:val="00DE72EE"/>
    <w:rsid w:val="00DE730E"/>
    <w:rsid w:val="00DE73AA"/>
    <w:rsid w:val="00DE7650"/>
    <w:rsid w:val="00DE7A74"/>
    <w:rsid w:val="00DE7AC4"/>
    <w:rsid w:val="00DE7CC1"/>
    <w:rsid w:val="00DE7EE9"/>
    <w:rsid w:val="00DE7FC0"/>
    <w:rsid w:val="00DF0347"/>
    <w:rsid w:val="00DF06ED"/>
    <w:rsid w:val="00DF092E"/>
    <w:rsid w:val="00DF09FA"/>
    <w:rsid w:val="00DF0A56"/>
    <w:rsid w:val="00DF0B2C"/>
    <w:rsid w:val="00DF0B92"/>
    <w:rsid w:val="00DF0D68"/>
    <w:rsid w:val="00DF0E41"/>
    <w:rsid w:val="00DF1072"/>
    <w:rsid w:val="00DF1101"/>
    <w:rsid w:val="00DF1234"/>
    <w:rsid w:val="00DF124E"/>
    <w:rsid w:val="00DF143C"/>
    <w:rsid w:val="00DF1696"/>
    <w:rsid w:val="00DF18F0"/>
    <w:rsid w:val="00DF1A2C"/>
    <w:rsid w:val="00DF1B7C"/>
    <w:rsid w:val="00DF1C17"/>
    <w:rsid w:val="00DF1EBA"/>
    <w:rsid w:val="00DF1FFF"/>
    <w:rsid w:val="00DF204B"/>
    <w:rsid w:val="00DF2092"/>
    <w:rsid w:val="00DF232F"/>
    <w:rsid w:val="00DF257B"/>
    <w:rsid w:val="00DF2B10"/>
    <w:rsid w:val="00DF2B49"/>
    <w:rsid w:val="00DF2CE4"/>
    <w:rsid w:val="00DF2EB4"/>
    <w:rsid w:val="00DF2F8C"/>
    <w:rsid w:val="00DF3055"/>
    <w:rsid w:val="00DF3319"/>
    <w:rsid w:val="00DF3331"/>
    <w:rsid w:val="00DF342A"/>
    <w:rsid w:val="00DF35AA"/>
    <w:rsid w:val="00DF3737"/>
    <w:rsid w:val="00DF3793"/>
    <w:rsid w:val="00DF37FB"/>
    <w:rsid w:val="00DF3823"/>
    <w:rsid w:val="00DF38CC"/>
    <w:rsid w:val="00DF3A18"/>
    <w:rsid w:val="00DF3C5A"/>
    <w:rsid w:val="00DF3DE5"/>
    <w:rsid w:val="00DF4238"/>
    <w:rsid w:val="00DF42EF"/>
    <w:rsid w:val="00DF43F1"/>
    <w:rsid w:val="00DF4512"/>
    <w:rsid w:val="00DF459D"/>
    <w:rsid w:val="00DF4879"/>
    <w:rsid w:val="00DF4997"/>
    <w:rsid w:val="00DF4A41"/>
    <w:rsid w:val="00DF4B71"/>
    <w:rsid w:val="00DF4CF5"/>
    <w:rsid w:val="00DF4F62"/>
    <w:rsid w:val="00DF4FB7"/>
    <w:rsid w:val="00DF510C"/>
    <w:rsid w:val="00DF5187"/>
    <w:rsid w:val="00DF53F4"/>
    <w:rsid w:val="00DF5761"/>
    <w:rsid w:val="00DF66EA"/>
    <w:rsid w:val="00DF6E57"/>
    <w:rsid w:val="00DF6ECC"/>
    <w:rsid w:val="00DF6F61"/>
    <w:rsid w:val="00DF7193"/>
    <w:rsid w:val="00DF721D"/>
    <w:rsid w:val="00DF7501"/>
    <w:rsid w:val="00DF7629"/>
    <w:rsid w:val="00DF76B2"/>
    <w:rsid w:val="00DF772A"/>
    <w:rsid w:val="00DF79DF"/>
    <w:rsid w:val="00DF79F2"/>
    <w:rsid w:val="00DF79F6"/>
    <w:rsid w:val="00DF7BAD"/>
    <w:rsid w:val="00DF7CBD"/>
    <w:rsid w:val="00DF7FF6"/>
    <w:rsid w:val="00E00014"/>
    <w:rsid w:val="00E00152"/>
    <w:rsid w:val="00E00259"/>
    <w:rsid w:val="00E00299"/>
    <w:rsid w:val="00E004F1"/>
    <w:rsid w:val="00E0056F"/>
    <w:rsid w:val="00E00920"/>
    <w:rsid w:val="00E00BAD"/>
    <w:rsid w:val="00E00BCB"/>
    <w:rsid w:val="00E00DAF"/>
    <w:rsid w:val="00E012AE"/>
    <w:rsid w:val="00E01402"/>
    <w:rsid w:val="00E01612"/>
    <w:rsid w:val="00E01789"/>
    <w:rsid w:val="00E0180D"/>
    <w:rsid w:val="00E0188E"/>
    <w:rsid w:val="00E01AD8"/>
    <w:rsid w:val="00E01B6B"/>
    <w:rsid w:val="00E01C6E"/>
    <w:rsid w:val="00E01D04"/>
    <w:rsid w:val="00E01D84"/>
    <w:rsid w:val="00E025A0"/>
    <w:rsid w:val="00E026D2"/>
    <w:rsid w:val="00E028BA"/>
    <w:rsid w:val="00E028F4"/>
    <w:rsid w:val="00E02B4D"/>
    <w:rsid w:val="00E0302F"/>
    <w:rsid w:val="00E030AF"/>
    <w:rsid w:val="00E031A2"/>
    <w:rsid w:val="00E0340C"/>
    <w:rsid w:val="00E03492"/>
    <w:rsid w:val="00E0376C"/>
    <w:rsid w:val="00E03942"/>
    <w:rsid w:val="00E03B34"/>
    <w:rsid w:val="00E03B51"/>
    <w:rsid w:val="00E03D7D"/>
    <w:rsid w:val="00E03DEA"/>
    <w:rsid w:val="00E03ED3"/>
    <w:rsid w:val="00E03F92"/>
    <w:rsid w:val="00E04199"/>
    <w:rsid w:val="00E041ED"/>
    <w:rsid w:val="00E04375"/>
    <w:rsid w:val="00E043A5"/>
    <w:rsid w:val="00E043F1"/>
    <w:rsid w:val="00E043F3"/>
    <w:rsid w:val="00E0464E"/>
    <w:rsid w:val="00E04739"/>
    <w:rsid w:val="00E04804"/>
    <w:rsid w:val="00E048D5"/>
    <w:rsid w:val="00E05175"/>
    <w:rsid w:val="00E0569F"/>
    <w:rsid w:val="00E05A8D"/>
    <w:rsid w:val="00E05ED6"/>
    <w:rsid w:val="00E060F1"/>
    <w:rsid w:val="00E061D9"/>
    <w:rsid w:val="00E065C0"/>
    <w:rsid w:val="00E06911"/>
    <w:rsid w:val="00E06AC9"/>
    <w:rsid w:val="00E06DD9"/>
    <w:rsid w:val="00E07000"/>
    <w:rsid w:val="00E07166"/>
    <w:rsid w:val="00E071D9"/>
    <w:rsid w:val="00E0720F"/>
    <w:rsid w:val="00E075B4"/>
    <w:rsid w:val="00E0784F"/>
    <w:rsid w:val="00E07875"/>
    <w:rsid w:val="00E078BC"/>
    <w:rsid w:val="00E079F0"/>
    <w:rsid w:val="00E07AE3"/>
    <w:rsid w:val="00E07B58"/>
    <w:rsid w:val="00E07BE2"/>
    <w:rsid w:val="00E07C8C"/>
    <w:rsid w:val="00E07DC4"/>
    <w:rsid w:val="00E07FCA"/>
    <w:rsid w:val="00E10154"/>
    <w:rsid w:val="00E101C6"/>
    <w:rsid w:val="00E10675"/>
    <w:rsid w:val="00E108A2"/>
    <w:rsid w:val="00E10A3B"/>
    <w:rsid w:val="00E10AB3"/>
    <w:rsid w:val="00E10AD8"/>
    <w:rsid w:val="00E10CF0"/>
    <w:rsid w:val="00E10D14"/>
    <w:rsid w:val="00E10D48"/>
    <w:rsid w:val="00E10D97"/>
    <w:rsid w:val="00E10DE5"/>
    <w:rsid w:val="00E10F09"/>
    <w:rsid w:val="00E10F1E"/>
    <w:rsid w:val="00E10F8E"/>
    <w:rsid w:val="00E10FE4"/>
    <w:rsid w:val="00E1125C"/>
    <w:rsid w:val="00E11785"/>
    <w:rsid w:val="00E117CB"/>
    <w:rsid w:val="00E11865"/>
    <w:rsid w:val="00E11A52"/>
    <w:rsid w:val="00E11A7F"/>
    <w:rsid w:val="00E11A8A"/>
    <w:rsid w:val="00E11B2C"/>
    <w:rsid w:val="00E11C16"/>
    <w:rsid w:val="00E11C38"/>
    <w:rsid w:val="00E11CB9"/>
    <w:rsid w:val="00E11E14"/>
    <w:rsid w:val="00E1219E"/>
    <w:rsid w:val="00E121D9"/>
    <w:rsid w:val="00E12235"/>
    <w:rsid w:val="00E12285"/>
    <w:rsid w:val="00E12295"/>
    <w:rsid w:val="00E122A0"/>
    <w:rsid w:val="00E1245F"/>
    <w:rsid w:val="00E12522"/>
    <w:rsid w:val="00E125BF"/>
    <w:rsid w:val="00E12C5E"/>
    <w:rsid w:val="00E12CE5"/>
    <w:rsid w:val="00E12E9B"/>
    <w:rsid w:val="00E12F20"/>
    <w:rsid w:val="00E130AD"/>
    <w:rsid w:val="00E132EC"/>
    <w:rsid w:val="00E1375E"/>
    <w:rsid w:val="00E1380F"/>
    <w:rsid w:val="00E138B5"/>
    <w:rsid w:val="00E138EE"/>
    <w:rsid w:val="00E13CAC"/>
    <w:rsid w:val="00E13E9A"/>
    <w:rsid w:val="00E13F6A"/>
    <w:rsid w:val="00E143D1"/>
    <w:rsid w:val="00E147F8"/>
    <w:rsid w:val="00E149B0"/>
    <w:rsid w:val="00E14DA2"/>
    <w:rsid w:val="00E14DD3"/>
    <w:rsid w:val="00E14E7E"/>
    <w:rsid w:val="00E14F2A"/>
    <w:rsid w:val="00E1508C"/>
    <w:rsid w:val="00E15168"/>
    <w:rsid w:val="00E1518C"/>
    <w:rsid w:val="00E152D9"/>
    <w:rsid w:val="00E153C4"/>
    <w:rsid w:val="00E153FC"/>
    <w:rsid w:val="00E15519"/>
    <w:rsid w:val="00E1563F"/>
    <w:rsid w:val="00E157D0"/>
    <w:rsid w:val="00E15ADC"/>
    <w:rsid w:val="00E15BCB"/>
    <w:rsid w:val="00E15CE4"/>
    <w:rsid w:val="00E15F03"/>
    <w:rsid w:val="00E15FAE"/>
    <w:rsid w:val="00E16055"/>
    <w:rsid w:val="00E1639B"/>
    <w:rsid w:val="00E164A1"/>
    <w:rsid w:val="00E1663E"/>
    <w:rsid w:val="00E166C8"/>
    <w:rsid w:val="00E16735"/>
    <w:rsid w:val="00E16753"/>
    <w:rsid w:val="00E16A01"/>
    <w:rsid w:val="00E16A55"/>
    <w:rsid w:val="00E16CDB"/>
    <w:rsid w:val="00E16E56"/>
    <w:rsid w:val="00E16F44"/>
    <w:rsid w:val="00E170C6"/>
    <w:rsid w:val="00E17681"/>
    <w:rsid w:val="00E17850"/>
    <w:rsid w:val="00E17870"/>
    <w:rsid w:val="00E17A02"/>
    <w:rsid w:val="00E17B9F"/>
    <w:rsid w:val="00E17C9D"/>
    <w:rsid w:val="00E17DD4"/>
    <w:rsid w:val="00E2004F"/>
    <w:rsid w:val="00E201B9"/>
    <w:rsid w:val="00E2062C"/>
    <w:rsid w:val="00E20993"/>
    <w:rsid w:val="00E2100B"/>
    <w:rsid w:val="00E21019"/>
    <w:rsid w:val="00E21025"/>
    <w:rsid w:val="00E2104B"/>
    <w:rsid w:val="00E210D2"/>
    <w:rsid w:val="00E21186"/>
    <w:rsid w:val="00E211E1"/>
    <w:rsid w:val="00E21308"/>
    <w:rsid w:val="00E21888"/>
    <w:rsid w:val="00E218B6"/>
    <w:rsid w:val="00E21B46"/>
    <w:rsid w:val="00E21CD2"/>
    <w:rsid w:val="00E2200A"/>
    <w:rsid w:val="00E2214B"/>
    <w:rsid w:val="00E2250F"/>
    <w:rsid w:val="00E225D6"/>
    <w:rsid w:val="00E225E4"/>
    <w:rsid w:val="00E2271C"/>
    <w:rsid w:val="00E22BC4"/>
    <w:rsid w:val="00E22D27"/>
    <w:rsid w:val="00E22D51"/>
    <w:rsid w:val="00E22E9F"/>
    <w:rsid w:val="00E23362"/>
    <w:rsid w:val="00E236B0"/>
    <w:rsid w:val="00E237BC"/>
    <w:rsid w:val="00E23AC8"/>
    <w:rsid w:val="00E23ADB"/>
    <w:rsid w:val="00E23DCE"/>
    <w:rsid w:val="00E23EB6"/>
    <w:rsid w:val="00E2404B"/>
    <w:rsid w:val="00E2411B"/>
    <w:rsid w:val="00E24297"/>
    <w:rsid w:val="00E242AB"/>
    <w:rsid w:val="00E24351"/>
    <w:rsid w:val="00E245AF"/>
    <w:rsid w:val="00E245B8"/>
    <w:rsid w:val="00E24804"/>
    <w:rsid w:val="00E249C0"/>
    <w:rsid w:val="00E24B5A"/>
    <w:rsid w:val="00E24C08"/>
    <w:rsid w:val="00E24C65"/>
    <w:rsid w:val="00E24DC5"/>
    <w:rsid w:val="00E24EC6"/>
    <w:rsid w:val="00E251F5"/>
    <w:rsid w:val="00E25267"/>
    <w:rsid w:val="00E25358"/>
    <w:rsid w:val="00E25821"/>
    <w:rsid w:val="00E2586E"/>
    <w:rsid w:val="00E2594B"/>
    <w:rsid w:val="00E25B45"/>
    <w:rsid w:val="00E25BE0"/>
    <w:rsid w:val="00E25C27"/>
    <w:rsid w:val="00E25E09"/>
    <w:rsid w:val="00E26774"/>
    <w:rsid w:val="00E26859"/>
    <w:rsid w:val="00E268A3"/>
    <w:rsid w:val="00E26A1D"/>
    <w:rsid w:val="00E26C3A"/>
    <w:rsid w:val="00E26D08"/>
    <w:rsid w:val="00E26FB3"/>
    <w:rsid w:val="00E27111"/>
    <w:rsid w:val="00E27274"/>
    <w:rsid w:val="00E273FC"/>
    <w:rsid w:val="00E27548"/>
    <w:rsid w:val="00E276FE"/>
    <w:rsid w:val="00E27C73"/>
    <w:rsid w:val="00E27D54"/>
    <w:rsid w:val="00E27EC5"/>
    <w:rsid w:val="00E3004F"/>
    <w:rsid w:val="00E3031B"/>
    <w:rsid w:val="00E303BA"/>
    <w:rsid w:val="00E30434"/>
    <w:rsid w:val="00E30C88"/>
    <w:rsid w:val="00E30D7C"/>
    <w:rsid w:val="00E30FB6"/>
    <w:rsid w:val="00E310CA"/>
    <w:rsid w:val="00E3120F"/>
    <w:rsid w:val="00E3147F"/>
    <w:rsid w:val="00E31508"/>
    <w:rsid w:val="00E3151E"/>
    <w:rsid w:val="00E3178E"/>
    <w:rsid w:val="00E31833"/>
    <w:rsid w:val="00E31893"/>
    <w:rsid w:val="00E3195F"/>
    <w:rsid w:val="00E31FA7"/>
    <w:rsid w:val="00E31FF1"/>
    <w:rsid w:val="00E32213"/>
    <w:rsid w:val="00E322AD"/>
    <w:rsid w:val="00E32565"/>
    <w:rsid w:val="00E3268D"/>
    <w:rsid w:val="00E328C5"/>
    <w:rsid w:val="00E328F6"/>
    <w:rsid w:val="00E329B8"/>
    <w:rsid w:val="00E32A6B"/>
    <w:rsid w:val="00E32BCD"/>
    <w:rsid w:val="00E32C29"/>
    <w:rsid w:val="00E32D6A"/>
    <w:rsid w:val="00E32E61"/>
    <w:rsid w:val="00E32F8B"/>
    <w:rsid w:val="00E33202"/>
    <w:rsid w:val="00E33298"/>
    <w:rsid w:val="00E33371"/>
    <w:rsid w:val="00E336C4"/>
    <w:rsid w:val="00E3375E"/>
    <w:rsid w:val="00E3389B"/>
    <w:rsid w:val="00E33A7E"/>
    <w:rsid w:val="00E33CAB"/>
    <w:rsid w:val="00E33ED1"/>
    <w:rsid w:val="00E33EE8"/>
    <w:rsid w:val="00E342E8"/>
    <w:rsid w:val="00E342F6"/>
    <w:rsid w:val="00E343F7"/>
    <w:rsid w:val="00E34555"/>
    <w:rsid w:val="00E345EF"/>
    <w:rsid w:val="00E3461B"/>
    <w:rsid w:val="00E347F4"/>
    <w:rsid w:val="00E349A7"/>
    <w:rsid w:val="00E34BF5"/>
    <w:rsid w:val="00E34D9D"/>
    <w:rsid w:val="00E34DAB"/>
    <w:rsid w:val="00E34F9A"/>
    <w:rsid w:val="00E3507D"/>
    <w:rsid w:val="00E353CC"/>
    <w:rsid w:val="00E3565A"/>
    <w:rsid w:val="00E3565D"/>
    <w:rsid w:val="00E3573E"/>
    <w:rsid w:val="00E35889"/>
    <w:rsid w:val="00E358AF"/>
    <w:rsid w:val="00E35A34"/>
    <w:rsid w:val="00E35ADA"/>
    <w:rsid w:val="00E35E92"/>
    <w:rsid w:val="00E3602C"/>
    <w:rsid w:val="00E36286"/>
    <w:rsid w:val="00E36293"/>
    <w:rsid w:val="00E36450"/>
    <w:rsid w:val="00E3645A"/>
    <w:rsid w:val="00E364EF"/>
    <w:rsid w:val="00E36F64"/>
    <w:rsid w:val="00E3705F"/>
    <w:rsid w:val="00E371D8"/>
    <w:rsid w:val="00E3731C"/>
    <w:rsid w:val="00E37577"/>
    <w:rsid w:val="00E379EA"/>
    <w:rsid w:val="00E37B3A"/>
    <w:rsid w:val="00E37BCB"/>
    <w:rsid w:val="00E37BF4"/>
    <w:rsid w:val="00E37C68"/>
    <w:rsid w:val="00E37D86"/>
    <w:rsid w:val="00E37D99"/>
    <w:rsid w:val="00E40319"/>
    <w:rsid w:val="00E40671"/>
    <w:rsid w:val="00E406E1"/>
    <w:rsid w:val="00E4077E"/>
    <w:rsid w:val="00E40869"/>
    <w:rsid w:val="00E408A9"/>
    <w:rsid w:val="00E408F4"/>
    <w:rsid w:val="00E40A5A"/>
    <w:rsid w:val="00E40BAF"/>
    <w:rsid w:val="00E40E11"/>
    <w:rsid w:val="00E40E5F"/>
    <w:rsid w:val="00E40F63"/>
    <w:rsid w:val="00E412ED"/>
    <w:rsid w:val="00E41445"/>
    <w:rsid w:val="00E414B8"/>
    <w:rsid w:val="00E414F2"/>
    <w:rsid w:val="00E4153A"/>
    <w:rsid w:val="00E4173C"/>
    <w:rsid w:val="00E41855"/>
    <w:rsid w:val="00E41934"/>
    <w:rsid w:val="00E41975"/>
    <w:rsid w:val="00E419FA"/>
    <w:rsid w:val="00E41DCB"/>
    <w:rsid w:val="00E41FAA"/>
    <w:rsid w:val="00E42112"/>
    <w:rsid w:val="00E4243E"/>
    <w:rsid w:val="00E425BD"/>
    <w:rsid w:val="00E42640"/>
    <w:rsid w:val="00E429F3"/>
    <w:rsid w:val="00E42A85"/>
    <w:rsid w:val="00E42BC3"/>
    <w:rsid w:val="00E42BD0"/>
    <w:rsid w:val="00E42FC4"/>
    <w:rsid w:val="00E43025"/>
    <w:rsid w:val="00E43122"/>
    <w:rsid w:val="00E43297"/>
    <w:rsid w:val="00E433A0"/>
    <w:rsid w:val="00E433D7"/>
    <w:rsid w:val="00E4350A"/>
    <w:rsid w:val="00E4397F"/>
    <w:rsid w:val="00E440AA"/>
    <w:rsid w:val="00E44105"/>
    <w:rsid w:val="00E4412B"/>
    <w:rsid w:val="00E44527"/>
    <w:rsid w:val="00E446D9"/>
    <w:rsid w:val="00E44841"/>
    <w:rsid w:val="00E44925"/>
    <w:rsid w:val="00E44946"/>
    <w:rsid w:val="00E4502B"/>
    <w:rsid w:val="00E45167"/>
    <w:rsid w:val="00E45302"/>
    <w:rsid w:val="00E4537F"/>
    <w:rsid w:val="00E454C2"/>
    <w:rsid w:val="00E456F4"/>
    <w:rsid w:val="00E457B7"/>
    <w:rsid w:val="00E45E6B"/>
    <w:rsid w:val="00E45E76"/>
    <w:rsid w:val="00E45EE2"/>
    <w:rsid w:val="00E45F82"/>
    <w:rsid w:val="00E45F91"/>
    <w:rsid w:val="00E460EF"/>
    <w:rsid w:val="00E463F5"/>
    <w:rsid w:val="00E46485"/>
    <w:rsid w:val="00E466C3"/>
    <w:rsid w:val="00E46961"/>
    <w:rsid w:val="00E46B8C"/>
    <w:rsid w:val="00E46CB7"/>
    <w:rsid w:val="00E46DDF"/>
    <w:rsid w:val="00E47061"/>
    <w:rsid w:val="00E4708F"/>
    <w:rsid w:val="00E47161"/>
    <w:rsid w:val="00E472A3"/>
    <w:rsid w:val="00E476C8"/>
    <w:rsid w:val="00E477EB"/>
    <w:rsid w:val="00E4781A"/>
    <w:rsid w:val="00E47829"/>
    <w:rsid w:val="00E47865"/>
    <w:rsid w:val="00E47A19"/>
    <w:rsid w:val="00E47B1A"/>
    <w:rsid w:val="00E47C91"/>
    <w:rsid w:val="00E47DDD"/>
    <w:rsid w:val="00E47E03"/>
    <w:rsid w:val="00E47E08"/>
    <w:rsid w:val="00E47E0D"/>
    <w:rsid w:val="00E47E50"/>
    <w:rsid w:val="00E47EFC"/>
    <w:rsid w:val="00E502B9"/>
    <w:rsid w:val="00E503E4"/>
    <w:rsid w:val="00E50430"/>
    <w:rsid w:val="00E505E4"/>
    <w:rsid w:val="00E50602"/>
    <w:rsid w:val="00E50716"/>
    <w:rsid w:val="00E50781"/>
    <w:rsid w:val="00E5085E"/>
    <w:rsid w:val="00E50A03"/>
    <w:rsid w:val="00E50A8D"/>
    <w:rsid w:val="00E50B35"/>
    <w:rsid w:val="00E50C54"/>
    <w:rsid w:val="00E50D04"/>
    <w:rsid w:val="00E50E7C"/>
    <w:rsid w:val="00E50EF3"/>
    <w:rsid w:val="00E50FF2"/>
    <w:rsid w:val="00E5123C"/>
    <w:rsid w:val="00E51545"/>
    <w:rsid w:val="00E5171E"/>
    <w:rsid w:val="00E5171F"/>
    <w:rsid w:val="00E517AF"/>
    <w:rsid w:val="00E51907"/>
    <w:rsid w:val="00E51C31"/>
    <w:rsid w:val="00E51CA9"/>
    <w:rsid w:val="00E51D9E"/>
    <w:rsid w:val="00E51E85"/>
    <w:rsid w:val="00E51FD3"/>
    <w:rsid w:val="00E52148"/>
    <w:rsid w:val="00E521A2"/>
    <w:rsid w:val="00E521C3"/>
    <w:rsid w:val="00E52447"/>
    <w:rsid w:val="00E527A7"/>
    <w:rsid w:val="00E527C7"/>
    <w:rsid w:val="00E5283E"/>
    <w:rsid w:val="00E52BAB"/>
    <w:rsid w:val="00E52C99"/>
    <w:rsid w:val="00E530A5"/>
    <w:rsid w:val="00E53278"/>
    <w:rsid w:val="00E53284"/>
    <w:rsid w:val="00E532CA"/>
    <w:rsid w:val="00E537D1"/>
    <w:rsid w:val="00E53C69"/>
    <w:rsid w:val="00E53D3D"/>
    <w:rsid w:val="00E53EC2"/>
    <w:rsid w:val="00E53F5E"/>
    <w:rsid w:val="00E54022"/>
    <w:rsid w:val="00E544BF"/>
    <w:rsid w:val="00E54549"/>
    <w:rsid w:val="00E548A2"/>
    <w:rsid w:val="00E54974"/>
    <w:rsid w:val="00E54C1A"/>
    <w:rsid w:val="00E54CCF"/>
    <w:rsid w:val="00E54E02"/>
    <w:rsid w:val="00E54F2D"/>
    <w:rsid w:val="00E550D3"/>
    <w:rsid w:val="00E556EB"/>
    <w:rsid w:val="00E559F4"/>
    <w:rsid w:val="00E55DDE"/>
    <w:rsid w:val="00E55E97"/>
    <w:rsid w:val="00E55EAC"/>
    <w:rsid w:val="00E56488"/>
    <w:rsid w:val="00E567C0"/>
    <w:rsid w:val="00E567E6"/>
    <w:rsid w:val="00E56971"/>
    <w:rsid w:val="00E56A6F"/>
    <w:rsid w:val="00E56ADE"/>
    <w:rsid w:val="00E56C1C"/>
    <w:rsid w:val="00E56D08"/>
    <w:rsid w:val="00E56E49"/>
    <w:rsid w:val="00E56E55"/>
    <w:rsid w:val="00E56FA4"/>
    <w:rsid w:val="00E5712A"/>
    <w:rsid w:val="00E57144"/>
    <w:rsid w:val="00E57145"/>
    <w:rsid w:val="00E57251"/>
    <w:rsid w:val="00E57269"/>
    <w:rsid w:val="00E57363"/>
    <w:rsid w:val="00E574CA"/>
    <w:rsid w:val="00E5757E"/>
    <w:rsid w:val="00E577BB"/>
    <w:rsid w:val="00E57C1D"/>
    <w:rsid w:val="00E57F03"/>
    <w:rsid w:val="00E60046"/>
    <w:rsid w:val="00E60446"/>
    <w:rsid w:val="00E60447"/>
    <w:rsid w:val="00E60678"/>
    <w:rsid w:val="00E60A13"/>
    <w:rsid w:val="00E60C36"/>
    <w:rsid w:val="00E6109D"/>
    <w:rsid w:val="00E61484"/>
    <w:rsid w:val="00E61518"/>
    <w:rsid w:val="00E61956"/>
    <w:rsid w:val="00E61AEB"/>
    <w:rsid w:val="00E61B05"/>
    <w:rsid w:val="00E61EB2"/>
    <w:rsid w:val="00E61F4A"/>
    <w:rsid w:val="00E61F9C"/>
    <w:rsid w:val="00E62205"/>
    <w:rsid w:val="00E62220"/>
    <w:rsid w:val="00E62242"/>
    <w:rsid w:val="00E62B1E"/>
    <w:rsid w:val="00E62F40"/>
    <w:rsid w:val="00E630E1"/>
    <w:rsid w:val="00E63240"/>
    <w:rsid w:val="00E63266"/>
    <w:rsid w:val="00E63301"/>
    <w:rsid w:val="00E6332E"/>
    <w:rsid w:val="00E6376B"/>
    <w:rsid w:val="00E638B5"/>
    <w:rsid w:val="00E6393F"/>
    <w:rsid w:val="00E63B0E"/>
    <w:rsid w:val="00E63DE3"/>
    <w:rsid w:val="00E642DA"/>
    <w:rsid w:val="00E644C4"/>
    <w:rsid w:val="00E644D9"/>
    <w:rsid w:val="00E64580"/>
    <w:rsid w:val="00E64938"/>
    <w:rsid w:val="00E64ADD"/>
    <w:rsid w:val="00E64BEF"/>
    <w:rsid w:val="00E64D2A"/>
    <w:rsid w:val="00E64E2C"/>
    <w:rsid w:val="00E6505C"/>
    <w:rsid w:val="00E6505D"/>
    <w:rsid w:val="00E654E9"/>
    <w:rsid w:val="00E6555C"/>
    <w:rsid w:val="00E6566F"/>
    <w:rsid w:val="00E65774"/>
    <w:rsid w:val="00E65837"/>
    <w:rsid w:val="00E65AE5"/>
    <w:rsid w:val="00E65AE8"/>
    <w:rsid w:val="00E65D32"/>
    <w:rsid w:val="00E661C5"/>
    <w:rsid w:val="00E6622F"/>
    <w:rsid w:val="00E668F4"/>
    <w:rsid w:val="00E66D91"/>
    <w:rsid w:val="00E66F5E"/>
    <w:rsid w:val="00E66FC2"/>
    <w:rsid w:val="00E6707F"/>
    <w:rsid w:val="00E67136"/>
    <w:rsid w:val="00E67262"/>
    <w:rsid w:val="00E672E8"/>
    <w:rsid w:val="00E676C0"/>
    <w:rsid w:val="00E6773F"/>
    <w:rsid w:val="00E6774A"/>
    <w:rsid w:val="00E67B7F"/>
    <w:rsid w:val="00E67BD5"/>
    <w:rsid w:val="00E67DF3"/>
    <w:rsid w:val="00E67F19"/>
    <w:rsid w:val="00E67F61"/>
    <w:rsid w:val="00E67FDB"/>
    <w:rsid w:val="00E70021"/>
    <w:rsid w:val="00E700E5"/>
    <w:rsid w:val="00E7017C"/>
    <w:rsid w:val="00E701EA"/>
    <w:rsid w:val="00E70295"/>
    <w:rsid w:val="00E703AE"/>
    <w:rsid w:val="00E70431"/>
    <w:rsid w:val="00E70443"/>
    <w:rsid w:val="00E70558"/>
    <w:rsid w:val="00E7075D"/>
    <w:rsid w:val="00E707E7"/>
    <w:rsid w:val="00E70875"/>
    <w:rsid w:val="00E70B40"/>
    <w:rsid w:val="00E70B95"/>
    <w:rsid w:val="00E70D91"/>
    <w:rsid w:val="00E70DF2"/>
    <w:rsid w:val="00E711B4"/>
    <w:rsid w:val="00E711D7"/>
    <w:rsid w:val="00E712F6"/>
    <w:rsid w:val="00E713F7"/>
    <w:rsid w:val="00E719ED"/>
    <w:rsid w:val="00E71B9A"/>
    <w:rsid w:val="00E71DE2"/>
    <w:rsid w:val="00E72430"/>
    <w:rsid w:val="00E72668"/>
    <w:rsid w:val="00E72733"/>
    <w:rsid w:val="00E7286B"/>
    <w:rsid w:val="00E72899"/>
    <w:rsid w:val="00E728A4"/>
    <w:rsid w:val="00E72987"/>
    <w:rsid w:val="00E72B0A"/>
    <w:rsid w:val="00E72B6E"/>
    <w:rsid w:val="00E72E39"/>
    <w:rsid w:val="00E72E52"/>
    <w:rsid w:val="00E72EF6"/>
    <w:rsid w:val="00E735AC"/>
    <w:rsid w:val="00E736A8"/>
    <w:rsid w:val="00E736BF"/>
    <w:rsid w:val="00E740F5"/>
    <w:rsid w:val="00E74308"/>
    <w:rsid w:val="00E7433A"/>
    <w:rsid w:val="00E74406"/>
    <w:rsid w:val="00E744E1"/>
    <w:rsid w:val="00E7465E"/>
    <w:rsid w:val="00E748A8"/>
    <w:rsid w:val="00E749AB"/>
    <w:rsid w:val="00E74A00"/>
    <w:rsid w:val="00E74A40"/>
    <w:rsid w:val="00E75012"/>
    <w:rsid w:val="00E75298"/>
    <w:rsid w:val="00E7539A"/>
    <w:rsid w:val="00E75796"/>
    <w:rsid w:val="00E757DC"/>
    <w:rsid w:val="00E75B86"/>
    <w:rsid w:val="00E75C04"/>
    <w:rsid w:val="00E75E9A"/>
    <w:rsid w:val="00E75FFB"/>
    <w:rsid w:val="00E7619A"/>
    <w:rsid w:val="00E761D2"/>
    <w:rsid w:val="00E76214"/>
    <w:rsid w:val="00E76580"/>
    <w:rsid w:val="00E76657"/>
    <w:rsid w:val="00E766A1"/>
    <w:rsid w:val="00E7699B"/>
    <w:rsid w:val="00E76B5B"/>
    <w:rsid w:val="00E76E11"/>
    <w:rsid w:val="00E7741A"/>
    <w:rsid w:val="00E77570"/>
    <w:rsid w:val="00E776E1"/>
    <w:rsid w:val="00E7775D"/>
    <w:rsid w:val="00E77ABC"/>
    <w:rsid w:val="00E77B0C"/>
    <w:rsid w:val="00E800EE"/>
    <w:rsid w:val="00E8065D"/>
    <w:rsid w:val="00E807E9"/>
    <w:rsid w:val="00E8094E"/>
    <w:rsid w:val="00E80D39"/>
    <w:rsid w:val="00E80E8F"/>
    <w:rsid w:val="00E80EFD"/>
    <w:rsid w:val="00E81099"/>
    <w:rsid w:val="00E81228"/>
    <w:rsid w:val="00E81301"/>
    <w:rsid w:val="00E8142A"/>
    <w:rsid w:val="00E81538"/>
    <w:rsid w:val="00E815E1"/>
    <w:rsid w:val="00E81C3A"/>
    <w:rsid w:val="00E81C4B"/>
    <w:rsid w:val="00E81FC8"/>
    <w:rsid w:val="00E820CE"/>
    <w:rsid w:val="00E82190"/>
    <w:rsid w:val="00E822D3"/>
    <w:rsid w:val="00E822E8"/>
    <w:rsid w:val="00E824A9"/>
    <w:rsid w:val="00E82517"/>
    <w:rsid w:val="00E82FEE"/>
    <w:rsid w:val="00E83089"/>
    <w:rsid w:val="00E830EB"/>
    <w:rsid w:val="00E831CD"/>
    <w:rsid w:val="00E831E1"/>
    <w:rsid w:val="00E8326D"/>
    <w:rsid w:val="00E83626"/>
    <w:rsid w:val="00E8388F"/>
    <w:rsid w:val="00E8395D"/>
    <w:rsid w:val="00E83A18"/>
    <w:rsid w:val="00E83AB3"/>
    <w:rsid w:val="00E83C1E"/>
    <w:rsid w:val="00E83C30"/>
    <w:rsid w:val="00E84230"/>
    <w:rsid w:val="00E842CE"/>
    <w:rsid w:val="00E846F3"/>
    <w:rsid w:val="00E8490B"/>
    <w:rsid w:val="00E84C87"/>
    <w:rsid w:val="00E84D81"/>
    <w:rsid w:val="00E84F55"/>
    <w:rsid w:val="00E850FD"/>
    <w:rsid w:val="00E8510C"/>
    <w:rsid w:val="00E853B0"/>
    <w:rsid w:val="00E85450"/>
    <w:rsid w:val="00E855B3"/>
    <w:rsid w:val="00E8565F"/>
    <w:rsid w:val="00E8579C"/>
    <w:rsid w:val="00E8599E"/>
    <w:rsid w:val="00E859A1"/>
    <w:rsid w:val="00E859AA"/>
    <w:rsid w:val="00E85B37"/>
    <w:rsid w:val="00E85BC0"/>
    <w:rsid w:val="00E85D50"/>
    <w:rsid w:val="00E85DBB"/>
    <w:rsid w:val="00E85E32"/>
    <w:rsid w:val="00E85F65"/>
    <w:rsid w:val="00E86315"/>
    <w:rsid w:val="00E863F8"/>
    <w:rsid w:val="00E8643C"/>
    <w:rsid w:val="00E866A8"/>
    <w:rsid w:val="00E8691C"/>
    <w:rsid w:val="00E869AF"/>
    <w:rsid w:val="00E86C6B"/>
    <w:rsid w:val="00E86C7A"/>
    <w:rsid w:val="00E86D5A"/>
    <w:rsid w:val="00E86E16"/>
    <w:rsid w:val="00E873A2"/>
    <w:rsid w:val="00E873E7"/>
    <w:rsid w:val="00E87611"/>
    <w:rsid w:val="00E87662"/>
    <w:rsid w:val="00E877E9"/>
    <w:rsid w:val="00E87992"/>
    <w:rsid w:val="00E87E5B"/>
    <w:rsid w:val="00E901E3"/>
    <w:rsid w:val="00E90219"/>
    <w:rsid w:val="00E902B0"/>
    <w:rsid w:val="00E902E8"/>
    <w:rsid w:val="00E903F5"/>
    <w:rsid w:val="00E9090E"/>
    <w:rsid w:val="00E90B54"/>
    <w:rsid w:val="00E90C87"/>
    <w:rsid w:val="00E90CF7"/>
    <w:rsid w:val="00E90F77"/>
    <w:rsid w:val="00E91560"/>
    <w:rsid w:val="00E917C7"/>
    <w:rsid w:val="00E9184E"/>
    <w:rsid w:val="00E91897"/>
    <w:rsid w:val="00E91917"/>
    <w:rsid w:val="00E91952"/>
    <w:rsid w:val="00E91BF0"/>
    <w:rsid w:val="00E92195"/>
    <w:rsid w:val="00E927B2"/>
    <w:rsid w:val="00E92916"/>
    <w:rsid w:val="00E9296B"/>
    <w:rsid w:val="00E92DD3"/>
    <w:rsid w:val="00E93050"/>
    <w:rsid w:val="00E93161"/>
    <w:rsid w:val="00E933D1"/>
    <w:rsid w:val="00E9376D"/>
    <w:rsid w:val="00E937B5"/>
    <w:rsid w:val="00E93995"/>
    <w:rsid w:val="00E93AA0"/>
    <w:rsid w:val="00E93E95"/>
    <w:rsid w:val="00E93F30"/>
    <w:rsid w:val="00E93FFD"/>
    <w:rsid w:val="00E9445D"/>
    <w:rsid w:val="00E94822"/>
    <w:rsid w:val="00E9487D"/>
    <w:rsid w:val="00E94912"/>
    <w:rsid w:val="00E94926"/>
    <w:rsid w:val="00E94A2B"/>
    <w:rsid w:val="00E94F42"/>
    <w:rsid w:val="00E9504F"/>
    <w:rsid w:val="00E95134"/>
    <w:rsid w:val="00E95148"/>
    <w:rsid w:val="00E95230"/>
    <w:rsid w:val="00E952AE"/>
    <w:rsid w:val="00E952B2"/>
    <w:rsid w:val="00E95309"/>
    <w:rsid w:val="00E953B7"/>
    <w:rsid w:val="00E953B9"/>
    <w:rsid w:val="00E95455"/>
    <w:rsid w:val="00E958B2"/>
    <w:rsid w:val="00E95902"/>
    <w:rsid w:val="00E959D2"/>
    <w:rsid w:val="00E959E7"/>
    <w:rsid w:val="00E95A69"/>
    <w:rsid w:val="00E95AFB"/>
    <w:rsid w:val="00E95BE2"/>
    <w:rsid w:val="00E95C66"/>
    <w:rsid w:val="00E95E71"/>
    <w:rsid w:val="00E9649B"/>
    <w:rsid w:val="00E96555"/>
    <w:rsid w:val="00E96756"/>
    <w:rsid w:val="00E96AAA"/>
    <w:rsid w:val="00E97021"/>
    <w:rsid w:val="00E973F3"/>
    <w:rsid w:val="00E97557"/>
    <w:rsid w:val="00E975BC"/>
    <w:rsid w:val="00E976A0"/>
    <w:rsid w:val="00E9777C"/>
    <w:rsid w:val="00E97806"/>
    <w:rsid w:val="00E9780D"/>
    <w:rsid w:val="00E97A92"/>
    <w:rsid w:val="00E97C19"/>
    <w:rsid w:val="00E97C39"/>
    <w:rsid w:val="00E97C91"/>
    <w:rsid w:val="00E97D7E"/>
    <w:rsid w:val="00E97E99"/>
    <w:rsid w:val="00EA0047"/>
    <w:rsid w:val="00EA04CE"/>
    <w:rsid w:val="00EA0507"/>
    <w:rsid w:val="00EA062F"/>
    <w:rsid w:val="00EA0840"/>
    <w:rsid w:val="00EA0A1A"/>
    <w:rsid w:val="00EA0A42"/>
    <w:rsid w:val="00EA0D1E"/>
    <w:rsid w:val="00EA0D71"/>
    <w:rsid w:val="00EA0D9E"/>
    <w:rsid w:val="00EA1159"/>
    <w:rsid w:val="00EA1402"/>
    <w:rsid w:val="00EA15F2"/>
    <w:rsid w:val="00EA15FC"/>
    <w:rsid w:val="00EA196B"/>
    <w:rsid w:val="00EA196C"/>
    <w:rsid w:val="00EA1AF2"/>
    <w:rsid w:val="00EA1D29"/>
    <w:rsid w:val="00EA1D7F"/>
    <w:rsid w:val="00EA1FE2"/>
    <w:rsid w:val="00EA23AC"/>
    <w:rsid w:val="00EA2659"/>
    <w:rsid w:val="00EA2986"/>
    <w:rsid w:val="00EA2C90"/>
    <w:rsid w:val="00EA2E0B"/>
    <w:rsid w:val="00EA326A"/>
    <w:rsid w:val="00EA34C9"/>
    <w:rsid w:val="00EA34E3"/>
    <w:rsid w:val="00EA3599"/>
    <w:rsid w:val="00EA3982"/>
    <w:rsid w:val="00EA398F"/>
    <w:rsid w:val="00EA39BA"/>
    <w:rsid w:val="00EA3AE7"/>
    <w:rsid w:val="00EA3BC0"/>
    <w:rsid w:val="00EA3BE6"/>
    <w:rsid w:val="00EA3CCE"/>
    <w:rsid w:val="00EA3D44"/>
    <w:rsid w:val="00EA3F9E"/>
    <w:rsid w:val="00EA4063"/>
    <w:rsid w:val="00EA424D"/>
    <w:rsid w:val="00EA4810"/>
    <w:rsid w:val="00EA4B22"/>
    <w:rsid w:val="00EA4B47"/>
    <w:rsid w:val="00EA4B68"/>
    <w:rsid w:val="00EA4DEF"/>
    <w:rsid w:val="00EA4EA1"/>
    <w:rsid w:val="00EA4F92"/>
    <w:rsid w:val="00EA502A"/>
    <w:rsid w:val="00EA504C"/>
    <w:rsid w:val="00EA51D1"/>
    <w:rsid w:val="00EA550C"/>
    <w:rsid w:val="00EA5527"/>
    <w:rsid w:val="00EA5556"/>
    <w:rsid w:val="00EA56C0"/>
    <w:rsid w:val="00EA5728"/>
    <w:rsid w:val="00EA5D7B"/>
    <w:rsid w:val="00EA5E08"/>
    <w:rsid w:val="00EA5E19"/>
    <w:rsid w:val="00EA5E90"/>
    <w:rsid w:val="00EA60DB"/>
    <w:rsid w:val="00EA61D9"/>
    <w:rsid w:val="00EA62BC"/>
    <w:rsid w:val="00EA62F0"/>
    <w:rsid w:val="00EA672F"/>
    <w:rsid w:val="00EA67C0"/>
    <w:rsid w:val="00EA689B"/>
    <w:rsid w:val="00EA68FB"/>
    <w:rsid w:val="00EA6BF0"/>
    <w:rsid w:val="00EA6DA8"/>
    <w:rsid w:val="00EA6DD9"/>
    <w:rsid w:val="00EA718C"/>
    <w:rsid w:val="00EA72EE"/>
    <w:rsid w:val="00EA745B"/>
    <w:rsid w:val="00EA7682"/>
    <w:rsid w:val="00EA7B73"/>
    <w:rsid w:val="00EA7C3D"/>
    <w:rsid w:val="00EA7C9D"/>
    <w:rsid w:val="00EA7C9E"/>
    <w:rsid w:val="00EA7D63"/>
    <w:rsid w:val="00EA7E4D"/>
    <w:rsid w:val="00EB00F8"/>
    <w:rsid w:val="00EB04D2"/>
    <w:rsid w:val="00EB04F0"/>
    <w:rsid w:val="00EB0518"/>
    <w:rsid w:val="00EB0670"/>
    <w:rsid w:val="00EB075D"/>
    <w:rsid w:val="00EB07DF"/>
    <w:rsid w:val="00EB0D0F"/>
    <w:rsid w:val="00EB0DF9"/>
    <w:rsid w:val="00EB115B"/>
    <w:rsid w:val="00EB1269"/>
    <w:rsid w:val="00EB13EC"/>
    <w:rsid w:val="00EB186D"/>
    <w:rsid w:val="00EB1878"/>
    <w:rsid w:val="00EB197D"/>
    <w:rsid w:val="00EB1BA9"/>
    <w:rsid w:val="00EB1CB4"/>
    <w:rsid w:val="00EB1CDE"/>
    <w:rsid w:val="00EB1E39"/>
    <w:rsid w:val="00EB1F42"/>
    <w:rsid w:val="00EB1FF3"/>
    <w:rsid w:val="00EB24DF"/>
    <w:rsid w:val="00EB25E1"/>
    <w:rsid w:val="00EB26B1"/>
    <w:rsid w:val="00EB26ED"/>
    <w:rsid w:val="00EB2B29"/>
    <w:rsid w:val="00EB2BB6"/>
    <w:rsid w:val="00EB2F68"/>
    <w:rsid w:val="00EB2FFF"/>
    <w:rsid w:val="00EB3021"/>
    <w:rsid w:val="00EB33DE"/>
    <w:rsid w:val="00EB3440"/>
    <w:rsid w:val="00EB35DB"/>
    <w:rsid w:val="00EB3785"/>
    <w:rsid w:val="00EB388F"/>
    <w:rsid w:val="00EB399F"/>
    <w:rsid w:val="00EB3A2E"/>
    <w:rsid w:val="00EB3B95"/>
    <w:rsid w:val="00EB3CB6"/>
    <w:rsid w:val="00EB3D4A"/>
    <w:rsid w:val="00EB3D88"/>
    <w:rsid w:val="00EB3F27"/>
    <w:rsid w:val="00EB40D4"/>
    <w:rsid w:val="00EB40DB"/>
    <w:rsid w:val="00EB4171"/>
    <w:rsid w:val="00EB45E1"/>
    <w:rsid w:val="00EB46B8"/>
    <w:rsid w:val="00EB4835"/>
    <w:rsid w:val="00EB48BA"/>
    <w:rsid w:val="00EB4A86"/>
    <w:rsid w:val="00EB4AFF"/>
    <w:rsid w:val="00EB4B0B"/>
    <w:rsid w:val="00EB4B31"/>
    <w:rsid w:val="00EB4CB4"/>
    <w:rsid w:val="00EB524D"/>
    <w:rsid w:val="00EB5301"/>
    <w:rsid w:val="00EB5383"/>
    <w:rsid w:val="00EB53F9"/>
    <w:rsid w:val="00EB5555"/>
    <w:rsid w:val="00EB56EE"/>
    <w:rsid w:val="00EB58EE"/>
    <w:rsid w:val="00EB5BE9"/>
    <w:rsid w:val="00EB5C0F"/>
    <w:rsid w:val="00EB5CC1"/>
    <w:rsid w:val="00EB5CEC"/>
    <w:rsid w:val="00EB5DF3"/>
    <w:rsid w:val="00EB5E22"/>
    <w:rsid w:val="00EB5EA5"/>
    <w:rsid w:val="00EB5F77"/>
    <w:rsid w:val="00EB613E"/>
    <w:rsid w:val="00EB6153"/>
    <w:rsid w:val="00EB6423"/>
    <w:rsid w:val="00EB67C1"/>
    <w:rsid w:val="00EB6878"/>
    <w:rsid w:val="00EB69B2"/>
    <w:rsid w:val="00EB6A8D"/>
    <w:rsid w:val="00EB6AF7"/>
    <w:rsid w:val="00EB6B27"/>
    <w:rsid w:val="00EB6C75"/>
    <w:rsid w:val="00EB6FBE"/>
    <w:rsid w:val="00EB7104"/>
    <w:rsid w:val="00EB7145"/>
    <w:rsid w:val="00EB718C"/>
    <w:rsid w:val="00EB75AC"/>
    <w:rsid w:val="00EB75E6"/>
    <w:rsid w:val="00EB75F1"/>
    <w:rsid w:val="00EB7670"/>
    <w:rsid w:val="00EB76C5"/>
    <w:rsid w:val="00EB7742"/>
    <w:rsid w:val="00EB79E7"/>
    <w:rsid w:val="00EB7B51"/>
    <w:rsid w:val="00EB7B97"/>
    <w:rsid w:val="00EB7BC9"/>
    <w:rsid w:val="00EB7D69"/>
    <w:rsid w:val="00EB7F65"/>
    <w:rsid w:val="00EC01B8"/>
    <w:rsid w:val="00EC0233"/>
    <w:rsid w:val="00EC06CE"/>
    <w:rsid w:val="00EC0AE7"/>
    <w:rsid w:val="00EC0CE6"/>
    <w:rsid w:val="00EC0D32"/>
    <w:rsid w:val="00EC132A"/>
    <w:rsid w:val="00EC1979"/>
    <w:rsid w:val="00EC1AB4"/>
    <w:rsid w:val="00EC1C20"/>
    <w:rsid w:val="00EC1DC1"/>
    <w:rsid w:val="00EC1E0E"/>
    <w:rsid w:val="00EC236D"/>
    <w:rsid w:val="00EC284D"/>
    <w:rsid w:val="00EC2941"/>
    <w:rsid w:val="00EC29FB"/>
    <w:rsid w:val="00EC2A17"/>
    <w:rsid w:val="00EC2AF2"/>
    <w:rsid w:val="00EC2B8E"/>
    <w:rsid w:val="00EC2BB3"/>
    <w:rsid w:val="00EC2EAF"/>
    <w:rsid w:val="00EC3101"/>
    <w:rsid w:val="00EC33BF"/>
    <w:rsid w:val="00EC3565"/>
    <w:rsid w:val="00EC3730"/>
    <w:rsid w:val="00EC37FE"/>
    <w:rsid w:val="00EC3865"/>
    <w:rsid w:val="00EC394C"/>
    <w:rsid w:val="00EC3EE2"/>
    <w:rsid w:val="00EC422B"/>
    <w:rsid w:val="00EC4503"/>
    <w:rsid w:val="00EC456E"/>
    <w:rsid w:val="00EC45B0"/>
    <w:rsid w:val="00EC45FF"/>
    <w:rsid w:val="00EC4B35"/>
    <w:rsid w:val="00EC4CD4"/>
    <w:rsid w:val="00EC4F2D"/>
    <w:rsid w:val="00EC4F30"/>
    <w:rsid w:val="00EC54D4"/>
    <w:rsid w:val="00EC54EB"/>
    <w:rsid w:val="00EC55B2"/>
    <w:rsid w:val="00EC5604"/>
    <w:rsid w:val="00EC5CA3"/>
    <w:rsid w:val="00EC5F6B"/>
    <w:rsid w:val="00EC6181"/>
    <w:rsid w:val="00EC6322"/>
    <w:rsid w:val="00EC6413"/>
    <w:rsid w:val="00EC64A3"/>
    <w:rsid w:val="00EC66D2"/>
    <w:rsid w:val="00EC67C0"/>
    <w:rsid w:val="00EC6B16"/>
    <w:rsid w:val="00EC6B44"/>
    <w:rsid w:val="00EC6C3D"/>
    <w:rsid w:val="00EC6E10"/>
    <w:rsid w:val="00EC6F91"/>
    <w:rsid w:val="00EC7318"/>
    <w:rsid w:val="00EC73B3"/>
    <w:rsid w:val="00EC7557"/>
    <w:rsid w:val="00EC75E5"/>
    <w:rsid w:val="00EC7762"/>
    <w:rsid w:val="00EC788A"/>
    <w:rsid w:val="00EC7989"/>
    <w:rsid w:val="00EC7A19"/>
    <w:rsid w:val="00EC7C63"/>
    <w:rsid w:val="00EC7FC2"/>
    <w:rsid w:val="00EC7FE5"/>
    <w:rsid w:val="00ED0023"/>
    <w:rsid w:val="00ED0064"/>
    <w:rsid w:val="00ED00AD"/>
    <w:rsid w:val="00ED00D1"/>
    <w:rsid w:val="00ED0486"/>
    <w:rsid w:val="00ED0579"/>
    <w:rsid w:val="00ED058B"/>
    <w:rsid w:val="00ED05F3"/>
    <w:rsid w:val="00ED0722"/>
    <w:rsid w:val="00ED0739"/>
    <w:rsid w:val="00ED074E"/>
    <w:rsid w:val="00ED09BA"/>
    <w:rsid w:val="00ED0C89"/>
    <w:rsid w:val="00ED0CFA"/>
    <w:rsid w:val="00ED0E17"/>
    <w:rsid w:val="00ED1110"/>
    <w:rsid w:val="00ED1152"/>
    <w:rsid w:val="00ED1196"/>
    <w:rsid w:val="00ED13E4"/>
    <w:rsid w:val="00ED140F"/>
    <w:rsid w:val="00ED141D"/>
    <w:rsid w:val="00ED167B"/>
    <w:rsid w:val="00ED16F9"/>
    <w:rsid w:val="00ED1BDD"/>
    <w:rsid w:val="00ED1DA9"/>
    <w:rsid w:val="00ED1EA4"/>
    <w:rsid w:val="00ED2151"/>
    <w:rsid w:val="00ED22D7"/>
    <w:rsid w:val="00ED2406"/>
    <w:rsid w:val="00ED24D8"/>
    <w:rsid w:val="00ED251E"/>
    <w:rsid w:val="00ED274D"/>
    <w:rsid w:val="00ED28FB"/>
    <w:rsid w:val="00ED2914"/>
    <w:rsid w:val="00ED2CF1"/>
    <w:rsid w:val="00ED2F8C"/>
    <w:rsid w:val="00ED31CE"/>
    <w:rsid w:val="00ED349B"/>
    <w:rsid w:val="00ED36F1"/>
    <w:rsid w:val="00ED38E4"/>
    <w:rsid w:val="00ED3BF5"/>
    <w:rsid w:val="00ED3C9E"/>
    <w:rsid w:val="00ED40BA"/>
    <w:rsid w:val="00ED40F9"/>
    <w:rsid w:val="00ED43EC"/>
    <w:rsid w:val="00ED4439"/>
    <w:rsid w:val="00ED445E"/>
    <w:rsid w:val="00ED4465"/>
    <w:rsid w:val="00ED446A"/>
    <w:rsid w:val="00ED44F5"/>
    <w:rsid w:val="00ED47F7"/>
    <w:rsid w:val="00ED4E75"/>
    <w:rsid w:val="00ED4ED9"/>
    <w:rsid w:val="00ED50AC"/>
    <w:rsid w:val="00ED5218"/>
    <w:rsid w:val="00ED52E1"/>
    <w:rsid w:val="00ED530B"/>
    <w:rsid w:val="00ED544F"/>
    <w:rsid w:val="00ED56BF"/>
    <w:rsid w:val="00ED5A20"/>
    <w:rsid w:val="00ED5B62"/>
    <w:rsid w:val="00ED5C81"/>
    <w:rsid w:val="00ED5C8B"/>
    <w:rsid w:val="00ED5D37"/>
    <w:rsid w:val="00ED6325"/>
    <w:rsid w:val="00ED6447"/>
    <w:rsid w:val="00ED645E"/>
    <w:rsid w:val="00ED64F5"/>
    <w:rsid w:val="00ED6620"/>
    <w:rsid w:val="00ED689F"/>
    <w:rsid w:val="00ED68A0"/>
    <w:rsid w:val="00ED68C4"/>
    <w:rsid w:val="00ED68CC"/>
    <w:rsid w:val="00ED6981"/>
    <w:rsid w:val="00ED6A87"/>
    <w:rsid w:val="00ED6EB5"/>
    <w:rsid w:val="00ED6F3A"/>
    <w:rsid w:val="00ED74DA"/>
    <w:rsid w:val="00ED76D8"/>
    <w:rsid w:val="00ED787D"/>
    <w:rsid w:val="00ED78EC"/>
    <w:rsid w:val="00ED7992"/>
    <w:rsid w:val="00ED7FB2"/>
    <w:rsid w:val="00EE0000"/>
    <w:rsid w:val="00EE00CA"/>
    <w:rsid w:val="00EE0378"/>
    <w:rsid w:val="00EE0393"/>
    <w:rsid w:val="00EE04C4"/>
    <w:rsid w:val="00EE0628"/>
    <w:rsid w:val="00EE0763"/>
    <w:rsid w:val="00EE0B19"/>
    <w:rsid w:val="00EE0C5D"/>
    <w:rsid w:val="00EE0C6B"/>
    <w:rsid w:val="00EE0C7B"/>
    <w:rsid w:val="00EE0CC8"/>
    <w:rsid w:val="00EE0D97"/>
    <w:rsid w:val="00EE0DAD"/>
    <w:rsid w:val="00EE0E98"/>
    <w:rsid w:val="00EE0ED2"/>
    <w:rsid w:val="00EE0F52"/>
    <w:rsid w:val="00EE0FAB"/>
    <w:rsid w:val="00EE105D"/>
    <w:rsid w:val="00EE112A"/>
    <w:rsid w:val="00EE1187"/>
    <w:rsid w:val="00EE12E4"/>
    <w:rsid w:val="00EE1447"/>
    <w:rsid w:val="00EE18A6"/>
    <w:rsid w:val="00EE1A53"/>
    <w:rsid w:val="00EE1BF1"/>
    <w:rsid w:val="00EE1D7D"/>
    <w:rsid w:val="00EE1D7F"/>
    <w:rsid w:val="00EE1DBE"/>
    <w:rsid w:val="00EE1F5C"/>
    <w:rsid w:val="00EE2066"/>
    <w:rsid w:val="00EE2122"/>
    <w:rsid w:val="00EE246C"/>
    <w:rsid w:val="00EE258C"/>
    <w:rsid w:val="00EE29D8"/>
    <w:rsid w:val="00EE2B00"/>
    <w:rsid w:val="00EE2E28"/>
    <w:rsid w:val="00EE2F3A"/>
    <w:rsid w:val="00EE2F9F"/>
    <w:rsid w:val="00EE2FA9"/>
    <w:rsid w:val="00EE2FBA"/>
    <w:rsid w:val="00EE32E2"/>
    <w:rsid w:val="00EE3356"/>
    <w:rsid w:val="00EE38B8"/>
    <w:rsid w:val="00EE39DB"/>
    <w:rsid w:val="00EE3B80"/>
    <w:rsid w:val="00EE3D86"/>
    <w:rsid w:val="00EE3ECA"/>
    <w:rsid w:val="00EE4006"/>
    <w:rsid w:val="00EE41F0"/>
    <w:rsid w:val="00EE450D"/>
    <w:rsid w:val="00EE4543"/>
    <w:rsid w:val="00EE45CF"/>
    <w:rsid w:val="00EE47C3"/>
    <w:rsid w:val="00EE4864"/>
    <w:rsid w:val="00EE4946"/>
    <w:rsid w:val="00EE499F"/>
    <w:rsid w:val="00EE49D4"/>
    <w:rsid w:val="00EE4D7B"/>
    <w:rsid w:val="00EE4FC8"/>
    <w:rsid w:val="00EE502D"/>
    <w:rsid w:val="00EE51C7"/>
    <w:rsid w:val="00EE523C"/>
    <w:rsid w:val="00EE53F5"/>
    <w:rsid w:val="00EE546D"/>
    <w:rsid w:val="00EE54DA"/>
    <w:rsid w:val="00EE59A9"/>
    <w:rsid w:val="00EE5A63"/>
    <w:rsid w:val="00EE5BEE"/>
    <w:rsid w:val="00EE5BF4"/>
    <w:rsid w:val="00EE5DC6"/>
    <w:rsid w:val="00EE5F02"/>
    <w:rsid w:val="00EE6042"/>
    <w:rsid w:val="00EE6168"/>
    <w:rsid w:val="00EE642F"/>
    <w:rsid w:val="00EE6719"/>
    <w:rsid w:val="00EE6B10"/>
    <w:rsid w:val="00EE6B18"/>
    <w:rsid w:val="00EE6C4D"/>
    <w:rsid w:val="00EE71EA"/>
    <w:rsid w:val="00EE74CC"/>
    <w:rsid w:val="00EE7744"/>
    <w:rsid w:val="00EE7B08"/>
    <w:rsid w:val="00EE7CA1"/>
    <w:rsid w:val="00EE7E36"/>
    <w:rsid w:val="00EE7EA8"/>
    <w:rsid w:val="00EE7F8D"/>
    <w:rsid w:val="00EF001A"/>
    <w:rsid w:val="00EF03E1"/>
    <w:rsid w:val="00EF055A"/>
    <w:rsid w:val="00EF0A52"/>
    <w:rsid w:val="00EF0E04"/>
    <w:rsid w:val="00EF0E91"/>
    <w:rsid w:val="00EF0EA6"/>
    <w:rsid w:val="00EF1183"/>
    <w:rsid w:val="00EF1343"/>
    <w:rsid w:val="00EF13E8"/>
    <w:rsid w:val="00EF145E"/>
    <w:rsid w:val="00EF1637"/>
    <w:rsid w:val="00EF1748"/>
    <w:rsid w:val="00EF1822"/>
    <w:rsid w:val="00EF1A3A"/>
    <w:rsid w:val="00EF1B5F"/>
    <w:rsid w:val="00EF222B"/>
    <w:rsid w:val="00EF23BD"/>
    <w:rsid w:val="00EF25CC"/>
    <w:rsid w:val="00EF266B"/>
    <w:rsid w:val="00EF2673"/>
    <w:rsid w:val="00EF2773"/>
    <w:rsid w:val="00EF2838"/>
    <w:rsid w:val="00EF2B9F"/>
    <w:rsid w:val="00EF2BBB"/>
    <w:rsid w:val="00EF2C3F"/>
    <w:rsid w:val="00EF2E28"/>
    <w:rsid w:val="00EF2E74"/>
    <w:rsid w:val="00EF2FF6"/>
    <w:rsid w:val="00EF3067"/>
    <w:rsid w:val="00EF3274"/>
    <w:rsid w:val="00EF355F"/>
    <w:rsid w:val="00EF362B"/>
    <w:rsid w:val="00EF37B1"/>
    <w:rsid w:val="00EF3851"/>
    <w:rsid w:val="00EF3961"/>
    <w:rsid w:val="00EF3A24"/>
    <w:rsid w:val="00EF3C88"/>
    <w:rsid w:val="00EF3D97"/>
    <w:rsid w:val="00EF3DC0"/>
    <w:rsid w:val="00EF4271"/>
    <w:rsid w:val="00EF43DE"/>
    <w:rsid w:val="00EF45AE"/>
    <w:rsid w:val="00EF48F9"/>
    <w:rsid w:val="00EF4946"/>
    <w:rsid w:val="00EF4AE1"/>
    <w:rsid w:val="00EF4B33"/>
    <w:rsid w:val="00EF4F24"/>
    <w:rsid w:val="00EF5075"/>
    <w:rsid w:val="00EF51B0"/>
    <w:rsid w:val="00EF5228"/>
    <w:rsid w:val="00EF5371"/>
    <w:rsid w:val="00EF53C2"/>
    <w:rsid w:val="00EF5501"/>
    <w:rsid w:val="00EF5691"/>
    <w:rsid w:val="00EF5990"/>
    <w:rsid w:val="00EF5A83"/>
    <w:rsid w:val="00EF5B11"/>
    <w:rsid w:val="00EF5D8C"/>
    <w:rsid w:val="00EF6216"/>
    <w:rsid w:val="00EF6676"/>
    <w:rsid w:val="00EF67E5"/>
    <w:rsid w:val="00EF6996"/>
    <w:rsid w:val="00EF6CF5"/>
    <w:rsid w:val="00EF6D7D"/>
    <w:rsid w:val="00EF6DB4"/>
    <w:rsid w:val="00EF6E53"/>
    <w:rsid w:val="00EF72A5"/>
    <w:rsid w:val="00EF72CD"/>
    <w:rsid w:val="00EF72EA"/>
    <w:rsid w:val="00EF7420"/>
    <w:rsid w:val="00EF74E7"/>
    <w:rsid w:val="00EF761B"/>
    <w:rsid w:val="00EF77DA"/>
    <w:rsid w:val="00EF7838"/>
    <w:rsid w:val="00F00117"/>
    <w:rsid w:val="00F002D0"/>
    <w:rsid w:val="00F00472"/>
    <w:rsid w:val="00F004A4"/>
    <w:rsid w:val="00F004D4"/>
    <w:rsid w:val="00F004D8"/>
    <w:rsid w:val="00F005FF"/>
    <w:rsid w:val="00F00621"/>
    <w:rsid w:val="00F00660"/>
    <w:rsid w:val="00F0082D"/>
    <w:rsid w:val="00F00A52"/>
    <w:rsid w:val="00F00D4C"/>
    <w:rsid w:val="00F00ECD"/>
    <w:rsid w:val="00F00F74"/>
    <w:rsid w:val="00F01088"/>
    <w:rsid w:val="00F01533"/>
    <w:rsid w:val="00F015AB"/>
    <w:rsid w:val="00F01817"/>
    <w:rsid w:val="00F01911"/>
    <w:rsid w:val="00F0197E"/>
    <w:rsid w:val="00F01A05"/>
    <w:rsid w:val="00F01BD4"/>
    <w:rsid w:val="00F01BE4"/>
    <w:rsid w:val="00F01D55"/>
    <w:rsid w:val="00F01F3C"/>
    <w:rsid w:val="00F01F79"/>
    <w:rsid w:val="00F0215D"/>
    <w:rsid w:val="00F023F2"/>
    <w:rsid w:val="00F024C9"/>
    <w:rsid w:val="00F0262C"/>
    <w:rsid w:val="00F0283F"/>
    <w:rsid w:val="00F028D3"/>
    <w:rsid w:val="00F02B25"/>
    <w:rsid w:val="00F02E98"/>
    <w:rsid w:val="00F02EE0"/>
    <w:rsid w:val="00F02F32"/>
    <w:rsid w:val="00F03499"/>
    <w:rsid w:val="00F034A1"/>
    <w:rsid w:val="00F0384F"/>
    <w:rsid w:val="00F038D2"/>
    <w:rsid w:val="00F0398D"/>
    <w:rsid w:val="00F03DA8"/>
    <w:rsid w:val="00F03E80"/>
    <w:rsid w:val="00F03FF9"/>
    <w:rsid w:val="00F0416C"/>
    <w:rsid w:val="00F045E0"/>
    <w:rsid w:val="00F04843"/>
    <w:rsid w:val="00F048EA"/>
    <w:rsid w:val="00F049BE"/>
    <w:rsid w:val="00F04C18"/>
    <w:rsid w:val="00F04ED4"/>
    <w:rsid w:val="00F04EDE"/>
    <w:rsid w:val="00F04F05"/>
    <w:rsid w:val="00F04FE0"/>
    <w:rsid w:val="00F05778"/>
    <w:rsid w:val="00F05A15"/>
    <w:rsid w:val="00F05BA9"/>
    <w:rsid w:val="00F05D10"/>
    <w:rsid w:val="00F06266"/>
    <w:rsid w:val="00F06388"/>
    <w:rsid w:val="00F06473"/>
    <w:rsid w:val="00F065F9"/>
    <w:rsid w:val="00F06664"/>
    <w:rsid w:val="00F066E3"/>
    <w:rsid w:val="00F0685D"/>
    <w:rsid w:val="00F0695C"/>
    <w:rsid w:val="00F06D61"/>
    <w:rsid w:val="00F0741F"/>
    <w:rsid w:val="00F075EE"/>
    <w:rsid w:val="00F07B3B"/>
    <w:rsid w:val="00F07B54"/>
    <w:rsid w:val="00F07C09"/>
    <w:rsid w:val="00F07C37"/>
    <w:rsid w:val="00F07C90"/>
    <w:rsid w:val="00F07CF5"/>
    <w:rsid w:val="00F07D2F"/>
    <w:rsid w:val="00F07E49"/>
    <w:rsid w:val="00F07E8F"/>
    <w:rsid w:val="00F1005C"/>
    <w:rsid w:val="00F103F8"/>
    <w:rsid w:val="00F1043C"/>
    <w:rsid w:val="00F1051B"/>
    <w:rsid w:val="00F10535"/>
    <w:rsid w:val="00F105FA"/>
    <w:rsid w:val="00F10747"/>
    <w:rsid w:val="00F107C7"/>
    <w:rsid w:val="00F107D8"/>
    <w:rsid w:val="00F10A47"/>
    <w:rsid w:val="00F10CEC"/>
    <w:rsid w:val="00F10F08"/>
    <w:rsid w:val="00F10F81"/>
    <w:rsid w:val="00F1100F"/>
    <w:rsid w:val="00F11061"/>
    <w:rsid w:val="00F11117"/>
    <w:rsid w:val="00F111AB"/>
    <w:rsid w:val="00F1123D"/>
    <w:rsid w:val="00F11277"/>
    <w:rsid w:val="00F116FA"/>
    <w:rsid w:val="00F11778"/>
    <w:rsid w:val="00F117A5"/>
    <w:rsid w:val="00F118B2"/>
    <w:rsid w:val="00F11D6C"/>
    <w:rsid w:val="00F11DDD"/>
    <w:rsid w:val="00F11E8D"/>
    <w:rsid w:val="00F11EF9"/>
    <w:rsid w:val="00F12246"/>
    <w:rsid w:val="00F123A9"/>
    <w:rsid w:val="00F12530"/>
    <w:rsid w:val="00F12564"/>
    <w:rsid w:val="00F1272F"/>
    <w:rsid w:val="00F127CB"/>
    <w:rsid w:val="00F12A60"/>
    <w:rsid w:val="00F12B1B"/>
    <w:rsid w:val="00F12EA1"/>
    <w:rsid w:val="00F12EE1"/>
    <w:rsid w:val="00F12F56"/>
    <w:rsid w:val="00F13034"/>
    <w:rsid w:val="00F131A9"/>
    <w:rsid w:val="00F1354A"/>
    <w:rsid w:val="00F1355A"/>
    <w:rsid w:val="00F13829"/>
    <w:rsid w:val="00F138C0"/>
    <w:rsid w:val="00F13A66"/>
    <w:rsid w:val="00F13BE3"/>
    <w:rsid w:val="00F13D06"/>
    <w:rsid w:val="00F13DC2"/>
    <w:rsid w:val="00F13E52"/>
    <w:rsid w:val="00F1410F"/>
    <w:rsid w:val="00F14224"/>
    <w:rsid w:val="00F1437D"/>
    <w:rsid w:val="00F14494"/>
    <w:rsid w:val="00F14589"/>
    <w:rsid w:val="00F1487F"/>
    <w:rsid w:val="00F14880"/>
    <w:rsid w:val="00F149EB"/>
    <w:rsid w:val="00F150FC"/>
    <w:rsid w:val="00F152C6"/>
    <w:rsid w:val="00F154AE"/>
    <w:rsid w:val="00F15844"/>
    <w:rsid w:val="00F15897"/>
    <w:rsid w:val="00F15DEE"/>
    <w:rsid w:val="00F15ED3"/>
    <w:rsid w:val="00F166B6"/>
    <w:rsid w:val="00F16762"/>
    <w:rsid w:val="00F16875"/>
    <w:rsid w:val="00F16B5D"/>
    <w:rsid w:val="00F16B9A"/>
    <w:rsid w:val="00F171F5"/>
    <w:rsid w:val="00F1720D"/>
    <w:rsid w:val="00F174A0"/>
    <w:rsid w:val="00F1756F"/>
    <w:rsid w:val="00F175E0"/>
    <w:rsid w:val="00F17A17"/>
    <w:rsid w:val="00F17CB9"/>
    <w:rsid w:val="00F17DB5"/>
    <w:rsid w:val="00F17F49"/>
    <w:rsid w:val="00F17F76"/>
    <w:rsid w:val="00F17FFC"/>
    <w:rsid w:val="00F20038"/>
    <w:rsid w:val="00F20190"/>
    <w:rsid w:val="00F2036A"/>
    <w:rsid w:val="00F2067F"/>
    <w:rsid w:val="00F206C1"/>
    <w:rsid w:val="00F20767"/>
    <w:rsid w:val="00F20953"/>
    <w:rsid w:val="00F20B47"/>
    <w:rsid w:val="00F20F8A"/>
    <w:rsid w:val="00F21065"/>
    <w:rsid w:val="00F21193"/>
    <w:rsid w:val="00F211FC"/>
    <w:rsid w:val="00F2126D"/>
    <w:rsid w:val="00F21496"/>
    <w:rsid w:val="00F21B5A"/>
    <w:rsid w:val="00F21DD4"/>
    <w:rsid w:val="00F21E11"/>
    <w:rsid w:val="00F21EC4"/>
    <w:rsid w:val="00F224F5"/>
    <w:rsid w:val="00F2278E"/>
    <w:rsid w:val="00F227CE"/>
    <w:rsid w:val="00F22BB8"/>
    <w:rsid w:val="00F22C96"/>
    <w:rsid w:val="00F2317B"/>
    <w:rsid w:val="00F23297"/>
    <w:rsid w:val="00F2346A"/>
    <w:rsid w:val="00F234B4"/>
    <w:rsid w:val="00F2368D"/>
    <w:rsid w:val="00F23756"/>
    <w:rsid w:val="00F238D4"/>
    <w:rsid w:val="00F238D5"/>
    <w:rsid w:val="00F23946"/>
    <w:rsid w:val="00F239D8"/>
    <w:rsid w:val="00F23A32"/>
    <w:rsid w:val="00F23A5B"/>
    <w:rsid w:val="00F23A8D"/>
    <w:rsid w:val="00F23D8A"/>
    <w:rsid w:val="00F23DD6"/>
    <w:rsid w:val="00F23F0D"/>
    <w:rsid w:val="00F23FF3"/>
    <w:rsid w:val="00F24222"/>
    <w:rsid w:val="00F243A5"/>
    <w:rsid w:val="00F2453D"/>
    <w:rsid w:val="00F24770"/>
    <w:rsid w:val="00F24863"/>
    <w:rsid w:val="00F24930"/>
    <w:rsid w:val="00F24B72"/>
    <w:rsid w:val="00F24C30"/>
    <w:rsid w:val="00F24C39"/>
    <w:rsid w:val="00F24E85"/>
    <w:rsid w:val="00F24FF9"/>
    <w:rsid w:val="00F25196"/>
    <w:rsid w:val="00F25357"/>
    <w:rsid w:val="00F253D2"/>
    <w:rsid w:val="00F25403"/>
    <w:rsid w:val="00F25634"/>
    <w:rsid w:val="00F2575A"/>
    <w:rsid w:val="00F257EA"/>
    <w:rsid w:val="00F25AB8"/>
    <w:rsid w:val="00F25E40"/>
    <w:rsid w:val="00F2608C"/>
    <w:rsid w:val="00F2617B"/>
    <w:rsid w:val="00F2641E"/>
    <w:rsid w:val="00F264E5"/>
    <w:rsid w:val="00F26894"/>
    <w:rsid w:val="00F26B04"/>
    <w:rsid w:val="00F26C17"/>
    <w:rsid w:val="00F26D6B"/>
    <w:rsid w:val="00F26E32"/>
    <w:rsid w:val="00F27025"/>
    <w:rsid w:val="00F270A4"/>
    <w:rsid w:val="00F27295"/>
    <w:rsid w:val="00F2741C"/>
    <w:rsid w:val="00F27680"/>
    <w:rsid w:val="00F27BAA"/>
    <w:rsid w:val="00F27D25"/>
    <w:rsid w:val="00F27D60"/>
    <w:rsid w:val="00F27DF5"/>
    <w:rsid w:val="00F27E42"/>
    <w:rsid w:val="00F3004C"/>
    <w:rsid w:val="00F300D6"/>
    <w:rsid w:val="00F30166"/>
    <w:rsid w:val="00F301D9"/>
    <w:rsid w:val="00F304A4"/>
    <w:rsid w:val="00F304D2"/>
    <w:rsid w:val="00F3053C"/>
    <w:rsid w:val="00F30793"/>
    <w:rsid w:val="00F307EB"/>
    <w:rsid w:val="00F309E4"/>
    <w:rsid w:val="00F30AFE"/>
    <w:rsid w:val="00F30B4A"/>
    <w:rsid w:val="00F30BAA"/>
    <w:rsid w:val="00F30BDF"/>
    <w:rsid w:val="00F31020"/>
    <w:rsid w:val="00F31045"/>
    <w:rsid w:val="00F3155E"/>
    <w:rsid w:val="00F32010"/>
    <w:rsid w:val="00F32151"/>
    <w:rsid w:val="00F3215B"/>
    <w:rsid w:val="00F3235E"/>
    <w:rsid w:val="00F327F5"/>
    <w:rsid w:val="00F32834"/>
    <w:rsid w:val="00F32958"/>
    <w:rsid w:val="00F32D0A"/>
    <w:rsid w:val="00F32F26"/>
    <w:rsid w:val="00F33060"/>
    <w:rsid w:val="00F331AB"/>
    <w:rsid w:val="00F3335F"/>
    <w:rsid w:val="00F33484"/>
    <w:rsid w:val="00F3354D"/>
    <w:rsid w:val="00F335CE"/>
    <w:rsid w:val="00F33621"/>
    <w:rsid w:val="00F3369B"/>
    <w:rsid w:val="00F3379C"/>
    <w:rsid w:val="00F3386B"/>
    <w:rsid w:val="00F338F1"/>
    <w:rsid w:val="00F33A28"/>
    <w:rsid w:val="00F33A8E"/>
    <w:rsid w:val="00F33CED"/>
    <w:rsid w:val="00F33DB8"/>
    <w:rsid w:val="00F33EE1"/>
    <w:rsid w:val="00F33F38"/>
    <w:rsid w:val="00F34238"/>
    <w:rsid w:val="00F34349"/>
    <w:rsid w:val="00F34356"/>
    <w:rsid w:val="00F3449D"/>
    <w:rsid w:val="00F34502"/>
    <w:rsid w:val="00F34696"/>
    <w:rsid w:val="00F34703"/>
    <w:rsid w:val="00F3471D"/>
    <w:rsid w:val="00F34859"/>
    <w:rsid w:val="00F349CC"/>
    <w:rsid w:val="00F34C3C"/>
    <w:rsid w:val="00F3515A"/>
    <w:rsid w:val="00F3522F"/>
    <w:rsid w:val="00F3526E"/>
    <w:rsid w:val="00F35632"/>
    <w:rsid w:val="00F35995"/>
    <w:rsid w:val="00F359E9"/>
    <w:rsid w:val="00F35BB3"/>
    <w:rsid w:val="00F35BD5"/>
    <w:rsid w:val="00F35C67"/>
    <w:rsid w:val="00F35E08"/>
    <w:rsid w:val="00F35F19"/>
    <w:rsid w:val="00F36640"/>
    <w:rsid w:val="00F366B4"/>
    <w:rsid w:val="00F367DE"/>
    <w:rsid w:val="00F36848"/>
    <w:rsid w:val="00F36DBD"/>
    <w:rsid w:val="00F36E68"/>
    <w:rsid w:val="00F36F07"/>
    <w:rsid w:val="00F37528"/>
    <w:rsid w:val="00F375B5"/>
    <w:rsid w:val="00F37693"/>
    <w:rsid w:val="00F37848"/>
    <w:rsid w:val="00F3792C"/>
    <w:rsid w:val="00F37E4D"/>
    <w:rsid w:val="00F4003C"/>
    <w:rsid w:val="00F40277"/>
    <w:rsid w:val="00F4083D"/>
    <w:rsid w:val="00F40897"/>
    <w:rsid w:val="00F408A0"/>
    <w:rsid w:val="00F40914"/>
    <w:rsid w:val="00F409FE"/>
    <w:rsid w:val="00F40AD7"/>
    <w:rsid w:val="00F40C2F"/>
    <w:rsid w:val="00F4123D"/>
    <w:rsid w:val="00F4131D"/>
    <w:rsid w:val="00F4186B"/>
    <w:rsid w:val="00F41A13"/>
    <w:rsid w:val="00F423CC"/>
    <w:rsid w:val="00F42489"/>
    <w:rsid w:val="00F425BE"/>
    <w:rsid w:val="00F426CE"/>
    <w:rsid w:val="00F427B9"/>
    <w:rsid w:val="00F427ED"/>
    <w:rsid w:val="00F4288A"/>
    <w:rsid w:val="00F429AD"/>
    <w:rsid w:val="00F42BB8"/>
    <w:rsid w:val="00F42C63"/>
    <w:rsid w:val="00F42C76"/>
    <w:rsid w:val="00F42DA0"/>
    <w:rsid w:val="00F42EE5"/>
    <w:rsid w:val="00F42F32"/>
    <w:rsid w:val="00F42F72"/>
    <w:rsid w:val="00F43084"/>
    <w:rsid w:val="00F4317D"/>
    <w:rsid w:val="00F433C7"/>
    <w:rsid w:val="00F4358F"/>
    <w:rsid w:val="00F4371F"/>
    <w:rsid w:val="00F4379B"/>
    <w:rsid w:val="00F437F9"/>
    <w:rsid w:val="00F43900"/>
    <w:rsid w:val="00F43AA8"/>
    <w:rsid w:val="00F43BA4"/>
    <w:rsid w:val="00F43EA0"/>
    <w:rsid w:val="00F43ED3"/>
    <w:rsid w:val="00F43F94"/>
    <w:rsid w:val="00F44302"/>
    <w:rsid w:val="00F44403"/>
    <w:rsid w:val="00F444FB"/>
    <w:rsid w:val="00F448EC"/>
    <w:rsid w:val="00F44AE2"/>
    <w:rsid w:val="00F44B1E"/>
    <w:rsid w:val="00F44EFD"/>
    <w:rsid w:val="00F45046"/>
    <w:rsid w:val="00F45151"/>
    <w:rsid w:val="00F45241"/>
    <w:rsid w:val="00F4547F"/>
    <w:rsid w:val="00F454F2"/>
    <w:rsid w:val="00F45597"/>
    <w:rsid w:val="00F45676"/>
    <w:rsid w:val="00F456DF"/>
    <w:rsid w:val="00F45B67"/>
    <w:rsid w:val="00F45C7D"/>
    <w:rsid w:val="00F45CBC"/>
    <w:rsid w:val="00F45EFC"/>
    <w:rsid w:val="00F4611A"/>
    <w:rsid w:val="00F463A4"/>
    <w:rsid w:val="00F468F3"/>
    <w:rsid w:val="00F4696F"/>
    <w:rsid w:val="00F46AD7"/>
    <w:rsid w:val="00F46BE6"/>
    <w:rsid w:val="00F46C17"/>
    <w:rsid w:val="00F46F88"/>
    <w:rsid w:val="00F47209"/>
    <w:rsid w:val="00F477F3"/>
    <w:rsid w:val="00F47913"/>
    <w:rsid w:val="00F47A40"/>
    <w:rsid w:val="00F47B1B"/>
    <w:rsid w:val="00F47D4D"/>
    <w:rsid w:val="00F47D66"/>
    <w:rsid w:val="00F47E5F"/>
    <w:rsid w:val="00F47E6F"/>
    <w:rsid w:val="00F47E71"/>
    <w:rsid w:val="00F500C5"/>
    <w:rsid w:val="00F5027F"/>
    <w:rsid w:val="00F50580"/>
    <w:rsid w:val="00F50761"/>
    <w:rsid w:val="00F508E9"/>
    <w:rsid w:val="00F509D3"/>
    <w:rsid w:val="00F50A1F"/>
    <w:rsid w:val="00F50CC3"/>
    <w:rsid w:val="00F50E5F"/>
    <w:rsid w:val="00F50FE8"/>
    <w:rsid w:val="00F510C0"/>
    <w:rsid w:val="00F51856"/>
    <w:rsid w:val="00F51917"/>
    <w:rsid w:val="00F51C97"/>
    <w:rsid w:val="00F51CAC"/>
    <w:rsid w:val="00F51D7F"/>
    <w:rsid w:val="00F51F33"/>
    <w:rsid w:val="00F521CA"/>
    <w:rsid w:val="00F524BD"/>
    <w:rsid w:val="00F5261B"/>
    <w:rsid w:val="00F52686"/>
    <w:rsid w:val="00F527C7"/>
    <w:rsid w:val="00F52817"/>
    <w:rsid w:val="00F529AB"/>
    <w:rsid w:val="00F52A32"/>
    <w:rsid w:val="00F52AEE"/>
    <w:rsid w:val="00F52B30"/>
    <w:rsid w:val="00F52B69"/>
    <w:rsid w:val="00F52CCE"/>
    <w:rsid w:val="00F53105"/>
    <w:rsid w:val="00F531FA"/>
    <w:rsid w:val="00F532B7"/>
    <w:rsid w:val="00F53331"/>
    <w:rsid w:val="00F533EF"/>
    <w:rsid w:val="00F534FF"/>
    <w:rsid w:val="00F5365A"/>
    <w:rsid w:val="00F536D1"/>
    <w:rsid w:val="00F536E4"/>
    <w:rsid w:val="00F539ED"/>
    <w:rsid w:val="00F54004"/>
    <w:rsid w:val="00F54020"/>
    <w:rsid w:val="00F5428E"/>
    <w:rsid w:val="00F54350"/>
    <w:rsid w:val="00F543DC"/>
    <w:rsid w:val="00F544EA"/>
    <w:rsid w:val="00F54600"/>
    <w:rsid w:val="00F5469B"/>
    <w:rsid w:val="00F54721"/>
    <w:rsid w:val="00F5479A"/>
    <w:rsid w:val="00F54867"/>
    <w:rsid w:val="00F54A1D"/>
    <w:rsid w:val="00F54BAB"/>
    <w:rsid w:val="00F54C14"/>
    <w:rsid w:val="00F54CF3"/>
    <w:rsid w:val="00F54DB0"/>
    <w:rsid w:val="00F54FAC"/>
    <w:rsid w:val="00F5508E"/>
    <w:rsid w:val="00F550C5"/>
    <w:rsid w:val="00F552E8"/>
    <w:rsid w:val="00F55335"/>
    <w:rsid w:val="00F554D5"/>
    <w:rsid w:val="00F555A3"/>
    <w:rsid w:val="00F55613"/>
    <w:rsid w:val="00F557DF"/>
    <w:rsid w:val="00F558A4"/>
    <w:rsid w:val="00F559F4"/>
    <w:rsid w:val="00F55A1D"/>
    <w:rsid w:val="00F55A92"/>
    <w:rsid w:val="00F55C63"/>
    <w:rsid w:val="00F55CD4"/>
    <w:rsid w:val="00F55DA2"/>
    <w:rsid w:val="00F5606E"/>
    <w:rsid w:val="00F56098"/>
    <w:rsid w:val="00F561A3"/>
    <w:rsid w:val="00F562A2"/>
    <w:rsid w:val="00F56B3F"/>
    <w:rsid w:val="00F56C1B"/>
    <w:rsid w:val="00F56D6E"/>
    <w:rsid w:val="00F56F56"/>
    <w:rsid w:val="00F56F74"/>
    <w:rsid w:val="00F56FF5"/>
    <w:rsid w:val="00F57091"/>
    <w:rsid w:val="00F575AB"/>
    <w:rsid w:val="00F5763E"/>
    <w:rsid w:val="00F577C1"/>
    <w:rsid w:val="00F5786C"/>
    <w:rsid w:val="00F578F7"/>
    <w:rsid w:val="00F57967"/>
    <w:rsid w:val="00F579AB"/>
    <w:rsid w:val="00F579C5"/>
    <w:rsid w:val="00F57B07"/>
    <w:rsid w:val="00F57B47"/>
    <w:rsid w:val="00F57BED"/>
    <w:rsid w:val="00F57D05"/>
    <w:rsid w:val="00F57E38"/>
    <w:rsid w:val="00F57EB2"/>
    <w:rsid w:val="00F57FAC"/>
    <w:rsid w:val="00F57FEE"/>
    <w:rsid w:val="00F60119"/>
    <w:rsid w:val="00F6016A"/>
    <w:rsid w:val="00F60198"/>
    <w:rsid w:val="00F6021C"/>
    <w:rsid w:val="00F60319"/>
    <w:rsid w:val="00F604AB"/>
    <w:rsid w:val="00F60605"/>
    <w:rsid w:val="00F60807"/>
    <w:rsid w:val="00F60C05"/>
    <w:rsid w:val="00F611C8"/>
    <w:rsid w:val="00F6136C"/>
    <w:rsid w:val="00F6137C"/>
    <w:rsid w:val="00F6142F"/>
    <w:rsid w:val="00F61827"/>
    <w:rsid w:val="00F618E3"/>
    <w:rsid w:val="00F61A70"/>
    <w:rsid w:val="00F61AE9"/>
    <w:rsid w:val="00F61B30"/>
    <w:rsid w:val="00F620A2"/>
    <w:rsid w:val="00F620BE"/>
    <w:rsid w:val="00F62229"/>
    <w:rsid w:val="00F622E2"/>
    <w:rsid w:val="00F62356"/>
    <w:rsid w:val="00F625D1"/>
    <w:rsid w:val="00F626C2"/>
    <w:rsid w:val="00F62B3D"/>
    <w:rsid w:val="00F62B45"/>
    <w:rsid w:val="00F62C86"/>
    <w:rsid w:val="00F62D48"/>
    <w:rsid w:val="00F62F78"/>
    <w:rsid w:val="00F63189"/>
    <w:rsid w:val="00F632D0"/>
    <w:rsid w:val="00F633B2"/>
    <w:rsid w:val="00F633C5"/>
    <w:rsid w:val="00F6344B"/>
    <w:rsid w:val="00F63686"/>
    <w:rsid w:val="00F6388E"/>
    <w:rsid w:val="00F638A3"/>
    <w:rsid w:val="00F638AC"/>
    <w:rsid w:val="00F63C52"/>
    <w:rsid w:val="00F63F3D"/>
    <w:rsid w:val="00F640DE"/>
    <w:rsid w:val="00F6445C"/>
    <w:rsid w:val="00F645C8"/>
    <w:rsid w:val="00F645D6"/>
    <w:rsid w:val="00F64686"/>
    <w:rsid w:val="00F646BA"/>
    <w:rsid w:val="00F647FE"/>
    <w:rsid w:val="00F64A28"/>
    <w:rsid w:val="00F64CAE"/>
    <w:rsid w:val="00F65039"/>
    <w:rsid w:val="00F65084"/>
    <w:rsid w:val="00F65581"/>
    <w:rsid w:val="00F6562C"/>
    <w:rsid w:val="00F65687"/>
    <w:rsid w:val="00F65752"/>
    <w:rsid w:val="00F657EC"/>
    <w:rsid w:val="00F65C68"/>
    <w:rsid w:val="00F65D93"/>
    <w:rsid w:val="00F6632F"/>
    <w:rsid w:val="00F6643A"/>
    <w:rsid w:val="00F664FB"/>
    <w:rsid w:val="00F66554"/>
    <w:rsid w:val="00F6680C"/>
    <w:rsid w:val="00F669CD"/>
    <w:rsid w:val="00F6732E"/>
    <w:rsid w:val="00F67391"/>
    <w:rsid w:val="00F6758B"/>
    <w:rsid w:val="00F678E5"/>
    <w:rsid w:val="00F6792C"/>
    <w:rsid w:val="00F67A63"/>
    <w:rsid w:val="00F67B8A"/>
    <w:rsid w:val="00F67BAC"/>
    <w:rsid w:val="00F67BAF"/>
    <w:rsid w:val="00F67BBE"/>
    <w:rsid w:val="00F67E0C"/>
    <w:rsid w:val="00F67E70"/>
    <w:rsid w:val="00F67ED9"/>
    <w:rsid w:val="00F67EF4"/>
    <w:rsid w:val="00F700B2"/>
    <w:rsid w:val="00F701B0"/>
    <w:rsid w:val="00F7063C"/>
    <w:rsid w:val="00F7082A"/>
    <w:rsid w:val="00F70B91"/>
    <w:rsid w:val="00F70B9C"/>
    <w:rsid w:val="00F70E50"/>
    <w:rsid w:val="00F71034"/>
    <w:rsid w:val="00F7104B"/>
    <w:rsid w:val="00F711E6"/>
    <w:rsid w:val="00F712D2"/>
    <w:rsid w:val="00F716F3"/>
    <w:rsid w:val="00F71791"/>
    <w:rsid w:val="00F7200E"/>
    <w:rsid w:val="00F72273"/>
    <w:rsid w:val="00F72334"/>
    <w:rsid w:val="00F72494"/>
    <w:rsid w:val="00F726B7"/>
    <w:rsid w:val="00F727E1"/>
    <w:rsid w:val="00F72802"/>
    <w:rsid w:val="00F728E4"/>
    <w:rsid w:val="00F7293F"/>
    <w:rsid w:val="00F72A3D"/>
    <w:rsid w:val="00F72B86"/>
    <w:rsid w:val="00F72B92"/>
    <w:rsid w:val="00F731E8"/>
    <w:rsid w:val="00F732CA"/>
    <w:rsid w:val="00F7343B"/>
    <w:rsid w:val="00F73584"/>
    <w:rsid w:val="00F737DB"/>
    <w:rsid w:val="00F7387E"/>
    <w:rsid w:val="00F739FD"/>
    <w:rsid w:val="00F73A82"/>
    <w:rsid w:val="00F73CE4"/>
    <w:rsid w:val="00F742D8"/>
    <w:rsid w:val="00F743F4"/>
    <w:rsid w:val="00F746BD"/>
    <w:rsid w:val="00F74835"/>
    <w:rsid w:val="00F7483B"/>
    <w:rsid w:val="00F74B6B"/>
    <w:rsid w:val="00F74B88"/>
    <w:rsid w:val="00F74EA5"/>
    <w:rsid w:val="00F74ED8"/>
    <w:rsid w:val="00F75107"/>
    <w:rsid w:val="00F7516A"/>
    <w:rsid w:val="00F75297"/>
    <w:rsid w:val="00F752C4"/>
    <w:rsid w:val="00F7534B"/>
    <w:rsid w:val="00F753E8"/>
    <w:rsid w:val="00F75CDB"/>
    <w:rsid w:val="00F75D86"/>
    <w:rsid w:val="00F7613A"/>
    <w:rsid w:val="00F761D8"/>
    <w:rsid w:val="00F762DD"/>
    <w:rsid w:val="00F764DB"/>
    <w:rsid w:val="00F765F3"/>
    <w:rsid w:val="00F76795"/>
    <w:rsid w:val="00F768E6"/>
    <w:rsid w:val="00F76961"/>
    <w:rsid w:val="00F769E9"/>
    <w:rsid w:val="00F76BFB"/>
    <w:rsid w:val="00F76C6A"/>
    <w:rsid w:val="00F7705A"/>
    <w:rsid w:val="00F770B2"/>
    <w:rsid w:val="00F77179"/>
    <w:rsid w:val="00F774E2"/>
    <w:rsid w:val="00F7766A"/>
    <w:rsid w:val="00F776A2"/>
    <w:rsid w:val="00F77717"/>
    <w:rsid w:val="00F77973"/>
    <w:rsid w:val="00F77C30"/>
    <w:rsid w:val="00F77DE6"/>
    <w:rsid w:val="00F77E9F"/>
    <w:rsid w:val="00F80258"/>
    <w:rsid w:val="00F802AB"/>
    <w:rsid w:val="00F802F7"/>
    <w:rsid w:val="00F80311"/>
    <w:rsid w:val="00F80402"/>
    <w:rsid w:val="00F806A1"/>
    <w:rsid w:val="00F81102"/>
    <w:rsid w:val="00F81806"/>
    <w:rsid w:val="00F8182C"/>
    <w:rsid w:val="00F81A74"/>
    <w:rsid w:val="00F81C27"/>
    <w:rsid w:val="00F81D39"/>
    <w:rsid w:val="00F81D3D"/>
    <w:rsid w:val="00F81F13"/>
    <w:rsid w:val="00F8204D"/>
    <w:rsid w:val="00F82334"/>
    <w:rsid w:val="00F82370"/>
    <w:rsid w:val="00F82574"/>
    <w:rsid w:val="00F82746"/>
    <w:rsid w:val="00F82989"/>
    <w:rsid w:val="00F82ABA"/>
    <w:rsid w:val="00F82B34"/>
    <w:rsid w:val="00F82D26"/>
    <w:rsid w:val="00F82E06"/>
    <w:rsid w:val="00F82E87"/>
    <w:rsid w:val="00F82F37"/>
    <w:rsid w:val="00F830BF"/>
    <w:rsid w:val="00F83116"/>
    <w:rsid w:val="00F832EC"/>
    <w:rsid w:val="00F836C2"/>
    <w:rsid w:val="00F836F9"/>
    <w:rsid w:val="00F83703"/>
    <w:rsid w:val="00F8373B"/>
    <w:rsid w:val="00F83B3D"/>
    <w:rsid w:val="00F83C2A"/>
    <w:rsid w:val="00F83D76"/>
    <w:rsid w:val="00F83F52"/>
    <w:rsid w:val="00F84077"/>
    <w:rsid w:val="00F840F6"/>
    <w:rsid w:val="00F84261"/>
    <w:rsid w:val="00F84410"/>
    <w:rsid w:val="00F845D7"/>
    <w:rsid w:val="00F847BA"/>
    <w:rsid w:val="00F84908"/>
    <w:rsid w:val="00F84B28"/>
    <w:rsid w:val="00F84B53"/>
    <w:rsid w:val="00F84D4F"/>
    <w:rsid w:val="00F84D5C"/>
    <w:rsid w:val="00F84D7C"/>
    <w:rsid w:val="00F84FD7"/>
    <w:rsid w:val="00F8554F"/>
    <w:rsid w:val="00F8558D"/>
    <w:rsid w:val="00F8586B"/>
    <w:rsid w:val="00F8591F"/>
    <w:rsid w:val="00F85C01"/>
    <w:rsid w:val="00F85EAB"/>
    <w:rsid w:val="00F85F02"/>
    <w:rsid w:val="00F861AF"/>
    <w:rsid w:val="00F861EE"/>
    <w:rsid w:val="00F86504"/>
    <w:rsid w:val="00F8672B"/>
    <w:rsid w:val="00F8676F"/>
    <w:rsid w:val="00F867F1"/>
    <w:rsid w:val="00F86879"/>
    <w:rsid w:val="00F86B67"/>
    <w:rsid w:val="00F86ECD"/>
    <w:rsid w:val="00F8719B"/>
    <w:rsid w:val="00F872A2"/>
    <w:rsid w:val="00F872B5"/>
    <w:rsid w:val="00F8735B"/>
    <w:rsid w:val="00F87400"/>
    <w:rsid w:val="00F87445"/>
    <w:rsid w:val="00F87639"/>
    <w:rsid w:val="00F878D0"/>
    <w:rsid w:val="00F87AAF"/>
    <w:rsid w:val="00F87ABD"/>
    <w:rsid w:val="00F87C8E"/>
    <w:rsid w:val="00F87E4F"/>
    <w:rsid w:val="00F87F48"/>
    <w:rsid w:val="00F87FF3"/>
    <w:rsid w:val="00F90210"/>
    <w:rsid w:val="00F904F0"/>
    <w:rsid w:val="00F908A4"/>
    <w:rsid w:val="00F9093D"/>
    <w:rsid w:val="00F90A13"/>
    <w:rsid w:val="00F90B4E"/>
    <w:rsid w:val="00F90D17"/>
    <w:rsid w:val="00F9139D"/>
    <w:rsid w:val="00F917BD"/>
    <w:rsid w:val="00F91AF0"/>
    <w:rsid w:val="00F91CD3"/>
    <w:rsid w:val="00F91DE7"/>
    <w:rsid w:val="00F91F11"/>
    <w:rsid w:val="00F9214E"/>
    <w:rsid w:val="00F92240"/>
    <w:rsid w:val="00F92279"/>
    <w:rsid w:val="00F923E7"/>
    <w:rsid w:val="00F9265B"/>
    <w:rsid w:val="00F92991"/>
    <w:rsid w:val="00F92999"/>
    <w:rsid w:val="00F92BEB"/>
    <w:rsid w:val="00F92E4A"/>
    <w:rsid w:val="00F92E67"/>
    <w:rsid w:val="00F92F48"/>
    <w:rsid w:val="00F9319D"/>
    <w:rsid w:val="00F935BE"/>
    <w:rsid w:val="00F937EA"/>
    <w:rsid w:val="00F93825"/>
    <w:rsid w:val="00F9382F"/>
    <w:rsid w:val="00F93A58"/>
    <w:rsid w:val="00F93AFA"/>
    <w:rsid w:val="00F93C77"/>
    <w:rsid w:val="00F9422A"/>
    <w:rsid w:val="00F945FC"/>
    <w:rsid w:val="00F9461B"/>
    <w:rsid w:val="00F94674"/>
    <w:rsid w:val="00F9467A"/>
    <w:rsid w:val="00F94825"/>
    <w:rsid w:val="00F94C24"/>
    <w:rsid w:val="00F9503B"/>
    <w:rsid w:val="00F95091"/>
    <w:rsid w:val="00F950D8"/>
    <w:rsid w:val="00F9513A"/>
    <w:rsid w:val="00F95349"/>
    <w:rsid w:val="00F9542B"/>
    <w:rsid w:val="00F954DF"/>
    <w:rsid w:val="00F9558F"/>
    <w:rsid w:val="00F956A7"/>
    <w:rsid w:val="00F95897"/>
    <w:rsid w:val="00F958F1"/>
    <w:rsid w:val="00F95913"/>
    <w:rsid w:val="00F9592B"/>
    <w:rsid w:val="00F962F7"/>
    <w:rsid w:val="00F96369"/>
    <w:rsid w:val="00F9640F"/>
    <w:rsid w:val="00F9653C"/>
    <w:rsid w:val="00F9657F"/>
    <w:rsid w:val="00F96617"/>
    <w:rsid w:val="00F968E4"/>
    <w:rsid w:val="00F9691E"/>
    <w:rsid w:val="00F96A3A"/>
    <w:rsid w:val="00F96EC4"/>
    <w:rsid w:val="00F96FC7"/>
    <w:rsid w:val="00F97072"/>
    <w:rsid w:val="00F97384"/>
    <w:rsid w:val="00F975D7"/>
    <w:rsid w:val="00F977CC"/>
    <w:rsid w:val="00F97925"/>
    <w:rsid w:val="00F9799A"/>
    <w:rsid w:val="00F97D0D"/>
    <w:rsid w:val="00F97E7F"/>
    <w:rsid w:val="00F97EEC"/>
    <w:rsid w:val="00FA003C"/>
    <w:rsid w:val="00FA0215"/>
    <w:rsid w:val="00FA04A2"/>
    <w:rsid w:val="00FA0730"/>
    <w:rsid w:val="00FA076C"/>
    <w:rsid w:val="00FA0868"/>
    <w:rsid w:val="00FA099F"/>
    <w:rsid w:val="00FA09FB"/>
    <w:rsid w:val="00FA0C01"/>
    <w:rsid w:val="00FA0C6E"/>
    <w:rsid w:val="00FA0CC1"/>
    <w:rsid w:val="00FA0EC3"/>
    <w:rsid w:val="00FA1330"/>
    <w:rsid w:val="00FA1487"/>
    <w:rsid w:val="00FA15AF"/>
    <w:rsid w:val="00FA160F"/>
    <w:rsid w:val="00FA173C"/>
    <w:rsid w:val="00FA17D8"/>
    <w:rsid w:val="00FA1A4F"/>
    <w:rsid w:val="00FA1C2A"/>
    <w:rsid w:val="00FA1C93"/>
    <w:rsid w:val="00FA2066"/>
    <w:rsid w:val="00FA20F1"/>
    <w:rsid w:val="00FA2147"/>
    <w:rsid w:val="00FA2258"/>
    <w:rsid w:val="00FA232F"/>
    <w:rsid w:val="00FA2470"/>
    <w:rsid w:val="00FA24B2"/>
    <w:rsid w:val="00FA2686"/>
    <w:rsid w:val="00FA2843"/>
    <w:rsid w:val="00FA28C6"/>
    <w:rsid w:val="00FA2B7F"/>
    <w:rsid w:val="00FA2B89"/>
    <w:rsid w:val="00FA2BF7"/>
    <w:rsid w:val="00FA2E80"/>
    <w:rsid w:val="00FA2EFE"/>
    <w:rsid w:val="00FA3214"/>
    <w:rsid w:val="00FA32FF"/>
    <w:rsid w:val="00FA33B5"/>
    <w:rsid w:val="00FA35F6"/>
    <w:rsid w:val="00FA3665"/>
    <w:rsid w:val="00FA385B"/>
    <w:rsid w:val="00FA3863"/>
    <w:rsid w:val="00FA3A50"/>
    <w:rsid w:val="00FA3A80"/>
    <w:rsid w:val="00FA40E0"/>
    <w:rsid w:val="00FA410E"/>
    <w:rsid w:val="00FA41A6"/>
    <w:rsid w:val="00FA41B7"/>
    <w:rsid w:val="00FA441D"/>
    <w:rsid w:val="00FA44B6"/>
    <w:rsid w:val="00FA44BC"/>
    <w:rsid w:val="00FA45A7"/>
    <w:rsid w:val="00FA45E6"/>
    <w:rsid w:val="00FA464E"/>
    <w:rsid w:val="00FA467C"/>
    <w:rsid w:val="00FA4A4E"/>
    <w:rsid w:val="00FA4CCD"/>
    <w:rsid w:val="00FA4EEE"/>
    <w:rsid w:val="00FA4FCB"/>
    <w:rsid w:val="00FA5500"/>
    <w:rsid w:val="00FA55F8"/>
    <w:rsid w:val="00FA5686"/>
    <w:rsid w:val="00FA5755"/>
    <w:rsid w:val="00FA57AF"/>
    <w:rsid w:val="00FA58CB"/>
    <w:rsid w:val="00FA5A98"/>
    <w:rsid w:val="00FA5DC2"/>
    <w:rsid w:val="00FA5F76"/>
    <w:rsid w:val="00FA61D5"/>
    <w:rsid w:val="00FA6215"/>
    <w:rsid w:val="00FA6656"/>
    <w:rsid w:val="00FA67B0"/>
    <w:rsid w:val="00FA688B"/>
    <w:rsid w:val="00FA6A32"/>
    <w:rsid w:val="00FA6B72"/>
    <w:rsid w:val="00FA6D32"/>
    <w:rsid w:val="00FA6F11"/>
    <w:rsid w:val="00FA7193"/>
    <w:rsid w:val="00FA76F0"/>
    <w:rsid w:val="00FA7C3A"/>
    <w:rsid w:val="00FA7D0C"/>
    <w:rsid w:val="00FA7F1B"/>
    <w:rsid w:val="00FB01E4"/>
    <w:rsid w:val="00FB029E"/>
    <w:rsid w:val="00FB0487"/>
    <w:rsid w:val="00FB0738"/>
    <w:rsid w:val="00FB0879"/>
    <w:rsid w:val="00FB0AC3"/>
    <w:rsid w:val="00FB17B6"/>
    <w:rsid w:val="00FB1833"/>
    <w:rsid w:val="00FB195B"/>
    <w:rsid w:val="00FB1BBC"/>
    <w:rsid w:val="00FB1D12"/>
    <w:rsid w:val="00FB1FB5"/>
    <w:rsid w:val="00FB2006"/>
    <w:rsid w:val="00FB218A"/>
    <w:rsid w:val="00FB2249"/>
    <w:rsid w:val="00FB22F2"/>
    <w:rsid w:val="00FB2307"/>
    <w:rsid w:val="00FB254F"/>
    <w:rsid w:val="00FB2764"/>
    <w:rsid w:val="00FB2B04"/>
    <w:rsid w:val="00FB2B49"/>
    <w:rsid w:val="00FB2BAE"/>
    <w:rsid w:val="00FB2C92"/>
    <w:rsid w:val="00FB2E21"/>
    <w:rsid w:val="00FB3063"/>
    <w:rsid w:val="00FB30BD"/>
    <w:rsid w:val="00FB31AA"/>
    <w:rsid w:val="00FB31D7"/>
    <w:rsid w:val="00FB324A"/>
    <w:rsid w:val="00FB3413"/>
    <w:rsid w:val="00FB34F6"/>
    <w:rsid w:val="00FB3AEA"/>
    <w:rsid w:val="00FB3BCA"/>
    <w:rsid w:val="00FB3C35"/>
    <w:rsid w:val="00FB3F11"/>
    <w:rsid w:val="00FB4087"/>
    <w:rsid w:val="00FB41B8"/>
    <w:rsid w:val="00FB4281"/>
    <w:rsid w:val="00FB42C4"/>
    <w:rsid w:val="00FB482E"/>
    <w:rsid w:val="00FB489D"/>
    <w:rsid w:val="00FB48A4"/>
    <w:rsid w:val="00FB492F"/>
    <w:rsid w:val="00FB4989"/>
    <w:rsid w:val="00FB4A92"/>
    <w:rsid w:val="00FB4B93"/>
    <w:rsid w:val="00FB4CAA"/>
    <w:rsid w:val="00FB4CCD"/>
    <w:rsid w:val="00FB4D21"/>
    <w:rsid w:val="00FB4F7D"/>
    <w:rsid w:val="00FB5090"/>
    <w:rsid w:val="00FB52B8"/>
    <w:rsid w:val="00FB534D"/>
    <w:rsid w:val="00FB5439"/>
    <w:rsid w:val="00FB54A2"/>
    <w:rsid w:val="00FB5700"/>
    <w:rsid w:val="00FB5957"/>
    <w:rsid w:val="00FB5BDD"/>
    <w:rsid w:val="00FB5CE3"/>
    <w:rsid w:val="00FB64E3"/>
    <w:rsid w:val="00FB6574"/>
    <w:rsid w:val="00FB65E2"/>
    <w:rsid w:val="00FB6621"/>
    <w:rsid w:val="00FB66B4"/>
    <w:rsid w:val="00FB6737"/>
    <w:rsid w:val="00FB67BC"/>
    <w:rsid w:val="00FB6849"/>
    <w:rsid w:val="00FB689E"/>
    <w:rsid w:val="00FB691F"/>
    <w:rsid w:val="00FB69D7"/>
    <w:rsid w:val="00FB6AD1"/>
    <w:rsid w:val="00FB6C83"/>
    <w:rsid w:val="00FB6CD0"/>
    <w:rsid w:val="00FB7081"/>
    <w:rsid w:val="00FB73BF"/>
    <w:rsid w:val="00FB762B"/>
    <w:rsid w:val="00FB76F0"/>
    <w:rsid w:val="00FB7A4C"/>
    <w:rsid w:val="00FB7BBB"/>
    <w:rsid w:val="00FB7CB6"/>
    <w:rsid w:val="00FB7E51"/>
    <w:rsid w:val="00FC039B"/>
    <w:rsid w:val="00FC0457"/>
    <w:rsid w:val="00FC06BB"/>
    <w:rsid w:val="00FC07EF"/>
    <w:rsid w:val="00FC09D0"/>
    <w:rsid w:val="00FC0AB9"/>
    <w:rsid w:val="00FC0E72"/>
    <w:rsid w:val="00FC0FE9"/>
    <w:rsid w:val="00FC1016"/>
    <w:rsid w:val="00FC1017"/>
    <w:rsid w:val="00FC1040"/>
    <w:rsid w:val="00FC1058"/>
    <w:rsid w:val="00FC12EC"/>
    <w:rsid w:val="00FC130E"/>
    <w:rsid w:val="00FC16BE"/>
    <w:rsid w:val="00FC1925"/>
    <w:rsid w:val="00FC1987"/>
    <w:rsid w:val="00FC22BB"/>
    <w:rsid w:val="00FC24AA"/>
    <w:rsid w:val="00FC2565"/>
    <w:rsid w:val="00FC25FA"/>
    <w:rsid w:val="00FC29C4"/>
    <w:rsid w:val="00FC2A2E"/>
    <w:rsid w:val="00FC2ACF"/>
    <w:rsid w:val="00FC2B4E"/>
    <w:rsid w:val="00FC2C0A"/>
    <w:rsid w:val="00FC2C1D"/>
    <w:rsid w:val="00FC2D16"/>
    <w:rsid w:val="00FC2D9B"/>
    <w:rsid w:val="00FC2E34"/>
    <w:rsid w:val="00FC2E52"/>
    <w:rsid w:val="00FC2FEE"/>
    <w:rsid w:val="00FC308B"/>
    <w:rsid w:val="00FC3195"/>
    <w:rsid w:val="00FC3291"/>
    <w:rsid w:val="00FC3310"/>
    <w:rsid w:val="00FC3703"/>
    <w:rsid w:val="00FC3892"/>
    <w:rsid w:val="00FC390D"/>
    <w:rsid w:val="00FC3A23"/>
    <w:rsid w:val="00FC4166"/>
    <w:rsid w:val="00FC41C3"/>
    <w:rsid w:val="00FC41F4"/>
    <w:rsid w:val="00FC4453"/>
    <w:rsid w:val="00FC449B"/>
    <w:rsid w:val="00FC47A0"/>
    <w:rsid w:val="00FC49F0"/>
    <w:rsid w:val="00FC4A36"/>
    <w:rsid w:val="00FC523F"/>
    <w:rsid w:val="00FC5343"/>
    <w:rsid w:val="00FC547B"/>
    <w:rsid w:val="00FC5486"/>
    <w:rsid w:val="00FC5566"/>
    <w:rsid w:val="00FC56A2"/>
    <w:rsid w:val="00FC5C0C"/>
    <w:rsid w:val="00FC5CEC"/>
    <w:rsid w:val="00FC5D9A"/>
    <w:rsid w:val="00FC6495"/>
    <w:rsid w:val="00FC6636"/>
    <w:rsid w:val="00FC6ADA"/>
    <w:rsid w:val="00FC6B93"/>
    <w:rsid w:val="00FC70CA"/>
    <w:rsid w:val="00FC7478"/>
    <w:rsid w:val="00FC7636"/>
    <w:rsid w:val="00FC77A2"/>
    <w:rsid w:val="00FC7C0D"/>
    <w:rsid w:val="00FC7E7A"/>
    <w:rsid w:val="00FC7EFB"/>
    <w:rsid w:val="00FC7FE8"/>
    <w:rsid w:val="00FD00F0"/>
    <w:rsid w:val="00FD0116"/>
    <w:rsid w:val="00FD0171"/>
    <w:rsid w:val="00FD070C"/>
    <w:rsid w:val="00FD0754"/>
    <w:rsid w:val="00FD078B"/>
    <w:rsid w:val="00FD0893"/>
    <w:rsid w:val="00FD090C"/>
    <w:rsid w:val="00FD0A53"/>
    <w:rsid w:val="00FD0A54"/>
    <w:rsid w:val="00FD0B0F"/>
    <w:rsid w:val="00FD0C54"/>
    <w:rsid w:val="00FD0F8C"/>
    <w:rsid w:val="00FD0FB2"/>
    <w:rsid w:val="00FD11F3"/>
    <w:rsid w:val="00FD1357"/>
    <w:rsid w:val="00FD1399"/>
    <w:rsid w:val="00FD145B"/>
    <w:rsid w:val="00FD16BC"/>
    <w:rsid w:val="00FD17D8"/>
    <w:rsid w:val="00FD1988"/>
    <w:rsid w:val="00FD1A2C"/>
    <w:rsid w:val="00FD1AF4"/>
    <w:rsid w:val="00FD1EA1"/>
    <w:rsid w:val="00FD1EE1"/>
    <w:rsid w:val="00FD1F17"/>
    <w:rsid w:val="00FD21C9"/>
    <w:rsid w:val="00FD224F"/>
    <w:rsid w:val="00FD2575"/>
    <w:rsid w:val="00FD2790"/>
    <w:rsid w:val="00FD27DD"/>
    <w:rsid w:val="00FD29C0"/>
    <w:rsid w:val="00FD2A65"/>
    <w:rsid w:val="00FD2A79"/>
    <w:rsid w:val="00FD2B3B"/>
    <w:rsid w:val="00FD2DC2"/>
    <w:rsid w:val="00FD2E1C"/>
    <w:rsid w:val="00FD2E7E"/>
    <w:rsid w:val="00FD3023"/>
    <w:rsid w:val="00FD30FA"/>
    <w:rsid w:val="00FD330B"/>
    <w:rsid w:val="00FD330E"/>
    <w:rsid w:val="00FD3380"/>
    <w:rsid w:val="00FD3428"/>
    <w:rsid w:val="00FD3484"/>
    <w:rsid w:val="00FD34E4"/>
    <w:rsid w:val="00FD36C5"/>
    <w:rsid w:val="00FD382F"/>
    <w:rsid w:val="00FD3BE5"/>
    <w:rsid w:val="00FD3C53"/>
    <w:rsid w:val="00FD3CE4"/>
    <w:rsid w:val="00FD4341"/>
    <w:rsid w:val="00FD446B"/>
    <w:rsid w:val="00FD45AC"/>
    <w:rsid w:val="00FD4667"/>
    <w:rsid w:val="00FD4A8C"/>
    <w:rsid w:val="00FD4B63"/>
    <w:rsid w:val="00FD4E38"/>
    <w:rsid w:val="00FD4EB6"/>
    <w:rsid w:val="00FD5225"/>
    <w:rsid w:val="00FD557E"/>
    <w:rsid w:val="00FD5608"/>
    <w:rsid w:val="00FD562C"/>
    <w:rsid w:val="00FD5877"/>
    <w:rsid w:val="00FD5DB8"/>
    <w:rsid w:val="00FD60CC"/>
    <w:rsid w:val="00FD6180"/>
    <w:rsid w:val="00FD618D"/>
    <w:rsid w:val="00FD61F1"/>
    <w:rsid w:val="00FD6919"/>
    <w:rsid w:val="00FD6B25"/>
    <w:rsid w:val="00FD6B69"/>
    <w:rsid w:val="00FD6D85"/>
    <w:rsid w:val="00FD6EF8"/>
    <w:rsid w:val="00FD727C"/>
    <w:rsid w:val="00FD72D5"/>
    <w:rsid w:val="00FD7467"/>
    <w:rsid w:val="00FD7685"/>
    <w:rsid w:val="00FD76A9"/>
    <w:rsid w:val="00FD78A7"/>
    <w:rsid w:val="00FD793E"/>
    <w:rsid w:val="00FD7C5A"/>
    <w:rsid w:val="00FD7F43"/>
    <w:rsid w:val="00FD7FFA"/>
    <w:rsid w:val="00FE0172"/>
    <w:rsid w:val="00FE0200"/>
    <w:rsid w:val="00FE0456"/>
    <w:rsid w:val="00FE06A5"/>
    <w:rsid w:val="00FE071E"/>
    <w:rsid w:val="00FE0783"/>
    <w:rsid w:val="00FE0B4B"/>
    <w:rsid w:val="00FE0C01"/>
    <w:rsid w:val="00FE0C47"/>
    <w:rsid w:val="00FE0CDB"/>
    <w:rsid w:val="00FE0F3D"/>
    <w:rsid w:val="00FE0FE8"/>
    <w:rsid w:val="00FE1028"/>
    <w:rsid w:val="00FE142C"/>
    <w:rsid w:val="00FE1506"/>
    <w:rsid w:val="00FE1802"/>
    <w:rsid w:val="00FE1934"/>
    <w:rsid w:val="00FE1B7E"/>
    <w:rsid w:val="00FE1C34"/>
    <w:rsid w:val="00FE1FDB"/>
    <w:rsid w:val="00FE2143"/>
    <w:rsid w:val="00FE214C"/>
    <w:rsid w:val="00FE2400"/>
    <w:rsid w:val="00FE2687"/>
    <w:rsid w:val="00FE2B8F"/>
    <w:rsid w:val="00FE2BC9"/>
    <w:rsid w:val="00FE2CD2"/>
    <w:rsid w:val="00FE2D7C"/>
    <w:rsid w:val="00FE3285"/>
    <w:rsid w:val="00FE39CB"/>
    <w:rsid w:val="00FE3DC7"/>
    <w:rsid w:val="00FE3F81"/>
    <w:rsid w:val="00FE414F"/>
    <w:rsid w:val="00FE42DF"/>
    <w:rsid w:val="00FE432D"/>
    <w:rsid w:val="00FE4510"/>
    <w:rsid w:val="00FE4585"/>
    <w:rsid w:val="00FE458A"/>
    <w:rsid w:val="00FE46F9"/>
    <w:rsid w:val="00FE472B"/>
    <w:rsid w:val="00FE4784"/>
    <w:rsid w:val="00FE497E"/>
    <w:rsid w:val="00FE4AC3"/>
    <w:rsid w:val="00FE4C52"/>
    <w:rsid w:val="00FE4D44"/>
    <w:rsid w:val="00FE4E35"/>
    <w:rsid w:val="00FE4EAE"/>
    <w:rsid w:val="00FE500F"/>
    <w:rsid w:val="00FE50FD"/>
    <w:rsid w:val="00FE53D4"/>
    <w:rsid w:val="00FE575A"/>
    <w:rsid w:val="00FE5908"/>
    <w:rsid w:val="00FE5913"/>
    <w:rsid w:val="00FE5932"/>
    <w:rsid w:val="00FE59FD"/>
    <w:rsid w:val="00FE5ADD"/>
    <w:rsid w:val="00FE5AE3"/>
    <w:rsid w:val="00FE5CE3"/>
    <w:rsid w:val="00FE5F44"/>
    <w:rsid w:val="00FE60CF"/>
    <w:rsid w:val="00FE62DB"/>
    <w:rsid w:val="00FE63DD"/>
    <w:rsid w:val="00FE65D2"/>
    <w:rsid w:val="00FE6D5C"/>
    <w:rsid w:val="00FE6D70"/>
    <w:rsid w:val="00FE6D7C"/>
    <w:rsid w:val="00FE749A"/>
    <w:rsid w:val="00FE74A9"/>
    <w:rsid w:val="00FE7C69"/>
    <w:rsid w:val="00FE7D29"/>
    <w:rsid w:val="00FF025C"/>
    <w:rsid w:val="00FF03E3"/>
    <w:rsid w:val="00FF0494"/>
    <w:rsid w:val="00FF04E1"/>
    <w:rsid w:val="00FF0552"/>
    <w:rsid w:val="00FF083B"/>
    <w:rsid w:val="00FF09C1"/>
    <w:rsid w:val="00FF0AAE"/>
    <w:rsid w:val="00FF0C72"/>
    <w:rsid w:val="00FF0C8F"/>
    <w:rsid w:val="00FF0D18"/>
    <w:rsid w:val="00FF0D37"/>
    <w:rsid w:val="00FF0E7D"/>
    <w:rsid w:val="00FF0F30"/>
    <w:rsid w:val="00FF1047"/>
    <w:rsid w:val="00FF1060"/>
    <w:rsid w:val="00FF107B"/>
    <w:rsid w:val="00FF1100"/>
    <w:rsid w:val="00FF11CE"/>
    <w:rsid w:val="00FF12F4"/>
    <w:rsid w:val="00FF153C"/>
    <w:rsid w:val="00FF15F5"/>
    <w:rsid w:val="00FF16D7"/>
    <w:rsid w:val="00FF179E"/>
    <w:rsid w:val="00FF17E3"/>
    <w:rsid w:val="00FF187D"/>
    <w:rsid w:val="00FF1A42"/>
    <w:rsid w:val="00FF1AF5"/>
    <w:rsid w:val="00FF1C15"/>
    <w:rsid w:val="00FF2273"/>
    <w:rsid w:val="00FF24E5"/>
    <w:rsid w:val="00FF2561"/>
    <w:rsid w:val="00FF2573"/>
    <w:rsid w:val="00FF2618"/>
    <w:rsid w:val="00FF2628"/>
    <w:rsid w:val="00FF26A8"/>
    <w:rsid w:val="00FF29C8"/>
    <w:rsid w:val="00FF2A83"/>
    <w:rsid w:val="00FF2AD0"/>
    <w:rsid w:val="00FF2C5A"/>
    <w:rsid w:val="00FF2E3A"/>
    <w:rsid w:val="00FF3030"/>
    <w:rsid w:val="00FF30E8"/>
    <w:rsid w:val="00FF3126"/>
    <w:rsid w:val="00FF3137"/>
    <w:rsid w:val="00FF3268"/>
    <w:rsid w:val="00FF33BC"/>
    <w:rsid w:val="00FF3502"/>
    <w:rsid w:val="00FF388C"/>
    <w:rsid w:val="00FF3959"/>
    <w:rsid w:val="00FF39A0"/>
    <w:rsid w:val="00FF3C04"/>
    <w:rsid w:val="00FF3E04"/>
    <w:rsid w:val="00FF4068"/>
    <w:rsid w:val="00FF49AD"/>
    <w:rsid w:val="00FF4B66"/>
    <w:rsid w:val="00FF4CA0"/>
    <w:rsid w:val="00FF4E5D"/>
    <w:rsid w:val="00FF4F02"/>
    <w:rsid w:val="00FF4FF6"/>
    <w:rsid w:val="00FF525A"/>
    <w:rsid w:val="00FF5431"/>
    <w:rsid w:val="00FF593A"/>
    <w:rsid w:val="00FF5B1F"/>
    <w:rsid w:val="00FF5CAA"/>
    <w:rsid w:val="00FF5F5F"/>
    <w:rsid w:val="00FF6122"/>
    <w:rsid w:val="00FF6208"/>
    <w:rsid w:val="00FF6243"/>
    <w:rsid w:val="00FF6460"/>
    <w:rsid w:val="00FF64ED"/>
    <w:rsid w:val="00FF665B"/>
    <w:rsid w:val="00FF67BA"/>
    <w:rsid w:val="00FF6A13"/>
    <w:rsid w:val="00FF6BE0"/>
    <w:rsid w:val="00FF6BFF"/>
    <w:rsid w:val="00FF6E0D"/>
    <w:rsid w:val="00FF6E9E"/>
    <w:rsid w:val="00FF6F04"/>
    <w:rsid w:val="00FF6FDD"/>
    <w:rsid w:val="00FF710D"/>
    <w:rsid w:val="00FF74EC"/>
    <w:rsid w:val="00FF772A"/>
    <w:rsid w:val="00FF78C6"/>
    <w:rsid w:val="00FF7A16"/>
    <w:rsid w:val="00FF7B73"/>
    <w:rsid w:val="00FF7F50"/>
    <w:rsid w:val="015BFA04"/>
    <w:rsid w:val="01AF37B6"/>
    <w:rsid w:val="022D6DA9"/>
    <w:rsid w:val="0278830B"/>
    <w:rsid w:val="028A51E7"/>
    <w:rsid w:val="02B094CF"/>
    <w:rsid w:val="02CC1D39"/>
    <w:rsid w:val="032833CC"/>
    <w:rsid w:val="0331ABD1"/>
    <w:rsid w:val="034D4EE7"/>
    <w:rsid w:val="039042A1"/>
    <w:rsid w:val="03B21574"/>
    <w:rsid w:val="03F0DDE9"/>
    <w:rsid w:val="0430CFEA"/>
    <w:rsid w:val="04619000"/>
    <w:rsid w:val="049019A4"/>
    <w:rsid w:val="04F138AA"/>
    <w:rsid w:val="05085BB9"/>
    <w:rsid w:val="07546B29"/>
    <w:rsid w:val="0777ACD3"/>
    <w:rsid w:val="084BEB0D"/>
    <w:rsid w:val="084E5008"/>
    <w:rsid w:val="08E4AE5C"/>
    <w:rsid w:val="09F1CE9F"/>
    <w:rsid w:val="0AF0FCA7"/>
    <w:rsid w:val="0B1D221A"/>
    <w:rsid w:val="0B6B32A1"/>
    <w:rsid w:val="0BCB4F29"/>
    <w:rsid w:val="0BF98BCC"/>
    <w:rsid w:val="0C2ED774"/>
    <w:rsid w:val="0CBCFFE7"/>
    <w:rsid w:val="0CEBB9C5"/>
    <w:rsid w:val="0D11B41A"/>
    <w:rsid w:val="0DE9AF66"/>
    <w:rsid w:val="0E0619E0"/>
    <w:rsid w:val="0E3A2A0B"/>
    <w:rsid w:val="0EA40FF9"/>
    <w:rsid w:val="0EB27AD3"/>
    <w:rsid w:val="0EB6F8FD"/>
    <w:rsid w:val="0EFEF0BA"/>
    <w:rsid w:val="0F6DF824"/>
    <w:rsid w:val="0FFF2189"/>
    <w:rsid w:val="10219511"/>
    <w:rsid w:val="10462C77"/>
    <w:rsid w:val="105452CC"/>
    <w:rsid w:val="1086A18C"/>
    <w:rsid w:val="10AAACD2"/>
    <w:rsid w:val="11201A94"/>
    <w:rsid w:val="112E5097"/>
    <w:rsid w:val="11EED100"/>
    <w:rsid w:val="11F71CB2"/>
    <w:rsid w:val="1231F6F9"/>
    <w:rsid w:val="129FC435"/>
    <w:rsid w:val="13C5B9F1"/>
    <w:rsid w:val="140CAA66"/>
    <w:rsid w:val="145C27B4"/>
    <w:rsid w:val="15781AD7"/>
    <w:rsid w:val="15D11F23"/>
    <w:rsid w:val="161AFED1"/>
    <w:rsid w:val="16AA4DD5"/>
    <w:rsid w:val="16C0DA20"/>
    <w:rsid w:val="16F484E6"/>
    <w:rsid w:val="1700F20F"/>
    <w:rsid w:val="176716E4"/>
    <w:rsid w:val="1769BA8C"/>
    <w:rsid w:val="1776530F"/>
    <w:rsid w:val="17BF830F"/>
    <w:rsid w:val="17D0B896"/>
    <w:rsid w:val="18567029"/>
    <w:rsid w:val="18613D26"/>
    <w:rsid w:val="186EC0A8"/>
    <w:rsid w:val="1889BC5C"/>
    <w:rsid w:val="197991FB"/>
    <w:rsid w:val="19C0970E"/>
    <w:rsid w:val="19CA418A"/>
    <w:rsid w:val="19CC8C14"/>
    <w:rsid w:val="19E59002"/>
    <w:rsid w:val="1A08A14B"/>
    <w:rsid w:val="1A1E7F9F"/>
    <w:rsid w:val="1A22A502"/>
    <w:rsid w:val="1A35DF7C"/>
    <w:rsid w:val="1AB864CD"/>
    <w:rsid w:val="1ACAB620"/>
    <w:rsid w:val="1AE50C68"/>
    <w:rsid w:val="1B0F4059"/>
    <w:rsid w:val="1B40BFB2"/>
    <w:rsid w:val="1BA0280B"/>
    <w:rsid w:val="1BEAFD79"/>
    <w:rsid w:val="1C84C47A"/>
    <w:rsid w:val="1C99A2D4"/>
    <w:rsid w:val="1CC50831"/>
    <w:rsid w:val="1D2864AD"/>
    <w:rsid w:val="1DC4681B"/>
    <w:rsid w:val="1E3961DD"/>
    <w:rsid w:val="1E49A152"/>
    <w:rsid w:val="1FBF32FD"/>
    <w:rsid w:val="200E7CD6"/>
    <w:rsid w:val="2070A9E3"/>
    <w:rsid w:val="20CF0952"/>
    <w:rsid w:val="21099009"/>
    <w:rsid w:val="213A5E53"/>
    <w:rsid w:val="2170AAAD"/>
    <w:rsid w:val="217AE5E2"/>
    <w:rsid w:val="21A3C100"/>
    <w:rsid w:val="21C7FCBD"/>
    <w:rsid w:val="224F6725"/>
    <w:rsid w:val="227F09D2"/>
    <w:rsid w:val="22ADF854"/>
    <w:rsid w:val="23284A80"/>
    <w:rsid w:val="238EE02A"/>
    <w:rsid w:val="23AA15AA"/>
    <w:rsid w:val="243165DB"/>
    <w:rsid w:val="247191BC"/>
    <w:rsid w:val="247828B7"/>
    <w:rsid w:val="248C6405"/>
    <w:rsid w:val="254B2F09"/>
    <w:rsid w:val="254C5783"/>
    <w:rsid w:val="26AEC078"/>
    <w:rsid w:val="272B1DBB"/>
    <w:rsid w:val="273401C8"/>
    <w:rsid w:val="27463E2B"/>
    <w:rsid w:val="275DE134"/>
    <w:rsid w:val="27B40826"/>
    <w:rsid w:val="28496BDC"/>
    <w:rsid w:val="2865EE25"/>
    <w:rsid w:val="28A0DAA2"/>
    <w:rsid w:val="291B0BAF"/>
    <w:rsid w:val="297A615A"/>
    <w:rsid w:val="29A6C40E"/>
    <w:rsid w:val="2A00125E"/>
    <w:rsid w:val="2ADF096C"/>
    <w:rsid w:val="2CAA8DFE"/>
    <w:rsid w:val="2CB1DE46"/>
    <w:rsid w:val="2CB4F452"/>
    <w:rsid w:val="2CCDF042"/>
    <w:rsid w:val="2CFF8815"/>
    <w:rsid w:val="2D4AB198"/>
    <w:rsid w:val="2D5B7491"/>
    <w:rsid w:val="2D973F6C"/>
    <w:rsid w:val="2DA6CDDA"/>
    <w:rsid w:val="2DDB27A9"/>
    <w:rsid w:val="2E80BDB6"/>
    <w:rsid w:val="2FB0ED40"/>
    <w:rsid w:val="30C9B6EE"/>
    <w:rsid w:val="318C28E1"/>
    <w:rsid w:val="31D2912D"/>
    <w:rsid w:val="31EF17CE"/>
    <w:rsid w:val="324A2462"/>
    <w:rsid w:val="3250325E"/>
    <w:rsid w:val="32C99FE5"/>
    <w:rsid w:val="32DD0767"/>
    <w:rsid w:val="3331EF6F"/>
    <w:rsid w:val="33B8990A"/>
    <w:rsid w:val="33EC8539"/>
    <w:rsid w:val="353A9EA3"/>
    <w:rsid w:val="35D58ADA"/>
    <w:rsid w:val="3622A21F"/>
    <w:rsid w:val="3662F065"/>
    <w:rsid w:val="368BCC75"/>
    <w:rsid w:val="36F4461D"/>
    <w:rsid w:val="374F80AF"/>
    <w:rsid w:val="37DB8487"/>
    <w:rsid w:val="38734C97"/>
    <w:rsid w:val="387943B3"/>
    <w:rsid w:val="3888E395"/>
    <w:rsid w:val="38F90FA3"/>
    <w:rsid w:val="391D854E"/>
    <w:rsid w:val="3970B1FB"/>
    <w:rsid w:val="39718F40"/>
    <w:rsid w:val="397E8DA2"/>
    <w:rsid w:val="3AA8F5E8"/>
    <w:rsid w:val="3B3FC529"/>
    <w:rsid w:val="3B555256"/>
    <w:rsid w:val="3C61BADF"/>
    <w:rsid w:val="3CC29E5A"/>
    <w:rsid w:val="3D652314"/>
    <w:rsid w:val="3D9525F4"/>
    <w:rsid w:val="3DF71082"/>
    <w:rsid w:val="3E5AC9AB"/>
    <w:rsid w:val="3EE1DEE0"/>
    <w:rsid w:val="3F3E832F"/>
    <w:rsid w:val="3F6CC75B"/>
    <w:rsid w:val="3FE36BF6"/>
    <w:rsid w:val="4042A3F7"/>
    <w:rsid w:val="40482E85"/>
    <w:rsid w:val="4089D6E3"/>
    <w:rsid w:val="40B999F9"/>
    <w:rsid w:val="41029F63"/>
    <w:rsid w:val="410CE694"/>
    <w:rsid w:val="41293010"/>
    <w:rsid w:val="41B18C51"/>
    <w:rsid w:val="41B92F80"/>
    <w:rsid w:val="41D63B2F"/>
    <w:rsid w:val="41DCC3CA"/>
    <w:rsid w:val="42758A32"/>
    <w:rsid w:val="428DC6E5"/>
    <w:rsid w:val="42BF18E1"/>
    <w:rsid w:val="42D6A5C0"/>
    <w:rsid w:val="42F29A53"/>
    <w:rsid w:val="431B04C0"/>
    <w:rsid w:val="4373976D"/>
    <w:rsid w:val="439C9D39"/>
    <w:rsid w:val="43BA2208"/>
    <w:rsid w:val="44124D9B"/>
    <w:rsid w:val="44377917"/>
    <w:rsid w:val="444271BD"/>
    <w:rsid w:val="444BF39F"/>
    <w:rsid w:val="44BFB840"/>
    <w:rsid w:val="456EB941"/>
    <w:rsid w:val="45702DD7"/>
    <w:rsid w:val="45FE6907"/>
    <w:rsid w:val="4638E34E"/>
    <w:rsid w:val="469052BD"/>
    <w:rsid w:val="482B5D8F"/>
    <w:rsid w:val="49E81CEF"/>
    <w:rsid w:val="4BDE2DB3"/>
    <w:rsid w:val="4BE4D4D8"/>
    <w:rsid w:val="4D670C11"/>
    <w:rsid w:val="4D714FC0"/>
    <w:rsid w:val="4DCD770A"/>
    <w:rsid w:val="4E6B787F"/>
    <w:rsid w:val="4E73D459"/>
    <w:rsid w:val="4EEB3D4B"/>
    <w:rsid w:val="4F6DA8E8"/>
    <w:rsid w:val="4F7C91DA"/>
    <w:rsid w:val="4F7E230C"/>
    <w:rsid w:val="4F9EC172"/>
    <w:rsid w:val="4F9F7DEA"/>
    <w:rsid w:val="5004135A"/>
    <w:rsid w:val="50BBB833"/>
    <w:rsid w:val="50CC1E7B"/>
    <w:rsid w:val="510BEAFC"/>
    <w:rsid w:val="5140BA25"/>
    <w:rsid w:val="5190A120"/>
    <w:rsid w:val="51D29815"/>
    <w:rsid w:val="528FAE43"/>
    <w:rsid w:val="53556C57"/>
    <w:rsid w:val="5365998F"/>
    <w:rsid w:val="53C7C5E9"/>
    <w:rsid w:val="53D4BA3A"/>
    <w:rsid w:val="53EB5B2A"/>
    <w:rsid w:val="54D4838A"/>
    <w:rsid w:val="55768D90"/>
    <w:rsid w:val="563AB5C1"/>
    <w:rsid w:val="56C45A67"/>
    <w:rsid w:val="56EB5FEA"/>
    <w:rsid w:val="578B853B"/>
    <w:rsid w:val="57ADA469"/>
    <w:rsid w:val="57BD8B19"/>
    <w:rsid w:val="57C002EA"/>
    <w:rsid w:val="57CCEDF4"/>
    <w:rsid w:val="57F43C4C"/>
    <w:rsid w:val="57F86FDA"/>
    <w:rsid w:val="59C1B9BD"/>
    <w:rsid w:val="59CA9F74"/>
    <w:rsid w:val="59E174D7"/>
    <w:rsid w:val="5A0A188C"/>
    <w:rsid w:val="5B5146F6"/>
    <w:rsid w:val="5B5D6972"/>
    <w:rsid w:val="5B826A47"/>
    <w:rsid w:val="5B8614E9"/>
    <w:rsid w:val="5BAC63DB"/>
    <w:rsid w:val="5BD082CD"/>
    <w:rsid w:val="5C81DF6C"/>
    <w:rsid w:val="5CC535A0"/>
    <w:rsid w:val="5CD0080E"/>
    <w:rsid w:val="5CD6D0AB"/>
    <w:rsid w:val="5E16D0E7"/>
    <w:rsid w:val="5E349C5C"/>
    <w:rsid w:val="5E486794"/>
    <w:rsid w:val="5E88B927"/>
    <w:rsid w:val="5EE0D44E"/>
    <w:rsid w:val="5F0DAECE"/>
    <w:rsid w:val="5F1516AD"/>
    <w:rsid w:val="5F9F935D"/>
    <w:rsid w:val="5FCDFE48"/>
    <w:rsid w:val="6012AE63"/>
    <w:rsid w:val="60DDD748"/>
    <w:rsid w:val="6104004C"/>
    <w:rsid w:val="6196F33B"/>
    <w:rsid w:val="61A48019"/>
    <w:rsid w:val="61A976ED"/>
    <w:rsid w:val="61B219F5"/>
    <w:rsid w:val="62E1F1E9"/>
    <w:rsid w:val="6619E5F5"/>
    <w:rsid w:val="6635B715"/>
    <w:rsid w:val="66A52D3B"/>
    <w:rsid w:val="671BAC0F"/>
    <w:rsid w:val="67DBF024"/>
    <w:rsid w:val="68733068"/>
    <w:rsid w:val="68D2E497"/>
    <w:rsid w:val="690DE0DE"/>
    <w:rsid w:val="69291D6C"/>
    <w:rsid w:val="69588CA4"/>
    <w:rsid w:val="695B37F6"/>
    <w:rsid w:val="6A0DB3CD"/>
    <w:rsid w:val="6A8BE2EC"/>
    <w:rsid w:val="6AC1BA59"/>
    <w:rsid w:val="6B37F310"/>
    <w:rsid w:val="6B6D9950"/>
    <w:rsid w:val="6BE6857B"/>
    <w:rsid w:val="6BF0FC24"/>
    <w:rsid w:val="6C0AA896"/>
    <w:rsid w:val="6CB5ABFC"/>
    <w:rsid w:val="6CC9B90E"/>
    <w:rsid w:val="6D5EBEF8"/>
    <w:rsid w:val="6E0CE7EB"/>
    <w:rsid w:val="6EA2E6E9"/>
    <w:rsid w:val="6EBF4F7B"/>
    <w:rsid w:val="6EDAF5D6"/>
    <w:rsid w:val="6F14047D"/>
    <w:rsid w:val="6F2EFB4C"/>
    <w:rsid w:val="6F5032BB"/>
    <w:rsid w:val="6FA68493"/>
    <w:rsid w:val="6FB7A2D5"/>
    <w:rsid w:val="6FE0DBF8"/>
    <w:rsid w:val="6FEB54A0"/>
    <w:rsid w:val="7011745B"/>
    <w:rsid w:val="7061E3B7"/>
    <w:rsid w:val="70FB0317"/>
    <w:rsid w:val="716B3AFE"/>
    <w:rsid w:val="725B14A9"/>
    <w:rsid w:val="725BD53C"/>
    <w:rsid w:val="72CB0050"/>
    <w:rsid w:val="73CC34BA"/>
    <w:rsid w:val="7422128F"/>
    <w:rsid w:val="74221B9C"/>
    <w:rsid w:val="747B7508"/>
    <w:rsid w:val="74DF5EEC"/>
    <w:rsid w:val="7526E061"/>
    <w:rsid w:val="7566A7B7"/>
    <w:rsid w:val="7586E7D6"/>
    <w:rsid w:val="75AE721E"/>
    <w:rsid w:val="75FE790D"/>
    <w:rsid w:val="76620CDD"/>
    <w:rsid w:val="7689BC15"/>
    <w:rsid w:val="768A4C5D"/>
    <w:rsid w:val="770789E2"/>
    <w:rsid w:val="77C6CCBE"/>
    <w:rsid w:val="783FBD45"/>
    <w:rsid w:val="786CF03C"/>
    <w:rsid w:val="790D0018"/>
    <w:rsid w:val="79A2DC8C"/>
    <w:rsid w:val="79D187BE"/>
    <w:rsid w:val="7A3752DC"/>
    <w:rsid w:val="7A93C727"/>
    <w:rsid w:val="7AEC55C3"/>
    <w:rsid w:val="7B06A4E4"/>
    <w:rsid w:val="7B1144E2"/>
    <w:rsid w:val="7B2E2F1B"/>
    <w:rsid w:val="7B7D948D"/>
    <w:rsid w:val="7B8BDB9B"/>
    <w:rsid w:val="7BAA0FA8"/>
    <w:rsid w:val="7BF73337"/>
    <w:rsid w:val="7C1C0451"/>
    <w:rsid w:val="7C42E228"/>
    <w:rsid w:val="7C8BB55A"/>
    <w:rsid w:val="7D1FDDD8"/>
    <w:rsid w:val="7D2C57F8"/>
    <w:rsid w:val="7D3B97FD"/>
    <w:rsid w:val="7DCD2499"/>
    <w:rsid w:val="7DD9D59D"/>
    <w:rsid w:val="7DF023DE"/>
    <w:rsid w:val="7E5CC98E"/>
    <w:rsid w:val="7FD24A8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C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9A7"/>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E11865"/>
    <w:pPr>
      <w:spacing w:after="360" w:line="460" w:lineRule="exact"/>
      <w:outlineLvl w:val="0"/>
    </w:pPr>
    <w:rPr>
      <w:b/>
      <w:bCs w:val="0"/>
      <w:color w:val="2C384A" w:themeColor="accent1"/>
      <w:sz w:val="44"/>
    </w:rPr>
  </w:style>
  <w:style w:type="paragraph" w:styleId="Heading2">
    <w:name w:val="heading 2"/>
    <w:basedOn w:val="HeadingBase"/>
    <w:next w:val="Normal"/>
    <w:link w:val="Heading2Char"/>
    <w:qFormat/>
    <w:rsid w:val="001F7943"/>
    <w:pPr>
      <w:spacing w:before="360" w:after="180"/>
      <w:outlineLvl w:val="1"/>
    </w:pPr>
    <w:rPr>
      <w:bCs w:val="0"/>
      <w:iCs/>
      <w:color w:val="2C384A" w:themeColor="accent1"/>
      <w:sz w:val="36"/>
      <w:szCs w:val="28"/>
    </w:rPr>
  </w:style>
  <w:style w:type="paragraph" w:styleId="Heading3">
    <w:name w:val="heading 3"/>
    <w:basedOn w:val="HeadingBase"/>
    <w:next w:val="Normal"/>
    <w:link w:val="Heading3Char"/>
    <w:qFormat/>
    <w:rsid w:val="00ED5A2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ED5A2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E349A7"/>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E349A7"/>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865"/>
    <w:rPr>
      <w:rFonts w:ascii="Calibri" w:eastAsia="Times New Roman" w:hAnsi="Calibri" w:cs="Arial"/>
      <w:b/>
      <w:color w:val="2C384A" w:themeColor="accent1"/>
      <w:kern w:val="32"/>
      <w:sz w:val="44"/>
      <w:szCs w:val="36"/>
      <w:lang w:eastAsia="en-AU"/>
    </w:rPr>
  </w:style>
  <w:style w:type="character" w:customStyle="1" w:styleId="Heading2Char">
    <w:name w:val="Heading 2 Char"/>
    <w:basedOn w:val="DefaultParagraphFont"/>
    <w:link w:val="Heading2"/>
    <w:rsid w:val="001F7943"/>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ED5A2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ED5A2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E349A7"/>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E349A7"/>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0F1B18"/>
    <w:pPr>
      <w:keepNext/>
      <w:spacing w:before="0" w:after="0"/>
    </w:pPr>
    <w:rPr>
      <w:noProof/>
      <w:color w:val="004A7F"/>
      <w:sz w:val="20"/>
    </w:rPr>
  </w:style>
  <w:style w:type="paragraph" w:customStyle="1" w:styleId="AlphaParagraph">
    <w:name w:val="Alpha Paragraph"/>
    <w:basedOn w:val="Normal"/>
    <w:qFormat/>
    <w:rsid w:val="000E0B74"/>
    <w:pPr>
      <w:numPr>
        <w:ilvl w:val="1"/>
        <w:numId w:val="7"/>
      </w:numPr>
      <w:spacing w:before="0"/>
    </w:pPr>
  </w:style>
  <w:style w:type="character" w:customStyle="1" w:styleId="DashChar">
    <w:name w:val="Dash Char"/>
    <w:basedOn w:val="DefaultParagraphFont"/>
    <w:link w:val="Dash"/>
    <w:locked/>
    <w:rsid w:val="00E349A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locked/>
    <w:rsid w:val="00E349A7"/>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742565"/>
    <w:rPr>
      <w:rFonts w:ascii="Calibri Light" w:eastAsia="Times New Roman" w:hAnsi="Calibri Light" w:cs="Times New Roman"/>
      <w:szCs w:val="20"/>
      <w:lang w:eastAsia="en-AU"/>
    </w:rPr>
  </w:style>
  <w:style w:type="paragraph" w:customStyle="1" w:styleId="BoxHeading">
    <w:name w:val="Box Heading"/>
    <w:basedOn w:val="Normal"/>
    <w:next w:val="Normal"/>
    <w:rsid w:val="00EB4B0B"/>
    <w:pPr>
      <w:keepNext/>
      <w:spacing w:before="240"/>
    </w:pPr>
    <w:rPr>
      <w:b/>
      <w:color w:val="2C384A" w:themeColor="accent1"/>
      <w:sz w:val="26"/>
      <w:szCs w:val="26"/>
    </w:rPr>
  </w:style>
  <w:style w:type="paragraph" w:customStyle="1" w:styleId="BoxText">
    <w:name w:val="Box Text"/>
    <w:basedOn w:val="Normal"/>
    <w:link w:val="BoxTextChar"/>
    <w:rsid w:val="00E349A7"/>
  </w:style>
  <w:style w:type="paragraph" w:customStyle="1" w:styleId="Bullet">
    <w:name w:val="Bullet"/>
    <w:link w:val="BulletChar"/>
    <w:qFormat/>
    <w:rsid w:val="00742565"/>
    <w:pPr>
      <w:numPr>
        <w:numId w:val="10"/>
      </w:numPr>
      <w:tabs>
        <w:tab w:val="left" w:pos="720"/>
      </w:tabs>
      <w:spacing w:before="120" w:after="120" w:line="240" w:lineRule="auto"/>
    </w:pPr>
    <w:rPr>
      <w:rFonts w:ascii="Calibri Light" w:eastAsia="Times New Roman" w:hAnsi="Calibri Light" w:cs="Times New Roman"/>
      <w:szCs w:val="20"/>
      <w:lang w:eastAsia="en-AU"/>
    </w:rPr>
  </w:style>
  <w:style w:type="paragraph" w:customStyle="1" w:styleId="ChartandTableFootnoteAlpha">
    <w:name w:val="Chart and Table Footnote Alpha"/>
    <w:rsid w:val="0023305C"/>
    <w:pPr>
      <w:numPr>
        <w:numId w:val="8"/>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E97C19"/>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2A7A31"/>
    <w:pPr>
      <w:keepNext/>
      <w:spacing w:before="0" w:after="360"/>
    </w:pPr>
    <w:rPr>
      <w:color w:val="90B6F0"/>
      <w:sz w:val="32"/>
    </w:rPr>
  </w:style>
  <w:style w:type="paragraph" w:customStyle="1" w:styleId="Dash">
    <w:name w:val="Dash"/>
    <w:basedOn w:val="Normal"/>
    <w:link w:val="DashChar"/>
    <w:qFormat/>
    <w:rsid w:val="000E0B74"/>
    <w:pPr>
      <w:numPr>
        <w:ilvl w:val="1"/>
        <w:numId w:val="10"/>
      </w:numPr>
      <w:spacing w:before="0"/>
    </w:pPr>
  </w:style>
  <w:style w:type="paragraph" w:customStyle="1" w:styleId="DoubleDot">
    <w:name w:val="Double Dot"/>
    <w:basedOn w:val="Normal"/>
    <w:link w:val="DoubleDotChar"/>
    <w:qFormat/>
    <w:rsid w:val="000E0B74"/>
    <w:pPr>
      <w:numPr>
        <w:ilvl w:val="2"/>
        <w:numId w:val="10"/>
      </w:numPr>
      <w:spacing w:before="0"/>
    </w:pPr>
  </w:style>
  <w:style w:type="paragraph" w:customStyle="1" w:styleId="TableMainHeading">
    <w:name w:val="Table Main Heading"/>
    <w:basedOn w:val="Heading3"/>
    <w:next w:val="Normal"/>
    <w:rsid w:val="00E97C19"/>
    <w:pPr>
      <w:spacing w:before="120"/>
    </w:pPr>
    <w:rPr>
      <w:b w:val="0"/>
      <w:sz w:val="26"/>
    </w:rPr>
  </w:style>
  <w:style w:type="paragraph" w:customStyle="1" w:styleId="FooterEven">
    <w:name w:val="Footer Even"/>
    <w:basedOn w:val="Footer"/>
    <w:rsid w:val="00D5567B"/>
    <w:pPr>
      <w:keepNext/>
      <w:tabs>
        <w:tab w:val="clear" w:pos="4513"/>
        <w:tab w:val="clear" w:pos="9026"/>
        <w:tab w:val="right" w:pos="1400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aliases w:val="table"/>
    <w:basedOn w:val="DefaultParagraphFont"/>
    <w:uiPriority w:val="99"/>
    <w:rsid w:val="003E2F73"/>
    <w:rPr>
      <w:rFonts w:ascii="Calibri Light" w:hAnsi="Calibri Light"/>
      <w:b/>
      <w:color w:val="5D779D" w:themeColor="accent3"/>
      <w:sz w:val="16"/>
    </w:rPr>
  </w:style>
  <w:style w:type="paragraph" w:customStyle="1" w:styleId="OutlineNumbered1">
    <w:name w:val="Outline Numbered 1"/>
    <w:basedOn w:val="Normal"/>
    <w:link w:val="OutlineNumbered1Char"/>
    <w:rsid w:val="00BC6BE2"/>
    <w:pPr>
      <w:numPr>
        <w:numId w:val="5"/>
      </w:numPr>
      <w:tabs>
        <w:tab w:val="num" w:pos="284"/>
      </w:tabs>
      <w:spacing w:before="0"/>
    </w:pPr>
  </w:style>
  <w:style w:type="paragraph" w:customStyle="1" w:styleId="OutlineNumbered2">
    <w:name w:val="Outline Numbered 2"/>
    <w:basedOn w:val="Normal"/>
    <w:rsid w:val="000E0B74"/>
    <w:pPr>
      <w:numPr>
        <w:ilvl w:val="1"/>
        <w:numId w:val="5"/>
      </w:numPr>
      <w:spacing w:before="0"/>
    </w:pPr>
  </w:style>
  <w:style w:type="paragraph" w:customStyle="1" w:styleId="OutlineNumbered3">
    <w:name w:val="Outline Numbered 3"/>
    <w:basedOn w:val="Normal"/>
    <w:rsid w:val="000E0B74"/>
    <w:pPr>
      <w:numPr>
        <w:ilvl w:val="2"/>
        <w:numId w:val="5"/>
      </w:numPr>
      <w:spacing w:before="0"/>
    </w:pPr>
  </w:style>
  <w:style w:type="paragraph" w:customStyle="1" w:styleId="SingleParagraph">
    <w:name w:val="Single Paragraph"/>
    <w:basedOn w:val="Normal"/>
    <w:next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9B11F3"/>
    <w:rPr>
      <w:b/>
      <w:color w:val="auto"/>
      <w:sz w:val="18"/>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rsid w:val="00597E44"/>
    <w:pPr>
      <w:spacing w:before="60" w:after="60" w:line="240" w:lineRule="auto"/>
    </w:pPr>
    <w:rPr>
      <w:rFonts w:ascii="Calibri Light" w:eastAsia="Times New Roman" w:hAnsi="Calibri Light" w:cs="Times New Roman"/>
      <w:color w:val="000000"/>
      <w:sz w:val="16"/>
      <w:szCs w:val="20"/>
      <w:lang w:eastAsia="en-AU"/>
    </w:r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A7236C"/>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5"/>
      </w:numPr>
    </w:pPr>
  </w:style>
  <w:style w:type="paragraph" w:customStyle="1" w:styleId="Heading1Numbered">
    <w:name w:val="Heading 1 Numbered"/>
    <w:basedOn w:val="Heading1"/>
    <w:next w:val="Normal"/>
    <w:rsid w:val="00FC308B"/>
    <w:pPr>
      <w:numPr>
        <w:numId w:val="6"/>
      </w:numPr>
      <w:ind w:left="567" w:hanging="567"/>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6"/>
      </w:numPr>
      <w:ind w:left="284" w:hanging="284"/>
    </w:pPr>
  </w:style>
  <w:style w:type="paragraph" w:customStyle="1" w:styleId="Heading3Numbered">
    <w:name w:val="Heading 3 Numbered"/>
    <w:basedOn w:val="Heading3"/>
    <w:rsid w:val="00EE1BF1"/>
    <w:pPr>
      <w:numPr>
        <w:ilvl w:val="2"/>
        <w:numId w:val="6"/>
      </w:numPr>
      <w:ind w:left="284" w:hanging="284"/>
    </w:pPr>
  </w:style>
  <w:style w:type="paragraph" w:styleId="Title">
    <w:name w:val="Title"/>
    <w:basedOn w:val="Normal"/>
    <w:next w:val="Normal"/>
    <w:link w:val="TitleChar"/>
    <w:uiPriority w:val="10"/>
    <w:rsid w:val="00BF441D"/>
    <w:pPr>
      <w:tabs>
        <w:tab w:val="left" w:pos="6379"/>
      </w:tabs>
      <w:spacing w:before="2040" w:line="720" w:lineRule="exact"/>
      <w:ind w:right="8504"/>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BF441D"/>
    <w:rPr>
      <w:rFonts w:ascii="Calibri Light" w:eastAsiaTheme="majorEastAsia" w:hAnsi="Calibri Light"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alibri" w:eastAsiaTheme="majorEastAsia" w:hAnsi="Calibri" w:cstheme="majorBidi"/>
      <w:iCs/>
      <w:color w:val="EEEEEE"/>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2A7A31"/>
    <w:rPr>
      <w:rFonts w:ascii="Calibri" w:eastAsia="Times New Roman" w:hAnsi="Calibri" w:cs="Times New Roman"/>
      <w:color w:val="90B6F0"/>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qFormat/>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349A7"/>
    <w:rPr>
      <w:rFonts w:ascii="Calibri Light" w:eastAsia="Times New Roman" w:hAnsi="Calibri Light" w:cs="Times New Roman"/>
      <w:szCs w:val="20"/>
      <w:lang w:eastAsia="en-AU"/>
    </w:rPr>
  </w:style>
  <w:style w:type="paragraph" w:customStyle="1" w:styleId="Boxbullet">
    <w:name w:val="Box bullet"/>
    <w:basedOn w:val="Bullet"/>
    <w:rsid w:val="00E349A7"/>
    <w:pPr>
      <w:numPr>
        <w:numId w:val="9"/>
      </w:numPr>
      <w:tabs>
        <w:tab w:val="clear" w:pos="283"/>
        <w:tab w:val="num" w:pos="284"/>
        <w:tab w:val="num" w:pos="520"/>
      </w:tabs>
      <w:spacing w:before="60"/>
    </w:pPr>
    <w:rPr>
      <w:color w:val="0D0D0D" w:themeColor="text1" w:themeTint="F2"/>
    </w:rPr>
  </w:style>
  <w:style w:type="paragraph" w:customStyle="1" w:styleId="Boxdash">
    <w:name w:val="Box dash"/>
    <w:basedOn w:val="Dash"/>
    <w:rsid w:val="00E349A7"/>
    <w:pPr>
      <w:numPr>
        <w:numId w:val="9"/>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numId w:val="9"/>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paragraph" w:customStyle="1" w:styleId="CreativeCommons">
    <w:name w:val="Creative Commons"/>
    <w:qFormat/>
    <w:rsid w:val="00571A20"/>
    <w:pPr>
      <w:spacing w:before="120" w:after="120" w:line="240" w:lineRule="auto"/>
    </w:pPr>
    <w:rPr>
      <w:rFonts w:ascii="Calibri Light" w:eastAsia="Times New Roman" w:hAnsi="Calibri Light" w:cs="Times New Roman"/>
      <w:sz w:val="17"/>
      <w:szCs w:val="16"/>
      <w:lang w:eastAsia="en-AU"/>
    </w:rPr>
  </w:style>
  <w:style w:type="character" w:styleId="Strong">
    <w:name w:val="Strong"/>
    <w:basedOn w:val="DefaultParagraphFont"/>
    <w:qFormat/>
    <w:rsid w:val="00FD557E"/>
    <w:rPr>
      <w:b/>
      <w:bCs/>
    </w:rPr>
  </w:style>
  <w:style w:type="paragraph" w:styleId="CommentSubject">
    <w:name w:val="annotation subject"/>
    <w:basedOn w:val="CommentText"/>
    <w:next w:val="CommentText"/>
    <w:link w:val="CommentSubjectChar"/>
    <w:uiPriority w:val="99"/>
    <w:semiHidden/>
    <w:unhideWhenUsed/>
    <w:rsid w:val="00E34DAB"/>
    <w:rPr>
      <w:rFonts w:ascii="Calibri Light" w:hAnsi="Calibri Light"/>
      <w:b/>
      <w:bCs/>
    </w:rPr>
  </w:style>
  <w:style w:type="character" w:customStyle="1" w:styleId="CommentSubjectChar">
    <w:name w:val="Comment Subject Char"/>
    <w:basedOn w:val="CommentTextChar"/>
    <w:link w:val="CommentSubject"/>
    <w:uiPriority w:val="99"/>
    <w:semiHidden/>
    <w:rsid w:val="00E34DAB"/>
    <w:rPr>
      <w:rFonts w:ascii="Calibri Light" w:eastAsia="Times New Roman" w:hAnsi="Calibri Light" w:cs="Times New Roman"/>
      <w:b/>
      <w:bCs/>
      <w:sz w:val="20"/>
      <w:szCs w:val="20"/>
      <w:lang w:eastAsia="en-AU"/>
    </w:rPr>
  </w:style>
  <w:style w:type="paragraph" w:customStyle="1" w:styleId="paragraph">
    <w:name w:val="paragraph"/>
    <w:basedOn w:val="Normal"/>
    <w:rsid w:val="00E34DAB"/>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E34DAB"/>
  </w:style>
  <w:style w:type="character" w:customStyle="1" w:styleId="eop">
    <w:name w:val="eop"/>
    <w:basedOn w:val="DefaultParagraphFont"/>
    <w:rsid w:val="00E34DAB"/>
  </w:style>
  <w:style w:type="character" w:styleId="FollowedHyperlink">
    <w:name w:val="FollowedHyperlink"/>
    <w:basedOn w:val="DefaultParagraphFont"/>
    <w:uiPriority w:val="99"/>
    <w:semiHidden/>
    <w:unhideWhenUsed/>
    <w:rsid w:val="00E34DAB"/>
    <w:rPr>
      <w:color w:val="844D9E" w:themeColor="followedHyperlink"/>
      <w:u w:val="single"/>
    </w:rPr>
  </w:style>
  <w:style w:type="character" w:styleId="UnresolvedMention">
    <w:name w:val="Unresolved Mention"/>
    <w:basedOn w:val="DefaultParagraphFont"/>
    <w:uiPriority w:val="99"/>
    <w:unhideWhenUsed/>
    <w:rsid w:val="00E34DAB"/>
    <w:rPr>
      <w:color w:val="605E5C"/>
      <w:shd w:val="clear" w:color="auto" w:fill="E1DFDD"/>
    </w:rPr>
  </w:style>
  <w:style w:type="paragraph" w:styleId="Revision">
    <w:name w:val="Revision"/>
    <w:hidden/>
    <w:uiPriority w:val="99"/>
    <w:semiHidden/>
    <w:rsid w:val="00E34DAB"/>
    <w:pPr>
      <w:spacing w:after="0" w:line="240" w:lineRule="auto"/>
    </w:pPr>
    <w:rPr>
      <w:rFonts w:ascii="Calibri Light" w:eastAsia="Times New Roman" w:hAnsi="Calibri Light" w:cs="Times New Roman"/>
      <w:szCs w:val="20"/>
      <w:lang w:eastAsia="en-AU"/>
    </w:rPr>
  </w:style>
  <w:style w:type="table" w:customStyle="1" w:styleId="TableGrid1">
    <w:name w:val="Table Grid1"/>
    <w:basedOn w:val="TableNormal"/>
    <w:next w:val="TableGrid"/>
    <w:uiPriority w:val="39"/>
    <w:rsid w:val="00E34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utlineNumbered1Char">
    <w:name w:val="Outline Numbered 1 Char"/>
    <w:basedOn w:val="DefaultParagraphFont"/>
    <w:link w:val="OutlineNumbered1"/>
    <w:rsid w:val="00BC6BE2"/>
    <w:rPr>
      <w:rFonts w:ascii="Calibri Light" w:eastAsia="Times New Roman" w:hAnsi="Calibri Light" w:cs="Times New Roman"/>
      <w:szCs w:val="20"/>
      <w:lang w:eastAsia="en-AU"/>
    </w:rPr>
  </w:style>
  <w:style w:type="table" w:customStyle="1" w:styleId="TableGrid2">
    <w:name w:val="Table Grid2"/>
    <w:basedOn w:val="TableNormal"/>
    <w:next w:val="TableGrid"/>
    <w:uiPriority w:val="39"/>
    <w:rsid w:val="00E34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34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34DAB"/>
    <w:pPr>
      <w:keepLines/>
      <w:spacing w:before="240" w:after="0" w:line="259" w:lineRule="auto"/>
      <w:outlineLvl w:val="9"/>
    </w:pPr>
    <w:rPr>
      <w:rFonts w:asciiTheme="majorHAnsi" w:eastAsiaTheme="majorEastAsia" w:hAnsiTheme="majorHAnsi" w:cstheme="majorBidi"/>
      <w:b w:val="0"/>
      <w:color w:val="212937" w:themeColor="accent1" w:themeShade="BF"/>
      <w:kern w:val="0"/>
      <w:sz w:val="32"/>
      <w:szCs w:val="32"/>
      <w:lang w:val="en-US" w:eastAsia="en-US"/>
    </w:rPr>
  </w:style>
  <w:style w:type="character" w:customStyle="1" w:styleId="cf01">
    <w:name w:val="cf01"/>
    <w:basedOn w:val="DefaultParagraphFont"/>
    <w:rsid w:val="00E34DAB"/>
    <w:rPr>
      <w:rFonts w:ascii="Segoe UI" w:hAnsi="Segoe UI" w:cs="Segoe UI" w:hint="default"/>
      <w:i/>
      <w:iCs/>
      <w:sz w:val="18"/>
      <w:szCs w:val="18"/>
    </w:rPr>
  </w:style>
  <w:style w:type="character" w:customStyle="1" w:styleId="cf11">
    <w:name w:val="cf11"/>
    <w:basedOn w:val="DefaultParagraphFont"/>
    <w:rsid w:val="00E34DAB"/>
    <w:rPr>
      <w:rFonts w:ascii="Segoe UI" w:hAnsi="Segoe UI" w:cs="Segoe UI" w:hint="default"/>
      <w:sz w:val="18"/>
      <w:szCs w:val="18"/>
    </w:rPr>
  </w:style>
  <w:style w:type="paragraph" w:customStyle="1" w:styleId="TableTextLeft7pt">
    <w:name w:val="Table Text Left 7pt"/>
    <w:qFormat/>
    <w:rsid w:val="00D83411"/>
    <w:pPr>
      <w:spacing w:before="60" w:after="60" w:line="240" w:lineRule="auto"/>
    </w:pPr>
    <w:rPr>
      <w:rFonts w:ascii="Calibri Light" w:eastAsia="Times New Roman" w:hAnsi="Calibri Light" w:cs="Times New Roman"/>
      <w:color w:val="000000"/>
      <w:sz w:val="14"/>
      <w:szCs w:val="14"/>
      <w:lang w:eastAsia="en-AU"/>
    </w:rPr>
  </w:style>
  <w:style w:type="paragraph" w:customStyle="1" w:styleId="TableTextBullet">
    <w:name w:val="Table Text Bullet"/>
    <w:qFormat/>
    <w:rsid w:val="00E92916"/>
    <w:pPr>
      <w:numPr>
        <w:numId w:val="11"/>
      </w:numPr>
      <w:spacing w:before="60" w:after="60" w:line="240" w:lineRule="auto"/>
      <w:ind w:left="170" w:hanging="170"/>
    </w:pPr>
    <w:rPr>
      <w:rFonts w:ascii="Calibri Light" w:eastAsia="Times New Roman" w:hAnsi="Calibri Light" w:cs="Times New Roman"/>
      <w:sz w:val="16"/>
      <w:szCs w:val="20"/>
      <w:lang w:eastAsia="en-AU"/>
    </w:rPr>
  </w:style>
  <w:style w:type="paragraph" w:customStyle="1" w:styleId="TableColumnHeadingLeft7pt">
    <w:name w:val="Table Column Heading Left  7pt"/>
    <w:qFormat/>
    <w:rsid w:val="00597E44"/>
    <w:pPr>
      <w:spacing w:before="60" w:after="60" w:line="240" w:lineRule="auto"/>
    </w:pPr>
    <w:rPr>
      <w:rFonts w:ascii="Calibri Light" w:eastAsia="Times New Roman" w:hAnsi="Calibri Light" w:cs="Times New Roman"/>
      <w:b/>
      <w:color w:val="2C384A" w:themeColor="accent1"/>
      <w:sz w:val="16"/>
      <w:szCs w:val="20"/>
      <w:lang w:eastAsia="en-AU"/>
    </w:rPr>
  </w:style>
  <w:style w:type="paragraph" w:customStyle="1" w:styleId="GhostLine">
    <w:name w:val="Ghost Line"/>
    <w:qFormat/>
    <w:rsid w:val="00923DF6"/>
    <w:pPr>
      <w:spacing w:after="0" w:line="240" w:lineRule="auto"/>
    </w:pPr>
    <w:rPr>
      <w:rFonts w:ascii="Calibri Light" w:eastAsia="Times New Roman" w:hAnsi="Calibri Light" w:cs="Times New Roman"/>
      <w:sz w:val="2"/>
      <w:szCs w:val="20"/>
      <w:lang w:eastAsia="en-AU"/>
    </w:rPr>
  </w:style>
  <w:style w:type="table" w:styleId="GridTable1Light-Accent2">
    <w:name w:val="Grid Table 1 Light Accent 2"/>
    <w:basedOn w:val="TableNormal"/>
    <w:uiPriority w:val="46"/>
    <w:rsid w:val="00B54CF6"/>
    <w:pPr>
      <w:spacing w:after="0" w:line="240" w:lineRule="auto"/>
    </w:pPr>
    <w:rPr>
      <w:rFonts w:eastAsiaTheme="minorEastAsia"/>
      <w:sz w:val="24"/>
      <w:szCs w:val="24"/>
      <w:lang w:val="en-US" w:eastAsia="ja-JP"/>
    </w:rPr>
    <w:tblPr>
      <w:tblStyleRowBandSize w:val="1"/>
      <w:tblStyleColBandSize w:val="1"/>
      <w:tblBorders>
        <w:top w:val="single" w:sz="4" w:space="0" w:color="B2CEBF" w:themeColor="accent2" w:themeTint="66"/>
        <w:left w:val="single" w:sz="4" w:space="0" w:color="B2CEBF" w:themeColor="accent2" w:themeTint="66"/>
        <w:bottom w:val="single" w:sz="4" w:space="0" w:color="B2CEBF" w:themeColor="accent2" w:themeTint="66"/>
        <w:right w:val="single" w:sz="4" w:space="0" w:color="B2CEBF" w:themeColor="accent2" w:themeTint="66"/>
        <w:insideH w:val="single" w:sz="4" w:space="0" w:color="B2CEBF" w:themeColor="accent2" w:themeTint="66"/>
        <w:insideV w:val="single" w:sz="4" w:space="0" w:color="B2CEBF" w:themeColor="accent2" w:themeTint="66"/>
      </w:tblBorders>
    </w:tblPr>
    <w:tblStylePr w:type="firstRow">
      <w:rPr>
        <w:b/>
        <w:bCs/>
      </w:rPr>
      <w:tblPr/>
      <w:tcPr>
        <w:tcBorders>
          <w:bottom w:val="single" w:sz="12" w:space="0" w:color="8CB59F" w:themeColor="accent2" w:themeTint="99"/>
        </w:tcBorders>
      </w:tcPr>
    </w:tblStylePr>
    <w:tblStylePr w:type="lastRow">
      <w:rPr>
        <w:b/>
        <w:bCs/>
      </w:rPr>
      <w:tblPr/>
      <w:tcPr>
        <w:tcBorders>
          <w:top w:val="double" w:sz="2" w:space="0" w:color="8CB59F"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7B1691"/>
    <w:rPr>
      <w:rFonts w:ascii="Times New Roman" w:hAnsi="Times New Roman"/>
      <w:sz w:val="24"/>
      <w:szCs w:val="24"/>
    </w:rPr>
  </w:style>
  <w:style w:type="character" w:styleId="Mention">
    <w:name w:val="Mention"/>
    <w:basedOn w:val="DefaultParagraphFont"/>
    <w:uiPriority w:val="99"/>
    <w:unhideWhenUsed/>
    <w:rsid w:val="00150B3B"/>
    <w:rPr>
      <w:color w:val="2B579A"/>
      <w:shd w:val="clear" w:color="auto" w:fill="E1DFDD"/>
    </w:rPr>
  </w:style>
  <w:style w:type="paragraph" w:customStyle="1" w:styleId="TableLink">
    <w:name w:val="Table Link"/>
    <w:basedOn w:val="TableTextLeft"/>
    <w:qFormat/>
    <w:rsid w:val="006A3EFB"/>
    <w:rPr>
      <w:b/>
      <w:color w:val="5D779D" w:themeColor="accent3"/>
      <w:lang w:val="en-US"/>
    </w:rPr>
  </w:style>
  <w:style w:type="paragraph" w:customStyle="1" w:styleId="TableLeadAgency">
    <w:name w:val="Table Lead Agency"/>
    <w:basedOn w:val="TableTextLeft"/>
    <w:qFormat/>
    <w:rsid w:val="00FA2B7F"/>
    <w:rPr>
      <w:b/>
      <w:bCs/>
      <w:color w:val="000000" w:themeColor="text1"/>
    </w:rPr>
  </w:style>
  <w:style w:type="paragraph" w:customStyle="1" w:styleId="TableSecondaryAgency">
    <w:name w:val="Table Secondary Agency"/>
    <w:basedOn w:val="TableTextLeft"/>
    <w:qFormat/>
    <w:rsid w:val="00791A91"/>
    <w:rPr>
      <w:bCs/>
      <w:i/>
      <w:iCs/>
      <w:color w:val="000000" w:themeColor="text1"/>
    </w:rPr>
  </w:style>
  <w:style w:type="character" w:styleId="SmartLink">
    <w:name w:val="Smart Link"/>
    <w:basedOn w:val="DefaultParagraphFont"/>
    <w:uiPriority w:val="99"/>
    <w:semiHidden/>
    <w:unhideWhenUsed/>
    <w:rsid w:val="0026209C"/>
    <w:rPr>
      <w:color w:val="0000FF"/>
      <w:u w:val="single"/>
      <w:shd w:val="clear" w:color="auto" w:fill="F3F2F1"/>
    </w:rPr>
  </w:style>
  <w:style w:type="character" w:styleId="Emphasis">
    <w:name w:val="Emphasis"/>
    <w:basedOn w:val="DefaultParagraphFont"/>
    <w:uiPriority w:val="20"/>
    <w:rsid w:val="001163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1807">
      <w:bodyDiv w:val="1"/>
      <w:marLeft w:val="0"/>
      <w:marRight w:val="0"/>
      <w:marTop w:val="0"/>
      <w:marBottom w:val="0"/>
      <w:divBdr>
        <w:top w:val="none" w:sz="0" w:space="0" w:color="auto"/>
        <w:left w:val="none" w:sz="0" w:space="0" w:color="auto"/>
        <w:bottom w:val="none" w:sz="0" w:space="0" w:color="auto"/>
        <w:right w:val="none" w:sz="0" w:space="0" w:color="auto"/>
      </w:divBdr>
    </w:div>
    <w:div w:id="147598561">
      <w:bodyDiv w:val="1"/>
      <w:marLeft w:val="0"/>
      <w:marRight w:val="0"/>
      <w:marTop w:val="0"/>
      <w:marBottom w:val="0"/>
      <w:divBdr>
        <w:top w:val="none" w:sz="0" w:space="0" w:color="auto"/>
        <w:left w:val="none" w:sz="0" w:space="0" w:color="auto"/>
        <w:bottom w:val="none" w:sz="0" w:space="0" w:color="auto"/>
        <w:right w:val="none" w:sz="0" w:space="0" w:color="auto"/>
      </w:divBdr>
    </w:div>
    <w:div w:id="189729958">
      <w:bodyDiv w:val="1"/>
      <w:marLeft w:val="0"/>
      <w:marRight w:val="0"/>
      <w:marTop w:val="0"/>
      <w:marBottom w:val="0"/>
      <w:divBdr>
        <w:top w:val="none" w:sz="0" w:space="0" w:color="auto"/>
        <w:left w:val="none" w:sz="0" w:space="0" w:color="auto"/>
        <w:bottom w:val="none" w:sz="0" w:space="0" w:color="auto"/>
        <w:right w:val="none" w:sz="0" w:space="0" w:color="auto"/>
      </w:divBdr>
    </w:div>
    <w:div w:id="324013216">
      <w:bodyDiv w:val="1"/>
      <w:marLeft w:val="0"/>
      <w:marRight w:val="0"/>
      <w:marTop w:val="0"/>
      <w:marBottom w:val="0"/>
      <w:divBdr>
        <w:top w:val="none" w:sz="0" w:space="0" w:color="auto"/>
        <w:left w:val="none" w:sz="0" w:space="0" w:color="auto"/>
        <w:bottom w:val="none" w:sz="0" w:space="0" w:color="auto"/>
        <w:right w:val="none" w:sz="0" w:space="0" w:color="auto"/>
      </w:divBdr>
    </w:div>
    <w:div w:id="324095186">
      <w:bodyDiv w:val="1"/>
      <w:marLeft w:val="0"/>
      <w:marRight w:val="0"/>
      <w:marTop w:val="0"/>
      <w:marBottom w:val="0"/>
      <w:divBdr>
        <w:top w:val="none" w:sz="0" w:space="0" w:color="auto"/>
        <w:left w:val="none" w:sz="0" w:space="0" w:color="auto"/>
        <w:bottom w:val="none" w:sz="0" w:space="0" w:color="auto"/>
        <w:right w:val="none" w:sz="0" w:space="0" w:color="auto"/>
      </w:divBdr>
    </w:div>
    <w:div w:id="344597527">
      <w:bodyDiv w:val="1"/>
      <w:marLeft w:val="0"/>
      <w:marRight w:val="0"/>
      <w:marTop w:val="0"/>
      <w:marBottom w:val="0"/>
      <w:divBdr>
        <w:top w:val="none" w:sz="0" w:space="0" w:color="auto"/>
        <w:left w:val="none" w:sz="0" w:space="0" w:color="auto"/>
        <w:bottom w:val="none" w:sz="0" w:space="0" w:color="auto"/>
        <w:right w:val="none" w:sz="0" w:space="0" w:color="auto"/>
      </w:divBdr>
    </w:div>
    <w:div w:id="394357681">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956180921">
      <w:bodyDiv w:val="1"/>
      <w:marLeft w:val="0"/>
      <w:marRight w:val="0"/>
      <w:marTop w:val="0"/>
      <w:marBottom w:val="0"/>
      <w:divBdr>
        <w:top w:val="none" w:sz="0" w:space="0" w:color="auto"/>
        <w:left w:val="none" w:sz="0" w:space="0" w:color="auto"/>
        <w:bottom w:val="none" w:sz="0" w:space="0" w:color="auto"/>
        <w:right w:val="none" w:sz="0" w:space="0" w:color="auto"/>
      </w:divBdr>
    </w:div>
    <w:div w:id="992216551">
      <w:bodyDiv w:val="1"/>
      <w:marLeft w:val="0"/>
      <w:marRight w:val="0"/>
      <w:marTop w:val="0"/>
      <w:marBottom w:val="0"/>
      <w:divBdr>
        <w:top w:val="none" w:sz="0" w:space="0" w:color="auto"/>
        <w:left w:val="none" w:sz="0" w:space="0" w:color="auto"/>
        <w:bottom w:val="none" w:sz="0" w:space="0" w:color="auto"/>
        <w:right w:val="none" w:sz="0" w:space="0" w:color="auto"/>
      </w:divBdr>
    </w:div>
    <w:div w:id="1165708459">
      <w:bodyDiv w:val="1"/>
      <w:marLeft w:val="0"/>
      <w:marRight w:val="0"/>
      <w:marTop w:val="0"/>
      <w:marBottom w:val="0"/>
      <w:divBdr>
        <w:top w:val="none" w:sz="0" w:space="0" w:color="auto"/>
        <w:left w:val="none" w:sz="0" w:space="0" w:color="auto"/>
        <w:bottom w:val="none" w:sz="0" w:space="0" w:color="auto"/>
        <w:right w:val="none" w:sz="0" w:space="0" w:color="auto"/>
      </w:divBdr>
    </w:div>
    <w:div w:id="1407189826">
      <w:bodyDiv w:val="1"/>
      <w:marLeft w:val="0"/>
      <w:marRight w:val="0"/>
      <w:marTop w:val="0"/>
      <w:marBottom w:val="0"/>
      <w:divBdr>
        <w:top w:val="none" w:sz="0" w:space="0" w:color="auto"/>
        <w:left w:val="none" w:sz="0" w:space="0" w:color="auto"/>
        <w:bottom w:val="none" w:sz="0" w:space="0" w:color="auto"/>
        <w:right w:val="none" w:sz="0" w:space="0" w:color="auto"/>
      </w:divBdr>
    </w:div>
    <w:div w:id="1508059109">
      <w:bodyDiv w:val="1"/>
      <w:marLeft w:val="0"/>
      <w:marRight w:val="0"/>
      <w:marTop w:val="0"/>
      <w:marBottom w:val="0"/>
      <w:divBdr>
        <w:top w:val="none" w:sz="0" w:space="0" w:color="auto"/>
        <w:left w:val="none" w:sz="0" w:space="0" w:color="auto"/>
        <w:bottom w:val="none" w:sz="0" w:space="0" w:color="auto"/>
        <w:right w:val="none" w:sz="0" w:space="0" w:color="auto"/>
      </w:divBdr>
    </w:div>
    <w:div w:id="1799716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header" Target="header7.xml"/><Relationship Id="rId42" Type="http://schemas.openxmlformats.org/officeDocument/2006/relationships/image" Target="media/image10.png"/><Relationship Id="rId47" Type="http://schemas.openxmlformats.org/officeDocument/2006/relationships/image" Target="media/image14.png"/><Relationship Id="rId63" Type="http://schemas.openxmlformats.org/officeDocument/2006/relationships/hyperlink" Target="https://consultations.ag.gov.au/legal-system/government-response-to-pps-review/" TargetMode="External"/><Relationship Id="rId68" Type="http://schemas.openxmlformats.org/officeDocument/2006/relationships/hyperlink" Target="https://treasury.gov.au/consultation/c2023-427004" TargetMode="External"/><Relationship Id="rId84" Type="http://schemas.openxmlformats.org/officeDocument/2006/relationships/hyperlink" Target="https://www.rba.gov.au/publications/submissions/payments-system/financial-market-infrastructure-regulatory-reforms-february-2024/index.html" TargetMode="External"/><Relationship Id="rId89" Type="http://schemas.openxmlformats.org/officeDocument/2006/relationships/hyperlink" Target="https://www.ato.gov.au/about-ato/ato-advice-and-guidance/advice-under-development-program/advice-under-development-superannuation-issues" TargetMode="External"/><Relationship Id="rId16" Type="http://schemas.openxmlformats.org/officeDocument/2006/relationships/header" Target="header5.xml"/><Relationship Id="rId11" Type="http://schemas.openxmlformats.org/officeDocument/2006/relationships/footer" Target="footer2.xml"/><Relationship Id="rId32" Type="http://schemas.openxmlformats.org/officeDocument/2006/relationships/header" Target="header12.xml"/><Relationship Id="rId37" Type="http://schemas.openxmlformats.org/officeDocument/2006/relationships/footer" Target="footer13.xml"/><Relationship Id="rId53" Type="http://schemas.openxmlformats.org/officeDocument/2006/relationships/hyperlink" Target="https://treasury.gov.au/review/competition-review-2023/mergers" TargetMode="External"/><Relationship Id="rId58" Type="http://schemas.openxmlformats.org/officeDocument/2006/relationships/hyperlink" Target="https://ministers.treasury.gov.au/ministers/jim-chalmers-2022/media-releases/helping-australians-get-better-deal-banking-products" TargetMode="External"/><Relationship Id="rId74" Type="http://schemas.openxmlformats.org/officeDocument/2006/relationships/hyperlink" Target="https://www.aph.gov.au/Parliamentary_Business/Bills_Legislation/Bills_Search_Results/Result?bId=r7133" TargetMode="External"/><Relationship Id="rId79" Type="http://schemas.openxmlformats.org/officeDocument/2006/relationships/hyperlink" Target="https://www.legislation.gov.au/F2024L01409/latest/text" TargetMode="External"/><Relationship Id="rId5" Type="http://schemas.openxmlformats.org/officeDocument/2006/relationships/footnotes" Target="footnotes.xml"/><Relationship Id="rId90" Type="http://schemas.openxmlformats.org/officeDocument/2006/relationships/hyperlink" Target="https://ministers.treasury.gov.au/ministers/jim-chalmers-2022/media-releases/helping-australians-get-better-deal-banking-products" TargetMode="External"/><Relationship Id="rId95" Type="http://schemas.openxmlformats.org/officeDocument/2006/relationships/footer" Target="footer16.xml"/><Relationship Id="rId22" Type="http://schemas.openxmlformats.org/officeDocument/2006/relationships/header" Target="header8.xml"/><Relationship Id="rId27" Type="http://schemas.openxmlformats.org/officeDocument/2006/relationships/image" Target="media/image5.png"/><Relationship Id="rId43" Type="http://schemas.openxmlformats.org/officeDocument/2006/relationships/hyperlink" Target="http://www.treasury.gov.au/RIG" TargetMode="External"/><Relationship Id="rId48" Type="http://schemas.openxmlformats.org/officeDocument/2006/relationships/hyperlink" Target="http://www.treasury.gov.au/RIG" TargetMode="External"/><Relationship Id="rId64" Type="http://schemas.openxmlformats.org/officeDocument/2006/relationships/hyperlink" Target="https://treasury.gov.au/publication/p2023-471470" TargetMode="External"/><Relationship Id="rId69" Type="http://schemas.openxmlformats.org/officeDocument/2006/relationships/hyperlink" Target="https://treasury.gov.au/consultation/c2023-469663" TargetMode="External"/><Relationship Id="rId80" Type="http://schemas.openxmlformats.org/officeDocument/2006/relationships/hyperlink" Target="https://cdr-support.zendesk.com/hc/en-us/articles/900005585003-Standards-Maintenance" TargetMode="External"/><Relationship Id="rId85" Type="http://schemas.openxmlformats.org/officeDocument/2006/relationships/hyperlink" Target="https://download.asic.gov.au/media/tgrozota/rep768-published-16-august-2023.pdf" TargetMode="Externa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12.xml"/><Relationship Id="rId38" Type="http://schemas.openxmlformats.org/officeDocument/2006/relationships/footer" Target="footer14.xml"/><Relationship Id="rId46" Type="http://schemas.openxmlformats.org/officeDocument/2006/relationships/image" Target="media/image13.png"/><Relationship Id="rId59" Type="http://schemas.openxmlformats.org/officeDocument/2006/relationships/hyperlink" Target="https://ministers.ag.gov.au/media-centre/bankruptcy-law-reforms-08-07-2024" TargetMode="External"/><Relationship Id="rId67" Type="http://schemas.openxmlformats.org/officeDocument/2006/relationships/hyperlink" Target="https://www.aph.gov.au/Parliamentary_Business/Bills_Legislation/Bills_Search_Results/Result?bId=r7133" TargetMode="External"/><Relationship Id="rId20" Type="http://schemas.openxmlformats.org/officeDocument/2006/relationships/footer" Target="footer6.xml"/><Relationship Id="rId41" Type="http://schemas.openxmlformats.org/officeDocument/2006/relationships/image" Target="media/image9.png"/><Relationship Id="rId54" Type="http://schemas.openxmlformats.org/officeDocument/2006/relationships/hyperlink" Target="https://www.ag.gov.au/crime/anti-money-laundering-and-counter-terrorism-financing/anti-money-laundering-and-counter-terrorism-financing-amendment-bill" TargetMode="External"/><Relationship Id="rId62" Type="http://schemas.openxmlformats.org/officeDocument/2006/relationships/hyperlink" Target="https://ministers.treasury.gov.au/ministers/jim-chalmers-2022/media-releases/ensuring-future-cash-and-next-steps-phasing-out-cheques" TargetMode="External"/><Relationship Id="rId70" Type="http://schemas.openxmlformats.org/officeDocument/2006/relationships/hyperlink" Target="https://www.aph.gov.au/Parliamentary_Business/Bills_Legislation/Bills_Search_Results/Result?bId=r7133" TargetMode="External"/><Relationship Id="rId75" Type="http://schemas.openxmlformats.org/officeDocument/2006/relationships/hyperlink" Target="https://ministers.treasury.gov.au/ministers/stephen-jones-2022/media-releases/payday-superannuation-design-details-ensure-super-paid" TargetMode="External"/><Relationship Id="rId83" Type="http://schemas.openxmlformats.org/officeDocument/2006/relationships/hyperlink" Target="https://cslr.org.au/" TargetMode="External"/><Relationship Id="rId88" Type="http://schemas.openxmlformats.org/officeDocument/2006/relationships/hyperlink" Target="https://www.ato.gov.au/about-ato/ato-advice-and-guidance/advice-under-development-program/advice-under-development-superannuation-issues" TargetMode="External"/><Relationship Id="rId91" Type="http://schemas.openxmlformats.org/officeDocument/2006/relationships/hyperlink" Target="https://www.accc.gov.au/by-industry/insurance/insurance-monitoring" TargetMode="External"/><Relationship Id="rId96"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hyperlink" Target="https://ministers.treasury.gov.au/ministers/jim-chalmers-2022/media-releases/reforms-strengthen-australias-foreign-investment" TargetMode="External"/><Relationship Id="rId57" Type="http://schemas.openxmlformats.org/officeDocument/2006/relationships/hyperlink" Target="https://treasury.gov.au/consultation/c2024-598346" TargetMode="External"/><Relationship Id="rId10" Type="http://schemas.openxmlformats.org/officeDocument/2006/relationships/footer" Target="footer1.xml"/><Relationship Id="rId31" Type="http://schemas.openxmlformats.org/officeDocument/2006/relationships/footer" Target="footer11.xml"/><Relationship Id="rId44" Type="http://schemas.openxmlformats.org/officeDocument/2006/relationships/image" Target="media/image11.png"/><Relationship Id="rId52" Type="http://schemas.openxmlformats.org/officeDocument/2006/relationships/hyperlink" Target="https://treasury.gov.au/publication/p2024-536290" TargetMode="External"/><Relationship Id="rId60" Type="http://schemas.openxmlformats.org/officeDocument/2006/relationships/hyperlink" Target="https://budget.gov.au/content/bp2/download/bp2_2024-25.pdf" TargetMode="External"/><Relationship Id="rId65" Type="http://schemas.openxmlformats.org/officeDocument/2006/relationships/hyperlink" Target="https://treasury.gov.au/consultation/c2024-509548" TargetMode="External"/><Relationship Id="rId73" Type="http://schemas.openxmlformats.org/officeDocument/2006/relationships/hyperlink" Target="https://www.pm.gov.au/media/paying-superannuation-paid-parental-leave" TargetMode="External"/><Relationship Id="rId78" Type="http://schemas.openxmlformats.org/officeDocument/2006/relationships/hyperlink" Target="https://github.com/ConsumerDataStandardsAustralia/future-plan/issues/124" TargetMode="External"/><Relationship Id="rId81" Type="http://schemas.openxmlformats.org/officeDocument/2006/relationships/hyperlink" Target="https://treasury.gov.au/coronavirus/sme-recovery-loan-scheme/smes-phase-1" TargetMode="External"/><Relationship Id="rId86" Type="http://schemas.openxmlformats.org/officeDocument/2006/relationships/hyperlink" Target="https://asic.gov.au/regulatory-resources/find-a-document/regulatory-document-updates/regulatory-developments-timetable/" TargetMode="External"/><Relationship Id="rId94" Type="http://schemas.openxmlformats.org/officeDocument/2006/relationships/header" Target="header17.xm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5.xml"/><Relationship Id="rId39" Type="http://schemas.openxmlformats.org/officeDocument/2006/relationships/header" Target="header15.xml"/><Relationship Id="rId34" Type="http://schemas.openxmlformats.org/officeDocument/2006/relationships/image" Target="media/image8.png"/><Relationship Id="rId50" Type="http://schemas.openxmlformats.org/officeDocument/2006/relationships/hyperlink" Target="https://ministers.ag.gov.au/media-centre/bankruptcy-law-reforms-08-07-2024" TargetMode="External"/><Relationship Id="rId55" Type="http://schemas.openxmlformats.org/officeDocument/2006/relationships/hyperlink" Target="https://www.austrac.gov.au/second-stage-consultation-reforming-australias-amlctf-regime-now-open" TargetMode="External"/><Relationship Id="rId76" Type="http://schemas.openxmlformats.org/officeDocument/2006/relationships/hyperlink" Target="https://www.ato.gov.au/about-ato/ato-advice-and-guidance/advice-under-development-program/advice-under-development-income-tax-issues" TargetMode="External"/><Relationship Id="rId97" Type="http://schemas.openxmlformats.org/officeDocument/2006/relationships/header" Target="header18.xml"/><Relationship Id="rId7" Type="http://schemas.openxmlformats.org/officeDocument/2006/relationships/image" Target="media/image1.png"/><Relationship Id="rId71" Type="http://schemas.openxmlformats.org/officeDocument/2006/relationships/hyperlink" Target="https://www.pm.gov.au/media/reducing-card-surcharges-australians-and-small-businesses" TargetMode="External"/><Relationship Id="rId92" Type="http://schemas.openxmlformats.org/officeDocument/2006/relationships/hyperlink" Target="https://www.rba.gov.au/media-releases/2024/mr-24-16.html" TargetMode="External"/><Relationship Id="rId2" Type="http://schemas.openxmlformats.org/officeDocument/2006/relationships/styles" Target="styles.xml"/><Relationship Id="rId29" Type="http://schemas.openxmlformats.org/officeDocument/2006/relationships/header" Target="header11.xml"/><Relationship Id="rId24" Type="http://schemas.openxmlformats.org/officeDocument/2006/relationships/footer" Target="footer8.xml"/><Relationship Id="rId40" Type="http://schemas.openxmlformats.org/officeDocument/2006/relationships/footer" Target="footer15.xml"/><Relationship Id="rId45" Type="http://schemas.openxmlformats.org/officeDocument/2006/relationships/image" Target="media/image12.png"/><Relationship Id="rId66" Type="http://schemas.openxmlformats.org/officeDocument/2006/relationships/hyperlink" Target="https://ministers.treasury.gov.au/ministers/stephen-jones-2022/media-releases/total-ban-use-adverse-genetic-testing-results-life" TargetMode="External"/><Relationship Id="rId87" Type="http://schemas.openxmlformats.org/officeDocument/2006/relationships/hyperlink" Target="https://www.ato.gov.au/about-ato/ato-advice-and-guidance/advice-under-development-program/advice-under-development-superannuation-issues" TargetMode="External"/><Relationship Id="rId61" Type="http://schemas.openxmlformats.org/officeDocument/2006/relationships/hyperlink" Target="https://ministers.treasury.gov.au/ministers/stephen-jones-2022/transcripts/interview-patricia-karvelas-rn-breakfast-abc" TargetMode="External"/><Relationship Id="rId82" Type="http://schemas.openxmlformats.org/officeDocument/2006/relationships/hyperlink" Target="https://www.aph.gov.au/Parliamentary_Business/Bills_Legislation/Bills_Search_Results/Result?bId=r6988" TargetMode="External"/><Relationship Id="rId19" Type="http://schemas.openxmlformats.org/officeDocument/2006/relationships/header" Target="header6.xml"/><Relationship Id="rId14" Type="http://schemas.openxmlformats.org/officeDocument/2006/relationships/image" Target="media/image2.wmf"/><Relationship Id="rId30" Type="http://schemas.openxmlformats.org/officeDocument/2006/relationships/footer" Target="footer10.xml"/><Relationship Id="rId35" Type="http://schemas.openxmlformats.org/officeDocument/2006/relationships/header" Target="header13.xml"/><Relationship Id="rId56" Type="http://schemas.openxmlformats.org/officeDocument/2006/relationships/hyperlink" Target="https://www.aph.gov.au/Parliamentary_Business/Bills_Legislation/Bills_Search_Results/Result?bId=r7199" TargetMode="External"/><Relationship Id="rId77" Type="http://schemas.openxmlformats.org/officeDocument/2006/relationships/hyperlink" Target="https://www.aph.gov.au/Parliamentary_Business/Bills_Legislation/Bills_Search_Results/Result?bId=r7176" TargetMode="External"/><Relationship Id="rId100"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treasury.gov.au/consultation/c2024-501098" TargetMode="External"/><Relationship Id="rId72" Type="http://schemas.openxmlformats.org/officeDocument/2006/relationships/hyperlink" Target="https://archive.budget.gov.au/2023-24/myefo/download/myefo2023-24.pdf" TargetMode="External"/><Relationship Id="rId93" Type="http://schemas.openxmlformats.org/officeDocument/2006/relationships/header" Target="header16.xml"/><Relationship Id="rId98" Type="http://schemas.openxmlformats.org/officeDocument/2006/relationships/footer" Target="footer18.xml"/></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s>
</file>

<file path=word/_rels/header10.xml.rels><?xml version="1.0" encoding="UTF-8" standalone="yes"?>
<Relationships xmlns="http://schemas.openxmlformats.org/package/2006/relationships"><Relationship Id="rId1" Type="http://schemas.openxmlformats.org/officeDocument/2006/relationships/image" Target="media/image6.png"/></Relationships>
</file>

<file path=word/_rels/header11.xml.rels><?xml version="1.0" encoding="UTF-8" standalone="yes"?>
<Relationships xmlns="http://schemas.openxmlformats.org/package/2006/relationships"><Relationship Id="rId1" Type="http://schemas.openxmlformats.org/officeDocument/2006/relationships/image" Target="media/image7.png"/></Relationships>
</file>

<file path=word/_rels/header13.xml.rels><?xml version="1.0" encoding="UTF-8" standalone="yes"?>
<Relationships xmlns="http://schemas.openxmlformats.org/package/2006/relationships"><Relationship Id="rId1" Type="http://schemas.openxmlformats.org/officeDocument/2006/relationships/image" Target="media/image6.png"/></Relationships>
</file>

<file path=word/_rels/header14.xml.rels><?xml version="1.0" encoding="UTF-8" standalone="yes"?>
<Relationships xmlns="http://schemas.openxmlformats.org/package/2006/relationships"><Relationship Id="rId1" Type="http://schemas.openxmlformats.org/officeDocument/2006/relationships/image" Target="media/image7.png"/></Relationships>
</file>

<file path=word/_rels/header16.xml.rels><?xml version="1.0" encoding="UTF-8" standalone="yes"?>
<Relationships xmlns="http://schemas.openxmlformats.org/package/2006/relationships"><Relationship Id="rId1" Type="http://schemas.openxmlformats.org/officeDocument/2006/relationships/image" Target="media/image6.png"/></Relationships>
</file>

<file path=word/_rels/header17.xml.rels><?xml version="1.0" encoding="UTF-8" standalone="yes"?>
<Relationships xmlns="http://schemas.openxmlformats.org/package/2006/relationships"><Relationship Id="rId1" Type="http://schemas.openxmlformats.org/officeDocument/2006/relationships/image" Target="media/image7.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8732</Words>
  <Characters>49773</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Regulatory Initatives Grid Report</vt:lpstr>
    </vt:vector>
  </TitlesOfParts>
  <Manager/>
  <Company/>
  <LinksUpToDate>false</LinksUpToDate>
  <CharactersWithSpaces>58389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Regulatory Initatives Grid Report</dc:title>
  <dc:subject/>
  <dc:creator/>
  <cp:keywords/>
  <dc:description/>
  <cp:lastModifiedBy/>
  <cp:revision>1</cp:revision>
  <dcterms:created xsi:type="dcterms:W3CDTF">2024-12-17T01:28:00Z</dcterms:created>
  <dcterms:modified xsi:type="dcterms:W3CDTF">2024-12-17T01:29:00Z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2024-12-17T01:29:03Z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d329e6f2-aea8-496b-aa7c-26ef840b8cb5</vt:lpwstr>
  </property>
  <property fmtid="{D5CDD505-2E9C-101B-9397-08002B2CF9AE}" pid="8" name="MSIP_Label_4f932d64-9ab1-4d9b-81d2-a3a8b82dd47d_ContentBits">
    <vt:lpwstr>0</vt:lpwstr>
  </property>
</Properties>
</file>