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E02304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12D7709B" wp14:editId="6E07B383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392DEF87" w:rsidR="002A31E6" w:rsidRPr="00EC7701" w:rsidRDefault="00E02304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Economics</w:t>
          </w:r>
          <w:r w:rsidR="0047737B">
            <w:rPr>
              <w:rFonts w:ascii="Montserrat Light" w:hAnsi="Montserrat Light"/>
              <w:sz w:val="32"/>
              <w:szCs w:val="32"/>
            </w:rPr>
            <w:t xml:space="preserve"> Legislation Committee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78F2C822" w:rsidR="002A31E6" w:rsidRPr="00EC7701" w:rsidRDefault="00000000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Content>
          <w:r w:rsidR="0047737B">
            <w:rPr>
              <w:rStyle w:val="commiChar"/>
            </w:rPr>
            <w:t>Treasury Laws Amendment (Consumer Data Right) Bill 2022 [Provisions]</w:t>
          </w:r>
        </w:sdtContent>
      </w:sdt>
    </w:p>
    <w:p w14:paraId="7564D92C" w14:textId="4AE4F32D" w:rsidR="00B47ECF" w:rsidRPr="004D282D" w:rsidRDefault="004D282D" w:rsidP="004D282D">
      <w:pPr>
        <w:jc w:val="right"/>
        <w:rPr>
          <w:rFonts w:ascii="Montserrat Light" w:hAnsi="Montserrat Light"/>
          <w:sz w:val="28"/>
          <w:szCs w:val="28"/>
        </w:rPr>
        <w:sectPr w:rsidR="00B47ECF" w:rsidRPr="004D282D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Montserrat Light" w:hAnsi="Montserrat Light"/>
          <w:sz w:val="28"/>
          <w:szCs w:val="28"/>
        </w:rPr>
        <w:t>December</w:t>
      </w:r>
      <w:r w:rsidR="00E02304">
        <w:rPr>
          <w:rFonts w:ascii="Montserrat Light" w:hAnsi="Montserrat Light"/>
          <w:sz w:val="28"/>
          <w:szCs w:val="28"/>
        </w:rPr>
        <w:t xml:space="preserve"> 2024</w:t>
      </w:r>
    </w:p>
    <w:p w14:paraId="38EC6997" w14:textId="77777777" w:rsidR="00B47ECF" w:rsidRPr="00C47A9C" w:rsidRDefault="00E02304" w:rsidP="0077630F">
      <w:pPr>
        <w:pStyle w:val="Heading1"/>
      </w:pPr>
      <w:bookmarkStart w:id="0" w:name="_Toc256000000"/>
      <w:bookmarkStart w:id="1" w:name="_Toc307237589"/>
      <w:r w:rsidRPr="00C47A9C">
        <w:lastRenderedPageBreak/>
        <w:t>Introduction</w:t>
      </w:r>
      <w:bookmarkEnd w:id="0"/>
      <w:bookmarkEnd w:id="1"/>
    </w:p>
    <w:p w14:paraId="17C803D7" w14:textId="77777777" w:rsidR="001E5775" w:rsidRDefault="00E02304" w:rsidP="00B47ECF">
      <w:r>
        <w:t>The Australian Government thanks the Senate Economic Legislation Committee for its consideration of the Treasury Laws Amendment (Consumer Data Right) Bill 2022.</w:t>
      </w:r>
    </w:p>
    <w:p w14:paraId="309352CA" w14:textId="5C936E1C" w:rsidR="007F1F0D" w:rsidRDefault="00E02304" w:rsidP="00B47ECF">
      <w:r>
        <w:t>On 9 August 2024, the Government announced it will reset the Consumer Data Right (CDR) to deliver better consumer outcomes.</w:t>
      </w:r>
      <w:r>
        <w:rPr>
          <w:rStyle w:val="FootnoteReference"/>
        </w:rPr>
        <w:footnoteReference w:id="1"/>
      </w:r>
    </w:p>
    <w:p w14:paraId="0EC6BF9E" w14:textId="6E2E7B8B" w:rsidR="00C47A9C" w:rsidRPr="0088570F" w:rsidRDefault="00E02304" w:rsidP="0088570F">
      <w:r>
        <w:t>The Government provides the following response to the Committee’s recommendations.</w:t>
      </w:r>
      <w:r w:rsidR="001B386F">
        <w:t xml:space="preserve"> </w:t>
      </w:r>
      <w:r w:rsidR="00A11E3B" w:rsidRPr="00C47A9C">
        <w:rPr>
          <w:caps/>
          <w:sz w:val="28"/>
          <w:szCs w:val="28"/>
        </w:rPr>
        <w:br w:type="page"/>
      </w:r>
    </w:p>
    <w:p w14:paraId="54B4AE1F" w14:textId="2FE108EE" w:rsidR="00C47A9C" w:rsidRPr="00C47A9C" w:rsidRDefault="00E02304" w:rsidP="0077630F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05187E" w14:paraId="5860208F" w14:textId="77777777" w:rsidTr="00FB6B0E">
        <w:trPr>
          <w:trHeight w:val="70"/>
        </w:trPr>
        <w:tc>
          <w:tcPr>
            <w:tcW w:w="9016" w:type="dxa"/>
          </w:tcPr>
          <w:p w14:paraId="331C1BB8" w14:textId="2A6E3796" w:rsidR="008774BA" w:rsidRPr="001B386F" w:rsidRDefault="008774BA" w:rsidP="00FB6B0E">
            <w:pPr>
              <w:pStyle w:val="BoxText"/>
            </w:pPr>
          </w:p>
        </w:tc>
      </w:tr>
      <w:tr w:rsidR="0005187E" w14:paraId="1CCEFE42" w14:textId="77777777" w:rsidTr="00FB6B0E">
        <w:trPr>
          <w:trHeight w:val="70"/>
        </w:trPr>
        <w:tc>
          <w:tcPr>
            <w:tcW w:w="9016" w:type="dxa"/>
          </w:tcPr>
          <w:p w14:paraId="11D797DA" w14:textId="4CCB68D8" w:rsidR="001B386F" w:rsidRDefault="00E02304" w:rsidP="00FB6B0E">
            <w:pPr>
              <w:pStyle w:val="BoxHeading"/>
            </w:pPr>
            <w:r>
              <w:t>Coalition Senators Additional Comments</w:t>
            </w:r>
          </w:p>
          <w:p w14:paraId="1D51AA6B" w14:textId="14DB4146" w:rsidR="00FB6B0E" w:rsidRPr="008774BA" w:rsidRDefault="00E02304" w:rsidP="00FB6B0E">
            <w:pPr>
              <w:pStyle w:val="BoxHeading"/>
              <w:rPr>
                <w:caps/>
              </w:rPr>
            </w:pPr>
            <w:r w:rsidRPr="008774BA">
              <w:t xml:space="preserve">Recommendation </w:t>
            </w:r>
            <w:r w:rsidR="00A349F5">
              <w:t>1</w:t>
            </w:r>
          </w:p>
          <w:p w14:paraId="61038CCE" w14:textId="16D01953" w:rsidR="00FB6B0E" w:rsidRPr="008774BA" w:rsidRDefault="00E02304" w:rsidP="00FB6B0E">
            <w:pPr>
              <w:pStyle w:val="BoxText"/>
            </w:pPr>
            <w:r>
              <w:t>The government should consult closely and continuously with a wide range of industry stakeholders to ensure the roll-out and implementation of the CDR occurs carefully and orderly, ensuring the best possible benefit to consumers and businesses.</w:t>
            </w:r>
          </w:p>
          <w:p w14:paraId="603DB50B" w14:textId="77777777" w:rsidR="00FB6B0E" w:rsidRPr="009753EB" w:rsidRDefault="00E02304" w:rsidP="00FB6B0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A574AA7" w14:textId="54F76215" w:rsidR="00FB6B0E" w:rsidRDefault="00E02304" w:rsidP="00FB6B0E">
            <w:pPr>
              <w:pStyle w:val="BoxText"/>
            </w:pPr>
            <w:r>
              <w:rPr>
                <w:caps/>
              </w:rPr>
              <w:t>t</w:t>
            </w:r>
            <w:r>
              <w:t xml:space="preserve">he Government </w:t>
            </w:r>
            <w:r w:rsidRPr="00FB6B0E">
              <w:rPr>
                <w:b/>
                <w:bCs/>
              </w:rPr>
              <w:t>supports</w:t>
            </w:r>
            <w:r w:rsidRPr="008774BA">
              <w:t xml:space="preserve"> </w:t>
            </w:r>
            <w:r>
              <w:t>this recommendation.</w:t>
            </w:r>
          </w:p>
          <w:p w14:paraId="57BD4FD6" w14:textId="41D7B21D" w:rsidR="007F1F0D" w:rsidRDefault="00E02304" w:rsidP="00FB6B0E">
            <w:pPr>
              <w:pStyle w:val="BoxText"/>
            </w:pPr>
            <w:r>
              <w:t>The Government consults with a wide range of industry stakeholders in relation to the CDR</w:t>
            </w:r>
            <w:r w:rsidR="00F42948">
              <w:t xml:space="preserve"> on a regular basis. This includes </w:t>
            </w:r>
            <w:r w:rsidR="00A11E3B">
              <w:t xml:space="preserve">Treasury’s </w:t>
            </w:r>
            <w:r>
              <w:t>regular</w:t>
            </w:r>
            <w:r w:rsidR="00F42948">
              <w:t xml:space="preserve"> CDR </w:t>
            </w:r>
            <w:r>
              <w:t>Engagement</w:t>
            </w:r>
            <w:r w:rsidR="00F42948">
              <w:t xml:space="preserve"> Forums with</w:t>
            </w:r>
            <w:r w:rsidR="001B70BC">
              <w:t xml:space="preserve"> data holders, data recipients, prospective CDR participants </w:t>
            </w:r>
            <w:r w:rsidR="00CE12B9">
              <w:t xml:space="preserve">and other stakeholders. Treasury </w:t>
            </w:r>
            <w:r w:rsidR="00A11E3B">
              <w:t>also engages with stakeholders in other settings</w:t>
            </w:r>
            <w:r w:rsidR="00476E59">
              <w:t>,</w:t>
            </w:r>
            <w:r w:rsidR="00A11E3B">
              <w:t xml:space="preserve"> such as</w:t>
            </w:r>
            <w:r w:rsidR="00476E59">
              <w:t xml:space="preserve"> bilateral meetings and</w:t>
            </w:r>
            <w:r w:rsidR="00A11E3B">
              <w:t xml:space="preserve"> public consultation processes </w:t>
            </w:r>
            <w:r w:rsidR="00476E59">
              <w:t>in relation to CDR regulatory reforms</w:t>
            </w:r>
            <w:r w:rsidR="00A11E3B">
              <w:t>.</w:t>
            </w:r>
          </w:p>
          <w:p w14:paraId="785CD696" w14:textId="698043EC" w:rsidR="008774BA" w:rsidRDefault="00E02304" w:rsidP="00FB6B0E">
            <w:pPr>
              <w:pStyle w:val="BoxText"/>
            </w:pPr>
            <w:r>
              <w:t xml:space="preserve">The Government will continue to consult with stakeholders as needed to support the </w:t>
            </w:r>
            <w:r w:rsidR="007F1F0D">
              <w:t>reset of the CDR to ensure Australians can unlock the value of their data.</w:t>
            </w:r>
          </w:p>
          <w:p w14:paraId="1CA13C72" w14:textId="77777777" w:rsidR="00476E59" w:rsidRPr="008774BA" w:rsidRDefault="00E02304" w:rsidP="00476E59">
            <w:pPr>
              <w:pStyle w:val="BoxHeading"/>
              <w:rPr>
                <w:caps/>
              </w:rPr>
            </w:pPr>
            <w:r w:rsidRPr="008774BA">
              <w:t xml:space="preserve">Recommendation </w:t>
            </w:r>
            <w:r>
              <w:t>2</w:t>
            </w:r>
          </w:p>
          <w:p w14:paraId="70988FF1" w14:textId="437BCDFB" w:rsidR="00476E59" w:rsidRPr="008774BA" w:rsidRDefault="00E02304" w:rsidP="00476E59">
            <w:pPr>
              <w:pStyle w:val="BoxText"/>
            </w:pPr>
            <w:r>
              <w:t>The government undertakes regular legislative reviews of the CDR legislation, guided by measurable market outputs from the scheme along with consumer uptake.</w:t>
            </w:r>
          </w:p>
          <w:p w14:paraId="27D7090A" w14:textId="77777777" w:rsidR="00476E59" w:rsidRPr="009753EB" w:rsidRDefault="00E02304" w:rsidP="00476E59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7F827B1A" w14:textId="679AF632" w:rsidR="00476E59" w:rsidRDefault="00E02304" w:rsidP="00476E59">
            <w:pPr>
              <w:pStyle w:val="BoxText"/>
            </w:pPr>
            <w:r>
              <w:rPr>
                <w:caps/>
              </w:rPr>
              <w:t>t</w:t>
            </w:r>
            <w:r>
              <w:t xml:space="preserve">he Government </w:t>
            </w:r>
            <w:r w:rsidRPr="00FB6B0E">
              <w:rPr>
                <w:b/>
                <w:bCs/>
              </w:rPr>
              <w:t>supports</w:t>
            </w:r>
            <w:r w:rsidRPr="008774BA">
              <w:t xml:space="preserve"> </w:t>
            </w:r>
            <w:r>
              <w:t>this recommendation.</w:t>
            </w:r>
          </w:p>
          <w:p w14:paraId="4CE41EEE" w14:textId="61A0C41A" w:rsidR="00476E59" w:rsidRDefault="00E02304" w:rsidP="00476E59">
            <w:pPr>
              <w:pStyle w:val="BoxText"/>
            </w:pPr>
            <w:r>
              <w:t>The Government regularly reviews the CDR legislative framework, including the regulations and the rules, informed by</w:t>
            </w:r>
            <w:r w:rsidR="00E67ADE">
              <w:t xml:space="preserve"> feedback from stakeholders. Since 2022, the Government has conducted more than 10 consultation processes in relation to the CDR framework. </w:t>
            </w:r>
            <w:r w:rsidR="005D25ED">
              <w:t>Through</w:t>
            </w:r>
            <w:r w:rsidR="00E67ADE">
              <w:t xml:space="preserve"> these consultation processes, </w:t>
            </w:r>
            <w:r w:rsidR="007F1F0D">
              <w:t>stakeholders have provided valuable feedback about the market outputs from the CDR and consumer uptake.</w:t>
            </w:r>
          </w:p>
          <w:p w14:paraId="37B467D5" w14:textId="4A1769F6" w:rsidR="005D25ED" w:rsidRDefault="00E02304" w:rsidP="00476E59">
            <w:pPr>
              <w:pStyle w:val="BoxText"/>
            </w:pPr>
            <w:r>
              <w:t xml:space="preserve">Treasury also works closely with other CDR agencies including the Data Standards Body, the Australian Competition and Consumer Commission and the Office of the Australian Information Commissioner to </w:t>
            </w:r>
            <w:r w:rsidR="0088570F">
              <w:t xml:space="preserve">continuously </w:t>
            </w:r>
            <w:r>
              <w:t>monitor the CDR ecosystem including key measures and indicators.</w:t>
            </w:r>
          </w:p>
          <w:p w14:paraId="0C2FB211" w14:textId="1004D7CB" w:rsidR="007F1F0D" w:rsidRPr="005D25ED" w:rsidRDefault="00E02304" w:rsidP="00476E59">
            <w:pPr>
              <w:pStyle w:val="BoxText"/>
            </w:pPr>
            <w:r>
              <w:t xml:space="preserve">The Government will continue to review the CDR framework </w:t>
            </w:r>
            <w:r w:rsidR="0088570F">
              <w:t>throughout</w:t>
            </w:r>
            <w:r>
              <w:t xml:space="preserve"> the </w:t>
            </w:r>
            <w:proofErr w:type="spellStart"/>
            <w:r>
              <w:t>reset</w:t>
            </w:r>
            <w:proofErr w:type="spellEnd"/>
            <w:r>
              <w:t xml:space="preserve"> of the CDR.</w:t>
            </w:r>
          </w:p>
        </w:tc>
      </w:tr>
    </w:tbl>
    <w:p w14:paraId="7E250730" w14:textId="5F8FB091" w:rsidR="00FB6B0E" w:rsidRDefault="00FB6B0E">
      <w:pPr>
        <w:spacing w:before="0" w:after="160" w:line="259" w:lineRule="auto"/>
        <w:rPr>
          <w:caps/>
        </w:rPr>
      </w:pPr>
    </w:p>
    <w:sectPr w:rsidR="00FB6B0E" w:rsidSect="00776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D9A5" w14:textId="77777777" w:rsidR="001105BB" w:rsidRDefault="001105BB">
      <w:pPr>
        <w:spacing w:before="0" w:after="0"/>
      </w:pPr>
      <w:r>
        <w:separator/>
      </w:r>
    </w:p>
  </w:endnote>
  <w:endnote w:type="continuationSeparator" w:id="0">
    <w:p w14:paraId="2F360A92" w14:textId="77777777" w:rsidR="001105BB" w:rsidRDefault="001105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774CD16D" w:rsidR="0077630F" w:rsidRPr="00F347BE" w:rsidRDefault="00E02304" w:rsidP="00F347BE">
    <w:pPr>
      <w:pStyle w:val="FooterEven"/>
      <w:jc w:val="both"/>
    </w:pPr>
    <w:r>
      <mc:AlternateContent>
        <mc:Choice Requires="wps">
          <w:drawing>
            <wp:anchor distT="0" distB="0" distL="0" distR="0" simplePos="0" relativeHeight="251651584" behindDoc="0" locked="0" layoutInCell="1" allowOverlap="1" wp14:anchorId="034B7FE9" wp14:editId="0276D01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9897316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A559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B7F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34.95pt;height:34.95pt;z-index:25165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C8A559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E3B">
      <w:rPr>
        <w:noProof w:val="0"/>
      </w:rPr>
      <w:fldChar w:fldCharType="begin"/>
    </w:r>
    <w:r w:rsidR="00A11E3B">
      <w:instrText xml:space="preserve"> PAGE   \* MERGEFORMAT </w:instrText>
    </w:r>
    <w:r w:rsidR="00A11E3B">
      <w:rPr>
        <w:noProof w:val="0"/>
      </w:rPr>
      <w:fldChar w:fldCharType="separate"/>
    </w:r>
    <w:r w:rsidR="00A11E3B">
      <w:rPr>
        <w:noProof w:val="0"/>
      </w:rPr>
      <w:t>2</w:t>
    </w:r>
    <w:r w:rsidR="00A11E3B">
      <w:fldChar w:fldCharType="end"/>
    </w:r>
    <w:r w:rsidR="00A11E3B">
      <w:t xml:space="preserve"> | </w:t>
    </w:r>
    <w:r w:rsidR="00E12215">
      <w:fldChar w:fldCharType="begin"/>
    </w:r>
    <w:r w:rsidR="00A11E3B">
      <w:instrText xml:space="preserve"> STYLEREF  "Heading 1"  \* MERGEFORMAT </w:instrText>
    </w:r>
    <w:r w:rsidR="00E12215">
      <w:fldChar w:fldCharType="separate"/>
    </w:r>
    <w:r w:rsidR="0029658E">
      <w:t>Introduction</w:t>
    </w:r>
    <w:r w:rsidR="00E12215">
      <w:fldChar w:fldCharType="end"/>
    </w:r>
    <w:r w:rsidR="00A11E3B">
      <w:tab/>
    </w:r>
    <w:r w:rsidR="00A11E3B" w:rsidRPr="00103F3C">
      <w:rPr>
        <w:position w:val="-8"/>
      </w:rPr>
      <w:drawing>
        <wp:inline distT="0" distB="0" distL="0" distR="0" wp14:anchorId="231A7A13" wp14:editId="49C9E258">
          <wp:extent cx="1324800" cy="201600"/>
          <wp:effectExtent l="0" t="0" r="0" b="8255"/>
          <wp:docPr id="1598238690" name="Picture 15982386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1FD506CF" w:rsidR="0077630F" w:rsidRPr="00F347BE" w:rsidRDefault="00E02304" w:rsidP="00F347BE">
    <w:pPr>
      <w:pStyle w:val="FooterOdd"/>
      <w:jc w:val="left"/>
    </w:pPr>
    <w:r>
      <w:rPr>
        <w:noProof/>
        <w:position w:val="-8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0FD2C0C" wp14:editId="6B8FBFA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5598445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964FF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D2C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34.95pt;height:34.9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8D964FF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E3B" w:rsidRPr="00103F3C">
      <w:rPr>
        <w:noProof/>
        <w:position w:val="-8"/>
      </w:rPr>
      <w:drawing>
        <wp:inline distT="0" distB="0" distL="0" distR="0" wp14:anchorId="04B7FD61" wp14:editId="21801D06">
          <wp:extent cx="1324800" cy="201600"/>
          <wp:effectExtent l="0" t="0" r="0" b="8255"/>
          <wp:docPr id="744628755" name="Picture 7446287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E3B">
      <w:tab/>
    </w:r>
    <w:r w:rsidR="00E12215">
      <w:fldChar w:fldCharType="begin"/>
    </w:r>
    <w:r w:rsidR="00A11E3B">
      <w:instrText xml:space="preserve"> STYLEREF  "Heading 1"  \* MERGEFORMAT </w:instrText>
    </w:r>
    <w:r w:rsidR="00E12215">
      <w:fldChar w:fldCharType="separate"/>
    </w:r>
    <w:r w:rsidR="0029658E">
      <w:rPr>
        <w:noProof/>
      </w:rPr>
      <w:t>Introduction</w:t>
    </w:r>
    <w:r w:rsidR="00E12215">
      <w:rPr>
        <w:noProof/>
      </w:rPr>
      <w:fldChar w:fldCharType="end"/>
    </w:r>
    <w:r w:rsidR="00A11E3B">
      <w:t xml:space="preserve"> | </w:t>
    </w:r>
    <w:r w:rsidR="00A11E3B">
      <w:fldChar w:fldCharType="begin"/>
    </w:r>
    <w:r w:rsidR="00A11E3B">
      <w:instrText xml:space="preserve"> PAGE   \* MERGEFORMAT </w:instrText>
    </w:r>
    <w:r w:rsidR="00A11E3B">
      <w:fldChar w:fldCharType="separate"/>
    </w:r>
    <w:r w:rsidR="00A11E3B">
      <w:t>3</w:t>
    </w:r>
    <w:r w:rsidR="00A11E3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3508" w14:textId="2D37031C" w:rsidR="008A6BA4" w:rsidRDefault="008A6B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88E4" w14:textId="160B1CBA" w:rsidR="008A6BA4" w:rsidRDefault="00E02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64992FF" wp14:editId="2F99211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5384079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DF248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92F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EDF248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7846029B" w:rsidR="0077630F" w:rsidRPr="00F347BE" w:rsidRDefault="00A11E3B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150E70A6" wp14:editId="0AD7A216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FE7FFD">
      <w:rPr>
        <w:noProof/>
      </w:rPr>
      <w:t>Introduction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BF04" w14:textId="77777777" w:rsidR="001105BB" w:rsidRDefault="001105BB" w:rsidP="00B47ECF">
      <w:r>
        <w:separator/>
      </w:r>
    </w:p>
  </w:footnote>
  <w:footnote w:type="continuationSeparator" w:id="0">
    <w:p w14:paraId="7B4725F3" w14:textId="77777777" w:rsidR="001105BB" w:rsidRDefault="001105BB" w:rsidP="00B47ECF">
      <w:r>
        <w:continuationSeparator/>
      </w:r>
    </w:p>
  </w:footnote>
  <w:footnote w:id="1">
    <w:p w14:paraId="778C0584" w14:textId="77ED4887" w:rsidR="00927BC7" w:rsidRDefault="00E02304" w:rsidP="00927BC7">
      <w:pPr>
        <w:pStyle w:val="FootnoteText"/>
      </w:pPr>
      <w:r w:rsidRPr="005243F9">
        <w:rPr>
          <w:rStyle w:val="FootnoteReference"/>
        </w:rPr>
        <w:footnoteRef/>
      </w:r>
      <w:r w:rsidRPr="005243F9">
        <w:t xml:space="preserve"> </w:t>
      </w:r>
      <w:r>
        <w:tab/>
        <w:t xml:space="preserve">Australian Government, </w:t>
      </w:r>
      <w:hyperlink r:id="rId1" w:history="1">
        <w:r w:rsidRPr="0088570F">
          <w:rPr>
            <w:rStyle w:val="Hyperlink"/>
            <w:i/>
            <w:iCs/>
          </w:rPr>
          <w:t xml:space="preserve">Albanese Government to reset </w:t>
        </w:r>
        <w:r w:rsidR="0088570F" w:rsidRPr="0088570F">
          <w:rPr>
            <w:rStyle w:val="Hyperlink"/>
            <w:i/>
            <w:iCs/>
          </w:rPr>
          <w:t>Consumer Data Right</w:t>
        </w:r>
      </w:hyperlink>
      <w:r w:rsidR="0088570F">
        <w:t xml:space="preserve"> [media release], Australian Government, 9 August 2024, accessed 19 August 2024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3196C0AC" w:rsidR="008774BA" w:rsidRDefault="00E02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87E9430" wp14:editId="6B07C8F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414627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ED8B9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E9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20ED8B9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7BE">
      <w:rPr>
        <w:noProof/>
      </w:rPr>
      <w:drawing>
        <wp:anchor distT="0" distB="0" distL="114300" distR="114300" simplePos="0" relativeHeight="251649536" behindDoc="1" locked="1" layoutInCell="1" allowOverlap="1" wp14:anchorId="24B63355" wp14:editId="7CDBF7F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801414708" name="Picture 8014147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7F6A5F45" w:rsidR="008774BA" w:rsidRDefault="00E02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DC42EB3" wp14:editId="0A40419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71850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62AD8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42E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262AD8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7BE">
      <w:rPr>
        <w:noProof/>
      </w:rPr>
      <w:drawing>
        <wp:anchor distT="0" distB="0" distL="114300" distR="114300" simplePos="0" relativeHeight="251650560" behindDoc="1" locked="1" layoutInCell="1" allowOverlap="1" wp14:anchorId="5E2169BD" wp14:editId="42E26BB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366372568" name="Picture 13663725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13C75F22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08BE9263" w:rsidR="005537C9" w:rsidRDefault="00E023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C7C6356" wp14:editId="5AFBC3F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10072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EEB73" w14:textId="77777777" w:rsidR="008A6BA4" w:rsidRPr="008A6BA4" w:rsidRDefault="00E02304" w:rsidP="008A6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A6B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63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FEEB73" w14:textId="77777777" w:rsidR="008A6BA4" w:rsidRPr="008A6BA4" w:rsidRDefault="00E02304" w:rsidP="008A6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A6BA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70D8C5EB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47488" behindDoc="1" locked="1" layoutInCell="1" allowOverlap="1" wp14:anchorId="0DA3A1D4" wp14:editId="472DBF5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40BA803C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108ADC2" w:tentative="1">
      <w:start w:val="1"/>
      <w:numFmt w:val="lowerLetter"/>
      <w:lvlText w:val="%2."/>
      <w:lvlJc w:val="left"/>
      <w:pPr>
        <w:ind w:left="1440" w:hanging="360"/>
      </w:pPr>
    </w:lvl>
    <w:lvl w:ilvl="2" w:tplc="7D440A0E" w:tentative="1">
      <w:start w:val="1"/>
      <w:numFmt w:val="lowerRoman"/>
      <w:lvlText w:val="%3."/>
      <w:lvlJc w:val="right"/>
      <w:pPr>
        <w:ind w:left="2160" w:hanging="180"/>
      </w:pPr>
    </w:lvl>
    <w:lvl w:ilvl="3" w:tplc="0F9ADC4E" w:tentative="1">
      <w:start w:val="1"/>
      <w:numFmt w:val="decimal"/>
      <w:lvlText w:val="%4."/>
      <w:lvlJc w:val="left"/>
      <w:pPr>
        <w:ind w:left="2880" w:hanging="360"/>
      </w:pPr>
    </w:lvl>
    <w:lvl w:ilvl="4" w:tplc="57863EE6" w:tentative="1">
      <w:start w:val="1"/>
      <w:numFmt w:val="lowerLetter"/>
      <w:lvlText w:val="%5."/>
      <w:lvlJc w:val="left"/>
      <w:pPr>
        <w:ind w:left="3600" w:hanging="360"/>
      </w:pPr>
    </w:lvl>
    <w:lvl w:ilvl="5" w:tplc="8C18067A" w:tentative="1">
      <w:start w:val="1"/>
      <w:numFmt w:val="lowerRoman"/>
      <w:lvlText w:val="%6."/>
      <w:lvlJc w:val="right"/>
      <w:pPr>
        <w:ind w:left="4320" w:hanging="180"/>
      </w:pPr>
    </w:lvl>
    <w:lvl w:ilvl="6" w:tplc="F2263EA0" w:tentative="1">
      <w:start w:val="1"/>
      <w:numFmt w:val="decimal"/>
      <w:lvlText w:val="%7."/>
      <w:lvlJc w:val="left"/>
      <w:pPr>
        <w:ind w:left="5040" w:hanging="360"/>
      </w:pPr>
    </w:lvl>
    <w:lvl w:ilvl="7" w:tplc="058C25D4" w:tentative="1">
      <w:start w:val="1"/>
      <w:numFmt w:val="lowerLetter"/>
      <w:lvlText w:val="%8."/>
      <w:lvlJc w:val="left"/>
      <w:pPr>
        <w:ind w:left="5760" w:hanging="360"/>
      </w:pPr>
    </w:lvl>
    <w:lvl w:ilvl="8" w:tplc="946EC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DC727C7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A9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0B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68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9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4E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2A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C6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63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0523582">
    <w:abstractNumId w:val="2"/>
  </w:num>
  <w:num w:numId="2" w16cid:durableId="1696029884">
    <w:abstractNumId w:val="4"/>
  </w:num>
  <w:num w:numId="3" w16cid:durableId="336229650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010008">
    <w:abstractNumId w:val="0"/>
  </w:num>
  <w:num w:numId="5" w16cid:durableId="547033529">
    <w:abstractNumId w:val="5"/>
  </w:num>
  <w:num w:numId="6" w16cid:durableId="473058903">
    <w:abstractNumId w:val="6"/>
  </w:num>
  <w:num w:numId="7" w16cid:durableId="767237475">
    <w:abstractNumId w:val="3"/>
  </w:num>
  <w:num w:numId="8" w16cid:durableId="1844665465">
    <w:abstractNumId w:val="7"/>
  </w:num>
  <w:num w:numId="9" w16cid:durableId="252707684">
    <w:abstractNumId w:val="1"/>
  </w:num>
  <w:num w:numId="10" w16cid:durableId="1340959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24093"/>
    <w:rsid w:val="0005187E"/>
    <w:rsid w:val="00056FF5"/>
    <w:rsid w:val="00076769"/>
    <w:rsid w:val="000846EF"/>
    <w:rsid w:val="000D051A"/>
    <w:rsid w:val="000D1C7F"/>
    <w:rsid w:val="001105BB"/>
    <w:rsid w:val="001404C1"/>
    <w:rsid w:val="001B386F"/>
    <w:rsid w:val="001B70BC"/>
    <w:rsid w:val="001C4695"/>
    <w:rsid w:val="001D22B6"/>
    <w:rsid w:val="001E5775"/>
    <w:rsid w:val="00205BAC"/>
    <w:rsid w:val="00236901"/>
    <w:rsid w:val="0029658E"/>
    <w:rsid w:val="002A30D0"/>
    <w:rsid w:val="002A31E6"/>
    <w:rsid w:val="002B4442"/>
    <w:rsid w:val="002B51E4"/>
    <w:rsid w:val="002F52A6"/>
    <w:rsid w:val="00326FB8"/>
    <w:rsid w:val="00340F54"/>
    <w:rsid w:val="003463B6"/>
    <w:rsid w:val="00353FD7"/>
    <w:rsid w:val="003D6229"/>
    <w:rsid w:val="004063DC"/>
    <w:rsid w:val="0042266F"/>
    <w:rsid w:val="00460921"/>
    <w:rsid w:val="00476E59"/>
    <w:rsid w:val="0047737B"/>
    <w:rsid w:val="00495C13"/>
    <w:rsid w:val="004D282D"/>
    <w:rsid w:val="004E5FED"/>
    <w:rsid w:val="00510BCE"/>
    <w:rsid w:val="005243F9"/>
    <w:rsid w:val="005537C9"/>
    <w:rsid w:val="0057501D"/>
    <w:rsid w:val="005A000F"/>
    <w:rsid w:val="005C2DAF"/>
    <w:rsid w:val="005D25ED"/>
    <w:rsid w:val="005E449B"/>
    <w:rsid w:val="0066657F"/>
    <w:rsid w:val="006848CE"/>
    <w:rsid w:val="006D1D3B"/>
    <w:rsid w:val="00725F12"/>
    <w:rsid w:val="0075452F"/>
    <w:rsid w:val="0077630F"/>
    <w:rsid w:val="007820EC"/>
    <w:rsid w:val="007C5FCA"/>
    <w:rsid w:val="007F1F0D"/>
    <w:rsid w:val="00835798"/>
    <w:rsid w:val="00854626"/>
    <w:rsid w:val="008671CE"/>
    <w:rsid w:val="008706FC"/>
    <w:rsid w:val="008774BA"/>
    <w:rsid w:val="0088570F"/>
    <w:rsid w:val="008A6BA4"/>
    <w:rsid w:val="008D32D4"/>
    <w:rsid w:val="008D6E34"/>
    <w:rsid w:val="00927BC7"/>
    <w:rsid w:val="00935E3D"/>
    <w:rsid w:val="009753EB"/>
    <w:rsid w:val="00A11E3B"/>
    <w:rsid w:val="00A2437E"/>
    <w:rsid w:val="00A349F5"/>
    <w:rsid w:val="00A47334"/>
    <w:rsid w:val="00A51276"/>
    <w:rsid w:val="00A7212C"/>
    <w:rsid w:val="00B11725"/>
    <w:rsid w:val="00B47ECF"/>
    <w:rsid w:val="00BB1B65"/>
    <w:rsid w:val="00BD0D4C"/>
    <w:rsid w:val="00BE31D9"/>
    <w:rsid w:val="00C23A29"/>
    <w:rsid w:val="00C45BA7"/>
    <w:rsid w:val="00C47A9C"/>
    <w:rsid w:val="00C822D5"/>
    <w:rsid w:val="00CE12B9"/>
    <w:rsid w:val="00CF75DF"/>
    <w:rsid w:val="00D04818"/>
    <w:rsid w:val="00D33F6D"/>
    <w:rsid w:val="00D83F1F"/>
    <w:rsid w:val="00E02304"/>
    <w:rsid w:val="00E12215"/>
    <w:rsid w:val="00E37CCE"/>
    <w:rsid w:val="00E67ADE"/>
    <w:rsid w:val="00EC7701"/>
    <w:rsid w:val="00ED44E8"/>
    <w:rsid w:val="00EF2F09"/>
    <w:rsid w:val="00F347BE"/>
    <w:rsid w:val="00F42948"/>
    <w:rsid w:val="00F53754"/>
    <w:rsid w:val="00F769CE"/>
    <w:rsid w:val="00F92A63"/>
    <w:rsid w:val="00FB6B0E"/>
    <w:rsid w:val="00FE045B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  <w:style w:type="paragraph" w:styleId="Revision">
    <w:name w:val="Revision"/>
    <w:hidden/>
    <w:uiPriority w:val="99"/>
    <w:semiHidden/>
    <w:rsid w:val="001E5775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8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sters.treasury.gov.au/ministers/stephen-jones-2022/media-releases/albanese-government-reset-consumer-data-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57501D" w:rsidRDefault="00BC0C63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57501D" w:rsidRDefault="00BC0C63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57501D" w:rsidRDefault="00BC0C63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18B0" w:rsidRDefault="007118B0">
      <w:pPr>
        <w:spacing w:after="0" w:line="240" w:lineRule="auto"/>
      </w:pPr>
      <w:r>
        <w:separator/>
      </w:r>
    </w:p>
  </w:endnote>
  <w:endnote w:type="continuationSeparator" w:id="0">
    <w:p w:rsidR="007118B0" w:rsidRDefault="007118B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18B0" w:rsidRDefault="007118B0">
      <w:pPr>
        <w:spacing w:after="0" w:line="240" w:lineRule="auto"/>
      </w:pPr>
      <w:r>
        <w:separator/>
      </w:r>
    </w:p>
  </w:footnote>
  <w:footnote w:type="continuationSeparator" w:id="0">
    <w:p w:rsidR="007118B0" w:rsidRDefault="007118B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1C4695"/>
    <w:rsid w:val="002F52A6"/>
    <w:rsid w:val="003D7A34"/>
    <w:rsid w:val="0057501D"/>
    <w:rsid w:val="006E76C1"/>
    <w:rsid w:val="007118B0"/>
    <w:rsid w:val="00744080"/>
    <w:rsid w:val="008B1EF4"/>
    <w:rsid w:val="00B84B01"/>
    <w:rsid w:val="00BC0C63"/>
    <w:rsid w:val="00C23A29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2207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Economics Legislation Committee report: Treasury Laws Amendment (Consumer Data Right) Bill 2022 [Provisions]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Economics Legislation Committee report: Treasury Laws Amendment (Consumer Data Right) Bill 2022 [Provisions]</dc:title>
  <dc:subject/>
  <dc:creator/>
  <cp:keywords/>
  <cp:lastModifiedBy/>
  <cp:revision>1</cp:revision>
  <dcterms:created xsi:type="dcterms:W3CDTF">2024-12-17T03:02:00Z</dcterms:created>
  <dcterms:modified xsi:type="dcterms:W3CDTF">2024-12-17T03:02:00Z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2024-12-17T03:02:25Z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a9f9693a-f192-4f42-b30a-324f0515cb64</vt:lpwstr>
  </property>
  <property fmtid="{D5CDD505-2E9C-101B-9397-08002B2CF9AE}" pid="8" name="MSIP_Label_4f932d64-9ab1-4d9b-81d2-a3a8b82dd47d_ContentBits">
    <vt:lpwstr>0</vt:lpwstr>
  </property>
</Properties>
</file>