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D585" w14:textId="77777777" w:rsidR="008A2F43" w:rsidRDefault="008A2F43" w:rsidP="00546AD5">
      <w:pPr>
        <w:pStyle w:val="TPHeading1"/>
        <w:jc w:val="right"/>
      </w:pPr>
    </w:p>
    <w:p w14:paraId="55F257D1" w14:textId="77777777" w:rsidR="00D35FB0" w:rsidRDefault="00D35FB0" w:rsidP="00546AD5">
      <w:pPr>
        <w:pStyle w:val="TPHeading1"/>
        <w:jc w:val="right"/>
      </w:pPr>
    </w:p>
    <w:p w14:paraId="3C9B2E3F" w14:textId="77777777" w:rsidR="00546AD5" w:rsidRDefault="00546AD5" w:rsidP="00546AD5">
      <w:pPr>
        <w:pStyle w:val="TPHeading1"/>
        <w:jc w:val="right"/>
      </w:pPr>
    </w:p>
    <w:p w14:paraId="2849EC32" w14:textId="77777777" w:rsidR="00546AD5" w:rsidRDefault="00546AD5" w:rsidP="00546AD5">
      <w:pPr>
        <w:pStyle w:val="TPHeading1"/>
        <w:jc w:val="right"/>
      </w:pPr>
    </w:p>
    <w:p w14:paraId="36F714AE" w14:textId="77777777" w:rsidR="00546AD5" w:rsidRDefault="00546AD5" w:rsidP="00546AD5">
      <w:pPr>
        <w:pStyle w:val="TPHeading1"/>
        <w:jc w:val="right"/>
      </w:pPr>
    </w:p>
    <w:p w14:paraId="3FE11ADF" w14:textId="20F48592" w:rsidR="00546AD5" w:rsidRPr="00273AA1" w:rsidRDefault="00546AD5" w:rsidP="00546AD5">
      <w:pPr>
        <w:pStyle w:val="TPHeading1"/>
        <w:jc w:val="right"/>
      </w:pPr>
      <w:r w:rsidRPr="00273AA1">
        <w:t>TAX EXPENDITURES AND</w:t>
      </w:r>
      <w:r w:rsidR="00517EF1">
        <w:br/>
      </w:r>
      <w:r w:rsidRPr="00273AA1">
        <w:t>INSIGHTS</w:t>
      </w:r>
      <w:r w:rsidR="00517EF1">
        <w:t xml:space="preserve"> </w:t>
      </w:r>
      <w:r w:rsidRPr="00273AA1">
        <w:t>STATEMENT</w:t>
      </w:r>
    </w:p>
    <w:p w14:paraId="39D0B7AD" w14:textId="71B71C55" w:rsidR="00546AD5" w:rsidRDefault="00546AD5" w:rsidP="00462AF2">
      <w:pPr>
        <w:pStyle w:val="TPHeading1"/>
        <w:tabs>
          <w:tab w:val="left" w:pos="4536"/>
        </w:tabs>
        <w:jc w:val="right"/>
      </w:pPr>
    </w:p>
    <w:p w14:paraId="7860340C" w14:textId="77777777" w:rsidR="00517EF1" w:rsidRPr="00273AA1" w:rsidRDefault="00517EF1" w:rsidP="00462AF2">
      <w:pPr>
        <w:pStyle w:val="TPHeading1"/>
        <w:tabs>
          <w:tab w:val="left" w:pos="4536"/>
        </w:tabs>
        <w:jc w:val="right"/>
      </w:pPr>
    </w:p>
    <w:p w14:paraId="17233973" w14:textId="77777777" w:rsidR="00546AD5" w:rsidRPr="00273AA1" w:rsidRDefault="00546AD5" w:rsidP="00546AD5">
      <w:pPr>
        <w:pStyle w:val="TPHeading1"/>
        <w:jc w:val="right"/>
      </w:pPr>
    </w:p>
    <w:p w14:paraId="3D5F9CD6" w14:textId="77777777" w:rsidR="00546AD5" w:rsidRPr="00273AA1" w:rsidRDefault="00546AD5" w:rsidP="00546AD5">
      <w:pPr>
        <w:pStyle w:val="TPHeading1"/>
        <w:jc w:val="right"/>
      </w:pPr>
    </w:p>
    <w:p w14:paraId="18109017" w14:textId="17781032" w:rsidR="00546AD5" w:rsidRPr="00273AA1" w:rsidRDefault="00DE339A" w:rsidP="00546AD5">
      <w:pPr>
        <w:pStyle w:val="TPHeading1"/>
        <w:jc w:val="right"/>
        <w:sectPr w:rsidR="00546AD5" w:rsidRPr="00273AA1">
          <w:headerReference w:type="default" r:id="rId7"/>
          <w:footerReference w:type="default" r:id="rId8"/>
          <w:pgSz w:w="11907" w:h="16840" w:code="9"/>
          <w:pgMar w:top="2466" w:right="2098" w:bottom="2466" w:left="2098" w:header="1899" w:footer="1899" w:gutter="0"/>
          <w:pgNumType w:start="1"/>
          <w:cols w:space="720"/>
          <w:titlePg/>
          <w:docGrid w:linePitch="360"/>
        </w:sectPr>
      </w:pPr>
      <w:r>
        <w:t xml:space="preserve">December </w:t>
      </w:r>
      <w:r w:rsidR="00546AD5" w:rsidRPr="00273AA1">
        <w:t>2024</w:t>
      </w:r>
    </w:p>
    <w:p w14:paraId="4E748DBC" w14:textId="7C111170" w:rsidR="00546AD5" w:rsidRPr="00273AA1" w:rsidRDefault="00546AD5" w:rsidP="00CA14C9">
      <w:r w:rsidRPr="00273AA1">
        <w:lastRenderedPageBreak/>
        <w:t>© Commonwealth of Australia 202</w:t>
      </w:r>
      <w:r w:rsidR="00035461" w:rsidRPr="00273AA1">
        <w:t>4</w:t>
      </w:r>
    </w:p>
    <w:p w14:paraId="4C3163A7" w14:textId="77777777" w:rsidR="002C09BC" w:rsidRPr="00273AA1" w:rsidRDefault="002C09BC" w:rsidP="002C09BC">
      <w:pPr>
        <w:spacing w:after="0" w:line="259" w:lineRule="auto"/>
        <w:jc w:val="left"/>
        <w:rPr>
          <w:noProof/>
        </w:rPr>
      </w:pPr>
      <w:r w:rsidRPr="00273AA1">
        <w:t xml:space="preserve">ISSN: </w:t>
      </w:r>
      <w:r w:rsidRPr="0077709C">
        <w:t>978</w:t>
      </w:r>
      <w:r>
        <w:noBreakHyphen/>
      </w:r>
      <w:r w:rsidRPr="0077709C">
        <w:t>1</w:t>
      </w:r>
      <w:r>
        <w:noBreakHyphen/>
      </w:r>
      <w:r w:rsidRPr="0077709C">
        <w:t>925832</w:t>
      </w:r>
      <w:r>
        <w:noBreakHyphen/>
      </w:r>
      <w:r w:rsidRPr="0077709C">
        <w:t>90</w:t>
      </w:r>
      <w:r>
        <w:noBreakHyphen/>
      </w:r>
      <w:r w:rsidRPr="0077709C">
        <w:t>7</w:t>
      </w:r>
    </w:p>
    <w:p w14:paraId="55CAC69D" w14:textId="4913D38C" w:rsidR="007D0910" w:rsidRDefault="007D0910" w:rsidP="002C09BC">
      <w:pPr>
        <w:pStyle w:val="TableGraphic"/>
        <w:spacing w:before="120" w:after="120"/>
        <w:rPr>
          <w:rStyle w:val="A5"/>
          <w:rFonts w:ascii="Book Antiqua" w:hAnsi="Book Antiqua" w:cs="Calibri"/>
          <w:spacing w:val="-2"/>
        </w:rPr>
      </w:pPr>
      <w:r w:rsidRPr="007D0910">
        <w:rPr>
          <w:rStyle w:val="A5"/>
          <w:rFonts w:ascii="Book Antiqua" w:hAnsi="Book Antiqua" w:cs="Calibri"/>
          <w:spacing w:val="-2"/>
        </w:rPr>
        <w:t xml:space="preserve">This publication is available for your use under Creative Commons Attribution 4.0 International licence, with the exception of the Commonwealth Coat of Arms, third party content and where otherwise stated. The full licence terms are available from </w:t>
      </w:r>
      <w:hyperlink r:id="rId9" w:history="1">
        <w:r w:rsidRPr="003823BB">
          <w:rPr>
            <w:rStyle w:val="Hyperlink"/>
            <w:rFonts w:ascii="Book Antiqua" w:hAnsi="Book Antiqua" w:cs="Calibri"/>
            <w:noProof w:val="0"/>
            <w:spacing w:val="-2"/>
          </w:rPr>
          <w:t>http://creativecommons.org/licenses/by/4.0/legalcode</w:t>
        </w:r>
      </w:hyperlink>
      <w:r w:rsidRPr="007D0910">
        <w:rPr>
          <w:rStyle w:val="A5"/>
          <w:rFonts w:ascii="Book Antiqua" w:hAnsi="Book Antiqua" w:cs="Calibri"/>
          <w:spacing w:val="-2"/>
        </w:rPr>
        <w:t>.</w:t>
      </w:r>
    </w:p>
    <w:p w14:paraId="53285206" w14:textId="5A179562" w:rsidR="002C09BC" w:rsidRPr="00F05918" w:rsidRDefault="002C09BC" w:rsidP="002C09BC">
      <w:pPr>
        <w:pStyle w:val="TableGraphic"/>
        <w:spacing w:before="120" w:after="120"/>
      </w:pPr>
      <w:r w:rsidRPr="00F05918">
        <w:rPr>
          <w:noProof/>
        </w:rPr>
        <w:drawing>
          <wp:inline distT="0" distB="0" distL="0" distR="0" wp14:anchorId="63D8AAEA" wp14:editId="0A21CD85">
            <wp:extent cx="887095" cy="307340"/>
            <wp:effectExtent l="0" t="0" r="8255" b="0"/>
            <wp:docPr id="4" name="Picture 4"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307340"/>
                    </a:xfrm>
                    <a:prstGeom prst="rect">
                      <a:avLst/>
                    </a:prstGeom>
                    <a:noFill/>
                    <a:ln>
                      <a:noFill/>
                    </a:ln>
                  </pic:spPr>
                </pic:pic>
              </a:graphicData>
            </a:graphic>
          </wp:inline>
        </w:drawing>
      </w:r>
    </w:p>
    <w:p w14:paraId="01B36EC9" w14:textId="77777777" w:rsidR="007D0910" w:rsidRDefault="007D0910" w:rsidP="002C09BC">
      <w:pPr>
        <w:spacing w:before="180" w:after="120"/>
        <w:jc w:val="left"/>
        <w:rPr>
          <w:rFonts w:cs="Calibri"/>
          <w:color w:val="000000"/>
          <w:spacing w:val="-2"/>
        </w:rPr>
      </w:pPr>
      <w:r w:rsidRPr="007D0910">
        <w:rPr>
          <w:rFonts w:cs="Calibri"/>
          <w:color w:val="000000"/>
          <w:spacing w:val="-2"/>
        </w:rPr>
        <w:t>Use of Commonwealth of Australia material under a Creative Commons Attribution 4.0 International licence requires you to attribute the work (but not in any way that suggests that the Commonwealth of Australia endorses you or your use of the work).</w:t>
      </w:r>
    </w:p>
    <w:p w14:paraId="79B0021F" w14:textId="26A74542" w:rsidR="002C09BC" w:rsidRPr="002C09BC" w:rsidRDefault="002C09BC" w:rsidP="002C09BC">
      <w:pPr>
        <w:spacing w:before="180" w:after="120"/>
        <w:jc w:val="left"/>
        <w:rPr>
          <w:b/>
        </w:rPr>
      </w:pPr>
      <w:r w:rsidRPr="002C09BC">
        <w:rPr>
          <w:rStyle w:val="Bold"/>
        </w:rPr>
        <w:t>Commonwealth of Australia material used ‘as supplied’.</w:t>
      </w:r>
      <w:r>
        <w:rPr>
          <w:rStyle w:val="Bold"/>
        </w:rPr>
        <w:br/>
      </w:r>
      <w:r w:rsidRPr="009632A8">
        <w:rPr>
          <w:spacing w:val="-2"/>
        </w:rPr>
        <w:t>Provided you have not modified or transformed Commonwealth of Australia material in any way including, for example, by changing the Commonwealth of Australia text; calculating percentage changes; graphing or charting data; or deriving new statistics from published statistics </w:t>
      </w:r>
      <w:r w:rsidR="000A4999">
        <w:rPr>
          <w:spacing w:val="-2"/>
        </w:rPr>
        <w:t>–</w:t>
      </w:r>
      <w:r w:rsidRPr="009632A8">
        <w:rPr>
          <w:spacing w:val="-2"/>
        </w:rPr>
        <w:t xml:space="preserve"> then the Commonwealth of Australia prefers the following attribution:</w:t>
      </w:r>
    </w:p>
    <w:p w14:paraId="704E5426" w14:textId="77777777" w:rsidR="002C09BC" w:rsidRPr="009632A8" w:rsidRDefault="002C09BC" w:rsidP="002C09BC">
      <w:pPr>
        <w:spacing w:before="120" w:after="120"/>
        <w:ind w:left="567"/>
        <w:rPr>
          <w:rFonts w:cs="Calibri"/>
          <w:color w:val="000000"/>
          <w:spacing w:val="-2"/>
        </w:rPr>
      </w:pPr>
      <w:r w:rsidRPr="009632A8">
        <w:rPr>
          <w:rFonts w:cs="Calibri"/>
          <w:color w:val="000000"/>
          <w:spacing w:val="-2"/>
        </w:rPr>
        <w:t xml:space="preserve">Source: </w:t>
      </w:r>
      <w:r w:rsidRPr="002C09BC">
        <w:rPr>
          <w:rStyle w:val="Emphasis"/>
        </w:rPr>
        <w:t>The Commonwealth of Australia.</w:t>
      </w:r>
    </w:p>
    <w:p w14:paraId="6118E6E4" w14:textId="7BA82035" w:rsidR="002C09BC" w:rsidRPr="002C09BC" w:rsidRDefault="002C09BC" w:rsidP="002C09BC">
      <w:pPr>
        <w:spacing w:before="180" w:after="120"/>
        <w:jc w:val="left"/>
        <w:rPr>
          <w:b/>
        </w:rPr>
      </w:pPr>
      <w:r w:rsidRPr="002C09BC">
        <w:rPr>
          <w:rStyle w:val="Bold"/>
        </w:rPr>
        <w:t>Derivative material</w:t>
      </w:r>
      <w:r>
        <w:rPr>
          <w:rStyle w:val="Bold"/>
        </w:rPr>
        <w:br/>
      </w:r>
      <w:r w:rsidRPr="009632A8">
        <w:rPr>
          <w:rFonts w:cs="Calibri"/>
          <w:color w:val="000000"/>
          <w:spacing w:val="-2"/>
        </w:rPr>
        <w:t>If you have modified or transformed Commonwealth of Australia material, or derived new material from those of the Commonwealth of Australia in any way, then the Commonwealth of Australia prefers the following attribution:</w:t>
      </w:r>
    </w:p>
    <w:p w14:paraId="135EA22E" w14:textId="77777777" w:rsidR="002C09BC" w:rsidRPr="002C09BC" w:rsidRDefault="002C09BC" w:rsidP="002C09BC">
      <w:pPr>
        <w:spacing w:before="120" w:after="120"/>
        <w:ind w:left="567"/>
        <w:rPr>
          <w:rStyle w:val="Emphasis"/>
        </w:rPr>
      </w:pPr>
      <w:r w:rsidRPr="002C09BC">
        <w:rPr>
          <w:rStyle w:val="Emphasis"/>
        </w:rPr>
        <w:t>Based on Commonwealth of Australia data.</w:t>
      </w:r>
    </w:p>
    <w:p w14:paraId="4CE29381" w14:textId="71AED198" w:rsidR="002C09BC" w:rsidRPr="002C09BC" w:rsidRDefault="002C09BC" w:rsidP="002C09BC">
      <w:pPr>
        <w:spacing w:before="180" w:after="120"/>
        <w:jc w:val="left"/>
        <w:rPr>
          <w:b/>
        </w:rPr>
      </w:pPr>
      <w:r w:rsidRPr="002C09BC">
        <w:rPr>
          <w:rStyle w:val="Bold"/>
        </w:rPr>
        <w:t>Use of the Coat of Arms</w:t>
      </w:r>
      <w:r>
        <w:rPr>
          <w:rStyle w:val="Bold"/>
        </w:rPr>
        <w:br/>
      </w:r>
      <w:r w:rsidRPr="009632A8">
        <w:rPr>
          <w:spacing w:val="-2"/>
        </w:rPr>
        <w:t xml:space="preserve">The terms under which the Coat of Arms can be used are set out on </w:t>
      </w:r>
      <w:r w:rsidRPr="009632A8">
        <w:rPr>
          <w:spacing w:val="-2"/>
        </w:rPr>
        <w:br/>
        <w:t xml:space="preserve">the Department of the Prime Minister and Cabinet website (see </w:t>
      </w:r>
      <w:hyperlink r:id="rId11" w:history="1">
        <w:r w:rsidRPr="00781FCF">
          <w:rPr>
            <w:rStyle w:val="Hyperlink"/>
          </w:rPr>
          <w:t>www.pmc.gov.au/</w:t>
        </w:r>
        <w:r w:rsidRPr="00781FCF">
          <w:rPr>
            <w:rStyle w:val="Hyperlink"/>
          </w:rPr>
          <w:br/>
          <w:t>honours-and-symbols/commonwealth-coat-arms</w:t>
        </w:r>
      </w:hyperlink>
      <w:r w:rsidRPr="005268BA">
        <w:rPr>
          <w:color w:val="000000" w:themeColor="text1"/>
          <w:spacing w:val="-2"/>
        </w:rPr>
        <w:t>).</w:t>
      </w:r>
    </w:p>
    <w:p w14:paraId="0C7AFEB0" w14:textId="170D659B" w:rsidR="002C09BC" w:rsidRPr="002C09BC" w:rsidRDefault="002C09BC" w:rsidP="002C09BC">
      <w:pPr>
        <w:spacing w:before="180" w:after="120"/>
        <w:jc w:val="left"/>
        <w:rPr>
          <w:b/>
        </w:rPr>
      </w:pPr>
      <w:r w:rsidRPr="002C09BC">
        <w:rPr>
          <w:rStyle w:val="Bold"/>
        </w:rPr>
        <w:t>Other uses</w:t>
      </w:r>
      <w:r>
        <w:rPr>
          <w:rStyle w:val="Bold"/>
        </w:rPr>
        <w:br/>
      </w:r>
      <w:r w:rsidRPr="009632A8">
        <w:rPr>
          <w:rFonts w:cs="Calibri"/>
          <w:spacing w:val="-2"/>
        </w:rPr>
        <w:t>Enquiries regarding this licence and any other use of this document are welcome at:</w:t>
      </w:r>
    </w:p>
    <w:p w14:paraId="65896AF2" w14:textId="22A484A0" w:rsidR="002C09BC" w:rsidRPr="009632A8" w:rsidRDefault="002C09BC" w:rsidP="002C09BC">
      <w:pPr>
        <w:spacing w:before="120" w:after="120"/>
        <w:ind w:left="567"/>
        <w:jc w:val="left"/>
        <w:rPr>
          <w:rFonts w:cs="Calibri"/>
          <w:spacing w:val="-2"/>
        </w:rPr>
      </w:pPr>
      <w:r w:rsidRPr="009632A8">
        <w:rPr>
          <w:rFonts w:cs="Calibri"/>
          <w:spacing w:val="-2"/>
        </w:rPr>
        <w:t>Manager</w:t>
      </w:r>
      <w:r w:rsidRPr="009632A8">
        <w:rPr>
          <w:rFonts w:cs="Calibri"/>
          <w:spacing w:val="-2"/>
        </w:rPr>
        <w:br/>
        <w:t>Media Unit</w:t>
      </w:r>
      <w:r w:rsidRPr="009632A8">
        <w:rPr>
          <w:rFonts w:cs="Calibri"/>
          <w:spacing w:val="-2"/>
        </w:rPr>
        <w:br/>
        <w:t>The Treasury</w:t>
      </w:r>
      <w:r w:rsidRPr="009632A8">
        <w:rPr>
          <w:rFonts w:cs="Calibri"/>
          <w:spacing w:val="-2"/>
        </w:rPr>
        <w:br/>
        <w:t xml:space="preserve">Langton Crescent </w:t>
      </w:r>
      <w:r w:rsidRPr="009632A8">
        <w:rPr>
          <w:rFonts w:cs="Calibri"/>
          <w:spacing w:val="-2"/>
        </w:rPr>
        <w:br/>
        <w:t>Parkes ACT  2600</w:t>
      </w:r>
      <w:r>
        <w:rPr>
          <w:rFonts w:cs="Calibri"/>
          <w:spacing w:val="-2"/>
        </w:rPr>
        <w:br/>
      </w:r>
      <w:r w:rsidRPr="009632A8">
        <w:rPr>
          <w:rFonts w:cs="Calibri"/>
          <w:spacing w:val="-2"/>
        </w:rPr>
        <w:t>Email:</w:t>
      </w:r>
      <w:r w:rsidRPr="005268BA">
        <w:rPr>
          <w:rFonts w:cs="Calibri"/>
          <w:color w:val="000000" w:themeColor="text1"/>
          <w:spacing w:val="-2"/>
        </w:rPr>
        <w:t xml:space="preserve"> </w:t>
      </w:r>
      <w:hyperlink r:id="rId12" w:history="1">
        <w:r w:rsidRPr="005268BA">
          <w:rPr>
            <w:rStyle w:val="Hyperlink"/>
            <w:rFonts w:cs="Calibri"/>
            <w:color w:val="000000" w:themeColor="text1"/>
            <w:spacing w:val="-2"/>
          </w:rPr>
          <w:t>media@treasury.gov.au</w:t>
        </w:r>
      </w:hyperlink>
    </w:p>
    <w:p w14:paraId="22400FCE" w14:textId="77777777" w:rsidR="002C09BC" w:rsidRPr="00273AA1" w:rsidRDefault="002C09BC" w:rsidP="00CA14C9">
      <w:pPr>
        <w:rPr>
          <w:noProof/>
        </w:rPr>
      </w:pPr>
    </w:p>
    <w:sdt>
      <w:sdtPr>
        <w:rPr>
          <w:rFonts w:ascii="Book Antiqua" w:hAnsi="Book Antiqua"/>
          <w:b w:val="0"/>
          <w:smallCaps w:val="0"/>
          <w:noProof/>
          <w:sz w:val="20"/>
          <w:lang w:val="en-AU"/>
        </w:rPr>
        <w:id w:val="1447418510"/>
        <w:docPartObj>
          <w:docPartGallery w:val="Table of Contents"/>
          <w:docPartUnique/>
        </w:docPartObj>
      </w:sdtPr>
      <w:sdtEndPr>
        <w:rPr>
          <w:sz w:val="18"/>
          <w:szCs w:val="18"/>
        </w:rPr>
      </w:sdtEndPr>
      <w:sdtContent>
        <w:p w14:paraId="22048264" w14:textId="77777777" w:rsidR="00546AD5" w:rsidRPr="002C09BC" w:rsidRDefault="00546AD5" w:rsidP="002C09BC">
          <w:pPr>
            <w:pStyle w:val="ContentsHeading"/>
          </w:pPr>
          <w:r w:rsidRPr="002C09BC">
            <w:t>Contents</w:t>
          </w:r>
        </w:p>
        <w:p w14:paraId="084600DD" w14:textId="3E7A2D48" w:rsidR="00116A84" w:rsidRDefault="00776E5E">
          <w:pPr>
            <w:pStyle w:val="TOC1"/>
            <w:rPr>
              <w:rFonts w:asciiTheme="minorHAnsi" w:eastAsiaTheme="minorEastAsia" w:hAnsiTheme="minorHAnsi" w:cstheme="minorBidi"/>
              <w:b w:val="0"/>
              <w:smallCaps w:val="0"/>
              <w:noProof/>
              <w:color w:val="auto"/>
              <w:kern w:val="2"/>
              <w:sz w:val="22"/>
              <w:szCs w:val="22"/>
              <w14:ligatures w14:val="standardContextual"/>
            </w:rPr>
          </w:pPr>
          <w:r>
            <w:rPr>
              <w:sz w:val="16"/>
              <w:szCs w:val="16"/>
            </w:rPr>
            <w:fldChar w:fldCharType="begin"/>
          </w:r>
          <w:r>
            <w:rPr>
              <w:sz w:val="16"/>
              <w:szCs w:val="16"/>
            </w:rPr>
            <w:instrText xml:space="preserve"> TOC \o "1-2" \h \z \u </w:instrText>
          </w:r>
          <w:r>
            <w:rPr>
              <w:sz w:val="16"/>
              <w:szCs w:val="16"/>
            </w:rPr>
            <w:fldChar w:fldCharType="separate"/>
          </w:r>
          <w:hyperlink w:anchor="_Toc184287642" w:history="1">
            <w:r w:rsidR="00116A84" w:rsidRPr="008E654F">
              <w:rPr>
                <w:rStyle w:val="Hyperlink"/>
              </w:rPr>
              <w:t>Chapter 1: Introduction</w:t>
            </w:r>
            <w:r w:rsidR="00116A84">
              <w:rPr>
                <w:noProof/>
                <w:webHidden/>
              </w:rPr>
              <w:tab/>
            </w:r>
            <w:r w:rsidR="00116A84">
              <w:rPr>
                <w:noProof/>
                <w:webHidden/>
              </w:rPr>
              <w:fldChar w:fldCharType="begin"/>
            </w:r>
            <w:r w:rsidR="00116A84">
              <w:rPr>
                <w:noProof/>
                <w:webHidden/>
              </w:rPr>
              <w:instrText xml:space="preserve"> PAGEREF _Toc184287642 \h </w:instrText>
            </w:r>
            <w:r w:rsidR="00116A84">
              <w:rPr>
                <w:noProof/>
                <w:webHidden/>
              </w:rPr>
            </w:r>
            <w:r w:rsidR="00116A84">
              <w:rPr>
                <w:noProof/>
                <w:webHidden/>
              </w:rPr>
              <w:fldChar w:fldCharType="separate"/>
            </w:r>
            <w:r w:rsidR="008E45AB">
              <w:rPr>
                <w:noProof/>
                <w:webHidden/>
              </w:rPr>
              <w:t>1</w:t>
            </w:r>
            <w:r w:rsidR="00116A84">
              <w:rPr>
                <w:noProof/>
                <w:webHidden/>
              </w:rPr>
              <w:fldChar w:fldCharType="end"/>
            </w:r>
          </w:hyperlink>
        </w:p>
        <w:p w14:paraId="009BC9D3" w14:textId="380B4B41"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3" w:history="1">
            <w:r w:rsidR="00116A84" w:rsidRPr="008E654F">
              <w:rPr>
                <w:rStyle w:val="Hyperlink"/>
              </w:rPr>
              <w:t>1.1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What is a tax expenditure?</w:t>
            </w:r>
            <w:r w:rsidR="00116A84">
              <w:rPr>
                <w:noProof/>
                <w:webHidden/>
              </w:rPr>
              <w:tab/>
            </w:r>
            <w:r w:rsidR="00116A84">
              <w:rPr>
                <w:noProof/>
                <w:webHidden/>
              </w:rPr>
              <w:fldChar w:fldCharType="begin"/>
            </w:r>
            <w:r w:rsidR="00116A84">
              <w:rPr>
                <w:noProof/>
                <w:webHidden/>
              </w:rPr>
              <w:instrText xml:space="preserve"> PAGEREF _Toc184287643 \h </w:instrText>
            </w:r>
            <w:r w:rsidR="00116A84">
              <w:rPr>
                <w:noProof/>
                <w:webHidden/>
              </w:rPr>
            </w:r>
            <w:r w:rsidR="00116A84">
              <w:rPr>
                <w:noProof/>
                <w:webHidden/>
              </w:rPr>
              <w:fldChar w:fldCharType="separate"/>
            </w:r>
            <w:r w:rsidR="008E45AB">
              <w:rPr>
                <w:noProof/>
                <w:webHidden/>
              </w:rPr>
              <w:t>1</w:t>
            </w:r>
            <w:r w:rsidR="00116A84">
              <w:rPr>
                <w:noProof/>
                <w:webHidden/>
              </w:rPr>
              <w:fldChar w:fldCharType="end"/>
            </w:r>
          </w:hyperlink>
        </w:p>
        <w:p w14:paraId="739A4538" w14:textId="17C93F86"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4" w:history="1">
            <w:r w:rsidR="00116A84" w:rsidRPr="008E654F">
              <w:rPr>
                <w:rStyle w:val="Hyperlink"/>
              </w:rPr>
              <w:t>1.2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How are tax expenditures estimated?</w:t>
            </w:r>
            <w:r w:rsidR="00116A84">
              <w:rPr>
                <w:noProof/>
                <w:webHidden/>
              </w:rPr>
              <w:tab/>
            </w:r>
            <w:r w:rsidR="00116A84">
              <w:rPr>
                <w:noProof/>
                <w:webHidden/>
              </w:rPr>
              <w:fldChar w:fldCharType="begin"/>
            </w:r>
            <w:r w:rsidR="00116A84">
              <w:rPr>
                <w:noProof/>
                <w:webHidden/>
              </w:rPr>
              <w:instrText xml:space="preserve"> PAGEREF _Toc184287644 \h </w:instrText>
            </w:r>
            <w:r w:rsidR="00116A84">
              <w:rPr>
                <w:noProof/>
                <w:webHidden/>
              </w:rPr>
            </w:r>
            <w:r w:rsidR="00116A84">
              <w:rPr>
                <w:noProof/>
                <w:webHidden/>
              </w:rPr>
              <w:fldChar w:fldCharType="separate"/>
            </w:r>
            <w:r w:rsidR="008E45AB">
              <w:rPr>
                <w:noProof/>
                <w:webHidden/>
              </w:rPr>
              <w:t>3</w:t>
            </w:r>
            <w:r w:rsidR="00116A84">
              <w:rPr>
                <w:noProof/>
                <w:webHidden/>
              </w:rPr>
              <w:fldChar w:fldCharType="end"/>
            </w:r>
          </w:hyperlink>
        </w:p>
        <w:p w14:paraId="005E5D93" w14:textId="1758D660"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5" w:history="1">
            <w:r w:rsidR="00116A84" w:rsidRPr="008E654F">
              <w:rPr>
                <w:rStyle w:val="Hyperlink"/>
              </w:rPr>
              <w:t>1.3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Large tax expenditures and other features of the tax system</w:t>
            </w:r>
            <w:r w:rsidR="00116A84">
              <w:rPr>
                <w:noProof/>
                <w:webHidden/>
              </w:rPr>
              <w:tab/>
            </w:r>
            <w:r w:rsidR="00116A84">
              <w:rPr>
                <w:noProof/>
                <w:webHidden/>
              </w:rPr>
              <w:fldChar w:fldCharType="begin"/>
            </w:r>
            <w:r w:rsidR="00116A84">
              <w:rPr>
                <w:noProof/>
                <w:webHidden/>
              </w:rPr>
              <w:instrText xml:space="preserve"> PAGEREF _Toc184287645 \h </w:instrText>
            </w:r>
            <w:r w:rsidR="00116A84">
              <w:rPr>
                <w:noProof/>
                <w:webHidden/>
              </w:rPr>
            </w:r>
            <w:r w:rsidR="00116A84">
              <w:rPr>
                <w:noProof/>
                <w:webHidden/>
              </w:rPr>
              <w:fldChar w:fldCharType="separate"/>
            </w:r>
            <w:r w:rsidR="008E45AB">
              <w:rPr>
                <w:noProof/>
                <w:webHidden/>
              </w:rPr>
              <w:t>5</w:t>
            </w:r>
            <w:r w:rsidR="00116A84">
              <w:rPr>
                <w:noProof/>
                <w:webHidden/>
              </w:rPr>
              <w:fldChar w:fldCharType="end"/>
            </w:r>
          </w:hyperlink>
        </w:p>
        <w:p w14:paraId="3F388288" w14:textId="1009FA51" w:rsidR="00116A84" w:rsidRDefault="00EF29F4">
          <w:pPr>
            <w:pStyle w:val="TOC1"/>
            <w:rPr>
              <w:rFonts w:asciiTheme="minorHAnsi" w:eastAsiaTheme="minorEastAsia" w:hAnsiTheme="minorHAnsi" w:cstheme="minorBidi"/>
              <w:b w:val="0"/>
              <w:smallCaps w:val="0"/>
              <w:noProof/>
              <w:color w:val="auto"/>
              <w:kern w:val="2"/>
              <w:sz w:val="22"/>
              <w:szCs w:val="22"/>
              <w14:ligatures w14:val="standardContextual"/>
            </w:rPr>
          </w:pPr>
          <w:hyperlink w:anchor="_Toc184287646" w:history="1">
            <w:r w:rsidR="00116A84" w:rsidRPr="008E654F">
              <w:rPr>
                <w:rStyle w:val="Hyperlink"/>
              </w:rPr>
              <w:t>Chapter 2: Distributional analysis</w:t>
            </w:r>
            <w:r w:rsidR="00116A84">
              <w:rPr>
                <w:noProof/>
                <w:webHidden/>
              </w:rPr>
              <w:tab/>
            </w:r>
            <w:r w:rsidR="00116A84">
              <w:rPr>
                <w:noProof/>
                <w:webHidden/>
              </w:rPr>
              <w:fldChar w:fldCharType="begin"/>
            </w:r>
            <w:r w:rsidR="00116A84">
              <w:rPr>
                <w:noProof/>
                <w:webHidden/>
              </w:rPr>
              <w:instrText xml:space="preserve"> PAGEREF _Toc184287646 \h </w:instrText>
            </w:r>
            <w:r w:rsidR="00116A84">
              <w:rPr>
                <w:noProof/>
                <w:webHidden/>
              </w:rPr>
            </w:r>
            <w:r w:rsidR="00116A84">
              <w:rPr>
                <w:noProof/>
                <w:webHidden/>
              </w:rPr>
              <w:fldChar w:fldCharType="separate"/>
            </w:r>
            <w:r w:rsidR="008E45AB">
              <w:rPr>
                <w:noProof/>
                <w:webHidden/>
              </w:rPr>
              <w:t>9</w:t>
            </w:r>
            <w:r w:rsidR="00116A84">
              <w:rPr>
                <w:noProof/>
                <w:webHidden/>
              </w:rPr>
              <w:fldChar w:fldCharType="end"/>
            </w:r>
          </w:hyperlink>
        </w:p>
        <w:p w14:paraId="75F462BD" w14:textId="1E6BF713"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7" w:history="1">
            <w:r w:rsidR="00116A84" w:rsidRPr="008E654F">
              <w:rPr>
                <w:rStyle w:val="Hyperlink"/>
              </w:rPr>
              <w:t>2.1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Guide to interpreting distributional analysis</w:t>
            </w:r>
            <w:r w:rsidR="00116A84">
              <w:rPr>
                <w:noProof/>
                <w:webHidden/>
              </w:rPr>
              <w:tab/>
            </w:r>
            <w:r w:rsidR="00116A84">
              <w:rPr>
                <w:noProof/>
                <w:webHidden/>
              </w:rPr>
              <w:fldChar w:fldCharType="begin"/>
            </w:r>
            <w:r w:rsidR="00116A84">
              <w:rPr>
                <w:noProof/>
                <w:webHidden/>
              </w:rPr>
              <w:instrText xml:space="preserve"> PAGEREF _Toc184287647 \h </w:instrText>
            </w:r>
            <w:r w:rsidR="00116A84">
              <w:rPr>
                <w:noProof/>
                <w:webHidden/>
              </w:rPr>
            </w:r>
            <w:r w:rsidR="00116A84">
              <w:rPr>
                <w:noProof/>
                <w:webHidden/>
              </w:rPr>
              <w:fldChar w:fldCharType="separate"/>
            </w:r>
            <w:r w:rsidR="008E45AB">
              <w:rPr>
                <w:noProof/>
                <w:webHidden/>
              </w:rPr>
              <w:t>9</w:t>
            </w:r>
            <w:r w:rsidR="00116A84">
              <w:rPr>
                <w:noProof/>
                <w:webHidden/>
              </w:rPr>
              <w:fldChar w:fldCharType="end"/>
            </w:r>
          </w:hyperlink>
        </w:p>
        <w:p w14:paraId="3B7CD1E4" w14:textId="22DF40ED"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8" w:history="1">
            <w:r w:rsidR="00116A84" w:rsidRPr="008E654F">
              <w:rPr>
                <w:rStyle w:val="Hyperlink"/>
              </w:rPr>
              <w:t>2.2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Concessional taxation of superannuation contributions</w:t>
            </w:r>
            <w:r w:rsidR="00116A84">
              <w:rPr>
                <w:noProof/>
                <w:webHidden/>
              </w:rPr>
              <w:tab/>
            </w:r>
            <w:r w:rsidR="00116A84">
              <w:rPr>
                <w:noProof/>
                <w:webHidden/>
              </w:rPr>
              <w:fldChar w:fldCharType="begin"/>
            </w:r>
            <w:r w:rsidR="00116A84">
              <w:rPr>
                <w:noProof/>
                <w:webHidden/>
              </w:rPr>
              <w:instrText xml:space="preserve"> PAGEREF _Toc184287648 \h </w:instrText>
            </w:r>
            <w:r w:rsidR="00116A84">
              <w:rPr>
                <w:noProof/>
                <w:webHidden/>
              </w:rPr>
            </w:r>
            <w:r w:rsidR="00116A84">
              <w:rPr>
                <w:noProof/>
                <w:webHidden/>
              </w:rPr>
              <w:fldChar w:fldCharType="separate"/>
            </w:r>
            <w:r w:rsidR="008E45AB">
              <w:rPr>
                <w:noProof/>
                <w:webHidden/>
              </w:rPr>
              <w:t>13</w:t>
            </w:r>
            <w:r w:rsidR="00116A84">
              <w:rPr>
                <w:noProof/>
                <w:webHidden/>
              </w:rPr>
              <w:fldChar w:fldCharType="end"/>
            </w:r>
          </w:hyperlink>
        </w:p>
        <w:p w14:paraId="3E8CDA97" w14:textId="18E1027D"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49" w:history="1">
            <w:r w:rsidR="00116A84" w:rsidRPr="008E654F">
              <w:rPr>
                <w:rStyle w:val="Hyperlink"/>
              </w:rPr>
              <w:t>2.3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Concessional taxation of superannuation earnings</w:t>
            </w:r>
            <w:r w:rsidR="00116A84">
              <w:rPr>
                <w:noProof/>
                <w:webHidden/>
              </w:rPr>
              <w:tab/>
            </w:r>
            <w:r w:rsidR="00116A84">
              <w:rPr>
                <w:noProof/>
                <w:webHidden/>
              </w:rPr>
              <w:fldChar w:fldCharType="begin"/>
            </w:r>
            <w:r w:rsidR="00116A84">
              <w:rPr>
                <w:noProof/>
                <w:webHidden/>
              </w:rPr>
              <w:instrText xml:space="preserve"> PAGEREF _Toc184287649 \h </w:instrText>
            </w:r>
            <w:r w:rsidR="00116A84">
              <w:rPr>
                <w:noProof/>
                <w:webHidden/>
              </w:rPr>
            </w:r>
            <w:r w:rsidR="00116A84">
              <w:rPr>
                <w:noProof/>
                <w:webHidden/>
              </w:rPr>
              <w:fldChar w:fldCharType="separate"/>
            </w:r>
            <w:r w:rsidR="008E45AB">
              <w:rPr>
                <w:noProof/>
                <w:webHidden/>
              </w:rPr>
              <w:t>15</w:t>
            </w:r>
            <w:r w:rsidR="00116A84">
              <w:rPr>
                <w:noProof/>
                <w:webHidden/>
              </w:rPr>
              <w:fldChar w:fldCharType="end"/>
            </w:r>
          </w:hyperlink>
        </w:p>
        <w:p w14:paraId="3CAAA6A0" w14:textId="4740050C"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0" w:history="1">
            <w:r w:rsidR="00116A84" w:rsidRPr="008E654F">
              <w:rPr>
                <w:rStyle w:val="Hyperlink"/>
              </w:rPr>
              <w:t>2.4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Capital gains tax discount for individuals and trusts</w:t>
            </w:r>
            <w:r w:rsidR="00116A84">
              <w:rPr>
                <w:noProof/>
                <w:webHidden/>
              </w:rPr>
              <w:tab/>
            </w:r>
            <w:r w:rsidR="00116A84">
              <w:rPr>
                <w:noProof/>
                <w:webHidden/>
              </w:rPr>
              <w:fldChar w:fldCharType="begin"/>
            </w:r>
            <w:r w:rsidR="00116A84">
              <w:rPr>
                <w:noProof/>
                <w:webHidden/>
              </w:rPr>
              <w:instrText xml:space="preserve"> PAGEREF _Toc184287650 \h </w:instrText>
            </w:r>
            <w:r w:rsidR="00116A84">
              <w:rPr>
                <w:noProof/>
                <w:webHidden/>
              </w:rPr>
            </w:r>
            <w:r w:rsidR="00116A84">
              <w:rPr>
                <w:noProof/>
                <w:webHidden/>
              </w:rPr>
              <w:fldChar w:fldCharType="separate"/>
            </w:r>
            <w:r w:rsidR="008E45AB">
              <w:rPr>
                <w:noProof/>
                <w:webHidden/>
              </w:rPr>
              <w:t>18</w:t>
            </w:r>
            <w:r w:rsidR="00116A84">
              <w:rPr>
                <w:noProof/>
                <w:webHidden/>
              </w:rPr>
              <w:fldChar w:fldCharType="end"/>
            </w:r>
          </w:hyperlink>
        </w:p>
        <w:p w14:paraId="79C724CF" w14:textId="0CDA2760"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1" w:history="1">
            <w:r w:rsidR="00116A84" w:rsidRPr="008E654F">
              <w:rPr>
                <w:rStyle w:val="Hyperlink"/>
              </w:rPr>
              <w:t>2.5</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Lower tax rate for small companies</w:t>
            </w:r>
            <w:r w:rsidR="00116A84">
              <w:rPr>
                <w:noProof/>
                <w:webHidden/>
              </w:rPr>
              <w:tab/>
            </w:r>
            <w:r w:rsidR="00116A84">
              <w:rPr>
                <w:noProof/>
                <w:webHidden/>
              </w:rPr>
              <w:fldChar w:fldCharType="begin"/>
            </w:r>
            <w:r w:rsidR="00116A84">
              <w:rPr>
                <w:noProof/>
                <w:webHidden/>
              </w:rPr>
              <w:instrText xml:space="preserve"> PAGEREF _Toc184287651 \h </w:instrText>
            </w:r>
            <w:r w:rsidR="00116A84">
              <w:rPr>
                <w:noProof/>
                <w:webHidden/>
              </w:rPr>
            </w:r>
            <w:r w:rsidR="00116A84">
              <w:rPr>
                <w:noProof/>
                <w:webHidden/>
              </w:rPr>
              <w:fldChar w:fldCharType="separate"/>
            </w:r>
            <w:r w:rsidR="008E45AB">
              <w:rPr>
                <w:noProof/>
                <w:webHidden/>
              </w:rPr>
              <w:t>20</w:t>
            </w:r>
            <w:r w:rsidR="00116A84">
              <w:rPr>
                <w:noProof/>
                <w:webHidden/>
              </w:rPr>
              <w:fldChar w:fldCharType="end"/>
            </w:r>
          </w:hyperlink>
        </w:p>
        <w:p w14:paraId="67DC0D7C" w14:textId="374BF6C0"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2" w:history="1">
            <w:r w:rsidR="00116A84" w:rsidRPr="008E654F">
              <w:rPr>
                <w:rStyle w:val="Hyperlink"/>
              </w:rPr>
              <w:t>2.6</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Medicare levy low-income thresholds</w:t>
            </w:r>
            <w:r w:rsidR="00116A84">
              <w:rPr>
                <w:noProof/>
                <w:webHidden/>
              </w:rPr>
              <w:tab/>
            </w:r>
            <w:r w:rsidR="00116A84">
              <w:rPr>
                <w:noProof/>
                <w:webHidden/>
              </w:rPr>
              <w:fldChar w:fldCharType="begin"/>
            </w:r>
            <w:r w:rsidR="00116A84">
              <w:rPr>
                <w:noProof/>
                <w:webHidden/>
              </w:rPr>
              <w:instrText xml:space="preserve"> PAGEREF _Toc184287652 \h </w:instrText>
            </w:r>
            <w:r w:rsidR="00116A84">
              <w:rPr>
                <w:noProof/>
                <w:webHidden/>
              </w:rPr>
            </w:r>
            <w:r w:rsidR="00116A84">
              <w:rPr>
                <w:noProof/>
                <w:webHidden/>
              </w:rPr>
              <w:fldChar w:fldCharType="separate"/>
            </w:r>
            <w:r w:rsidR="008E45AB">
              <w:rPr>
                <w:noProof/>
                <w:webHidden/>
              </w:rPr>
              <w:t>22</w:t>
            </w:r>
            <w:r w:rsidR="00116A84">
              <w:rPr>
                <w:noProof/>
                <w:webHidden/>
              </w:rPr>
              <w:fldChar w:fldCharType="end"/>
            </w:r>
          </w:hyperlink>
        </w:p>
        <w:p w14:paraId="7FFE4AA6" w14:textId="2CE84084"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3" w:history="1">
            <w:r w:rsidR="00116A84" w:rsidRPr="008E654F">
              <w:rPr>
                <w:rStyle w:val="Hyperlink"/>
              </w:rPr>
              <w:t>2.7</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Individuals deductions for gifts and donations</w:t>
            </w:r>
            <w:r w:rsidR="00116A84">
              <w:rPr>
                <w:noProof/>
                <w:webHidden/>
              </w:rPr>
              <w:tab/>
            </w:r>
            <w:r w:rsidR="00116A84">
              <w:rPr>
                <w:noProof/>
                <w:webHidden/>
              </w:rPr>
              <w:fldChar w:fldCharType="begin"/>
            </w:r>
            <w:r w:rsidR="00116A84">
              <w:rPr>
                <w:noProof/>
                <w:webHidden/>
              </w:rPr>
              <w:instrText xml:space="preserve"> PAGEREF _Toc184287653 \h </w:instrText>
            </w:r>
            <w:r w:rsidR="00116A84">
              <w:rPr>
                <w:noProof/>
                <w:webHidden/>
              </w:rPr>
            </w:r>
            <w:r w:rsidR="00116A84">
              <w:rPr>
                <w:noProof/>
                <w:webHidden/>
              </w:rPr>
              <w:fldChar w:fldCharType="separate"/>
            </w:r>
            <w:r w:rsidR="008E45AB">
              <w:rPr>
                <w:noProof/>
                <w:webHidden/>
              </w:rPr>
              <w:t>24</w:t>
            </w:r>
            <w:r w:rsidR="00116A84">
              <w:rPr>
                <w:noProof/>
                <w:webHidden/>
              </w:rPr>
              <w:fldChar w:fldCharType="end"/>
            </w:r>
          </w:hyperlink>
        </w:p>
        <w:p w14:paraId="5982C521" w14:textId="45DC8D8F"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4" w:history="1">
            <w:r w:rsidR="00116A84" w:rsidRPr="008E654F">
              <w:rPr>
                <w:rStyle w:val="Hyperlink"/>
              </w:rPr>
              <w:t>2.8</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Medicare levy surcharge</w:t>
            </w:r>
            <w:r w:rsidR="00116A84">
              <w:rPr>
                <w:noProof/>
                <w:webHidden/>
              </w:rPr>
              <w:tab/>
            </w:r>
            <w:r w:rsidR="00116A84">
              <w:rPr>
                <w:noProof/>
                <w:webHidden/>
              </w:rPr>
              <w:fldChar w:fldCharType="begin"/>
            </w:r>
            <w:r w:rsidR="00116A84">
              <w:rPr>
                <w:noProof/>
                <w:webHidden/>
              </w:rPr>
              <w:instrText xml:space="preserve"> PAGEREF _Toc184287654 \h </w:instrText>
            </w:r>
            <w:r w:rsidR="00116A84">
              <w:rPr>
                <w:noProof/>
                <w:webHidden/>
              </w:rPr>
            </w:r>
            <w:r w:rsidR="00116A84">
              <w:rPr>
                <w:noProof/>
                <w:webHidden/>
              </w:rPr>
              <w:fldChar w:fldCharType="separate"/>
            </w:r>
            <w:r w:rsidR="008E45AB">
              <w:rPr>
                <w:noProof/>
                <w:webHidden/>
              </w:rPr>
              <w:t>26</w:t>
            </w:r>
            <w:r w:rsidR="00116A84">
              <w:rPr>
                <w:noProof/>
                <w:webHidden/>
              </w:rPr>
              <w:fldChar w:fldCharType="end"/>
            </w:r>
          </w:hyperlink>
        </w:p>
        <w:p w14:paraId="08D16287" w14:textId="6DC5DE8E"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55" w:history="1">
            <w:r w:rsidR="00116A84" w:rsidRPr="008E654F">
              <w:rPr>
                <w:rStyle w:val="Hyperlink"/>
              </w:rPr>
              <w:t>2.9</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Fonts w:cs="Arial"/>
              </w:rPr>
              <w:t>Seniors and pensioners tax offset</w:t>
            </w:r>
            <w:r w:rsidR="00116A84">
              <w:rPr>
                <w:noProof/>
                <w:webHidden/>
              </w:rPr>
              <w:tab/>
            </w:r>
            <w:r w:rsidR="00116A84">
              <w:rPr>
                <w:noProof/>
                <w:webHidden/>
              </w:rPr>
              <w:fldChar w:fldCharType="begin"/>
            </w:r>
            <w:r w:rsidR="00116A84">
              <w:rPr>
                <w:noProof/>
                <w:webHidden/>
              </w:rPr>
              <w:instrText xml:space="preserve"> PAGEREF _Toc184287655 \h </w:instrText>
            </w:r>
            <w:r w:rsidR="00116A84">
              <w:rPr>
                <w:noProof/>
                <w:webHidden/>
              </w:rPr>
            </w:r>
            <w:r w:rsidR="00116A84">
              <w:rPr>
                <w:noProof/>
                <w:webHidden/>
              </w:rPr>
              <w:fldChar w:fldCharType="separate"/>
            </w:r>
            <w:r w:rsidR="008E45AB">
              <w:rPr>
                <w:noProof/>
                <w:webHidden/>
              </w:rPr>
              <w:t>28</w:t>
            </w:r>
            <w:r w:rsidR="00116A84">
              <w:rPr>
                <w:noProof/>
                <w:webHidden/>
              </w:rPr>
              <w:fldChar w:fldCharType="end"/>
            </w:r>
          </w:hyperlink>
        </w:p>
        <w:p w14:paraId="63BD78DB" w14:textId="6FEC63DB"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6" w:history="1">
            <w:r w:rsidR="00116A84" w:rsidRPr="008E654F">
              <w:rPr>
                <w:rStyle w:val="Hyperlink"/>
              </w:rPr>
              <w:t>2.10</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Unincorporated small business tax discount</w:t>
            </w:r>
            <w:r w:rsidR="00116A84">
              <w:rPr>
                <w:noProof/>
                <w:webHidden/>
              </w:rPr>
              <w:tab/>
            </w:r>
            <w:r w:rsidR="00116A84">
              <w:rPr>
                <w:noProof/>
                <w:webHidden/>
              </w:rPr>
              <w:fldChar w:fldCharType="begin"/>
            </w:r>
            <w:r w:rsidR="00116A84">
              <w:rPr>
                <w:noProof/>
                <w:webHidden/>
              </w:rPr>
              <w:instrText xml:space="preserve"> PAGEREF _Toc184287656 \h </w:instrText>
            </w:r>
            <w:r w:rsidR="00116A84">
              <w:rPr>
                <w:noProof/>
                <w:webHidden/>
              </w:rPr>
            </w:r>
            <w:r w:rsidR="00116A84">
              <w:rPr>
                <w:noProof/>
                <w:webHidden/>
              </w:rPr>
              <w:fldChar w:fldCharType="separate"/>
            </w:r>
            <w:r w:rsidR="008E45AB">
              <w:rPr>
                <w:noProof/>
                <w:webHidden/>
              </w:rPr>
              <w:t>30</w:t>
            </w:r>
            <w:r w:rsidR="00116A84">
              <w:rPr>
                <w:noProof/>
                <w:webHidden/>
              </w:rPr>
              <w:fldChar w:fldCharType="end"/>
            </w:r>
          </w:hyperlink>
        </w:p>
        <w:p w14:paraId="76D26304" w14:textId="0B51C97C"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7" w:history="1">
            <w:r w:rsidR="00116A84" w:rsidRPr="008E654F">
              <w:rPr>
                <w:rStyle w:val="Hyperlink"/>
              </w:rPr>
              <w:t>2.11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Research and development tax incentive – refundable tax offset</w:t>
            </w:r>
            <w:r w:rsidR="00116A84">
              <w:rPr>
                <w:noProof/>
                <w:webHidden/>
              </w:rPr>
              <w:tab/>
            </w:r>
            <w:r w:rsidR="00116A84">
              <w:rPr>
                <w:noProof/>
                <w:webHidden/>
              </w:rPr>
              <w:fldChar w:fldCharType="begin"/>
            </w:r>
            <w:r w:rsidR="00116A84">
              <w:rPr>
                <w:noProof/>
                <w:webHidden/>
              </w:rPr>
              <w:instrText xml:space="preserve"> PAGEREF _Toc184287657 \h </w:instrText>
            </w:r>
            <w:r w:rsidR="00116A84">
              <w:rPr>
                <w:noProof/>
                <w:webHidden/>
              </w:rPr>
            </w:r>
            <w:r w:rsidR="00116A84">
              <w:rPr>
                <w:noProof/>
                <w:webHidden/>
              </w:rPr>
              <w:fldChar w:fldCharType="separate"/>
            </w:r>
            <w:r w:rsidR="008E45AB">
              <w:rPr>
                <w:noProof/>
                <w:webHidden/>
              </w:rPr>
              <w:t>32</w:t>
            </w:r>
            <w:r w:rsidR="00116A84">
              <w:rPr>
                <w:noProof/>
                <w:webHidden/>
              </w:rPr>
              <w:fldChar w:fldCharType="end"/>
            </w:r>
          </w:hyperlink>
        </w:p>
        <w:p w14:paraId="002D7B28" w14:textId="54349196"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8" w:history="1">
            <w:r w:rsidR="00116A84" w:rsidRPr="008E654F">
              <w:rPr>
                <w:rStyle w:val="Hyperlink"/>
              </w:rPr>
              <w:t>2.12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Research and development tax incentive – non</w:t>
            </w:r>
            <w:r w:rsidR="00116A84" w:rsidRPr="008E654F">
              <w:rPr>
                <w:rStyle w:val="Hyperlink"/>
              </w:rPr>
              <w:noBreakHyphen/>
              <w:t>refundable tax offset</w:t>
            </w:r>
            <w:r w:rsidR="00116A84">
              <w:rPr>
                <w:noProof/>
                <w:webHidden/>
              </w:rPr>
              <w:tab/>
            </w:r>
            <w:r w:rsidR="00116A84">
              <w:rPr>
                <w:noProof/>
                <w:webHidden/>
              </w:rPr>
              <w:fldChar w:fldCharType="begin"/>
            </w:r>
            <w:r w:rsidR="00116A84">
              <w:rPr>
                <w:noProof/>
                <w:webHidden/>
              </w:rPr>
              <w:instrText xml:space="preserve"> PAGEREF _Toc184287658 \h </w:instrText>
            </w:r>
            <w:r w:rsidR="00116A84">
              <w:rPr>
                <w:noProof/>
                <w:webHidden/>
              </w:rPr>
            </w:r>
            <w:r w:rsidR="00116A84">
              <w:rPr>
                <w:noProof/>
                <w:webHidden/>
              </w:rPr>
              <w:fldChar w:fldCharType="separate"/>
            </w:r>
            <w:r w:rsidR="008E45AB">
              <w:rPr>
                <w:noProof/>
                <w:webHidden/>
              </w:rPr>
              <w:t>35</w:t>
            </w:r>
            <w:r w:rsidR="00116A84">
              <w:rPr>
                <w:noProof/>
                <w:webHidden/>
              </w:rPr>
              <w:fldChar w:fldCharType="end"/>
            </w:r>
          </w:hyperlink>
        </w:p>
        <w:p w14:paraId="6BDA53D1" w14:textId="518042A0"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59" w:history="1">
            <w:r w:rsidR="00116A84" w:rsidRPr="008E654F">
              <w:rPr>
                <w:rStyle w:val="Hyperlink"/>
              </w:rPr>
              <w:t>2.13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Rental deductions</w:t>
            </w:r>
            <w:r w:rsidR="00116A84">
              <w:rPr>
                <w:noProof/>
                <w:webHidden/>
              </w:rPr>
              <w:tab/>
            </w:r>
            <w:r w:rsidR="00116A84">
              <w:rPr>
                <w:noProof/>
                <w:webHidden/>
              </w:rPr>
              <w:fldChar w:fldCharType="begin"/>
            </w:r>
            <w:r w:rsidR="00116A84">
              <w:rPr>
                <w:noProof/>
                <w:webHidden/>
              </w:rPr>
              <w:instrText xml:space="preserve"> PAGEREF _Toc184287659 \h </w:instrText>
            </w:r>
            <w:r w:rsidR="00116A84">
              <w:rPr>
                <w:noProof/>
                <w:webHidden/>
              </w:rPr>
            </w:r>
            <w:r w:rsidR="00116A84">
              <w:rPr>
                <w:noProof/>
                <w:webHidden/>
              </w:rPr>
              <w:fldChar w:fldCharType="separate"/>
            </w:r>
            <w:r w:rsidR="008E45AB">
              <w:rPr>
                <w:noProof/>
                <w:webHidden/>
              </w:rPr>
              <w:t>38</w:t>
            </w:r>
            <w:r w:rsidR="00116A84">
              <w:rPr>
                <w:noProof/>
                <w:webHidden/>
              </w:rPr>
              <w:fldChar w:fldCharType="end"/>
            </w:r>
          </w:hyperlink>
        </w:p>
        <w:p w14:paraId="31CE722A" w14:textId="5EA5281F"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0" w:history="1">
            <w:r w:rsidR="00116A84" w:rsidRPr="008E654F">
              <w:rPr>
                <w:rStyle w:val="Hyperlink"/>
              </w:rPr>
              <w:t>2.14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Work-related expenses</w:t>
            </w:r>
            <w:r w:rsidR="00116A84">
              <w:rPr>
                <w:noProof/>
                <w:webHidden/>
              </w:rPr>
              <w:tab/>
            </w:r>
            <w:r w:rsidR="00116A84">
              <w:rPr>
                <w:noProof/>
                <w:webHidden/>
              </w:rPr>
              <w:fldChar w:fldCharType="begin"/>
            </w:r>
            <w:r w:rsidR="00116A84">
              <w:rPr>
                <w:noProof/>
                <w:webHidden/>
              </w:rPr>
              <w:instrText xml:space="preserve"> PAGEREF _Toc184287660 \h </w:instrText>
            </w:r>
            <w:r w:rsidR="00116A84">
              <w:rPr>
                <w:noProof/>
                <w:webHidden/>
              </w:rPr>
            </w:r>
            <w:r w:rsidR="00116A84">
              <w:rPr>
                <w:noProof/>
                <w:webHidden/>
              </w:rPr>
              <w:fldChar w:fldCharType="separate"/>
            </w:r>
            <w:r w:rsidR="008E45AB">
              <w:rPr>
                <w:noProof/>
                <w:webHidden/>
              </w:rPr>
              <w:t>41</w:t>
            </w:r>
            <w:r w:rsidR="00116A84">
              <w:rPr>
                <w:noProof/>
                <w:webHidden/>
              </w:rPr>
              <w:fldChar w:fldCharType="end"/>
            </w:r>
          </w:hyperlink>
        </w:p>
        <w:p w14:paraId="57FE7313" w14:textId="2093F572"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1" w:history="1">
            <w:r w:rsidR="00116A84" w:rsidRPr="008E654F">
              <w:rPr>
                <w:rStyle w:val="Hyperlink"/>
              </w:rPr>
              <w:t>2.15</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Cost of managing tax affairs and other deductions</w:t>
            </w:r>
            <w:r w:rsidR="00116A84">
              <w:rPr>
                <w:noProof/>
                <w:webHidden/>
              </w:rPr>
              <w:tab/>
            </w:r>
            <w:r w:rsidR="00116A84">
              <w:rPr>
                <w:noProof/>
                <w:webHidden/>
              </w:rPr>
              <w:fldChar w:fldCharType="begin"/>
            </w:r>
            <w:r w:rsidR="00116A84">
              <w:rPr>
                <w:noProof/>
                <w:webHidden/>
              </w:rPr>
              <w:instrText xml:space="preserve"> PAGEREF _Toc184287661 \h </w:instrText>
            </w:r>
            <w:r w:rsidR="00116A84">
              <w:rPr>
                <w:noProof/>
                <w:webHidden/>
              </w:rPr>
            </w:r>
            <w:r w:rsidR="00116A84">
              <w:rPr>
                <w:noProof/>
                <w:webHidden/>
              </w:rPr>
              <w:fldChar w:fldCharType="separate"/>
            </w:r>
            <w:r w:rsidR="008E45AB">
              <w:rPr>
                <w:noProof/>
                <w:webHidden/>
              </w:rPr>
              <w:t>44</w:t>
            </w:r>
            <w:r w:rsidR="00116A84">
              <w:rPr>
                <w:noProof/>
                <w:webHidden/>
              </w:rPr>
              <w:fldChar w:fldCharType="end"/>
            </w:r>
          </w:hyperlink>
        </w:p>
        <w:p w14:paraId="5791741F" w14:textId="7E636E7A"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2" w:history="1">
            <w:r w:rsidR="00116A84" w:rsidRPr="008E654F">
              <w:rPr>
                <w:rStyle w:val="Hyperlink"/>
              </w:rPr>
              <w:t>2.16</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Trust distributions to individuals</w:t>
            </w:r>
            <w:r w:rsidR="00116A84">
              <w:rPr>
                <w:noProof/>
                <w:webHidden/>
              </w:rPr>
              <w:tab/>
            </w:r>
            <w:r w:rsidR="00116A84">
              <w:rPr>
                <w:noProof/>
                <w:webHidden/>
              </w:rPr>
              <w:fldChar w:fldCharType="begin"/>
            </w:r>
            <w:r w:rsidR="00116A84">
              <w:rPr>
                <w:noProof/>
                <w:webHidden/>
              </w:rPr>
              <w:instrText xml:space="preserve"> PAGEREF _Toc184287662 \h </w:instrText>
            </w:r>
            <w:r w:rsidR="00116A84">
              <w:rPr>
                <w:noProof/>
                <w:webHidden/>
              </w:rPr>
            </w:r>
            <w:r w:rsidR="00116A84">
              <w:rPr>
                <w:noProof/>
                <w:webHidden/>
              </w:rPr>
              <w:fldChar w:fldCharType="separate"/>
            </w:r>
            <w:r w:rsidR="008E45AB">
              <w:rPr>
                <w:noProof/>
                <w:webHidden/>
              </w:rPr>
              <w:t>47</w:t>
            </w:r>
            <w:r w:rsidR="00116A84">
              <w:rPr>
                <w:noProof/>
                <w:webHidden/>
              </w:rPr>
              <w:fldChar w:fldCharType="end"/>
            </w:r>
          </w:hyperlink>
        </w:p>
        <w:p w14:paraId="0220A966" w14:textId="508F4B30" w:rsidR="00116A84" w:rsidRDefault="00EF29F4">
          <w:pPr>
            <w:pStyle w:val="TOC2"/>
            <w:tabs>
              <w:tab w:val="left" w:pos="2027"/>
            </w:tabs>
            <w:rPr>
              <w:rFonts w:asciiTheme="minorHAnsi" w:eastAsiaTheme="minorEastAsia" w:hAnsiTheme="minorHAnsi" w:cstheme="minorBidi"/>
              <w:noProof/>
              <w:kern w:val="2"/>
              <w:sz w:val="22"/>
              <w:szCs w:val="22"/>
              <w14:ligatures w14:val="standardContextual"/>
            </w:rPr>
          </w:pPr>
          <w:hyperlink w:anchor="_Toc184287663" w:history="1">
            <w:r w:rsidR="00116A84" w:rsidRPr="008E654F">
              <w:rPr>
                <w:rStyle w:val="Hyperlink"/>
              </w:rPr>
              <w:t>2.17</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Franking credits received by individuals</w:t>
            </w:r>
            <w:r w:rsidR="00116A84">
              <w:rPr>
                <w:noProof/>
                <w:webHidden/>
              </w:rPr>
              <w:tab/>
            </w:r>
            <w:r w:rsidR="00116A84">
              <w:rPr>
                <w:noProof/>
                <w:webHidden/>
              </w:rPr>
              <w:fldChar w:fldCharType="begin"/>
            </w:r>
            <w:r w:rsidR="00116A84">
              <w:rPr>
                <w:noProof/>
                <w:webHidden/>
              </w:rPr>
              <w:instrText xml:space="preserve"> PAGEREF _Toc184287663 \h </w:instrText>
            </w:r>
            <w:r w:rsidR="00116A84">
              <w:rPr>
                <w:noProof/>
                <w:webHidden/>
              </w:rPr>
            </w:r>
            <w:r w:rsidR="00116A84">
              <w:rPr>
                <w:noProof/>
                <w:webHidden/>
              </w:rPr>
              <w:fldChar w:fldCharType="separate"/>
            </w:r>
            <w:r w:rsidR="008E45AB">
              <w:rPr>
                <w:noProof/>
                <w:webHidden/>
              </w:rPr>
              <w:t>50</w:t>
            </w:r>
            <w:r w:rsidR="00116A84">
              <w:rPr>
                <w:noProof/>
                <w:webHidden/>
              </w:rPr>
              <w:fldChar w:fldCharType="end"/>
            </w:r>
          </w:hyperlink>
        </w:p>
        <w:p w14:paraId="3A0F6341" w14:textId="6B01F60A" w:rsidR="00116A84" w:rsidRDefault="00EF29F4">
          <w:pPr>
            <w:pStyle w:val="TOC1"/>
            <w:rPr>
              <w:rFonts w:asciiTheme="minorHAnsi" w:eastAsiaTheme="minorEastAsia" w:hAnsiTheme="minorHAnsi" w:cstheme="minorBidi"/>
              <w:b w:val="0"/>
              <w:smallCaps w:val="0"/>
              <w:noProof/>
              <w:color w:val="auto"/>
              <w:kern w:val="2"/>
              <w:sz w:val="22"/>
              <w:szCs w:val="22"/>
              <w14:ligatures w14:val="standardContextual"/>
            </w:rPr>
          </w:pPr>
          <w:hyperlink w:anchor="_Toc184287664" w:history="1">
            <w:r w:rsidR="00116A84" w:rsidRPr="008E654F">
              <w:rPr>
                <w:rStyle w:val="Hyperlink"/>
              </w:rPr>
              <w:t>Appendix</w:t>
            </w:r>
            <w:r w:rsidR="00116A84">
              <w:rPr>
                <w:noProof/>
                <w:webHidden/>
              </w:rPr>
              <w:tab/>
            </w:r>
            <w:r w:rsidR="00116A84">
              <w:rPr>
                <w:noProof/>
                <w:webHidden/>
              </w:rPr>
              <w:tab/>
            </w:r>
            <w:r w:rsidR="00116A84">
              <w:rPr>
                <w:noProof/>
                <w:webHidden/>
              </w:rPr>
              <w:fldChar w:fldCharType="begin"/>
            </w:r>
            <w:r w:rsidR="00116A84">
              <w:rPr>
                <w:noProof/>
                <w:webHidden/>
              </w:rPr>
              <w:instrText xml:space="preserve"> PAGEREF _Toc184287664 \h </w:instrText>
            </w:r>
            <w:r w:rsidR="00116A84">
              <w:rPr>
                <w:noProof/>
                <w:webHidden/>
              </w:rPr>
            </w:r>
            <w:r w:rsidR="00116A84">
              <w:rPr>
                <w:noProof/>
                <w:webHidden/>
              </w:rPr>
              <w:fldChar w:fldCharType="separate"/>
            </w:r>
            <w:r w:rsidR="008E45AB">
              <w:rPr>
                <w:noProof/>
                <w:webHidden/>
              </w:rPr>
              <w:t>53</w:t>
            </w:r>
            <w:r w:rsidR="00116A84">
              <w:rPr>
                <w:noProof/>
                <w:webHidden/>
              </w:rPr>
              <w:fldChar w:fldCharType="end"/>
            </w:r>
          </w:hyperlink>
        </w:p>
        <w:p w14:paraId="7B5F8D1A" w14:textId="16569938"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5" w:history="1">
            <w:r w:rsidR="00116A84" w:rsidRPr="008E654F">
              <w:rPr>
                <w:rStyle w:val="Hyperlink"/>
              </w:rPr>
              <w:t>A.1</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Revenue forgone estimates for all tax expenditures</w:t>
            </w:r>
            <w:r w:rsidR="00116A84">
              <w:rPr>
                <w:noProof/>
                <w:webHidden/>
              </w:rPr>
              <w:tab/>
            </w:r>
            <w:r w:rsidR="00116A84">
              <w:rPr>
                <w:noProof/>
                <w:webHidden/>
              </w:rPr>
              <w:fldChar w:fldCharType="begin"/>
            </w:r>
            <w:r w:rsidR="00116A84">
              <w:rPr>
                <w:noProof/>
                <w:webHidden/>
              </w:rPr>
              <w:instrText xml:space="preserve"> PAGEREF _Toc184287665 \h </w:instrText>
            </w:r>
            <w:r w:rsidR="00116A84">
              <w:rPr>
                <w:noProof/>
                <w:webHidden/>
              </w:rPr>
            </w:r>
            <w:r w:rsidR="00116A84">
              <w:rPr>
                <w:noProof/>
                <w:webHidden/>
              </w:rPr>
              <w:fldChar w:fldCharType="separate"/>
            </w:r>
            <w:r w:rsidR="008E45AB">
              <w:rPr>
                <w:noProof/>
                <w:webHidden/>
              </w:rPr>
              <w:t>53</w:t>
            </w:r>
            <w:r w:rsidR="00116A84">
              <w:rPr>
                <w:noProof/>
                <w:webHidden/>
              </w:rPr>
              <w:fldChar w:fldCharType="end"/>
            </w:r>
          </w:hyperlink>
        </w:p>
        <w:p w14:paraId="1BB52325" w14:textId="36C7BCB5"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6" w:history="1">
            <w:r w:rsidR="00116A84" w:rsidRPr="008E654F">
              <w:rPr>
                <w:rStyle w:val="Hyperlink"/>
              </w:rPr>
              <w:t>A.2</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Benchmarks</w:t>
            </w:r>
            <w:r w:rsidR="00116A84">
              <w:rPr>
                <w:noProof/>
                <w:webHidden/>
              </w:rPr>
              <w:tab/>
            </w:r>
            <w:r w:rsidR="00116A84">
              <w:rPr>
                <w:noProof/>
                <w:webHidden/>
              </w:rPr>
              <w:fldChar w:fldCharType="begin"/>
            </w:r>
            <w:r w:rsidR="00116A84">
              <w:rPr>
                <w:noProof/>
                <w:webHidden/>
              </w:rPr>
              <w:instrText xml:space="preserve"> PAGEREF _Toc184287666 \h </w:instrText>
            </w:r>
            <w:r w:rsidR="00116A84">
              <w:rPr>
                <w:noProof/>
                <w:webHidden/>
              </w:rPr>
            </w:r>
            <w:r w:rsidR="00116A84">
              <w:rPr>
                <w:noProof/>
                <w:webHidden/>
              </w:rPr>
              <w:fldChar w:fldCharType="separate"/>
            </w:r>
            <w:r w:rsidR="008E45AB">
              <w:rPr>
                <w:noProof/>
                <w:webHidden/>
              </w:rPr>
              <w:t>198</w:t>
            </w:r>
            <w:r w:rsidR="00116A84">
              <w:rPr>
                <w:noProof/>
                <w:webHidden/>
              </w:rPr>
              <w:fldChar w:fldCharType="end"/>
            </w:r>
          </w:hyperlink>
        </w:p>
        <w:p w14:paraId="0F12104C" w14:textId="22A29C63"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7" w:history="1">
            <w:r w:rsidR="00116A84" w:rsidRPr="008E654F">
              <w:rPr>
                <w:rStyle w:val="Hyperlink"/>
              </w:rPr>
              <w:t>A.3</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Major updates to estimates from the 2023–24 TEIS</w:t>
            </w:r>
            <w:r w:rsidR="00116A84">
              <w:rPr>
                <w:noProof/>
                <w:webHidden/>
              </w:rPr>
              <w:tab/>
            </w:r>
            <w:r w:rsidR="00116A84">
              <w:rPr>
                <w:noProof/>
                <w:webHidden/>
              </w:rPr>
              <w:fldChar w:fldCharType="begin"/>
            </w:r>
            <w:r w:rsidR="00116A84">
              <w:rPr>
                <w:noProof/>
                <w:webHidden/>
              </w:rPr>
              <w:instrText xml:space="preserve"> PAGEREF _Toc184287667 \h </w:instrText>
            </w:r>
            <w:r w:rsidR="00116A84">
              <w:rPr>
                <w:noProof/>
                <w:webHidden/>
              </w:rPr>
            </w:r>
            <w:r w:rsidR="00116A84">
              <w:rPr>
                <w:noProof/>
                <w:webHidden/>
              </w:rPr>
              <w:fldChar w:fldCharType="separate"/>
            </w:r>
            <w:r w:rsidR="008E45AB">
              <w:rPr>
                <w:noProof/>
                <w:webHidden/>
              </w:rPr>
              <w:t>208</w:t>
            </w:r>
            <w:r w:rsidR="00116A84">
              <w:rPr>
                <w:noProof/>
                <w:webHidden/>
              </w:rPr>
              <w:fldChar w:fldCharType="end"/>
            </w:r>
          </w:hyperlink>
        </w:p>
        <w:p w14:paraId="4307DC85" w14:textId="2F4F8A93" w:rsidR="00116A84" w:rsidRDefault="00EF29F4">
          <w:pPr>
            <w:pStyle w:val="TOC2"/>
            <w:tabs>
              <w:tab w:val="left" w:pos="1985"/>
            </w:tabs>
            <w:rPr>
              <w:rFonts w:asciiTheme="minorHAnsi" w:eastAsiaTheme="minorEastAsia" w:hAnsiTheme="minorHAnsi" w:cstheme="minorBidi"/>
              <w:noProof/>
              <w:kern w:val="2"/>
              <w:sz w:val="22"/>
              <w:szCs w:val="22"/>
              <w14:ligatures w14:val="standardContextual"/>
            </w:rPr>
          </w:pPr>
          <w:hyperlink w:anchor="_Toc184287668" w:history="1">
            <w:r w:rsidR="00116A84" w:rsidRPr="008E654F">
              <w:rPr>
                <w:rStyle w:val="Hyperlink"/>
              </w:rPr>
              <w:t>A.4</w:t>
            </w:r>
            <w:r w:rsidR="00116A84">
              <w:rPr>
                <w:rFonts w:asciiTheme="minorHAnsi" w:eastAsiaTheme="minorEastAsia" w:hAnsiTheme="minorHAnsi" w:cstheme="minorBidi"/>
                <w:noProof/>
                <w:kern w:val="2"/>
                <w:sz w:val="22"/>
                <w:szCs w:val="22"/>
                <w14:ligatures w14:val="standardContextual"/>
              </w:rPr>
              <w:tab/>
            </w:r>
            <w:r w:rsidR="00116A84" w:rsidRPr="008E654F">
              <w:rPr>
                <w:rStyle w:val="Hyperlink"/>
              </w:rPr>
              <w:t>Data and methodology for distributional analysis</w:t>
            </w:r>
            <w:r w:rsidR="00116A84">
              <w:rPr>
                <w:noProof/>
                <w:webHidden/>
              </w:rPr>
              <w:tab/>
            </w:r>
            <w:r w:rsidR="00116A84">
              <w:rPr>
                <w:noProof/>
                <w:webHidden/>
              </w:rPr>
              <w:fldChar w:fldCharType="begin"/>
            </w:r>
            <w:r w:rsidR="00116A84">
              <w:rPr>
                <w:noProof/>
                <w:webHidden/>
              </w:rPr>
              <w:instrText xml:space="preserve"> PAGEREF _Toc184287668 \h </w:instrText>
            </w:r>
            <w:r w:rsidR="00116A84">
              <w:rPr>
                <w:noProof/>
                <w:webHidden/>
              </w:rPr>
            </w:r>
            <w:r w:rsidR="00116A84">
              <w:rPr>
                <w:noProof/>
                <w:webHidden/>
              </w:rPr>
              <w:fldChar w:fldCharType="separate"/>
            </w:r>
            <w:r w:rsidR="008E45AB">
              <w:rPr>
                <w:noProof/>
                <w:webHidden/>
              </w:rPr>
              <w:t>209</w:t>
            </w:r>
            <w:r w:rsidR="00116A84">
              <w:rPr>
                <w:noProof/>
                <w:webHidden/>
              </w:rPr>
              <w:fldChar w:fldCharType="end"/>
            </w:r>
          </w:hyperlink>
        </w:p>
        <w:p w14:paraId="2006B7B4" w14:textId="28025CB3" w:rsidR="00273AA1" w:rsidRDefault="00776E5E" w:rsidP="00B96752">
          <w:r>
            <w:rPr>
              <w:sz w:val="16"/>
              <w:szCs w:val="16"/>
            </w:rPr>
            <w:fldChar w:fldCharType="end"/>
          </w:r>
        </w:p>
      </w:sdtContent>
    </w:sdt>
    <w:bookmarkStart w:id="0" w:name="_Toc273837785" w:displacedByCustomXml="prev"/>
    <w:bookmarkStart w:id="1" w:name="_Toc874369571" w:displacedByCustomXml="prev"/>
    <w:bookmarkStart w:id="2" w:name="_Toc9084349" w:displacedByCustomXml="prev"/>
    <w:p w14:paraId="695DFF73" w14:textId="02634DCD" w:rsidR="00273AA1" w:rsidRPr="00273AA1" w:rsidRDefault="00273AA1" w:rsidP="00273AA1">
      <w:pPr>
        <w:tabs>
          <w:tab w:val="center" w:pos="3855"/>
        </w:tabs>
        <w:sectPr w:rsidR="00273AA1" w:rsidRPr="00273AA1">
          <w:headerReference w:type="even" r:id="rId13"/>
          <w:headerReference w:type="default" r:id="rId14"/>
          <w:footerReference w:type="default" r:id="rId15"/>
          <w:headerReference w:type="first" r:id="rId16"/>
          <w:pgSz w:w="11907" w:h="16840" w:code="9"/>
          <w:pgMar w:top="2466" w:right="2098" w:bottom="2466" w:left="2098" w:header="1899" w:footer="1899" w:gutter="0"/>
          <w:pgNumType w:start="1"/>
          <w:cols w:space="720"/>
          <w:titlePg/>
          <w:docGrid w:linePitch="360"/>
        </w:sectPr>
      </w:pPr>
    </w:p>
    <w:p w14:paraId="561DD7C9" w14:textId="5136BA99" w:rsidR="00546AD5" w:rsidRPr="00273AA1" w:rsidRDefault="00546AD5" w:rsidP="00546AD5">
      <w:pPr>
        <w:pStyle w:val="Heading1"/>
      </w:pPr>
      <w:bookmarkStart w:id="3" w:name="_Toc184287642"/>
      <w:r w:rsidRPr="00273AA1">
        <w:lastRenderedPageBreak/>
        <w:t>Chapter 1: Introduction</w:t>
      </w:r>
      <w:bookmarkEnd w:id="3"/>
      <w:bookmarkEnd w:id="2"/>
      <w:bookmarkEnd w:id="1"/>
      <w:bookmarkEnd w:id="0"/>
    </w:p>
    <w:p w14:paraId="51EC2145" w14:textId="77777777" w:rsidR="004353F4" w:rsidRPr="00DD2408" w:rsidRDefault="004353F4" w:rsidP="00DD2408">
      <w:bookmarkStart w:id="4" w:name="_Toc58871621"/>
      <w:bookmarkStart w:id="5" w:name="_Toc896692938"/>
      <w:bookmarkStart w:id="6" w:name="_Toc121385172"/>
      <w:bookmarkStart w:id="7" w:name="_Toc1078447061"/>
      <w:r w:rsidRPr="00DD2408">
        <w:t xml:space="preserve">The Tax Expenditures and Insights Statement (TEIS) provides estimates of the revenue forgone from tax expenditures, along with distributional analysis on large tax expenditures and commonly utilised features of the tax system. </w:t>
      </w:r>
    </w:p>
    <w:p w14:paraId="6AC53971" w14:textId="2B83CE6A" w:rsidR="004353F4" w:rsidRPr="00273AA1" w:rsidRDefault="004353F4" w:rsidP="002473EF">
      <w:r w:rsidRPr="00273AA1">
        <w:t>Transparent reporting of tax expenditures and other aspects of the tax system provides a more complete picture of the impact of government policies on individuals, households and business, and any revenue forgone. The TEIS reports information about revenue the Government does not collect through tax expenditures</w:t>
      </w:r>
      <w:r w:rsidR="00190A50">
        <w:t>,</w:t>
      </w:r>
      <w:r w:rsidRPr="00273AA1">
        <w:t xml:space="preserve"> such as:</w:t>
      </w:r>
    </w:p>
    <w:p w14:paraId="2B399B0A" w14:textId="625A22BD" w:rsidR="004353F4" w:rsidRPr="00273AA1" w:rsidRDefault="003A2119" w:rsidP="004353F4">
      <w:pPr>
        <w:pStyle w:val="Bullet"/>
      </w:pPr>
      <w:r>
        <w:t>c</w:t>
      </w:r>
      <w:r w:rsidR="004353F4" w:rsidRPr="00273AA1">
        <w:t>oncessional rates that reduce the rate of tax that applies to certain groups or types of incomes</w:t>
      </w:r>
    </w:p>
    <w:p w14:paraId="5BFD9331" w14:textId="37D1EA4B" w:rsidR="004353F4" w:rsidRPr="00273AA1" w:rsidRDefault="003A2119" w:rsidP="004353F4">
      <w:pPr>
        <w:pStyle w:val="Bullet"/>
      </w:pPr>
      <w:r>
        <w:t>e</w:t>
      </w:r>
      <w:r w:rsidR="004353F4" w:rsidRPr="00273AA1">
        <w:t>xemptions that exclude certain groups from paying tax on income they receive</w:t>
      </w:r>
    </w:p>
    <w:p w14:paraId="2A04A05C" w14:textId="6874422E" w:rsidR="004353F4" w:rsidRPr="00273AA1" w:rsidRDefault="003A2119" w:rsidP="004353F4">
      <w:pPr>
        <w:pStyle w:val="Bullet"/>
      </w:pPr>
      <w:r>
        <w:t>a</w:t>
      </w:r>
      <w:r w:rsidR="004353F4" w:rsidRPr="00273AA1">
        <w:t>llowances, credits or rebates that either deduct amounts of income from the tax base or refund a portion of taxes already paid</w:t>
      </w:r>
    </w:p>
    <w:p w14:paraId="0E88AFEF" w14:textId="4F1BDA44" w:rsidR="004353F4" w:rsidRPr="00273AA1" w:rsidRDefault="003A2119" w:rsidP="004353F4">
      <w:pPr>
        <w:pStyle w:val="Bullet"/>
      </w:pPr>
      <w:r>
        <w:t>t</w:t>
      </w:r>
      <w:r w:rsidR="004353F4" w:rsidRPr="00273AA1">
        <w:t xml:space="preserve">ax deferrals that postpone paying of taxes until a later date. </w:t>
      </w:r>
    </w:p>
    <w:p w14:paraId="2CD21461" w14:textId="77777777" w:rsidR="004353F4" w:rsidRPr="00273AA1" w:rsidRDefault="004353F4" w:rsidP="004353F4">
      <w:pPr>
        <w:spacing w:after="220"/>
      </w:pPr>
      <w:r w:rsidRPr="00273AA1">
        <w:t>A table of all tax expenditures and estimates of their revenue forgone can be found in Appendix A.1.</w:t>
      </w:r>
    </w:p>
    <w:p w14:paraId="12649BB1" w14:textId="4D08686C" w:rsidR="004353F4" w:rsidRPr="00273AA1" w:rsidRDefault="004353F4" w:rsidP="002473EF">
      <w:r w:rsidRPr="00273AA1">
        <w:t xml:space="preserve">Distributional analysis is presented for large </w:t>
      </w:r>
      <w:r w:rsidR="00B05EAF">
        <w:t>tax</w:t>
      </w:r>
      <w:r w:rsidRPr="00273AA1">
        <w:t xml:space="preserve"> expenditures and aspects of the personal income tax system that form part of many taxpayers’ affairs, where reliable data is available. This information enables comparison of the groups which utilise these features including by level of income, gender, age and industry where relevant and where data is available. </w:t>
      </w:r>
    </w:p>
    <w:p w14:paraId="4ADFF9DF" w14:textId="77777777" w:rsidR="004760A5" w:rsidRDefault="004353F4" w:rsidP="004353F4">
      <w:pPr>
        <w:rPr>
          <w:rStyle w:val="Emphasis"/>
        </w:rPr>
      </w:pPr>
      <w:r w:rsidRPr="00273AA1">
        <w:t xml:space="preserve">The TEIS supplements other Government publications by providing information on Australian Government tax expenditures as required by Section 16 of the </w:t>
      </w:r>
      <w:r w:rsidRPr="004760A5">
        <w:rPr>
          <w:rStyle w:val="Emphasis"/>
        </w:rPr>
        <w:t>Charter of Budget Honesty Act 1998</w:t>
      </w:r>
      <w:r w:rsidRPr="00273AA1">
        <w:t xml:space="preserve"> and reflects policy up to and including the </w:t>
      </w:r>
      <w:r w:rsidRPr="004760A5">
        <w:rPr>
          <w:rStyle w:val="Emphasis"/>
        </w:rPr>
        <w:t>20</w:t>
      </w:r>
      <w:r w:rsidR="00D9318B" w:rsidRPr="004760A5">
        <w:rPr>
          <w:rStyle w:val="Emphasis"/>
        </w:rPr>
        <w:t>24-25</w:t>
      </w:r>
      <w:r w:rsidRPr="004760A5">
        <w:rPr>
          <w:rStyle w:val="Emphasis"/>
        </w:rPr>
        <w:t xml:space="preserve"> Mid-Year Economic and Fiscal Outlook.</w:t>
      </w:r>
    </w:p>
    <w:p w14:paraId="04D8802D" w14:textId="6CB3DADB" w:rsidR="004353F4" w:rsidRPr="00273AA1" w:rsidRDefault="004353F4" w:rsidP="004353F4">
      <w:r w:rsidRPr="00273AA1">
        <w:t>The TEIS is not a statement of policy intent. The information and analysis presented is intended to increase transparency about the impacts of tax expenditures and other features of the tax system.</w:t>
      </w:r>
    </w:p>
    <w:p w14:paraId="00B9E1F1" w14:textId="077D74DD" w:rsidR="00546AD5" w:rsidRPr="00273AA1" w:rsidRDefault="00546AD5" w:rsidP="006A2C83">
      <w:pPr>
        <w:pStyle w:val="Heading2"/>
        <w:numPr>
          <w:ilvl w:val="1"/>
          <w:numId w:val="49"/>
        </w:numPr>
      </w:pPr>
      <w:bookmarkStart w:id="8" w:name="_Toc184287643"/>
      <w:r w:rsidRPr="00273AA1">
        <w:t>What is a tax expenditure?</w:t>
      </w:r>
      <w:bookmarkStart w:id="9" w:name="_Toc504467595"/>
      <w:bookmarkEnd w:id="4"/>
      <w:bookmarkEnd w:id="5"/>
      <w:bookmarkEnd w:id="6"/>
      <w:bookmarkEnd w:id="7"/>
      <w:bookmarkEnd w:id="8"/>
    </w:p>
    <w:p w14:paraId="485166A1" w14:textId="47F08604" w:rsidR="00CA4A61" w:rsidRDefault="00A924C4" w:rsidP="00A924C4">
      <w:pPr>
        <w:spacing w:after="220"/>
      </w:pPr>
      <w:bookmarkStart w:id="10" w:name="_Toc504467596"/>
      <w:bookmarkStart w:id="11" w:name="_Toc58871623"/>
      <w:bookmarkStart w:id="12" w:name="_Toc1827580650"/>
      <w:bookmarkStart w:id="13" w:name="_Toc205317223"/>
      <w:bookmarkStart w:id="14" w:name="_Toc5852772"/>
      <w:bookmarkEnd w:id="9"/>
      <w:r w:rsidRPr="00273AA1">
        <w:t xml:space="preserve">A tax expenditure arises where the tax treatment of a class of taxpayer or an activity differs from the standard tax treatment (tax benchmark) that would otherwise apply. Tax expenditures can include tax exemptions, some deductions, rebates and offsets, concessional or higher tax rates applying to a specific class of taxpayers, and deferrals of tax liability. </w:t>
      </w:r>
    </w:p>
    <w:p w14:paraId="087CFDA8" w14:textId="77777777" w:rsidR="00A924C4" w:rsidRPr="00273AA1" w:rsidRDefault="00A924C4" w:rsidP="00A924C4">
      <w:pPr>
        <w:spacing w:after="220"/>
      </w:pPr>
      <w:r w:rsidRPr="00273AA1">
        <w:t xml:space="preserve">The tax benchmarks used in the TEIS have been chosen in a way that attempts to apply a consistent tax treatment to similar taxpayers and similar activities, consistent with past tax expenditures statements. The benchmarks aim to incorporate a comprehensive definition of income and taxable activity, and typically include the current rates of tax generally applied to that activity, including progressive marginal tax rates. </w:t>
      </w:r>
    </w:p>
    <w:p w14:paraId="5BB60B57" w14:textId="77777777" w:rsidR="006F57F6" w:rsidRDefault="00A924C4" w:rsidP="00A924C4">
      <w:pPr>
        <w:spacing w:after="220"/>
      </w:pPr>
      <w:r w:rsidRPr="00273AA1">
        <w:t>The choice of tax benchmarks are informed by long</w:t>
      </w:r>
      <w:r w:rsidRPr="00273AA1">
        <w:noBreakHyphen/>
        <w:t>standing features of the tax system, practice in tax expenditure publications in other jurisdictions and consultation with stakeholders. The tax benchmark should not be interpreted as an indication of the way activities or taxpayers ought to be taxed. A different choice of benchmark may result in significantly different estimates of the size and distributional impact of tax expenditures.</w:t>
      </w:r>
      <w:r w:rsidRPr="00273AA1">
        <w:rPr>
          <w:rStyle w:val="FootnoteReference"/>
        </w:rPr>
        <w:footnoteReference w:id="2"/>
      </w:r>
    </w:p>
    <w:p w14:paraId="2C7F0AC3" w14:textId="00B54075" w:rsidR="006F57F6" w:rsidRDefault="006F57F6" w:rsidP="006F57F6">
      <w:pPr>
        <w:spacing w:after="220"/>
      </w:pPr>
      <w:r>
        <w:t xml:space="preserve">The table below shows how different tax treatments can give rise to positive or negative tax expenditures. </w:t>
      </w:r>
    </w:p>
    <w:p w14:paraId="7B17C582" w14:textId="14315F60" w:rsidR="00AF55B9" w:rsidRDefault="00AF55B9" w:rsidP="002473EF">
      <w:pPr>
        <w:pStyle w:val="TableHeading"/>
      </w:pPr>
      <w:r>
        <w:t>Table 1.1 Types of tax expenditures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05"/>
      </w:tblGrid>
      <w:tr w:rsidR="00EB6E97" w14:paraId="58BD8A7E" w14:textId="77777777" w:rsidTr="00EB6E97">
        <w:tc>
          <w:tcPr>
            <w:tcW w:w="1696" w:type="dxa"/>
            <w:tcBorders>
              <w:top w:val="single" w:sz="4" w:space="0" w:color="auto"/>
              <w:bottom w:val="single" w:sz="4" w:space="0" w:color="auto"/>
            </w:tcBorders>
          </w:tcPr>
          <w:p w14:paraId="63A3C96A" w14:textId="77FDF953" w:rsidR="00EB6E97" w:rsidRDefault="00EB6E97" w:rsidP="00301F8A">
            <w:pPr>
              <w:pStyle w:val="TableColumnHeadingLeft"/>
              <w:jc w:val="left"/>
            </w:pPr>
            <w:r>
              <w:t>Tax</w:t>
            </w:r>
            <w:r w:rsidR="002644ED">
              <w:t xml:space="preserve"> </w:t>
            </w:r>
            <w:r>
              <w:t>expenditure type</w:t>
            </w:r>
          </w:p>
        </w:tc>
        <w:tc>
          <w:tcPr>
            <w:tcW w:w="6005" w:type="dxa"/>
            <w:tcBorders>
              <w:top w:val="single" w:sz="4" w:space="0" w:color="auto"/>
              <w:bottom w:val="single" w:sz="4" w:space="0" w:color="auto"/>
            </w:tcBorders>
          </w:tcPr>
          <w:p w14:paraId="1D72D0B6" w14:textId="68795619" w:rsidR="00EB6E97" w:rsidRDefault="00EB6E97" w:rsidP="00615C39">
            <w:pPr>
              <w:pStyle w:val="TableColumnHeadingLeft"/>
            </w:pPr>
            <w:r>
              <w:t>Description</w:t>
            </w:r>
          </w:p>
        </w:tc>
      </w:tr>
      <w:tr w:rsidR="00EB6E97" w14:paraId="553B6E13" w14:textId="77777777" w:rsidTr="00301F8A">
        <w:trPr>
          <w:trHeight w:val="1022"/>
        </w:trPr>
        <w:tc>
          <w:tcPr>
            <w:tcW w:w="1696" w:type="dxa"/>
            <w:tcBorders>
              <w:top w:val="single" w:sz="4" w:space="0" w:color="auto"/>
            </w:tcBorders>
          </w:tcPr>
          <w:p w14:paraId="7A76DC56" w14:textId="191DFBB0" w:rsidR="00EB6E97" w:rsidRPr="002644ED" w:rsidRDefault="005A6C34" w:rsidP="005C66D8">
            <w:pPr>
              <w:pStyle w:val="TableTextLeft"/>
              <w:jc w:val="left"/>
            </w:pPr>
            <w:r>
              <w:t>Deduction</w:t>
            </w:r>
            <w:r w:rsidR="009B00AA">
              <w:t>, denial of deduction</w:t>
            </w:r>
          </w:p>
        </w:tc>
        <w:tc>
          <w:tcPr>
            <w:tcW w:w="6005" w:type="dxa"/>
            <w:tcBorders>
              <w:top w:val="single" w:sz="4" w:space="0" w:color="auto"/>
            </w:tcBorders>
          </w:tcPr>
          <w:p w14:paraId="3CEFC3E8" w14:textId="5FCCFF47" w:rsidR="00EB6E97" w:rsidRPr="002644ED" w:rsidRDefault="00EB6E97" w:rsidP="007D0910">
            <w:pPr>
              <w:pStyle w:val="TableTextLeft"/>
              <w:rPr>
                <w:rFonts w:cs="Arial"/>
                <w:szCs w:val="16"/>
              </w:rPr>
            </w:pPr>
            <w:r w:rsidRPr="00301F8A">
              <w:rPr>
                <w:rFonts w:cs="Arial"/>
                <w:szCs w:val="16"/>
              </w:rPr>
              <w:t xml:space="preserve">Deductions allow taxpayers to reduce their taxable income. A range of deductions are available under the benchmark in line with the general principle that taxpayers are assessed on their net income. </w:t>
            </w:r>
            <w:r w:rsidR="0017109A">
              <w:rPr>
                <w:rFonts w:cs="Arial"/>
                <w:szCs w:val="16"/>
              </w:rPr>
              <w:t xml:space="preserve">Taxpayers are allowed additional deductions, which result in </w:t>
            </w:r>
            <w:r w:rsidR="003F7753">
              <w:rPr>
                <w:rFonts w:cs="Arial"/>
                <w:szCs w:val="16"/>
              </w:rPr>
              <w:t xml:space="preserve">a positive expenditure. </w:t>
            </w:r>
            <w:r w:rsidRPr="00301F8A">
              <w:rPr>
                <w:rFonts w:cs="Arial"/>
                <w:szCs w:val="16"/>
              </w:rPr>
              <w:t xml:space="preserve">Some </w:t>
            </w:r>
            <w:r w:rsidR="004F7313">
              <w:rPr>
                <w:rFonts w:cs="Arial"/>
                <w:szCs w:val="16"/>
              </w:rPr>
              <w:t xml:space="preserve">expenses which are deductible </w:t>
            </w:r>
            <w:r w:rsidRPr="00301F8A">
              <w:rPr>
                <w:rFonts w:cs="Arial"/>
                <w:szCs w:val="16"/>
              </w:rPr>
              <w:t xml:space="preserve">under the benchmark are </w:t>
            </w:r>
            <w:r w:rsidR="000C1AD7">
              <w:rPr>
                <w:rFonts w:cs="Arial"/>
                <w:szCs w:val="16"/>
              </w:rPr>
              <w:t>dis</w:t>
            </w:r>
            <w:r w:rsidRPr="00301F8A">
              <w:rPr>
                <w:rFonts w:cs="Arial"/>
                <w:szCs w:val="16"/>
              </w:rPr>
              <w:t>allowed, resulting in a denial of deduction and a negative tax expenditure.</w:t>
            </w:r>
            <w:r w:rsidR="000C1AD7">
              <w:rPr>
                <w:rFonts w:cs="Arial"/>
                <w:szCs w:val="16"/>
              </w:rPr>
              <w:t xml:space="preserve"> </w:t>
            </w:r>
          </w:p>
        </w:tc>
      </w:tr>
      <w:tr w:rsidR="00EB6E97" w14:paraId="3A5E4A25" w14:textId="77777777" w:rsidTr="00301F8A">
        <w:tc>
          <w:tcPr>
            <w:tcW w:w="1696" w:type="dxa"/>
          </w:tcPr>
          <w:p w14:paraId="63FAC417" w14:textId="0CAB0DEE" w:rsidR="00EB6E97" w:rsidRPr="00301F8A" w:rsidRDefault="00EB6E97" w:rsidP="005C66D8">
            <w:pPr>
              <w:pStyle w:val="TableTextLeft"/>
              <w:jc w:val="left"/>
            </w:pPr>
            <w:r w:rsidRPr="00301F8A">
              <w:t>Concessional rate, increased rate</w:t>
            </w:r>
          </w:p>
        </w:tc>
        <w:tc>
          <w:tcPr>
            <w:tcW w:w="6005" w:type="dxa"/>
          </w:tcPr>
          <w:p w14:paraId="2641837E" w14:textId="5BBB4AE4" w:rsidR="00EB6E97" w:rsidRPr="002644ED" w:rsidRDefault="005A0183" w:rsidP="007D0910">
            <w:pPr>
              <w:pStyle w:val="TableTextLeft"/>
            </w:pPr>
            <w:r w:rsidRPr="002644ED">
              <w:t>Concessional rates allow taxpayers to pay tax at a lower rate than the benchmark. Increased rates result in more tax being paid and a negative tax expenditure.</w:t>
            </w:r>
          </w:p>
        </w:tc>
      </w:tr>
      <w:tr w:rsidR="00EB6E97" w14:paraId="294719C1" w14:textId="77777777" w:rsidTr="00301F8A">
        <w:tc>
          <w:tcPr>
            <w:tcW w:w="1696" w:type="dxa"/>
          </w:tcPr>
          <w:p w14:paraId="4E4F5152" w14:textId="19422387" w:rsidR="00EB6E97" w:rsidRPr="00301F8A" w:rsidRDefault="00EB6E97" w:rsidP="005C66D8">
            <w:pPr>
              <w:pStyle w:val="TableTextLeft"/>
              <w:jc w:val="left"/>
            </w:pPr>
            <w:r w:rsidRPr="00301F8A">
              <w:t>Exemption</w:t>
            </w:r>
          </w:p>
        </w:tc>
        <w:tc>
          <w:tcPr>
            <w:tcW w:w="6005" w:type="dxa"/>
          </w:tcPr>
          <w:p w14:paraId="53EF957F" w14:textId="43EFB051" w:rsidR="00EB6E97" w:rsidRPr="002644ED" w:rsidRDefault="005A0183" w:rsidP="007D0910">
            <w:pPr>
              <w:pStyle w:val="TableTextLeft"/>
            </w:pPr>
            <w:r w:rsidRPr="002644ED">
              <w:t xml:space="preserve">Exemptions allow for taxpayers to disregard </w:t>
            </w:r>
            <w:r w:rsidR="00EB7228" w:rsidRPr="002644ED">
              <w:t xml:space="preserve">certain </w:t>
            </w:r>
            <w:r w:rsidRPr="002644ED">
              <w:t>income</w:t>
            </w:r>
            <w:r w:rsidR="00EB7228" w:rsidRPr="002644ED">
              <w:t>, payments</w:t>
            </w:r>
            <w:r w:rsidRPr="002644ED">
              <w:t xml:space="preserve"> or transactions </w:t>
            </w:r>
            <w:r w:rsidR="00AC5FCD" w:rsidRPr="002644ED">
              <w:t xml:space="preserve">for calculating </w:t>
            </w:r>
            <w:r w:rsidR="0046189A" w:rsidRPr="002644ED">
              <w:t xml:space="preserve">activity which is subject to </w:t>
            </w:r>
            <w:r w:rsidR="00AC5FCD" w:rsidRPr="002644ED">
              <w:t>tax.</w:t>
            </w:r>
          </w:p>
        </w:tc>
      </w:tr>
      <w:tr w:rsidR="00C96EC2" w14:paraId="35AFED7A" w14:textId="77777777" w:rsidTr="00705E4D">
        <w:tc>
          <w:tcPr>
            <w:tcW w:w="1696" w:type="dxa"/>
          </w:tcPr>
          <w:p w14:paraId="6554ECF6" w14:textId="552B548B" w:rsidR="00C96EC2" w:rsidRPr="00301F8A" w:rsidRDefault="00C96EC2" w:rsidP="005C66D8">
            <w:pPr>
              <w:pStyle w:val="TableTextLeft"/>
              <w:jc w:val="left"/>
            </w:pPr>
            <w:r w:rsidRPr="00301F8A">
              <w:t xml:space="preserve">Offset, </w:t>
            </w:r>
            <w:r w:rsidR="000A5309">
              <w:t>r</w:t>
            </w:r>
            <w:r w:rsidR="000A5309" w:rsidRPr="00301F8A">
              <w:t>ebate</w:t>
            </w:r>
          </w:p>
        </w:tc>
        <w:tc>
          <w:tcPr>
            <w:tcW w:w="6005" w:type="dxa"/>
          </w:tcPr>
          <w:p w14:paraId="061383B2" w14:textId="3E61F9D9" w:rsidR="00C96EC2" w:rsidRPr="002644ED" w:rsidRDefault="00114BE3" w:rsidP="007D0910">
            <w:pPr>
              <w:pStyle w:val="TableTextLeft"/>
            </w:pPr>
            <w:r w:rsidRPr="002644ED">
              <w:t xml:space="preserve">Tax offsets provide credits against a </w:t>
            </w:r>
            <w:r w:rsidR="000F2019" w:rsidRPr="002644ED">
              <w:t>taxpayer’s</w:t>
            </w:r>
            <w:r w:rsidRPr="002644ED">
              <w:t xml:space="preserve"> tax liability. </w:t>
            </w:r>
            <w:r w:rsidR="007F0CFF" w:rsidRPr="002644ED">
              <w:t>Refundable tax offsets</w:t>
            </w:r>
            <w:r w:rsidR="00832353" w:rsidRPr="002644ED">
              <w:t xml:space="preserve"> do not generate this expenditure type, </w:t>
            </w:r>
            <w:r w:rsidR="007F0CFF" w:rsidRPr="002644ED">
              <w:t>as they are classified as payments.</w:t>
            </w:r>
          </w:p>
        </w:tc>
      </w:tr>
      <w:tr w:rsidR="00EB6E97" w14:paraId="3590D820" w14:textId="77777777" w:rsidTr="007D0910">
        <w:tc>
          <w:tcPr>
            <w:tcW w:w="1696" w:type="dxa"/>
          </w:tcPr>
          <w:p w14:paraId="27B3DB2E" w14:textId="1959B123" w:rsidR="00EB6E97" w:rsidRPr="00301F8A" w:rsidRDefault="00EB6E97" w:rsidP="005C66D8">
            <w:pPr>
              <w:pStyle w:val="TableTextLeft"/>
              <w:jc w:val="left"/>
            </w:pPr>
            <w:r w:rsidRPr="00301F8A">
              <w:t>Reduction in taxable value</w:t>
            </w:r>
          </w:p>
        </w:tc>
        <w:tc>
          <w:tcPr>
            <w:tcW w:w="6005" w:type="dxa"/>
          </w:tcPr>
          <w:p w14:paraId="39EC33ED" w14:textId="374AE9BB" w:rsidR="00EB6E97" w:rsidRPr="002644ED" w:rsidRDefault="00B568B4" w:rsidP="007D0910">
            <w:pPr>
              <w:pStyle w:val="TableTextLeft"/>
            </w:pPr>
            <w:r w:rsidRPr="002644ED">
              <w:t>Reductions in taxable value allow for</w:t>
            </w:r>
            <w:r w:rsidR="00EE3EC0" w:rsidRPr="002644ED">
              <w:t xml:space="preserve"> taxpayers</w:t>
            </w:r>
            <w:r w:rsidR="000447F1">
              <w:t xml:space="preserve"> </w:t>
            </w:r>
            <w:r w:rsidR="00EE3EC0" w:rsidRPr="002644ED">
              <w:t xml:space="preserve">to </w:t>
            </w:r>
            <w:r w:rsidR="004B0DDA" w:rsidRPr="002644ED">
              <w:t>reduce the value of income</w:t>
            </w:r>
            <w:r w:rsidR="0031608A" w:rsidRPr="002644ED">
              <w:t>, a fringe benefit, or capital gain by a fixed percentage before adding it to taxable incom</w:t>
            </w:r>
            <w:r w:rsidR="00A81626" w:rsidRPr="002644ED">
              <w:t>e</w:t>
            </w:r>
            <w:r w:rsidR="0031608A" w:rsidRPr="002644ED">
              <w:t>.</w:t>
            </w:r>
          </w:p>
        </w:tc>
      </w:tr>
      <w:tr w:rsidR="007D0910" w14:paraId="66714A86" w14:textId="77777777" w:rsidTr="007D0910">
        <w:tc>
          <w:tcPr>
            <w:tcW w:w="1696" w:type="dxa"/>
          </w:tcPr>
          <w:p w14:paraId="4C9B2817" w14:textId="4E6CFA67" w:rsidR="007D0910" w:rsidRPr="00301F8A" w:rsidRDefault="007D0910" w:rsidP="005C66D8">
            <w:pPr>
              <w:pStyle w:val="TableTextLeft"/>
              <w:jc w:val="left"/>
            </w:pPr>
            <w:r w:rsidRPr="00301F8A">
              <w:t>Discounted valuation</w:t>
            </w:r>
          </w:p>
        </w:tc>
        <w:tc>
          <w:tcPr>
            <w:tcW w:w="6005" w:type="dxa"/>
          </w:tcPr>
          <w:p w14:paraId="775DD996" w14:textId="45CF1A48" w:rsidR="007D0910" w:rsidRPr="002644ED" w:rsidRDefault="007D0910" w:rsidP="007D0910">
            <w:pPr>
              <w:pStyle w:val="TableTextLeft"/>
            </w:pPr>
            <w:r w:rsidRPr="002644ED">
              <w:t>Discounted valuation allows taxpayers to use a shortcut valuation method which is less than the economic value which is provided.</w:t>
            </w:r>
          </w:p>
        </w:tc>
      </w:tr>
      <w:tr w:rsidR="007D0910" w14:paraId="42D58CC4" w14:textId="77777777" w:rsidTr="00705E4D">
        <w:tc>
          <w:tcPr>
            <w:tcW w:w="1696" w:type="dxa"/>
            <w:tcBorders>
              <w:bottom w:val="single" w:sz="4" w:space="0" w:color="auto"/>
            </w:tcBorders>
          </w:tcPr>
          <w:p w14:paraId="4AF82D4E" w14:textId="35302655" w:rsidR="007D0910" w:rsidRPr="00301F8A" w:rsidRDefault="007D0910" w:rsidP="005C66D8">
            <w:pPr>
              <w:pStyle w:val="TableTextLeft"/>
              <w:jc w:val="left"/>
            </w:pPr>
            <w:r w:rsidRPr="00301F8A">
              <w:t>Deferral</w:t>
            </w:r>
          </w:p>
        </w:tc>
        <w:tc>
          <w:tcPr>
            <w:tcW w:w="6005" w:type="dxa"/>
            <w:tcBorders>
              <w:bottom w:val="single" w:sz="4" w:space="0" w:color="auto"/>
            </w:tcBorders>
          </w:tcPr>
          <w:p w14:paraId="2DEEF263" w14:textId="133B4D1E" w:rsidR="007D0910" w:rsidRPr="002644ED" w:rsidRDefault="007D0910" w:rsidP="007D0910">
            <w:pPr>
              <w:pStyle w:val="TableTextLeft"/>
            </w:pPr>
            <w:r w:rsidRPr="002644ED">
              <w:t>Deferrals allow for taxpayers to pay tax at a later time. Deferrals change the timing of tax liabilities rather than the total tax paid</w:t>
            </w:r>
            <w:r>
              <w:t>. They can</w:t>
            </w:r>
            <w:r w:rsidRPr="002644ED">
              <w:t xml:space="preserve"> result in both positive and negative tax expenditures depending on whether more activity has been deferred from or deferred to a given year.</w:t>
            </w:r>
          </w:p>
        </w:tc>
      </w:tr>
    </w:tbl>
    <w:p w14:paraId="1C176024" w14:textId="215046CB" w:rsidR="007D0910" w:rsidRDefault="007D0910" w:rsidP="00EF6CDD">
      <w:pPr>
        <w:pStyle w:val="TableHeadingcontinued"/>
      </w:pPr>
    </w:p>
    <w:p w14:paraId="1FB8A8F3" w14:textId="77777777" w:rsidR="007D0910" w:rsidRDefault="007D0910">
      <w:pPr>
        <w:spacing w:after="0" w:line="240" w:lineRule="auto"/>
        <w:jc w:val="left"/>
        <w:rPr>
          <w:rFonts w:ascii="Arial" w:hAnsi="Arial"/>
          <w:b/>
          <w:color w:val="000000"/>
        </w:rPr>
      </w:pPr>
      <w:r>
        <w:br w:type="page"/>
      </w:r>
    </w:p>
    <w:p w14:paraId="3FFFCAA0" w14:textId="6FE76B97" w:rsidR="00EF6CDD" w:rsidRDefault="00EF6CDD" w:rsidP="00EF6CDD">
      <w:pPr>
        <w:pStyle w:val="TableHeadingcontinued"/>
      </w:pPr>
      <w:r>
        <w:t>Table 1.1 Types of tax expenditures (continued)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005"/>
      </w:tblGrid>
      <w:tr w:rsidR="00EF6CDD" w:rsidRPr="00A10BE0" w14:paraId="4312B974" w14:textId="77777777" w:rsidTr="00705E4D">
        <w:tc>
          <w:tcPr>
            <w:tcW w:w="1696" w:type="dxa"/>
            <w:tcBorders>
              <w:top w:val="single" w:sz="4" w:space="0" w:color="auto"/>
              <w:bottom w:val="single" w:sz="4" w:space="0" w:color="auto"/>
            </w:tcBorders>
          </w:tcPr>
          <w:p w14:paraId="4F58F4F0" w14:textId="52DB9AA5" w:rsidR="00EF6CDD" w:rsidRPr="00A10BE0" w:rsidRDefault="00EF6CDD" w:rsidP="0096772C">
            <w:pPr>
              <w:pStyle w:val="TableColumnHeadingLeft"/>
              <w:jc w:val="left"/>
            </w:pPr>
            <w:r>
              <w:t>Tax</w:t>
            </w:r>
            <w:r w:rsidR="0096772C">
              <w:t xml:space="preserve"> </w:t>
            </w:r>
            <w:r>
              <w:t>expenditure type</w:t>
            </w:r>
          </w:p>
        </w:tc>
        <w:tc>
          <w:tcPr>
            <w:tcW w:w="6005" w:type="dxa"/>
            <w:tcBorders>
              <w:top w:val="single" w:sz="4" w:space="0" w:color="auto"/>
              <w:bottom w:val="single" w:sz="4" w:space="0" w:color="auto"/>
            </w:tcBorders>
          </w:tcPr>
          <w:p w14:paraId="22B98AE8" w14:textId="77777777" w:rsidR="00EF6CDD" w:rsidRPr="00A10BE0" w:rsidRDefault="00EF6CDD">
            <w:pPr>
              <w:pStyle w:val="TableColumnHeadingLeft"/>
            </w:pPr>
            <w:r>
              <w:t>Description</w:t>
            </w:r>
          </w:p>
        </w:tc>
      </w:tr>
      <w:tr w:rsidR="00EF6CDD" w:rsidRPr="002644ED" w14:paraId="1CEE774A" w14:textId="77777777">
        <w:tc>
          <w:tcPr>
            <w:tcW w:w="1696" w:type="dxa"/>
          </w:tcPr>
          <w:p w14:paraId="1B64C13E" w14:textId="77777777" w:rsidR="00EF6CDD" w:rsidRPr="00301F8A" w:rsidRDefault="00EF6CDD" w:rsidP="005C66D8">
            <w:pPr>
              <w:pStyle w:val="TableTextLeft"/>
              <w:jc w:val="left"/>
            </w:pPr>
            <w:r w:rsidRPr="00301F8A">
              <w:t xml:space="preserve">Accelerated write-off </w:t>
            </w:r>
          </w:p>
        </w:tc>
        <w:tc>
          <w:tcPr>
            <w:tcW w:w="6005" w:type="dxa"/>
          </w:tcPr>
          <w:p w14:paraId="035632FB" w14:textId="1EE44277" w:rsidR="00EF6CDD" w:rsidRPr="002644ED" w:rsidRDefault="00EF6CDD" w:rsidP="00C41363">
            <w:pPr>
              <w:pStyle w:val="TableTextLeft"/>
            </w:pPr>
            <w:r w:rsidRPr="002644ED">
              <w:t>Accelerated write-offs allow for taxpayers to depreciate an asset over a set period of time, rather than the economic life of the asset. They can result in</w:t>
            </w:r>
            <w:r>
              <w:t xml:space="preserve"> both</w:t>
            </w:r>
            <w:r w:rsidRPr="002644ED">
              <w:t xml:space="preserve"> positive </w:t>
            </w:r>
            <w:r>
              <w:t xml:space="preserve">and negative tax expenditures depending on whether more activity has been deferred from </w:t>
            </w:r>
            <w:r w:rsidR="00273239">
              <w:t>or</w:t>
            </w:r>
            <w:r>
              <w:t xml:space="preserve"> deferred to a given year</w:t>
            </w:r>
            <w:r w:rsidR="009F5E3D">
              <w:t xml:space="preserve">. </w:t>
            </w:r>
          </w:p>
        </w:tc>
      </w:tr>
      <w:tr w:rsidR="00EF6CDD" w:rsidRPr="002644ED" w14:paraId="278A8FC7" w14:textId="77777777">
        <w:tc>
          <w:tcPr>
            <w:tcW w:w="1696" w:type="dxa"/>
          </w:tcPr>
          <w:p w14:paraId="03631CE4" w14:textId="77777777" w:rsidR="00EF6CDD" w:rsidRPr="007858D3" w:rsidRDefault="00EF6CDD" w:rsidP="005C66D8">
            <w:pPr>
              <w:pStyle w:val="TableTextLeft"/>
              <w:jc w:val="left"/>
            </w:pPr>
            <w:r w:rsidRPr="007858D3">
              <w:t>Deferral of deduction</w:t>
            </w:r>
          </w:p>
        </w:tc>
        <w:tc>
          <w:tcPr>
            <w:tcW w:w="6005" w:type="dxa"/>
          </w:tcPr>
          <w:p w14:paraId="0C58037D" w14:textId="066AF660" w:rsidR="00EF6CDD" w:rsidRPr="002644ED" w:rsidRDefault="001959B3" w:rsidP="00C41363">
            <w:pPr>
              <w:pStyle w:val="TableTextLeft"/>
            </w:pPr>
            <w:r>
              <w:t>Deferral</w:t>
            </w:r>
            <w:r w:rsidR="00EF6CDD">
              <w:t xml:space="preserve"> of deduction results in taxpayers carrying-forward deductions to a later time period.</w:t>
            </w:r>
          </w:p>
        </w:tc>
      </w:tr>
      <w:tr w:rsidR="00EF6CDD" w:rsidRPr="002644ED" w14:paraId="05ED8BCE" w14:textId="77777777">
        <w:tc>
          <w:tcPr>
            <w:tcW w:w="1696" w:type="dxa"/>
          </w:tcPr>
          <w:p w14:paraId="09BA9612" w14:textId="77777777" w:rsidR="00EF6CDD" w:rsidRPr="00301F8A" w:rsidRDefault="00EF6CDD" w:rsidP="005C66D8">
            <w:pPr>
              <w:pStyle w:val="TableTextLeft"/>
              <w:jc w:val="left"/>
            </w:pPr>
            <w:r w:rsidRPr="00301F8A">
              <w:t>Denial of refund</w:t>
            </w:r>
          </w:p>
        </w:tc>
        <w:tc>
          <w:tcPr>
            <w:tcW w:w="6005" w:type="dxa"/>
          </w:tcPr>
          <w:p w14:paraId="561BDCAC" w14:textId="4B412298" w:rsidR="00EF6CDD" w:rsidRPr="002644ED" w:rsidRDefault="00EF6CDD" w:rsidP="00C41363">
            <w:pPr>
              <w:pStyle w:val="TableTextLeft"/>
            </w:pPr>
            <w:r w:rsidRPr="002644ED">
              <w:t xml:space="preserve">Denial of refund prevents taxpayers from receiving a refund of tax previously paid. It applies to the </w:t>
            </w:r>
            <w:r w:rsidR="00382971">
              <w:t>p</w:t>
            </w:r>
            <w:r w:rsidRPr="002644ED">
              <w:t xml:space="preserve">etroleum </w:t>
            </w:r>
            <w:r w:rsidR="00382971">
              <w:t>r</w:t>
            </w:r>
            <w:r w:rsidRPr="002644ED">
              <w:t xml:space="preserve">esource </w:t>
            </w:r>
            <w:r w:rsidR="00382971">
              <w:t>r</w:t>
            </w:r>
            <w:r w:rsidRPr="002644ED">
              <w:t xml:space="preserve">ent </w:t>
            </w:r>
            <w:r w:rsidR="00382971">
              <w:t>t</w:t>
            </w:r>
            <w:r w:rsidRPr="002644ED">
              <w:t>ax.</w:t>
            </w:r>
          </w:p>
        </w:tc>
      </w:tr>
      <w:tr w:rsidR="00EF6CDD" w:rsidRPr="002644ED" w14:paraId="7EC49FCC" w14:textId="77777777">
        <w:tc>
          <w:tcPr>
            <w:tcW w:w="1696" w:type="dxa"/>
            <w:tcBorders>
              <w:bottom w:val="single" w:sz="4" w:space="0" w:color="auto"/>
            </w:tcBorders>
          </w:tcPr>
          <w:p w14:paraId="0518FEBC" w14:textId="6A199962" w:rsidR="00EF6CDD" w:rsidRPr="007D0910" w:rsidRDefault="00EF6CDD" w:rsidP="005C66D8">
            <w:pPr>
              <w:pStyle w:val="TableTextLeft"/>
              <w:jc w:val="left"/>
            </w:pPr>
            <w:r w:rsidRPr="007D0910">
              <w:t>Record</w:t>
            </w:r>
            <w:r w:rsidR="00C41363" w:rsidRPr="007D0910">
              <w:t xml:space="preserve"> </w:t>
            </w:r>
            <w:r w:rsidRPr="007D0910">
              <w:t>keeping exemption</w:t>
            </w:r>
          </w:p>
        </w:tc>
        <w:tc>
          <w:tcPr>
            <w:tcW w:w="6005" w:type="dxa"/>
            <w:tcBorders>
              <w:bottom w:val="single" w:sz="4" w:space="0" w:color="auto"/>
            </w:tcBorders>
          </w:tcPr>
          <w:p w14:paraId="2AF11BCF" w14:textId="77777777" w:rsidR="00EF6CDD" w:rsidRPr="002644ED" w:rsidRDefault="00EF6CDD" w:rsidP="00C41363">
            <w:pPr>
              <w:pStyle w:val="TableTextLeft"/>
            </w:pPr>
            <w:r w:rsidRPr="002644ED">
              <w:t>Record keeping exemptions allow for taxpayers to calculate tax liabilities with less documentation and evidence than would ordinarily be required.</w:t>
            </w:r>
          </w:p>
        </w:tc>
      </w:tr>
    </w:tbl>
    <w:p w14:paraId="40EA1C91" w14:textId="77777777" w:rsidR="006F57F6" w:rsidRDefault="006F57F6" w:rsidP="006F57F6">
      <w:pPr>
        <w:spacing w:after="220"/>
      </w:pPr>
    </w:p>
    <w:p w14:paraId="76AE94A8" w14:textId="19390089" w:rsidR="009762AD" w:rsidRPr="00273AA1" w:rsidRDefault="00D110D5" w:rsidP="00130689">
      <w:r>
        <w:t xml:space="preserve">The TEIS only provides estimates for the value of tax expenditures, and does not report on </w:t>
      </w:r>
      <w:r w:rsidR="00631026">
        <w:t xml:space="preserve">the value of ordinary expenditure by government. </w:t>
      </w:r>
      <w:r w:rsidR="009762AD" w:rsidRPr="00B56D1D">
        <w:t xml:space="preserve">Under budget accounting standards, refundable tax offsets are classified as payments, </w:t>
      </w:r>
      <w:r w:rsidR="009762AD">
        <w:t>as the taxpayer may receive a cash refund</w:t>
      </w:r>
      <w:r w:rsidR="00B940D1">
        <w:t xml:space="preserve">, which is exempt from income </w:t>
      </w:r>
      <w:r w:rsidR="009762AD" w:rsidRPr="00B56D1D">
        <w:t>tax</w:t>
      </w:r>
      <w:r w:rsidR="009762AD">
        <w:t>.</w:t>
      </w:r>
      <w:r w:rsidR="00B940D1">
        <w:t xml:space="preserve"> </w:t>
      </w:r>
      <w:r w:rsidR="00C80FBB">
        <w:t xml:space="preserve">Please see </w:t>
      </w:r>
      <w:r w:rsidR="006B5256">
        <w:t xml:space="preserve">Chapter </w:t>
      </w:r>
      <w:r w:rsidR="009908CE">
        <w:t>2</w:t>
      </w:r>
      <w:r w:rsidR="00EE0D3B" w:rsidRPr="008F5D5C">
        <w:t>.1</w:t>
      </w:r>
      <w:r w:rsidR="00337B07">
        <w:t>1</w:t>
      </w:r>
      <w:r w:rsidR="006B5256">
        <w:t xml:space="preserve"> for an example of the </w:t>
      </w:r>
      <w:r w:rsidR="00BC6FE8">
        <w:t>r</w:t>
      </w:r>
      <w:r w:rsidR="004E5822">
        <w:t xml:space="preserve">esearch </w:t>
      </w:r>
      <w:r w:rsidR="00BC6FE8">
        <w:t>and development</w:t>
      </w:r>
      <w:r w:rsidR="006B5256">
        <w:t xml:space="preserve"> tax </w:t>
      </w:r>
      <w:r w:rsidR="00C54B26">
        <w:t>incentive.</w:t>
      </w:r>
      <w:r w:rsidR="00B940D1">
        <w:t xml:space="preserve"> </w:t>
      </w:r>
    </w:p>
    <w:p w14:paraId="4DEE30CA" w14:textId="77777777" w:rsidR="00A924C4" w:rsidRPr="00273AA1" w:rsidRDefault="00A924C4" w:rsidP="00130689">
      <w:r w:rsidRPr="00273AA1">
        <w:t>Detailed information on the tax benchmarks used in the TEIS is in Appendix A.2.</w:t>
      </w:r>
    </w:p>
    <w:p w14:paraId="57747E3B" w14:textId="73BB8581" w:rsidR="00546AD5" w:rsidRPr="00273AA1" w:rsidRDefault="00546AD5" w:rsidP="006A2C83">
      <w:pPr>
        <w:pStyle w:val="Heading2"/>
        <w:numPr>
          <w:ilvl w:val="1"/>
          <w:numId w:val="49"/>
        </w:numPr>
        <w:spacing w:before="300" w:after="240"/>
      </w:pPr>
      <w:bookmarkStart w:id="15" w:name="_Toc184287644"/>
      <w:r w:rsidRPr="00273AA1">
        <w:t>How are tax expenditures estimated?</w:t>
      </w:r>
      <w:bookmarkEnd w:id="10"/>
      <w:bookmarkEnd w:id="11"/>
      <w:bookmarkEnd w:id="12"/>
      <w:bookmarkEnd w:id="13"/>
      <w:bookmarkEnd w:id="14"/>
      <w:bookmarkEnd w:id="15"/>
    </w:p>
    <w:p w14:paraId="09349528" w14:textId="7C07741F" w:rsidR="00A924C4" w:rsidRPr="00273AA1" w:rsidRDefault="00A924C4" w:rsidP="00120E78">
      <w:bookmarkStart w:id="16" w:name="_Toc123744395"/>
      <w:bookmarkStart w:id="17" w:name="_Toc123744937"/>
      <w:bookmarkStart w:id="18" w:name="_Toc123807998"/>
      <w:bookmarkStart w:id="19" w:name="_Toc123900392"/>
      <w:bookmarkStart w:id="20" w:name="_Toc501471978"/>
      <w:bookmarkStart w:id="21" w:name="_Toc1814004324"/>
      <w:bookmarkStart w:id="22" w:name="_Toc496106252"/>
      <w:bookmarkStart w:id="23" w:name="_Toc2128773696"/>
      <w:bookmarkStart w:id="24" w:name="_Toc504467597"/>
      <w:bookmarkStart w:id="25" w:name="_Toc58871624"/>
      <w:bookmarkEnd w:id="16"/>
      <w:bookmarkEnd w:id="17"/>
      <w:bookmarkEnd w:id="18"/>
      <w:bookmarkEnd w:id="19"/>
      <w:bookmarkEnd w:id="20"/>
      <w:r w:rsidRPr="00273AA1">
        <w:t xml:space="preserve">The estimates </w:t>
      </w:r>
      <w:r w:rsidR="00327554">
        <w:t>of tax expenditures</w:t>
      </w:r>
      <w:r w:rsidRPr="00273AA1">
        <w:t xml:space="preserve"> included in this TEIS are provided on a ‘revenue forgone’ basis. This is consistent with the approach taken by most OECD countries in their equivalent publications. </w:t>
      </w:r>
    </w:p>
    <w:p w14:paraId="414AE2D1" w14:textId="77777777" w:rsidR="00A924C4" w:rsidRPr="00273AA1" w:rsidRDefault="00A924C4" w:rsidP="00120E78">
      <w:r w:rsidRPr="00120E78">
        <w:t>Revenue forgone estimates reflect the existing utilisation of a tax expenditure and do not incorporate any behavioural response which might result from a change in or removal of the existing tax treatment. They measure the difference in revenue between the existing treatment and benchmark tax treatment, assuming taxpayer behaviour is the same and the existing tax treatment is removed entirely. A positive tax expenditure</w:t>
      </w:r>
      <w:r w:rsidRPr="00273AA1">
        <w:t xml:space="preserve"> reduces tax payable relative to the benchmark. A negative tax expenditure increases tax payable relative to the benchmark. </w:t>
      </w:r>
    </w:p>
    <w:p w14:paraId="70EC4A1C" w14:textId="77777777" w:rsidR="00A924C4" w:rsidRPr="00273AA1" w:rsidRDefault="00A924C4" w:rsidP="00120E78">
      <w:r w:rsidRPr="00273AA1">
        <w:t>Revenue forgone estimates are not estimates of the revenue impact if the tax expenditure was to be removed. In practice, taxpayers would alter their behaviour</w:t>
      </w:r>
      <w:r w:rsidRPr="00273AA1" w:rsidDel="008C3003">
        <w:t xml:space="preserve"> </w:t>
      </w:r>
      <w:r w:rsidRPr="00273AA1">
        <w:t>in response to the change of a policy. In many cases, an expenditure would be replaced or substituted with an alternative policy that is designed to achieve a similar objective, reducing the net impact.</w:t>
      </w:r>
    </w:p>
    <w:p w14:paraId="33E3FA60" w14:textId="77777777" w:rsidR="00A924C4" w:rsidRPr="00273AA1" w:rsidRDefault="00A924C4" w:rsidP="00120E78">
      <w:r w:rsidRPr="00273AA1">
        <w:t>Please note the following regarding revenue forgone estimates:</w:t>
      </w:r>
    </w:p>
    <w:p w14:paraId="4C09056C" w14:textId="42DBD7FD" w:rsidR="00A924C4" w:rsidRPr="00273AA1" w:rsidRDefault="003A2119" w:rsidP="002473EF">
      <w:pPr>
        <w:pStyle w:val="Bullet"/>
      </w:pPr>
      <w:r>
        <w:t>R</w:t>
      </w:r>
      <w:r w:rsidR="00A924C4" w:rsidRPr="00273AA1">
        <w:t>eaders should exercise care if adding tax expenditures, as changes to one may affect the utilisation of others</w:t>
      </w:r>
      <w:r>
        <w:t>.</w:t>
      </w:r>
    </w:p>
    <w:p w14:paraId="1121E431" w14:textId="06F9E652" w:rsidR="00A924C4" w:rsidRPr="00273AA1" w:rsidRDefault="003A2119" w:rsidP="002473EF">
      <w:pPr>
        <w:pStyle w:val="Bullet"/>
      </w:pPr>
      <w:r>
        <w:t>E</w:t>
      </w:r>
      <w:r w:rsidR="00A924C4" w:rsidRPr="00273AA1">
        <w:t>stimates of the same tax expenditure may not be directly comparable to previous publications because they can be affected by changes in policy, economic parameters, benchmarks, modelling methodology, data or assumptions</w:t>
      </w:r>
      <w:r>
        <w:t>.</w:t>
      </w:r>
    </w:p>
    <w:p w14:paraId="5C3BEB1D" w14:textId="3C05905C" w:rsidR="00A924C4" w:rsidRPr="00273AA1" w:rsidRDefault="003A2119" w:rsidP="002473EF">
      <w:pPr>
        <w:pStyle w:val="Bullet"/>
      </w:pPr>
      <w:r>
        <w:t>R</w:t>
      </w:r>
      <w:r w:rsidR="00A924C4" w:rsidRPr="00273AA1">
        <w:t>eaders should exercise care when comparing tax expenditure estimates with direct expenditure estimates</w:t>
      </w:r>
      <w:r>
        <w:t>.</w:t>
      </w:r>
    </w:p>
    <w:p w14:paraId="01B7A409" w14:textId="3C7FF895" w:rsidR="00A924C4" w:rsidRPr="00273AA1" w:rsidRDefault="003A2119" w:rsidP="002473EF">
      <w:pPr>
        <w:pStyle w:val="Bullet"/>
      </w:pPr>
      <w:r>
        <w:t>T</w:t>
      </w:r>
      <w:r w:rsidR="00A924C4" w:rsidRPr="00273AA1">
        <w:t>he reliability of the estimates varies, with many estimates being only broadly indicative of the magnitude of the tax expenditure</w:t>
      </w:r>
      <w:r>
        <w:t>.</w:t>
      </w:r>
    </w:p>
    <w:p w14:paraId="7D1CA157" w14:textId="147039D5" w:rsidR="00A924C4" w:rsidRPr="00273AA1" w:rsidRDefault="003A2119" w:rsidP="002473EF">
      <w:pPr>
        <w:pStyle w:val="Bullet"/>
      </w:pPr>
      <w:r>
        <w:t>S</w:t>
      </w:r>
      <w:r w:rsidR="00A924C4" w:rsidRPr="00273AA1">
        <w:t>ome estimates are unquantifiable due to insufficient data, in these cases qualitative information is provided</w:t>
      </w:r>
      <w:r>
        <w:t>.</w:t>
      </w:r>
    </w:p>
    <w:p w14:paraId="4E669007" w14:textId="306761B8" w:rsidR="00A924C4" w:rsidRPr="00273AA1" w:rsidRDefault="003A2119" w:rsidP="002473EF">
      <w:pPr>
        <w:pStyle w:val="Bullet"/>
      </w:pPr>
      <w:r>
        <w:t>E</w:t>
      </w:r>
      <w:r w:rsidR="00A924C4" w:rsidRPr="00273AA1">
        <w:t>stimates are prepared on an accrual basis and are provided in nominal dollars.</w:t>
      </w:r>
    </w:p>
    <w:p w14:paraId="36D6B6B1" w14:textId="77777777" w:rsidR="00B3225B" w:rsidRDefault="00A924C4" w:rsidP="00A924C4">
      <w:r w:rsidRPr="00273AA1">
        <w:t>Alternative approaches to estimating tax expenditures include the ‘revenue gain’ approach, which attempts to account for expected changes in taxpayer behaviour and the ‘outlay equivalent’ approach, which estimates the equivalent expense payment to generate the same after</w:t>
      </w:r>
      <w:r w:rsidRPr="00273AA1">
        <w:noBreakHyphen/>
        <w:t>tax outcome.</w:t>
      </w:r>
    </w:p>
    <w:p w14:paraId="75F9B0AD" w14:textId="6E19E779" w:rsidR="00546AD5" w:rsidRPr="00273AA1" w:rsidRDefault="00546AD5" w:rsidP="00546AD5">
      <w:pPr>
        <w:spacing w:after="0" w:line="240" w:lineRule="auto"/>
        <w:jc w:val="left"/>
      </w:pPr>
      <w:r w:rsidRPr="00273AA1">
        <w:br w:type="page"/>
      </w:r>
    </w:p>
    <w:p w14:paraId="06FBD171" w14:textId="77777777" w:rsidR="00546AD5" w:rsidRPr="00273AA1" w:rsidRDefault="00546AD5" w:rsidP="006A2C83">
      <w:pPr>
        <w:pStyle w:val="Heading2"/>
        <w:numPr>
          <w:ilvl w:val="1"/>
          <w:numId w:val="49"/>
        </w:numPr>
      </w:pPr>
      <w:bookmarkStart w:id="26" w:name="_Toc184287645"/>
      <w:r w:rsidRPr="00273AA1">
        <w:t>Large tax expenditures</w:t>
      </w:r>
      <w:bookmarkEnd w:id="21"/>
      <w:bookmarkEnd w:id="22"/>
      <w:bookmarkEnd w:id="23"/>
      <w:r w:rsidRPr="00273AA1">
        <w:t xml:space="preserve"> and other features of the tax system</w:t>
      </w:r>
      <w:bookmarkEnd w:id="26"/>
      <w:r w:rsidRPr="00273AA1">
        <w:t xml:space="preserve"> </w:t>
      </w:r>
    </w:p>
    <w:p w14:paraId="5D031C15" w14:textId="529BA71D" w:rsidR="00A924C4" w:rsidRPr="00273AA1" w:rsidRDefault="00A924C4" w:rsidP="00A924C4">
      <w:r w:rsidRPr="00273AA1">
        <w:t>Table 1.</w:t>
      </w:r>
      <w:r w:rsidR="00A35C8F">
        <w:t>2</w:t>
      </w:r>
      <w:r w:rsidRPr="00273AA1">
        <w:t xml:space="preserve"> lists the largest measured tax expenditures for </w:t>
      </w:r>
      <w:r w:rsidR="00B1552A">
        <w:t>2024-25</w:t>
      </w:r>
      <w:r w:rsidRPr="00273AA1">
        <w:t xml:space="preserve"> and </w:t>
      </w:r>
      <w:r w:rsidR="00B10A95">
        <w:t>3</w:t>
      </w:r>
      <w:r w:rsidR="00B10A95" w:rsidRPr="00273AA1">
        <w:t xml:space="preserve"> </w:t>
      </w:r>
      <w:r w:rsidRPr="00273AA1">
        <w:t>personal deduction categories</w:t>
      </w:r>
      <w:r w:rsidRPr="00273AA1" w:rsidDel="008A07BB">
        <w:t>.</w:t>
      </w:r>
      <w:r w:rsidRPr="00273AA1">
        <w:rPr>
          <w:rStyle w:val="FootnoteReference"/>
        </w:rPr>
        <w:footnoteReference w:id="3"/>
      </w:r>
      <w:r w:rsidRPr="00273AA1" w:rsidDel="008A07BB">
        <w:t xml:space="preserve"> </w:t>
      </w:r>
    </w:p>
    <w:p w14:paraId="5B594983" w14:textId="77777777" w:rsidR="00A924C4" w:rsidRPr="00273AA1" w:rsidRDefault="00A924C4" w:rsidP="00A924C4">
      <w:r w:rsidRPr="00273AA1">
        <w:t xml:space="preserve">Large tax expenditures are presented with the main tax type that they affect, which include: </w:t>
      </w:r>
    </w:p>
    <w:p w14:paraId="0B661869" w14:textId="77777777" w:rsidR="00A924C4" w:rsidRPr="00273AA1" w:rsidRDefault="00A924C4" w:rsidP="00A924C4">
      <w:pPr>
        <w:pStyle w:val="Bullet"/>
      </w:pPr>
      <w:r w:rsidRPr="00273AA1">
        <w:t>Income – personal and business income taxes</w:t>
      </w:r>
    </w:p>
    <w:p w14:paraId="66C3243F" w14:textId="77777777" w:rsidR="00A924C4" w:rsidRPr="00273AA1" w:rsidRDefault="00A924C4" w:rsidP="00A924C4">
      <w:pPr>
        <w:pStyle w:val="Bullet"/>
      </w:pPr>
      <w:r w:rsidRPr="00273AA1">
        <w:t>CGT – capital gains tax component of income tax</w:t>
      </w:r>
    </w:p>
    <w:p w14:paraId="67527640" w14:textId="77777777" w:rsidR="00A924C4" w:rsidRPr="00273AA1" w:rsidRDefault="00A924C4" w:rsidP="00A924C4">
      <w:pPr>
        <w:pStyle w:val="Bullet"/>
      </w:pPr>
      <w:r w:rsidRPr="00273AA1">
        <w:t>Super – superannuation income tax</w:t>
      </w:r>
    </w:p>
    <w:p w14:paraId="618F6EA2" w14:textId="77777777" w:rsidR="00A924C4" w:rsidRPr="00273AA1" w:rsidRDefault="00A924C4" w:rsidP="00A924C4">
      <w:pPr>
        <w:pStyle w:val="Bullet"/>
      </w:pPr>
      <w:r w:rsidRPr="00273AA1">
        <w:t>GST – goods and services tax</w:t>
      </w:r>
    </w:p>
    <w:p w14:paraId="56942094" w14:textId="77777777" w:rsidR="00A924C4" w:rsidRPr="00273AA1" w:rsidRDefault="00A924C4" w:rsidP="00A924C4">
      <w:pPr>
        <w:pStyle w:val="Bullet"/>
      </w:pPr>
      <w:r w:rsidRPr="00273AA1">
        <w:t>FBT – fringe benefits tax</w:t>
      </w:r>
    </w:p>
    <w:p w14:paraId="0BB2C4E8" w14:textId="77777777" w:rsidR="00A924C4" w:rsidRPr="00273AA1" w:rsidRDefault="00A924C4" w:rsidP="00A924C4">
      <w:pPr>
        <w:pStyle w:val="Bullet"/>
      </w:pPr>
      <w:r w:rsidRPr="00273AA1">
        <w:t>Other – indirect taxes excluding GST.</w:t>
      </w:r>
    </w:p>
    <w:p w14:paraId="6438A46A" w14:textId="77777777" w:rsidR="00A924C4" w:rsidRPr="00273AA1" w:rsidRDefault="00A924C4" w:rsidP="00A924C4">
      <w:r w:rsidRPr="00273AA1">
        <w:t>The estimated cost of tax expenditures changes from year to year due to changes in policy as well as changes in economic conditions and other parameters. This can result in large differences between publications in the estimated cost of concessions.</w:t>
      </w:r>
    </w:p>
    <w:p w14:paraId="6C084FD2" w14:textId="455BEC64" w:rsidR="00A924C4" w:rsidRPr="00273AA1" w:rsidRDefault="00A924C4" w:rsidP="00120E78">
      <w:r w:rsidRPr="00273AA1">
        <w:t>Some large tax benchmarks are very sensitive to changes in the underlying data or economic parameters</w:t>
      </w:r>
      <w:r w:rsidR="001C1A64">
        <w:t>–</w:t>
      </w:r>
      <w:r w:rsidRPr="00273AA1">
        <w:t>for instance, tax expenditures relating to the exemption of NDIS payments from income tax, the CGT discount for individuals, and the CGT main residence exemption.</w:t>
      </w:r>
    </w:p>
    <w:p w14:paraId="15EB18E9" w14:textId="77777777" w:rsidR="00A924C4" w:rsidRPr="00273AA1" w:rsidRDefault="00A924C4" w:rsidP="00120E78">
      <w:r w:rsidRPr="00273AA1">
        <w:t xml:space="preserve">In addition to the analysis of tax expenditures, distributional analysis has also been presented on aspects of the personal tax system. These include deductions, trust distributions and franking credits. </w:t>
      </w:r>
    </w:p>
    <w:p w14:paraId="77277297" w14:textId="40EDE498" w:rsidR="00A924C4" w:rsidRPr="00273AA1" w:rsidRDefault="00A924C4" w:rsidP="00120E78">
      <w:r w:rsidRPr="00273AA1">
        <w:t>These aspects form part of many taxpayers’ affairs, and are incorporated into the benchmark used to estimate tax expenditures. This analysis provides additional information, transparency and context about the operation of Australia’s personal income tax system.</w:t>
      </w:r>
    </w:p>
    <w:p w14:paraId="1E5E3659" w14:textId="77777777" w:rsidR="00546AD5" w:rsidRPr="00273AA1" w:rsidRDefault="00546AD5" w:rsidP="00546AD5"/>
    <w:p w14:paraId="1F57B1C7" w14:textId="77777777" w:rsidR="00546AD5" w:rsidRPr="00273AA1" w:rsidRDefault="00546AD5" w:rsidP="00546AD5">
      <w:pPr>
        <w:sectPr w:rsidR="00546AD5" w:rsidRPr="00273AA1">
          <w:headerReference w:type="even" r:id="rId17"/>
          <w:headerReference w:type="default" r:id="rId18"/>
          <w:footerReference w:type="even" r:id="rId19"/>
          <w:footerReference w:type="default" r:id="rId20"/>
          <w:headerReference w:type="first" r:id="rId21"/>
          <w:footerReference w:type="first" r:id="rId22"/>
          <w:type w:val="oddPage"/>
          <w:pgSz w:w="11907" w:h="16840" w:code="9"/>
          <w:pgMar w:top="2466" w:right="2098" w:bottom="2466" w:left="2098" w:header="1899" w:footer="1899" w:gutter="0"/>
          <w:pgNumType w:start="1"/>
          <w:cols w:space="720"/>
          <w:titlePg/>
          <w:docGrid w:linePitch="360"/>
        </w:sectPr>
      </w:pPr>
    </w:p>
    <w:p w14:paraId="59880C96" w14:textId="7C4782A8" w:rsidR="00DC4DD5" w:rsidRPr="00273AA1" w:rsidRDefault="00DC4DD5" w:rsidP="00C41363">
      <w:pPr>
        <w:pStyle w:val="TableHeading"/>
      </w:pPr>
      <w:r w:rsidRPr="00273AA1">
        <w:t>Table 1.</w:t>
      </w:r>
      <w:r w:rsidR="00EF6CDD">
        <w:t>2</w:t>
      </w:r>
      <w:r w:rsidRPr="00273AA1">
        <w:t xml:space="preserve"> Large tax ex</w:t>
      </w:r>
      <w:r w:rsidR="00F955C3" w:rsidRPr="00273AA1">
        <w:t>penditures and deductions by revenue forgone 202</w:t>
      </w:r>
      <w:r w:rsidR="00531356">
        <w:t>4</w:t>
      </w:r>
      <w:r w:rsidR="00F955C3" w:rsidRPr="00273AA1">
        <w:t>–2</w:t>
      </w:r>
      <w:r w:rsidR="00531356">
        <w:t>5</w:t>
      </w:r>
    </w:p>
    <w:tbl>
      <w:tblPr>
        <w:tblW w:w="5000" w:type="pct"/>
        <w:tblLayout w:type="fixed"/>
        <w:tblCellMar>
          <w:left w:w="0" w:type="dxa"/>
          <w:right w:w="28" w:type="dxa"/>
        </w:tblCellMar>
        <w:tblLook w:val="04A0" w:firstRow="1" w:lastRow="0" w:firstColumn="1" w:lastColumn="0" w:noHBand="0" w:noVBand="1"/>
        <w:tblCaption w:val="Table"/>
      </w:tblPr>
      <w:tblGrid>
        <w:gridCol w:w="1095"/>
        <w:gridCol w:w="548"/>
        <w:gridCol w:w="5201"/>
        <w:gridCol w:w="1096"/>
        <w:gridCol w:w="1508"/>
        <w:gridCol w:w="1231"/>
        <w:gridCol w:w="1229"/>
      </w:tblGrid>
      <w:tr w:rsidR="000D4EFC" w:rsidRPr="00273AA1" w14:paraId="4DE76731" w14:textId="77777777" w:rsidTr="00310AC6">
        <w:trPr>
          <w:trHeight w:val="718"/>
        </w:trPr>
        <w:tc>
          <w:tcPr>
            <w:tcW w:w="460" w:type="pct"/>
            <w:tcBorders>
              <w:top w:val="single" w:sz="4" w:space="0" w:color="auto"/>
              <w:left w:val="nil"/>
              <w:bottom w:val="single" w:sz="4" w:space="0" w:color="auto"/>
              <w:right w:val="nil"/>
            </w:tcBorders>
            <w:shd w:val="clear" w:color="auto" w:fill="auto"/>
            <w:vAlign w:val="center"/>
            <w:hideMark/>
          </w:tcPr>
          <w:p w14:paraId="63EC6259" w14:textId="3D3A6BE5" w:rsidR="00F955C3" w:rsidRPr="002A0EFC" w:rsidRDefault="00F955C3" w:rsidP="186F5814">
            <w:pPr>
              <w:pStyle w:val="TableColumnHeadingLeft"/>
            </w:pPr>
            <w:bookmarkStart w:id="27" w:name="_Hlk155610994"/>
            <w:r w:rsidRPr="002A0EFC">
              <w:t xml:space="preserve">Tax type </w:t>
            </w:r>
            <w:r>
              <w:br/>
            </w:r>
            <w:r w:rsidRPr="002A0EFC">
              <w:t>affected</w:t>
            </w:r>
          </w:p>
        </w:tc>
        <w:tc>
          <w:tcPr>
            <w:tcW w:w="230" w:type="pct"/>
            <w:tcBorders>
              <w:top w:val="single" w:sz="4" w:space="0" w:color="auto"/>
              <w:left w:val="nil"/>
              <w:bottom w:val="single" w:sz="4" w:space="0" w:color="auto"/>
              <w:right w:val="nil"/>
            </w:tcBorders>
            <w:shd w:val="clear" w:color="auto" w:fill="auto"/>
            <w:noWrap/>
            <w:vAlign w:val="center"/>
            <w:hideMark/>
          </w:tcPr>
          <w:p w14:paraId="7E85D21C" w14:textId="6974AC02" w:rsidR="00F955C3" w:rsidRPr="002A0EFC" w:rsidRDefault="00F955C3" w:rsidP="186F5814">
            <w:pPr>
              <w:pStyle w:val="TableColumnHeadingLeft"/>
            </w:pPr>
            <w:r w:rsidRPr="002A0EFC">
              <w:t>Code</w:t>
            </w:r>
          </w:p>
        </w:tc>
        <w:tc>
          <w:tcPr>
            <w:tcW w:w="2184" w:type="pct"/>
            <w:tcBorders>
              <w:top w:val="single" w:sz="4" w:space="0" w:color="auto"/>
              <w:left w:val="nil"/>
              <w:bottom w:val="single" w:sz="4" w:space="0" w:color="auto"/>
              <w:right w:val="nil"/>
            </w:tcBorders>
            <w:shd w:val="clear" w:color="auto" w:fill="auto"/>
            <w:noWrap/>
            <w:vAlign w:val="center"/>
            <w:hideMark/>
          </w:tcPr>
          <w:p w14:paraId="6EDA7DF2" w14:textId="3BF7B2FA" w:rsidR="00F955C3" w:rsidRPr="002A0EFC" w:rsidRDefault="00F955C3" w:rsidP="186F5814">
            <w:pPr>
              <w:pStyle w:val="TableColumnHeadingLeft"/>
            </w:pPr>
            <w:r w:rsidRPr="002A0EFC">
              <w:t>Title</w:t>
            </w:r>
          </w:p>
        </w:tc>
        <w:tc>
          <w:tcPr>
            <w:tcW w:w="460" w:type="pct"/>
            <w:tcBorders>
              <w:top w:val="single" w:sz="4" w:space="0" w:color="auto"/>
              <w:left w:val="nil"/>
              <w:bottom w:val="single" w:sz="4" w:space="0" w:color="auto"/>
              <w:right w:val="nil"/>
            </w:tcBorders>
            <w:vAlign w:val="center"/>
          </w:tcPr>
          <w:p w14:paraId="4F1E9DD5" w14:textId="2899EA07" w:rsidR="00F955C3" w:rsidRPr="002A0EFC" w:rsidRDefault="00F955C3" w:rsidP="186F5814">
            <w:pPr>
              <w:pStyle w:val="TableColumnHeadingLeft"/>
            </w:pPr>
            <w:r w:rsidRPr="002A0EFC">
              <w:t>Distributional analysis included</w:t>
            </w:r>
          </w:p>
        </w:tc>
        <w:tc>
          <w:tcPr>
            <w:tcW w:w="633" w:type="pct"/>
            <w:tcBorders>
              <w:top w:val="single" w:sz="4" w:space="0" w:color="auto"/>
              <w:left w:val="nil"/>
              <w:bottom w:val="single" w:sz="4" w:space="0" w:color="auto"/>
              <w:right w:val="nil"/>
            </w:tcBorders>
            <w:shd w:val="clear" w:color="auto" w:fill="auto"/>
            <w:vAlign w:val="center"/>
            <w:hideMark/>
          </w:tcPr>
          <w:p w14:paraId="5EFB7215" w14:textId="77777777" w:rsidR="0057469A" w:rsidRDefault="00F955C3" w:rsidP="0057469A">
            <w:pPr>
              <w:pStyle w:val="TableTextLeft"/>
              <w:jc w:val="right"/>
              <w:rPr>
                <w:b/>
              </w:rPr>
            </w:pPr>
            <w:r w:rsidRPr="002A0EFC">
              <w:rPr>
                <w:b/>
              </w:rPr>
              <w:t xml:space="preserve">Revenue </w:t>
            </w:r>
          </w:p>
          <w:p w14:paraId="6F54742F" w14:textId="77777777" w:rsidR="0057469A" w:rsidRDefault="00F955C3" w:rsidP="0057469A">
            <w:pPr>
              <w:pStyle w:val="TableTextLeft"/>
              <w:jc w:val="right"/>
              <w:rPr>
                <w:b/>
              </w:rPr>
            </w:pPr>
            <w:r w:rsidRPr="002A0EFC">
              <w:rPr>
                <w:b/>
              </w:rPr>
              <w:t xml:space="preserve">forgone </w:t>
            </w:r>
          </w:p>
          <w:p w14:paraId="6499C407" w14:textId="00D3EF58" w:rsidR="00F955C3" w:rsidRPr="002A0EFC" w:rsidRDefault="0057469A" w:rsidP="186F5814">
            <w:pPr>
              <w:pStyle w:val="TableColumnHeadingLeft"/>
              <w:jc w:val="right"/>
            </w:pPr>
            <w:r w:rsidRPr="002A0EFC">
              <w:t>202</w:t>
            </w:r>
            <w:r>
              <w:t>4</w:t>
            </w:r>
            <w:r w:rsidRPr="002A0EFC">
              <w:t>-2</w:t>
            </w:r>
            <w:r>
              <w:t>5</w:t>
            </w:r>
            <w:r w:rsidR="00F955C3" w:rsidRPr="002A0EFC">
              <w:t xml:space="preserve"> ($m)*</w:t>
            </w:r>
          </w:p>
        </w:tc>
        <w:tc>
          <w:tcPr>
            <w:tcW w:w="517" w:type="pct"/>
            <w:tcBorders>
              <w:top w:val="single" w:sz="4" w:space="0" w:color="auto"/>
              <w:left w:val="nil"/>
              <w:bottom w:val="single" w:sz="4" w:space="0" w:color="auto"/>
              <w:right w:val="nil"/>
            </w:tcBorders>
            <w:vAlign w:val="center"/>
          </w:tcPr>
          <w:p w14:paraId="22561A31" w14:textId="77777777" w:rsidR="0057469A" w:rsidRDefault="00F955C3" w:rsidP="0057469A">
            <w:pPr>
              <w:pStyle w:val="TableTextLeft"/>
              <w:jc w:val="right"/>
              <w:rPr>
                <w:b/>
              </w:rPr>
            </w:pPr>
            <w:r w:rsidRPr="002A0EFC">
              <w:rPr>
                <w:b/>
              </w:rPr>
              <w:t xml:space="preserve">Average </w:t>
            </w:r>
          </w:p>
          <w:p w14:paraId="5C378BA9" w14:textId="77777777" w:rsidR="0057469A" w:rsidRDefault="00F955C3" w:rsidP="0057469A">
            <w:pPr>
              <w:pStyle w:val="TableTextLeft"/>
              <w:jc w:val="right"/>
              <w:rPr>
                <w:b/>
              </w:rPr>
            </w:pPr>
            <w:r w:rsidRPr="002A0EFC">
              <w:rPr>
                <w:b/>
              </w:rPr>
              <w:t xml:space="preserve">growth </w:t>
            </w:r>
          </w:p>
          <w:p w14:paraId="59F5C5A2" w14:textId="77777777" w:rsidR="0057469A" w:rsidRDefault="0057469A" w:rsidP="0057469A">
            <w:pPr>
              <w:pStyle w:val="TableTextLeft"/>
              <w:jc w:val="right"/>
              <w:rPr>
                <w:b/>
              </w:rPr>
            </w:pPr>
            <w:r w:rsidRPr="002A0EFC">
              <w:rPr>
                <w:b/>
              </w:rPr>
              <w:t>20</w:t>
            </w:r>
            <w:r>
              <w:rPr>
                <w:b/>
              </w:rPr>
              <w:t>20</w:t>
            </w:r>
            <w:r w:rsidRPr="002A0EFC">
              <w:rPr>
                <w:b/>
              </w:rPr>
              <w:t>-2</w:t>
            </w:r>
            <w:r>
              <w:rPr>
                <w:b/>
              </w:rPr>
              <w:t>1</w:t>
            </w:r>
            <w:r w:rsidR="00F955C3" w:rsidRPr="002A0EFC">
              <w:rPr>
                <w:b/>
              </w:rPr>
              <w:t xml:space="preserve"> to </w:t>
            </w:r>
          </w:p>
          <w:p w14:paraId="7A021D9A" w14:textId="02E53D57" w:rsidR="00F955C3" w:rsidRPr="002A0EFC" w:rsidRDefault="0057469A" w:rsidP="186F5814">
            <w:pPr>
              <w:pStyle w:val="TableColumnHeadingLeft"/>
              <w:jc w:val="right"/>
            </w:pPr>
            <w:r w:rsidRPr="002A0EFC">
              <w:t>202</w:t>
            </w:r>
            <w:r>
              <w:t>3</w:t>
            </w:r>
            <w:r w:rsidRPr="002A0EFC">
              <w:t>-2</w:t>
            </w:r>
            <w:r>
              <w:t>4</w:t>
            </w:r>
            <w:r w:rsidRPr="002A0EFC">
              <w:t xml:space="preserve"> (%)</w:t>
            </w:r>
          </w:p>
        </w:tc>
        <w:tc>
          <w:tcPr>
            <w:tcW w:w="516" w:type="pct"/>
            <w:tcBorders>
              <w:top w:val="single" w:sz="4" w:space="0" w:color="auto"/>
              <w:left w:val="nil"/>
              <w:bottom w:val="single" w:sz="4" w:space="0" w:color="auto"/>
              <w:right w:val="nil"/>
            </w:tcBorders>
            <w:vAlign w:val="center"/>
          </w:tcPr>
          <w:p w14:paraId="2A0AAD83" w14:textId="77777777" w:rsidR="0057469A" w:rsidRDefault="0057469A" w:rsidP="0057469A">
            <w:pPr>
              <w:pStyle w:val="TableTextLeft"/>
              <w:jc w:val="right"/>
              <w:rPr>
                <w:b/>
              </w:rPr>
            </w:pPr>
            <w:r w:rsidRPr="002A0EFC">
              <w:rPr>
                <w:b/>
              </w:rPr>
              <w:t xml:space="preserve">Average projected </w:t>
            </w:r>
          </w:p>
          <w:p w14:paraId="76AF41C5" w14:textId="77777777" w:rsidR="0057469A" w:rsidRDefault="0057469A" w:rsidP="0057469A">
            <w:pPr>
              <w:pStyle w:val="TableTextLeft"/>
              <w:jc w:val="right"/>
              <w:rPr>
                <w:b/>
              </w:rPr>
            </w:pPr>
            <w:r w:rsidRPr="002A0EFC">
              <w:rPr>
                <w:b/>
              </w:rPr>
              <w:t xml:space="preserve">growth over </w:t>
            </w:r>
          </w:p>
          <w:p w14:paraId="3E368DB6" w14:textId="2F6EDF6A" w:rsidR="00F955C3" w:rsidRPr="002A0EFC" w:rsidRDefault="0057469A" w:rsidP="186F5814">
            <w:pPr>
              <w:pStyle w:val="TableColumnHeadingLeft"/>
              <w:jc w:val="right"/>
            </w:pPr>
            <w:r w:rsidRPr="002A0EFC">
              <w:t>FEs (%)</w:t>
            </w:r>
          </w:p>
        </w:tc>
      </w:tr>
      <w:bookmarkEnd w:id="27"/>
      <w:tr w:rsidR="003E5887" w:rsidRPr="00273AA1" w14:paraId="0F806BE5" w14:textId="77777777" w:rsidTr="00310AC6">
        <w:trPr>
          <w:gridAfter w:val="3"/>
          <w:wAfter w:w="1666" w:type="pct"/>
          <w:trHeight w:val="71"/>
        </w:trPr>
        <w:tc>
          <w:tcPr>
            <w:tcW w:w="3334" w:type="pct"/>
            <w:gridSpan w:val="4"/>
            <w:tcBorders>
              <w:top w:val="nil"/>
              <w:left w:val="nil"/>
              <w:bottom w:val="nil"/>
            </w:tcBorders>
            <w:shd w:val="clear" w:color="auto" w:fill="auto"/>
            <w:noWrap/>
            <w:vAlign w:val="bottom"/>
            <w:hideMark/>
          </w:tcPr>
          <w:p w14:paraId="0C616586" w14:textId="4C2BC2DE" w:rsidR="00F955C3" w:rsidRPr="002A0EFC" w:rsidRDefault="00BA6C56" w:rsidP="00BA6C56">
            <w:pPr>
              <w:pStyle w:val="TableColumnHeadingLeft"/>
            </w:pPr>
            <w:r w:rsidRPr="002A0EFC">
              <w:t>Positive tax expenditures and deductions</w:t>
            </w:r>
          </w:p>
        </w:tc>
      </w:tr>
      <w:tr w:rsidR="000D4EFC" w:rsidRPr="00273AA1" w14:paraId="376FD0C5" w14:textId="77777777" w:rsidTr="00310AC6">
        <w:trPr>
          <w:trHeight w:val="227"/>
        </w:trPr>
        <w:tc>
          <w:tcPr>
            <w:tcW w:w="460" w:type="pct"/>
            <w:tcBorders>
              <w:top w:val="nil"/>
              <w:left w:val="nil"/>
              <w:bottom w:val="nil"/>
              <w:right w:val="nil"/>
            </w:tcBorders>
            <w:shd w:val="clear" w:color="auto" w:fill="auto"/>
            <w:noWrap/>
            <w:vAlign w:val="center"/>
          </w:tcPr>
          <w:p w14:paraId="2761B91F" w14:textId="7E10D208" w:rsidR="00BB0ADB" w:rsidRPr="00C41363" w:rsidRDefault="00BB0ADB"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6B07942E" w14:textId="1F8BC707" w:rsidR="00BB0ADB" w:rsidRPr="00C41363" w:rsidRDefault="00BB0ADB" w:rsidP="00C41363">
            <w:pPr>
              <w:pStyle w:val="TableTextLeft"/>
            </w:pPr>
            <w:r w:rsidRPr="00C41363">
              <w:t>C2</w:t>
            </w:r>
          </w:p>
        </w:tc>
        <w:tc>
          <w:tcPr>
            <w:tcW w:w="2184" w:type="pct"/>
            <w:tcBorders>
              <w:top w:val="nil"/>
              <w:left w:val="nil"/>
              <w:bottom w:val="nil"/>
              <w:right w:val="nil"/>
            </w:tcBorders>
            <w:shd w:val="clear" w:color="auto" w:fill="auto"/>
            <w:vAlign w:val="center"/>
          </w:tcPr>
          <w:p w14:paraId="1CCC9236" w14:textId="6A19A645" w:rsidR="00BB0ADB" w:rsidRPr="00C41363" w:rsidRDefault="00BB0ADB" w:rsidP="00C41363">
            <w:pPr>
              <w:pStyle w:val="TableTextLeft"/>
            </w:pPr>
            <w:r w:rsidRPr="00C41363">
              <w:t>Concessional taxation of employer superannuation contributions</w:t>
            </w:r>
          </w:p>
        </w:tc>
        <w:tc>
          <w:tcPr>
            <w:tcW w:w="460" w:type="pct"/>
            <w:tcBorders>
              <w:top w:val="nil"/>
              <w:left w:val="nil"/>
              <w:bottom w:val="nil"/>
              <w:right w:val="nil"/>
            </w:tcBorders>
            <w:vAlign w:val="center"/>
          </w:tcPr>
          <w:p w14:paraId="6F11F1DD" w14:textId="7E501AB6"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1E7899BB" w14:textId="51EAF6B8" w:rsidR="00BB0ADB" w:rsidRPr="00C41363" w:rsidRDefault="005A72DA" w:rsidP="001C380C">
            <w:pPr>
              <w:pStyle w:val="TableTextLeft"/>
              <w:jc w:val="right"/>
            </w:pPr>
            <w:r w:rsidRPr="00C41363">
              <w:t>29,150</w:t>
            </w:r>
          </w:p>
        </w:tc>
        <w:tc>
          <w:tcPr>
            <w:tcW w:w="517" w:type="pct"/>
            <w:tcBorders>
              <w:top w:val="nil"/>
              <w:left w:val="nil"/>
              <w:bottom w:val="nil"/>
              <w:right w:val="nil"/>
            </w:tcBorders>
            <w:vAlign w:val="center"/>
          </w:tcPr>
          <w:p w14:paraId="13AE6AE3" w14:textId="310BB6D6" w:rsidR="00BB0ADB" w:rsidRPr="00C41363" w:rsidRDefault="00E70F4C" w:rsidP="001C380C">
            <w:pPr>
              <w:pStyle w:val="TableTextLeft"/>
              <w:jc w:val="right"/>
            </w:pPr>
            <w:r w:rsidRPr="00C41363">
              <w:t>14.2</w:t>
            </w:r>
          </w:p>
        </w:tc>
        <w:tc>
          <w:tcPr>
            <w:tcW w:w="516" w:type="pct"/>
            <w:tcBorders>
              <w:top w:val="nil"/>
              <w:left w:val="nil"/>
              <w:bottom w:val="nil"/>
              <w:right w:val="nil"/>
            </w:tcBorders>
            <w:vAlign w:val="center"/>
          </w:tcPr>
          <w:p w14:paraId="254732AD" w14:textId="14E3E1F4" w:rsidR="00BB0ADB" w:rsidRPr="00C41363" w:rsidRDefault="00E70F4C" w:rsidP="001C380C">
            <w:pPr>
              <w:pStyle w:val="TableTextLeft"/>
              <w:jc w:val="right"/>
            </w:pPr>
            <w:r w:rsidRPr="00C41363">
              <w:t>4.1</w:t>
            </w:r>
          </w:p>
        </w:tc>
      </w:tr>
      <w:tr w:rsidR="000D4EFC" w:rsidRPr="00273AA1" w14:paraId="5F89CBD3" w14:textId="77777777" w:rsidTr="00310AC6">
        <w:trPr>
          <w:trHeight w:val="227"/>
        </w:trPr>
        <w:tc>
          <w:tcPr>
            <w:tcW w:w="460" w:type="pct"/>
            <w:tcBorders>
              <w:top w:val="nil"/>
              <w:left w:val="nil"/>
              <w:bottom w:val="nil"/>
              <w:right w:val="nil"/>
            </w:tcBorders>
            <w:shd w:val="clear" w:color="auto" w:fill="auto"/>
            <w:noWrap/>
            <w:vAlign w:val="center"/>
          </w:tcPr>
          <w:p w14:paraId="4E032704" w14:textId="5056BF37" w:rsidR="001B0066" w:rsidRPr="00C41363" w:rsidRDefault="00E70F4C"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69FCAEC7" w14:textId="33BD77B2" w:rsidR="001B0066" w:rsidRPr="00C41363" w:rsidRDefault="00E70F4C" w:rsidP="00C41363">
            <w:pPr>
              <w:pStyle w:val="TableTextLeft"/>
            </w:pPr>
            <w:r w:rsidRPr="00C41363">
              <w:t>E8</w:t>
            </w:r>
          </w:p>
        </w:tc>
        <w:tc>
          <w:tcPr>
            <w:tcW w:w="2184" w:type="pct"/>
            <w:tcBorders>
              <w:top w:val="nil"/>
              <w:left w:val="nil"/>
              <w:bottom w:val="nil"/>
              <w:right w:val="nil"/>
            </w:tcBorders>
            <w:shd w:val="clear" w:color="auto" w:fill="auto"/>
            <w:vAlign w:val="center"/>
          </w:tcPr>
          <w:p w14:paraId="1DC9EF79" w14:textId="1CCA0865" w:rsidR="001B0066" w:rsidRPr="00C41363" w:rsidRDefault="00E70F4C" w:rsidP="00C41363">
            <w:pPr>
              <w:pStyle w:val="TableTextLeft"/>
            </w:pPr>
            <w:r w:rsidRPr="00C41363">
              <w:t>Main residence exemption – discount component</w:t>
            </w:r>
          </w:p>
        </w:tc>
        <w:tc>
          <w:tcPr>
            <w:tcW w:w="460" w:type="pct"/>
            <w:tcBorders>
              <w:top w:val="nil"/>
              <w:left w:val="nil"/>
              <w:bottom w:val="nil"/>
              <w:right w:val="nil"/>
            </w:tcBorders>
            <w:vAlign w:val="center"/>
          </w:tcPr>
          <w:p w14:paraId="66F4AD00" w14:textId="72B6CA0C" w:rsidR="001B0066" w:rsidRPr="00C41363" w:rsidRDefault="001B0066" w:rsidP="00C41363">
            <w:pPr>
              <w:pStyle w:val="TableTextLeft"/>
            </w:pPr>
          </w:p>
        </w:tc>
        <w:tc>
          <w:tcPr>
            <w:tcW w:w="633" w:type="pct"/>
            <w:tcBorders>
              <w:top w:val="nil"/>
              <w:left w:val="nil"/>
              <w:bottom w:val="nil"/>
              <w:right w:val="nil"/>
            </w:tcBorders>
            <w:shd w:val="clear" w:color="auto" w:fill="auto"/>
            <w:noWrap/>
            <w:vAlign w:val="center"/>
          </w:tcPr>
          <w:p w14:paraId="539DD41B" w14:textId="4D44DE3E" w:rsidR="001B0066" w:rsidRPr="00C41363" w:rsidRDefault="005A72DA" w:rsidP="001C380C">
            <w:pPr>
              <w:pStyle w:val="TableTextLeft"/>
              <w:jc w:val="right"/>
            </w:pPr>
            <w:r w:rsidRPr="00C41363">
              <w:t>27,000</w:t>
            </w:r>
          </w:p>
        </w:tc>
        <w:tc>
          <w:tcPr>
            <w:tcW w:w="517" w:type="pct"/>
            <w:tcBorders>
              <w:top w:val="nil"/>
              <w:left w:val="nil"/>
              <w:bottom w:val="nil"/>
              <w:right w:val="nil"/>
            </w:tcBorders>
            <w:vAlign w:val="center"/>
          </w:tcPr>
          <w:p w14:paraId="68DEFA5B" w14:textId="0EB7380D" w:rsidR="001B0066" w:rsidRPr="00C41363" w:rsidRDefault="007703D0" w:rsidP="001C380C">
            <w:pPr>
              <w:pStyle w:val="TableTextLeft"/>
              <w:jc w:val="right"/>
            </w:pPr>
            <w:r w:rsidRPr="00C41363">
              <w:t>18.6</w:t>
            </w:r>
          </w:p>
        </w:tc>
        <w:tc>
          <w:tcPr>
            <w:tcW w:w="516" w:type="pct"/>
            <w:tcBorders>
              <w:top w:val="nil"/>
              <w:left w:val="nil"/>
              <w:bottom w:val="nil"/>
              <w:right w:val="nil"/>
            </w:tcBorders>
            <w:vAlign w:val="center"/>
          </w:tcPr>
          <w:p w14:paraId="4D375A23" w14:textId="68E4D826" w:rsidR="001B0066" w:rsidRPr="00C41363" w:rsidRDefault="00A97A14" w:rsidP="001C380C">
            <w:pPr>
              <w:pStyle w:val="TableTextLeft"/>
              <w:jc w:val="right"/>
            </w:pPr>
            <w:r w:rsidRPr="00C41363">
              <w:t>8.0</w:t>
            </w:r>
          </w:p>
        </w:tc>
      </w:tr>
      <w:tr w:rsidR="002110CA" w:rsidRPr="00273AA1" w14:paraId="4FDFE8A6" w14:textId="77777777" w:rsidTr="00310AC6">
        <w:trPr>
          <w:trHeight w:val="227"/>
        </w:trPr>
        <w:tc>
          <w:tcPr>
            <w:tcW w:w="460" w:type="pct"/>
            <w:tcBorders>
              <w:top w:val="nil"/>
              <w:left w:val="nil"/>
              <w:bottom w:val="nil"/>
              <w:right w:val="nil"/>
            </w:tcBorders>
            <w:shd w:val="clear" w:color="auto" w:fill="auto"/>
            <w:noWrap/>
            <w:vAlign w:val="center"/>
          </w:tcPr>
          <w:p w14:paraId="56F7D601" w14:textId="33ABED7D" w:rsidR="002110CA" w:rsidRPr="00C41363" w:rsidRDefault="002110CA" w:rsidP="00C41363">
            <w:pPr>
              <w:pStyle w:val="TableTextLeft"/>
            </w:pPr>
            <w:r w:rsidRPr="00C41363">
              <w:t>Deductions</w:t>
            </w:r>
          </w:p>
        </w:tc>
        <w:tc>
          <w:tcPr>
            <w:tcW w:w="230" w:type="pct"/>
            <w:tcBorders>
              <w:top w:val="nil"/>
              <w:left w:val="nil"/>
              <w:bottom w:val="nil"/>
              <w:right w:val="nil"/>
            </w:tcBorders>
            <w:shd w:val="clear" w:color="auto" w:fill="auto"/>
            <w:noWrap/>
            <w:vAlign w:val="center"/>
          </w:tcPr>
          <w:p w14:paraId="7CD9C8EA" w14:textId="77777777" w:rsidR="002110CA" w:rsidRPr="00C41363" w:rsidRDefault="002110CA" w:rsidP="00C41363">
            <w:pPr>
              <w:pStyle w:val="TableTextLeft"/>
            </w:pPr>
          </w:p>
        </w:tc>
        <w:tc>
          <w:tcPr>
            <w:tcW w:w="2184" w:type="pct"/>
            <w:tcBorders>
              <w:top w:val="nil"/>
              <w:left w:val="nil"/>
              <w:bottom w:val="nil"/>
              <w:right w:val="nil"/>
            </w:tcBorders>
            <w:shd w:val="clear" w:color="auto" w:fill="auto"/>
            <w:vAlign w:val="center"/>
          </w:tcPr>
          <w:p w14:paraId="49FDB012" w14:textId="65C2A0AF" w:rsidR="002110CA" w:rsidRPr="00C41363" w:rsidRDefault="002110CA" w:rsidP="00C41363">
            <w:pPr>
              <w:pStyle w:val="TableTextLeft"/>
            </w:pPr>
            <w:r w:rsidRPr="00C41363">
              <w:t>Rental deductions</w:t>
            </w:r>
          </w:p>
        </w:tc>
        <w:tc>
          <w:tcPr>
            <w:tcW w:w="460" w:type="pct"/>
            <w:tcBorders>
              <w:top w:val="nil"/>
              <w:left w:val="nil"/>
              <w:bottom w:val="nil"/>
              <w:right w:val="nil"/>
            </w:tcBorders>
            <w:vAlign w:val="center"/>
          </w:tcPr>
          <w:p w14:paraId="24586E25" w14:textId="769B5654" w:rsidR="002110CA" w:rsidRPr="00C41363" w:rsidRDefault="002110CA" w:rsidP="00C41363">
            <w:pPr>
              <w:pStyle w:val="TableTextLeft"/>
            </w:pPr>
            <w:r w:rsidRPr="00C41363">
              <w:t>Y</w:t>
            </w:r>
          </w:p>
        </w:tc>
        <w:tc>
          <w:tcPr>
            <w:tcW w:w="633" w:type="pct"/>
            <w:tcBorders>
              <w:top w:val="nil"/>
              <w:left w:val="nil"/>
              <w:bottom w:val="nil"/>
              <w:right w:val="nil"/>
            </w:tcBorders>
            <w:shd w:val="clear" w:color="auto" w:fill="auto"/>
            <w:noWrap/>
            <w:vAlign w:val="center"/>
          </w:tcPr>
          <w:p w14:paraId="6F863F7B" w14:textId="404BBEEA" w:rsidR="002110CA" w:rsidRPr="00C41363" w:rsidRDefault="002110CA" w:rsidP="001C380C">
            <w:pPr>
              <w:pStyle w:val="TableTextLeft"/>
              <w:jc w:val="right"/>
            </w:pPr>
            <w:r w:rsidRPr="00C41363">
              <w:t xml:space="preserve">                      26,500 </w:t>
            </w:r>
          </w:p>
        </w:tc>
        <w:tc>
          <w:tcPr>
            <w:tcW w:w="517" w:type="pct"/>
            <w:tcBorders>
              <w:top w:val="nil"/>
              <w:left w:val="nil"/>
              <w:bottom w:val="nil"/>
              <w:right w:val="nil"/>
            </w:tcBorders>
            <w:vAlign w:val="center"/>
          </w:tcPr>
          <w:p w14:paraId="0C3E3AD0" w14:textId="34E7EE27" w:rsidR="002110CA" w:rsidRPr="00C41363" w:rsidRDefault="002110CA" w:rsidP="001C380C">
            <w:pPr>
              <w:pStyle w:val="TableTextLeft"/>
              <w:jc w:val="right"/>
            </w:pPr>
            <w:r w:rsidRPr="00C41363">
              <w:t>14.4</w:t>
            </w:r>
          </w:p>
        </w:tc>
        <w:tc>
          <w:tcPr>
            <w:tcW w:w="516" w:type="pct"/>
            <w:tcBorders>
              <w:top w:val="nil"/>
              <w:left w:val="nil"/>
              <w:bottom w:val="nil"/>
              <w:right w:val="nil"/>
            </w:tcBorders>
            <w:vAlign w:val="center"/>
          </w:tcPr>
          <w:p w14:paraId="4A62EB0B" w14:textId="40A80B29" w:rsidR="002110CA" w:rsidRPr="00C41363" w:rsidRDefault="002110CA" w:rsidP="001C380C">
            <w:pPr>
              <w:pStyle w:val="TableTextLeft"/>
              <w:jc w:val="right"/>
            </w:pPr>
            <w:r w:rsidRPr="00C41363">
              <w:t>6.1</w:t>
            </w:r>
          </w:p>
        </w:tc>
      </w:tr>
      <w:tr w:rsidR="000D4EFC" w:rsidRPr="00273AA1" w14:paraId="6603F109" w14:textId="77777777" w:rsidTr="00310AC6">
        <w:trPr>
          <w:trHeight w:val="227"/>
        </w:trPr>
        <w:tc>
          <w:tcPr>
            <w:tcW w:w="460" w:type="pct"/>
            <w:tcBorders>
              <w:top w:val="nil"/>
              <w:left w:val="nil"/>
              <w:bottom w:val="nil"/>
              <w:right w:val="nil"/>
            </w:tcBorders>
            <w:shd w:val="clear" w:color="auto" w:fill="auto"/>
            <w:noWrap/>
            <w:vAlign w:val="center"/>
          </w:tcPr>
          <w:p w14:paraId="7CE6EB50" w14:textId="168AC52D" w:rsidR="00BB0ADB" w:rsidRPr="00C41363" w:rsidRDefault="00BB0ADB"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41DE4CE8" w14:textId="75BB8692" w:rsidR="00BB0ADB" w:rsidRPr="00C41363" w:rsidRDefault="00E70F4C" w:rsidP="00C41363">
            <w:pPr>
              <w:pStyle w:val="TableTextLeft"/>
            </w:pPr>
            <w:r w:rsidRPr="00C41363">
              <w:t>E7</w:t>
            </w:r>
          </w:p>
        </w:tc>
        <w:tc>
          <w:tcPr>
            <w:tcW w:w="2184" w:type="pct"/>
            <w:tcBorders>
              <w:top w:val="nil"/>
              <w:left w:val="nil"/>
              <w:bottom w:val="nil"/>
              <w:right w:val="nil"/>
            </w:tcBorders>
            <w:shd w:val="clear" w:color="auto" w:fill="auto"/>
            <w:vAlign w:val="center"/>
          </w:tcPr>
          <w:p w14:paraId="0839290A" w14:textId="7F9737BF" w:rsidR="00BB0ADB" w:rsidRPr="00C41363" w:rsidRDefault="00BB0ADB" w:rsidP="00C41363">
            <w:pPr>
              <w:pStyle w:val="TableTextLeft"/>
            </w:pPr>
            <w:r w:rsidRPr="00C41363">
              <w:t>Main residence exemption</w:t>
            </w:r>
          </w:p>
        </w:tc>
        <w:tc>
          <w:tcPr>
            <w:tcW w:w="460" w:type="pct"/>
            <w:tcBorders>
              <w:top w:val="nil"/>
              <w:left w:val="nil"/>
              <w:bottom w:val="nil"/>
              <w:right w:val="nil"/>
            </w:tcBorders>
            <w:vAlign w:val="center"/>
          </w:tcPr>
          <w:p w14:paraId="13E8266C"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4C16C324" w14:textId="637E408A" w:rsidR="00BB0ADB" w:rsidRPr="00C41363" w:rsidRDefault="005A72DA" w:rsidP="001C380C">
            <w:pPr>
              <w:pStyle w:val="TableTextLeft"/>
              <w:jc w:val="right"/>
            </w:pPr>
            <w:r w:rsidRPr="00C41363">
              <w:t>24,500</w:t>
            </w:r>
          </w:p>
        </w:tc>
        <w:tc>
          <w:tcPr>
            <w:tcW w:w="517" w:type="pct"/>
            <w:tcBorders>
              <w:top w:val="nil"/>
              <w:left w:val="nil"/>
              <w:bottom w:val="nil"/>
              <w:right w:val="nil"/>
            </w:tcBorders>
            <w:vAlign w:val="center"/>
          </w:tcPr>
          <w:p w14:paraId="204927FA" w14:textId="723B9F01" w:rsidR="00BB0ADB" w:rsidRPr="00C41363" w:rsidRDefault="00891899" w:rsidP="001C380C">
            <w:pPr>
              <w:pStyle w:val="TableTextLeft"/>
              <w:jc w:val="right"/>
            </w:pPr>
            <w:r w:rsidRPr="00C41363">
              <w:t>18.0</w:t>
            </w:r>
          </w:p>
        </w:tc>
        <w:tc>
          <w:tcPr>
            <w:tcW w:w="516" w:type="pct"/>
            <w:tcBorders>
              <w:top w:val="nil"/>
              <w:left w:val="nil"/>
              <w:bottom w:val="nil"/>
              <w:right w:val="nil"/>
            </w:tcBorders>
            <w:vAlign w:val="center"/>
          </w:tcPr>
          <w:p w14:paraId="318F6AE0" w14:textId="363072E6" w:rsidR="00BB0ADB" w:rsidRPr="00C41363" w:rsidRDefault="00891899" w:rsidP="001C380C">
            <w:pPr>
              <w:pStyle w:val="TableTextLeft"/>
              <w:jc w:val="right"/>
            </w:pPr>
            <w:r w:rsidRPr="00C41363">
              <w:t>7.7</w:t>
            </w:r>
          </w:p>
        </w:tc>
      </w:tr>
      <w:tr w:rsidR="000D4EFC" w:rsidRPr="00273AA1" w14:paraId="74617EDF" w14:textId="77777777" w:rsidTr="00310AC6">
        <w:trPr>
          <w:trHeight w:val="227"/>
        </w:trPr>
        <w:tc>
          <w:tcPr>
            <w:tcW w:w="460" w:type="pct"/>
            <w:tcBorders>
              <w:top w:val="nil"/>
              <w:left w:val="nil"/>
              <w:bottom w:val="nil"/>
              <w:right w:val="nil"/>
            </w:tcBorders>
            <w:shd w:val="clear" w:color="auto" w:fill="auto"/>
            <w:noWrap/>
            <w:vAlign w:val="center"/>
          </w:tcPr>
          <w:p w14:paraId="3B6C0017" w14:textId="5D46FD3A" w:rsidR="00BB0ADB" w:rsidRPr="00C41363" w:rsidRDefault="008F2E45" w:rsidP="00C41363">
            <w:pPr>
              <w:pStyle w:val="TableTextLeft"/>
            </w:pPr>
            <w:r w:rsidRPr="00C41363">
              <w:t>CGT</w:t>
            </w:r>
          </w:p>
        </w:tc>
        <w:tc>
          <w:tcPr>
            <w:tcW w:w="230" w:type="pct"/>
            <w:tcBorders>
              <w:top w:val="nil"/>
              <w:left w:val="nil"/>
              <w:bottom w:val="nil"/>
              <w:right w:val="nil"/>
            </w:tcBorders>
            <w:shd w:val="clear" w:color="auto" w:fill="auto"/>
            <w:noWrap/>
            <w:vAlign w:val="center"/>
          </w:tcPr>
          <w:p w14:paraId="394C3F75" w14:textId="0FC1E3C4" w:rsidR="00BB0ADB" w:rsidRPr="00C41363" w:rsidRDefault="008F2E45" w:rsidP="00C41363">
            <w:pPr>
              <w:pStyle w:val="TableTextLeft"/>
            </w:pPr>
            <w:r w:rsidRPr="00C41363">
              <w:t>E15</w:t>
            </w:r>
          </w:p>
        </w:tc>
        <w:tc>
          <w:tcPr>
            <w:tcW w:w="2184" w:type="pct"/>
            <w:tcBorders>
              <w:top w:val="nil"/>
              <w:left w:val="nil"/>
              <w:bottom w:val="nil"/>
              <w:right w:val="nil"/>
            </w:tcBorders>
            <w:shd w:val="clear" w:color="auto" w:fill="auto"/>
            <w:vAlign w:val="center"/>
          </w:tcPr>
          <w:p w14:paraId="3D2B41D2" w14:textId="17A5F8A1" w:rsidR="00BB0ADB" w:rsidRPr="00C41363" w:rsidRDefault="008F2E45" w:rsidP="00C41363">
            <w:pPr>
              <w:pStyle w:val="TableTextLeft"/>
            </w:pPr>
            <w:r w:rsidRPr="00C41363">
              <w:t>Discount for individuals and trusts</w:t>
            </w:r>
          </w:p>
        </w:tc>
        <w:tc>
          <w:tcPr>
            <w:tcW w:w="460" w:type="pct"/>
            <w:tcBorders>
              <w:top w:val="nil"/>
              <w:left w:val="nil"/>
              <w:bottom w:val="nil"/>
              <w:right w:val="nil"/>
            </w:tcBorders>
            <w:vAlign w:val="center"/>
          </w:tcPr>
          <w:p w14:paraId="3F88F8B8" w14:textId="11A524E3" w:rsidR="00BB0ADB" w:rsidRPr="00C41363" w:rsidRDefault="00E70F4C" w:rsidP="00C41363">
            <w:pPr>
              <w:pStyle w:val="TableTextLeft"/>
            </w:pPr>
            <w:r w:rsidRPr="00C41363">
              <w:t>Y</w:t>
            </w:r>
          </w:p>
        </w:tc>
        <w:tc>
          <w:tcPr>
            <w:tcW w:w="633" w:type="pct"/>
            <w:tcBorders>
              <w:top w:val="nil"/>
              <w:left w:val="nil"/>
              <w:bottom w:val="nil"/>
              <w:right w:val="nil"/>
            </w:tcBorders>
            <w:shd w:val="clear" w:color="auto" w:fill="auto"/>
            <w:noWrap/>
            <w:vAlign w:val="center"/>
          </w:tcPr>
          <w:p w14:paraId="04BA861C" w14:textId="03B36E2B" w:rsidR="00BB0ADB" w:rsidRPr="00C41363" w:rsidRDefault="005A72DA" w:rsidP="001C380C">
            <w:pPr>
              <w:pStyle w:val="TableTextLeft"/>
              <w:jc w:val="right"/>
            </w:pPr>
            <w:r w:rsidRPr="00C41363">
              <w:t>22,730</w:t>
            </w:r>
          </w:p>
        </w:tc>
        <w:tc>
          <w:tcPr>
            <w:tcW w:w="517" w:type="pct"/>
            <w:tcBorders>
              <w:top w:val="nil"/>
              <w:left w:val="nil"/>
              <w:bottom w:val="nil"/>
              <w:right w:val="nil"/>
            </w:tcBorders>
            <w:vAlign w:val="center"/>
          </w:tcPr>
          <w:p w14:paraId="02B79CCB" w14:textId="43A42972" w:rsidR="00BB0ADB" w:rsidRPr="00C41363" w:rsidRDefault="00891899" w:rsidP="001C380C">
            <w:pPr>
              <w:pStyle w:val="TableTextLeft"/>
              <w:jc w:val="right"/>
            </w:pPr>
            <w:r w:rsidRPr="00C41363">
              <w:t>27.</w:t>
            </w:r>
            <w:r w:rsidR="008F2E45" w:rsidRPr="00C41363">
              <w:t>0</w:t>
            </w:r>
          </w:p>
        </w:tc>
        <w:tc>
          <w:tcPr>
            <w:tcW w:w="516" w:type="pct"/>
            <w:tcBorders>
              <w:top w:val="nil"/>
              <w:left w:val="nil"/>
              <w:bottom w:val="nil"/>
              <w:right w:val="nil"/>
            </w:tcBorders>
            <w:vAlign w:val="center"/>
          </w:tcPr>
          <w:p w14:paraId="5906C933" w14:textId="4BD8D071" w:rsidR="00BB0ADB" w:rsidRPr="00C41363" w:rsidRDefault="00891899" w:rsidP="001C380C">
            <w:pPr>
              <w:pStyle w:val="TableTextLeft"/>
              <w:jc w:val="right"/>
            </w:pPr>
            <w:r w:rsidRPr="00C41363">
              <w:t>-3.</w:t>
            </w:r>
            <w:r w:rsidR="008F2E45" w:rsidRPr="00C41363">
              <w:t>4</w:t>
            </w:r>
          </w:p>
        </w:tc>
      </w:tr>
      <w:tr w:rsidR="000D4EFC" w:rsidRPr="00273AA1" w14:paraId="0EFA6DE3" w14:textId="77777777" w:rsidTr="00310AC6">
        <w:trPr>
          <w:trHeight w:val="227"/>
        </w:trPr>
        <w:tc>
          <w:tcPr>
            <w:tcW w:w="460" w:type="pct"/>
            <w:tcBorders>
              <w:top w:val="nil"/>
              <w:left w:val="nil"/>
              <w:bottom w:val="nil"/>
              <w:right w:val="nil"/>
            </w:tcBorders>
            <w:shd w:val="clear" w:color="auto" w:fill="auto"/>
            <w:noWrap/>
            <w:vAlign w:val="center"/>
          </w:tcPr>
          <w:p w14:paraId="6C4D6D80" w14:textId="2D540D55" w:rsidR="00BB0ADB" w:rsidRPr="00C41363" w:rsidRDefault="008F2E45"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716ECB85" w14:textId="1515F120" w:rsidR="00BB0ADB" w:rsidRPr="00C41363" w:rsidRDefault="008F2E45" w:rsidP="00C41363">
            <w:pPr>
              <w:pStyle w:val="TableTextLeft"/>
            </w:pPr>
            <w:r w:rsidRPr="00C41363">
              <w:t>C4</w:t>
            </w:r>
          </w:p>
        </w:tc>
        <w:tc>
          <w:tcPr>
            <w:tcW w:w="2184" w:type="pct"/>
            <w:tcBorders>
              <w:top w:val="nil"/>
              <w:left w:val="nil"/>
              <w:bottom w:val="nil"/>
              <w:right w:val="nil"/>
            </w:tcBorders>
            <w:shd w:val="clear" w:color="auto" w:fill="auto"/>
            <w:vAlign w:val="center"/>
          </w:tcPr>
          <w:p w14:paraId="4282AF9E" w14:textId="1AE8820C" w:rsidR="00BB0ADB" w:rsidRPr="00C41363" w:rsidRDefault="00891899" w:rsidP="00C41363">
            <w:pPr>
              <w:pStyle w:val="TableTextLeft"/>
            </w:pPr>
            <w:r w:rsidRPr="00C41363">
              <w:t xml:space="preserve">Concessional taxation of superannuation </w:t>
            </w:r>
            <w:r w:rsidR="008F2E45" w:rsidRPr="00C41363">
              <w:t>earnings</w:t>
            </w:r>
          </w:p>
        </w:tc>
        <w:tc>
          <w:tcPr>
            <w:tcW w:w="460" w:type="pct"/>
            <w:tcBorders>
              <w:top w:val="nil"/>
              <w:left w:val="nil"/>
              <w:bottom w:val="nil"/>
              <w:right w:val="nil"/>
            </w:tcBorders>
            <w:vAlign w:val="center"/>
          </w:tcPr>
          <w:p w14:paraId="2A981572" w14:textId="617922DF"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277B701C" w14:textId="39BFE995" w:rsidR="00BB0ADB" w:rsidRPr="00C41363" w:rsidRDefault="005A72DA" w:rsidP="001C380C">
            <w:pPr>
              <w:pStyle w:val="TableTextLeft"/>
              <w:jc w:val="right"/>
            </w:pPr>
            <w:r w:rsidRPr="00C41363">
              <w:t>22,200</w:t>
            </w:r>
          </w:p>
        </w:tc>
        <w:tc>
          <w:tcPr>
            <w:tcW w:w="517" w:type="pct"/>
            <w:tcBorders>
              <w:top w:val="nil"/>
              <w:left w:val="nil"/>
              <w:bottom w:val="nil"/>
              <w:right w:val="nil"/>
            </w:tcBorders>
            <w:vAlign w:val="center"/>
          </w:tcPr>
          <w:p w14:paraId="4588B6C4" w14:textId="72D81B20" w:rsidR="00BB0ADB" w:rsidRPr="00C41363" w:rsidRDefault="00891899" w:rsidP="001C380C">
            <w:pPr>
              <w:pStyle w:val="TableTextLeft"/>
              <w:jc w:val="right"/>
            </w:pPr>
            <w:r w:rsidRPr="00C41363">
              <w:t>6.2</w:t>
            </w:r>
          </w:p>
        </w:tc>
        <w:tc>
          <w:tcPr>
            <w:tcW w:w="516" w:type="pct"/>
            <w:tcBorders>
              <w:top w:val="nil"/>
              <w:left w:val="nil"/>
              <w:bottom w:val="nil"/>
              <w:right w:val="nil"/>
            </w:tcBorders>
            <w:vAlign w:val="center"/>
          </w:tcPr>
          <w:p w14:paraId="28D859D1" w14:textId="726FBC9A" w:rsidR="00BB0ADB" w:rsidRPr="00C41363" w:rsidRDefault="00891899" w:rsidP="001C380C">
            <w:pPr>
              <w:pStyle w:val="TableTextLeft"/>
              <w:jc w:val="right"/>
            </w:pPr>
            <w:r w:rsidRPr="00C41363">
              <w:t>13.0</w:t>
            </w:r>
          </w:p>
        </w:tc>
      </w:tr>
      <w:tr w:rsidR="000D4EFC" w:rsidRPr="00273AA1" w14:paraId="4725EE28" w14:textId="77777777" w:rsidTr="00310AC6">
        <w:trPr>
          <w:trHeight w:val="227"/>
        </w:trPr>
        <w:tc>
          <w:tcPr>
            <w:tcW w:w="460" w:type="pct"/>
            <w:tcBorders>
              <w:top w:val="nil"/>
              <w:left w:val="nil"/>
              <w:bottom w:val="nil"/>
              <w:right w:val="nil"/>
            </w:tcBorders>
            <w:shd w:val="clear" w:color="auto" w:fill="auto"/>
            <w:noWrap/>
            <w:vAlign w:val="center"/>
          </w:tcPr>
          <w:p w14:paraId="2D734F26" w14:textId="6E16BEB0"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3BB032CE" w14:textId="4CD563FE" w:rsidR="00BB0ADB" w:rsidRPr="00C41363" w:rsidRDefault="00E70F4C" w:rsidP="00C41363">
            <w:pPr>
              <w:pStyle w:val="TableTextLeft"/>
            </w:pPr>
            <w:r w:rsidRPr="00C41363">
              <w:t>A26</w:t>
            </w:r>
          </w:p>
        </w:tc>
        <w:tc>
          <w:tcPr>
            <w:tcW w:w="2184" w:type="pct"/>
            <w:tcBorders>
              <w:top w:val="nil"/>
              <w:left w:val="nil"/>
              <w:bottom w:val="nil"/>
              <w:right w:val="nil"/>
            </w:tcBorders>
            <w:shd w:val="clear" w:color="auto" w:fill="auto"/>
            <w:vAlign w:val="center"/>
          </w:tcPr>
          <w:p w14:paraId="7199E60B" w14:textId="49633F60" w:rsidR="00BB0ADB" w:rsidRPr="00C41363" w:rsidRDefault="00E70F4C" w:rsidP="00C41363">
            <w:pPr>
              <w:pStyle w:val="TableTextLeft"/>
            </w:pPr>
            <w:r w:rsidRPr="00C41363">
              <w:t>Exemption for National Disability Insurance Scheme amounts</w:t>
            </w:r>
          </w:p>
        </w:tc>
        <w:tc>
          <w:tcPr>
            <w:tcW w:w="460" w:type="pct"/>
            <w:tcBorders>
              <w:top w:val="nil"/>
              <w:left w:val="nil"/>
              <w:bottom w:val="nil"/>
              <w:right w:val="nil"/>
            </w:tcBorders>
            <w:vAlign w:val="center"/>
          </w:tcPr>
          <w:p w14:paraId="381B32B3" w14:textId="738D7C3E"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0674DCDD" w14:textId="0E3A7BAE" w:rsidR="00BB0ADB" w:rsidRPr="00C41363" w:rsidRDefault="006C7696" w:rsidP="001C380C">
            <w:pPr>
              <w:pStyle w:val="TableTextLeft"/>
              <w:jc w:val="right"/>
            </w:pPr>
            <w:r w:rsidRPr="00C41363">
              <w:t>11,420</w:t>
            </w:r>
          </w:p>
        </w:tc>
        <w:tc>
          <w:tcPr>
            <w:tcW w:w="517" w:type="pct"/>
            <w:tcBorders>
              <w:top w:val="nil"/>
              <w:left w:val="nil"/>
              <w:bottom w:val="nil"/>
              <w:right w:val="nil"/>
            </w:tcBorders>
            <w:vAlign w:val="center"/>
          </w:tcPr>
          <w:p w14:paraId="4C49C9F9" w14:textId="57712809" w:rsidR="00BB0ADB" w:rsidRPr="00C41363" w:rsidRDefault="00E70F4C" w:rsidP="001C380C">
            <w:pPr>
              <w:pStyle w:val="TableTextLeft"/>
              <w:jc w:val="right"/>
            </w:pPr>
            <w:r w:rsidRPr="00C41363">
              <w:t>29.7</w:t>
            </w:r>
          </w:p>
        </w:tc>
        <w:tc>
          <w:tcPr>
            <w:tcW w:w="516" w:type="pct"/>
            <w:tcBorders>
              <w:top w:val="nil"/>
              <w:left w:val="nil"/>
              <w:bottom w:val="nil"/>
              <w:right w:val="nil"/>
            </w:tcBorders>
            <w:vAlign w:val="center"/>
          </w:tcPr>
          <w:p w14:paraId="45D63E6E" w14:textId="167963D8" w:rsidR="00BB0ADB" w:rsidRPr="00C41363" w:rsidRDefault="00E70F4C" w:rsidP="001C380C">
            <w:pPr>
              <w:pStyle w:val="TableTextLeft"/>
              <w:jc w:val="right"/>
            </w:pPr>
            <w:r w:rsidRPr="00C41363">
              <w:t>8.8</w:t>
            </w:r>
          </w:p>
        </w:tc>
      </w:tr>
      <w:tr w:rsidR="00BD2A71" w:rsidRPr="00273AA1" w14:paraId="156D5526" w14:textId="77777777" w:rsidTr="00310AC6">
        <w:trPr>
          <w:trHeight w:val="227"/>
        </w:trPr>
        <w:tc>
          <w:tcPr>
            <w:tcW w:w="460" w:type="pct"/>
            <w:tcBorders>
              <w:top w:val="nil"/>
              <w:left w:val="nil"/>
              <w:bottom w:val="nil"/>
              <w:right w:val="nil"/>
            </w:tcBorders>
            <w:shd w:val="clear" w:color="auto" w:fill="auto"/>
            <w:noWrap/>
            <w:vAlign w:val="center"/>
          </w:tcPr>
          <w:p w14:paraId="2E330AE8" w14:textId="0E912353" w:rsidR="00BD2A71" w:rsidRPr="00C41363" w:rsidRDefault="00BD2A71" w:rsidP="00C41363">
            <w:pPr>
              <w:pStyle w:val="TableTextLeft"/>
            </w:pPr>
            <w:r w:rsidRPr="00C41363">
              <w:t>Deductions</w:t>
            </w:r>
          </w:p>
        </w:tc>
        <w:tc>
          <w:tcPr>
            <w:tcW w:w="230" w:type="pct"/>
            <w:tcBorders>
              <w:top w:val="nil"/>
              <w:left w:val="nil"/>
              <w:bottom w:val="nil"/>
              <w:right w:val="nil"/>
            </w:tcBorders>
            <w:shd w:val="clear" w:color="auto" w:fill="auto"/>
            <w:noWrap/>
            <w:vAlign w:val="center"/>
          </w:tcPr>
          <w:p w14:paraId="77362E22" w14:textId="77777777" w:rsidR="00BD2A71" w:rsidRPr="00C41363" w:rsidRDefault="00BD2A71" w:rsidP="00C41363">
            <w:pPr>
              <w:pStyle w:val="TableTextLeft"/>
            </w:pPr>
          </w:p>
        </w:tc>
        <w:tc>
          <w:tcPr>
            <w:tcW w:w="2184" w:type="pct"/>
            <w:tcBorders>
              <w:top w:val="nil"/>
              <w:left w:val="nil"/>
              <w:bottom w:val="nil"/>
              <w:right w:val="nil"/>
            </w:tcBorders>
            <w:shd w:val="clear" w:color="auto" w:fill="auto"/>
            <w:vAlign w:val="center"/>
          </w:tcPr>
          <w:p w14:paraId="7494D5F8" w14:textId="7104DCE0" w:rsidR="00BD2A71" w:rsidRPr="00C41363" w:rsidRDefault="00BD2A71" w:rsidP="00C41363">
            <w:pPr>
              <w:pStyle w:val="TableTextLeft"/>
            </w:pPr>
            <w:r w:rsidRPr="00C41363">
              <w:t>Work-related expenses</w:t>
            </w:r>
          </w:p>
        </w:tc>
        <w:tc>
          <w:tcPr>
            <w:tcW w:w="460" w:type="pct"/>
            <w:tcBorders>
              <w:top w:val="nil"/>
              <w:left w:val="nil"/>
              <w:bottom w:val="nil"/>
              <w:right w:val="nil"/>
            </w:tcBorders>
            <w:vAlign w:val="center"/>
          </w:tcPr>
          <w:p w14:paraId="0CE1829C" w14:textId="629A6047" w:rsidR="00BD2A71" w:rsidRPr="00C41363" w:rsidRDefault="00BD2A71" w:rsidP="00C41363">
            <w:pPr>
              <w:pStyle w:val="TableTextLeft"/>
            </w:pPr>
            <w:r w:rsidRPr="00C41363">
              <w:t>Y</w:t>
            </w:r>
          </w:p>
        </w:tc>
        <w:tc>
          <w:tcPr>
            <w:tcW w:w="633" w:type="pct"/>
            <w:tcBorders>
              <w:top w:val="nil"/>
              <w:left w:val="nil"/>
              <w:bottom w:val="nil"/>
              <w:right w:val="nil"/>
            </w:tcBorders>
            <w:shd w:val="clear" w:color="auto" w:fill="auto"/>
            <w:noWrap/>
            <w:vAlign w:val="center"/>
          </w:tcPr>
          <w:p w14:paraId="425C435C" w14:textId="576C7B01" w:rsidR="00BD2A71" w:rsidRPr="00C41363" w:rsidRDefault="00BD2A71" w:rsidP="001C380C">
            <w:pPr>
              <w:pStyle w:val="TableTextLeft"/>
              <w:jc w:val="right"/>
            </w:pPr>
            <w:r w:rsidRPr="00C41363">
              <w:t xml:space="preserve">                      11,300 </w:t>
            </w:r>
          </w:p>
        </w:tc>
        <w:tc>
          <w:tcPr>
            <w:tcW w:w="517" w:type="pct"/>
            <w:tcBorders>
              <w:top w:val="nil"/>
              <w:left w:val="nil"/>
              <w:bottom w:val="nil"/>
              <w:right w:val="nil"/>
            </w:tcBorders>
            <w:vAlign w:val="center"/>
          </w:tcPr>
          <w:p w14:paraId="6890EC19" w14:textId="77B7AED3" w:rsidR="00BD2A71" w:rsidRPr="00C41363" w:rsidRDefault="00BD2A71" w:rsidP="001C380C">
            <w:pPr>
              <w:pStyle w:val="TableTextLeft"/>
              <w:jc w:val="right"/>
            </w:pPr>
            <w:r w:rsidRPr="00C41363">
              <w:t>10.6</w:t>
            </w:r>
          </w:p>
        </w:tc>
        <w:tc>
          <w:tcPr>
            <w:tcW w:w="516" w:type="pct"/>
            <w:tcBorders>
              <w:top w:val="nil"/>
              <w:left w:val="nil"/>
              <w:bottom w:val="nil"/>
              <w:right w:val="nil"/>
            </w:tcBorders>
            <w:vAlign w:val="center"/>
          </w:tcPr>
          <w:p w14:paraId="1ABE6675" w14:textId="5CBAD035" w:rsidR="00BD2A71" w:rsidRPr="00C41363" w:rsidRDefault="00BD2A71" w:rsidP="001C380C">
            <w:pPr>
              <w:pStyle w:val="TableTextLeft"/>
              <w:jc w:val="right"/>
            </w:pPr>
            <w:r w:rsidRPr="00C41363">
              <w:t>3.7</w:t>
            </w:r>
          </w:p>
        </w:tc>
      </w:tr>
      <w:tr w:rsidR="000D4EFC" w:rsidRPr="00273AA1" w14:paraId="3B91645F" w14:textId="77777777" w:rsidTr="00310AC6">
        <w:trPr>
          <w:trHeight w:val="227"/>
        </w:trPr>
        <w:tc>
          <w:tcPr>
            <w:tcW w:w="460" w:type="pct"/>
            <w:tcBorders>
              <w:top w:val="nil"/>
              <w:left w:val="nil"/>
              <w:bottom w:val="nil"/>
              <w:right w:val="nil"/>
            </w:tcBorders>
            <w:shd w:val="clear" w:color="auto" w:fill="auto"/>
            <w:noWrap/>
            <w:vAlign w:val="center"/>
          </w:tcPr>
          <w:p w14:paraId="0D09EF25" w14:textId="4E841AAB" w:rsidR="000C74E0"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51282759" w14:textId="40F50F13" w:rsidR="000C74E0" w:rsidRPr="00C41363" w:rsidRDefault="00E70F4C" w:rsidP="00C41363">
            <w:pPr>
              <w:pStyle w:val="TableTextLeft"/>
            </w:pPr>
            <w:r w:rsidRPr="00C41363">
              <w:t>H25</w:t>
            </w:r>
          </w:p>
        </w:tc>
        <w:tc>
          <w:tcPr>
            <w:tcW w:w="2184" w:type="pct"/>
            <w:tcBorders>
              <w:top w:val="nil"/>
              <w:left w:val="nil"/>
              <w:bottom w:val="nil"/>
              <w:right w:val="nil"/>
            </w:tcBorders>
            <w:shd w:val="clear" w:color="auto" w:fill="auto"/>
            <w:vAlign w:val="center"/>
          </w:tcPr>
          <w:p w14:paraId="0C7A510F" w14:textId="60E485C8" w:rsidR="000C74E0" w:rsidRPr="00C41363" w:rsidRDefault="00E70F4C" w:rsidP="00C41363">
            <w:pPr>
              <w:pStyle w:val="TableTextLeft"/>
            </w:pPr>
            <w:r w:rsidRPr="00C41363">
              <w:t>Food</w:t>
            </w:r>
          </w:p>
        </w:tc>
        <w:tc>
          <w:tcPr>
            <w:tcW w:w="460" w:type="pct"/>
            <w:tcBorders>
              <w:top w:val="nil"/>
              <w:left w:val="nil"/>
              <w:bottom w:val="nil"/>
              <w:right w:val="nil"/>
            </w:tcBorders>
            <w:vAlign w:val="center"/>
          </w:tcPr>
          <w:p w14:paraId="4B846A1D" w14:textId="099884AA" w:rsidR="000C74E0" w:rsidRPr="00C41363" w:rsidRDefault="000C74E0" w:rsidP="00C41363">
            <w:pPr>
              <w:pStyle w:val="TableTextLeft"/>
            </w:pPr>
          </w:p>
        </w:tc>
        <w:tc>
          <w:tcPr>
            <w:tcW w:w="633" w:type="pct"/>
            <w:tcBorders>
              <w:top w:val="nil"/>
              <w:left w:val="nil"/>
              <w:bottom w:val="nil"/>
              <w:right w:val="nil"/>
            </w:tcBorders>
            <w:shd w:val="clear" w:color="auto" w:fill="auto"/>
            <w:noWrap/>
            <w:vAlign w:val="center"/>
          </w:tcPr>
          <w:p w14:paraId="31E7C72F" w14:textId="5ADB8A42" w:rsidR="000C74E0" w:rsidRPr="00C41363" w:rsidRDefault="006C7696" w:rsidP="001C380C">
            <w:pPr>
              <w:pStyle w:val="TableTextLeft"/>
              <w:jc w:val="right"/>
            </w:pPr>
            <w:r w:rsidRPr="00C41363">
              <w:t>9,500</w:t>
            </w:r>
          </w:p>
        </w:tc>
        <w:tc>
          <w:tcPr>
            <w:tcW w:w="517" w:type="pct"/>
            <w:tcBorders>
              <w:top w:val="nil"/>
              <w:left w:val="nil"/>
              <w:bottom w:val="nil"/>
              <w:right w:val="nil"/>
            </w:tcBorders>
            <w:vAlign w:val="center"/>
          </w:tcPr>
          <w:p w14:paraId="23D11817" w14:textId="5D420B33" w:rsidR="000C74E0" w:rsidRPr="00C41363" w:rsidRDefault="00891899" w:rsidP="001C380C">
            <w:pPr>
              <w:pStyle w:val="TableTextLeft"/>
              <w:jc w:val="right"/>
            </w:pPr>
            <w:r w:rsidRPr="00C41363">
              <w:t>6.1</w:t>
            </w:r>
          </w:p>
        </w:tc>
        <w:tc>
          <w:tcPr>
            <w:tcW w:w="516" w:type="pct"/>
            <w:tcBorders>
              <w:top w:val="nil"/>
              <w:left w:val="nil"/>
              <w:bottom w:val="nil"/>
              <w:right w:val="nil"/>
            </w:tcBorders>
            <w:vAlign w:val="center"/>
          </w:tcPr>
          <w:p w14:paraId="2795DECF" w14:textId="2E6237FE" w:rsidR="000C74E0" w:rsidRPr="00C41363" w:rsidRDefault="00891899" w:rsidP="001C380C">
            <w:pPr>
              <w:pStyle w:val="TableTextLeft"/>
              <w:jc w:val="right"/>
            </w:pPr>
            <w:r w:rsidRPr="00C41363">
              <w:t>3.6</w:t>
            </w:r>
          </w:p>
        </w:tc>
      </w:tr>
      <w:tr w:rsidR="000D4EFC" w:rsidRPr="00273AA1" w14:paraId="3B0FA801" w14:textId="77777777" w:rsidTr="00310AC6">
        <w:trPr>
          <w:trHeight w:val="227"/>
        </w:trPr>
        <w:tc>
          <w:tcPr>
            <w:tcW w:w="460" w:type="pct"/>
            <w:tcBorders>
              <w:top w:val="nil"/>
              <w:left w:val="nil"/>
              <w:bottom w:val="nil"/>
              <w:right w:val="nil"/>
            </w:tcBorders>
            <w:shd w:val="clear" w:color="auto" w:fill="auto"/>
            <w:noWrap/>
            <w:vAlign w:val="center"/>
          </w:tcPr>
          <w:p w14:paraId="6005738D" w14:textId="7E5B455D" w:rsidR="00BB0ADB"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4C2EDB3D" w14:textId="061B3B25" w:rsidR="00BB0ADB" w:rsidRPr="00C41363" w:rsidRDefault="00E70F4C" w:rsidP="00C41363">
            <w:pPr>
              <w:pStyle w:val="TableTextLeft"/>
            </w:pPr>
            <w:r w:rsidRPr="00C41363">
              <w:t>H17</w:t>
            </w:r>
          </w:p>
        </w:tc>
        <w:tc>
          <w:tcPr>
            <w:tcW w:w="2184" w:type="pct"/>
            <w:tcBorders>
              <w:top w:val="nil"/>
              <w:left w:val="nil"/>
              <w:bottom w:val="nil"/>
              <w:right w:val="nil"/>
            </w:tcBorders>
            <w:shd w:val="clear" w:color="auto" w:fill="auto"/>
            <w:vAlign w:val="center"/>
          </w:tcPr>
          <w:p w14:paraId="3C9D8608" w14:textId="0F76933F" w:rsidR="00BB0ADB" w:rsidRPr="00C41363" w:rsidRDefault="00E70F4C" w:rsidP="00C41363">
            <w:pPr>
              <w:pStyle w:val="TableTextLeft"/>
            </w:pPr>
            <w:r w:rsidRPr="00C41363">
              <w:t>Health – medical and health services</w:t>
            </w:r>
          </w:p>
        </w:tc>
        <w:tc>
          <w:tcPr>
            <w:tcW w:w="460" w:type="pct"/>
            <w:tcBorders>
              <w:top w:val="nil"/>
              <w:left w:val="nil"/>
              <w:bottom w:val="nil"/>
              <w:right w:val="nil"/>
            </w:tcBorders>
            <w:vAlign w:val="center"/>
          </w:tcPr>
          <w:p w14:paraId="022BB6B4"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620CCA0A" w14:textId="367B870B" w:rsidR="00BB0ADB" w:rsidRPr="00C41363" w:rsidRDefault="006C7696" w:rsidP="001C380C">
            <w:pPr>
              <w:pStyle w:val="TableTextLeft"/>
              <w:jc w:val="right"/>
            </w:pPr>
            <w:r w:rsidRPr="00C41363">
              <w:t>5,400</w:t>
            </w:r>
          </w:p>
        </w:tc>
        <w:tc>
          <w:tcPr>
            <w:tcW w:w="517" w:type="pct"/>
            <w:tcBorders>
              <w:top w:val="nil"/>
              <w:left w:val="nil"/>
              <w:bottom w:val="nil"/>
              <w:right w:val="nil"/>
            </w:tcBorders>
            <w:vAlign w:val="center"/>
          </w:tcPr>
          <w:p w14:paraId="1FAFD9BF" w14:textId="04A6C903" w:rsidR="00BB0ADB" w:rsidRPr="00C41363" w:rsidRDefault="00E70F4C" w:rsidP="001C380C">
            <w:pPr>
              <w:pStyle w:val="TableTextLeft"/>
              <w:jc w:val="right"/>
            </w:pPr>
            <w:r w:rsidRPr="00C41363">
              <w:t>5.0</w:t>
            </w:r>
          </w:p>
        </w:tc>
        <w:tc>
          <w:tcPr>
            <w:tcW w:w="516" w:type="pct"/>
            <w:tcBorders>
              <w:top w:val="nil"/>
              <w:left w:val="nil"/>
              <w:bottom w:val="nil"/>
              <w:right w:val="nil"/>
            </w:tcBorders>
            <w:vAlign w:val="center"/>
          </w:tcPr>
          <w:p w14:paraId="38414563" w14:textId="211D1FEA" w:rsidR="00BB0ADB" w:rsidRPr="00C41363" w:rsidRDefault="00E70F4C" w:rsidP="001C380C">
            <w:pPr>
              <w:pStyle w:val="TableTextLeft"/>
              <w:jc w:val="right"/>
            </w:pPr>
            <w:r w:rsidRPr="00C41363">
              <w:t>6.5</w:t>
            </w:r>
          </w:p>
        </w:tc>
      </w:tr>
      <w:tr w:rsidR="000D4EFC" w:rsidRPr="00273AA1" w14:paraId="53F022D9" w14:textId="77777777" w:rsidTr="00310AC6">
        <w:trPr>
          <w:trHeight w:val="227"/>
        </w:trPr>
        <w:tc>
          <w:tcPr>
            <w:tcW w:w="460" w:type="pct"/>
            <w:tcBorders>
              <w:top w:val="nil"/>
              <w:left w:val="nil"/>
              <w:bottom w:val="nil"/>
              <w:right w:val="nil"/>
            </w:tcBorders>
            <w:shd w:val="clear" w:color="auto" w:fill="auto"/>
            <w:noWrap/>
            <w:vAlign w:val="center"/>
          </w:tcPr>
          <w:p w14:paraId="271CC3AD" w14:textId="33B68D32" w:rsidR="00BB0ADB" w:rsidRPr="00C41363" w:rsidRDefault="00BB0ADB"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158B9812" w14:textId="058217FE" w:rsidR="00BB0ADB" w:rsidRPr="00C41363" w:rsidRDefault="00E70F4C" w:rsidP="00C41363">
            <w:pPr>
              <w:pStyle w:val="TableTextLeft"/>
            </w:pPr>
            <w:r w:rsidRPr="00C41363">
              <w:t>H14</w:t>
            </w:r>
          </w:p>
        </w:tc>
        <w:tc>
          <w:tcPr>
            <w:tcW w:w="2184" w:type="pct"/>
            <w:tcBorders>
              <w:top w:val="nil"/>
              <w:left w:val="nil"/>
              <w:bottom w:val="nil"/>
              <w:right w:val="nil"/>
            </w:tcBorders>
            <w:shd w:val="clear" w:color="auto" w:fill="auto"/>
            <w:vAlign w:val="center"/>
          </w:tcPr>
          <w:p w14:paraId="2755A450" w14:textId="0E7768BC" w:rsidR="00BB0ADB" w:rsidRPr="00C41363" w:rsidRDefault="00E70F4C" w:rsidP="00C41363">
            <w:pPr>
              <w:pStyle w:val="TableTextLeft"/>
            </w:pPr>
            <w:r w:rsidRPr="00C41363">
              <w:t>Education</w:t>
            </w:r>
          </w:p>
        </w:tc>
        <w:tc>
          <w:tcPr>
            <w:tcW w:w="460" w:type="pct"/>
            <w:tcBorders>
              <w:top w:val="nil"/>
              <w:left w:val="nil"/>
              <w:bottom w:val="nil"/>
              <w:right w:val="nil"/>
            </w:tcBorders>
            <w:vAlign w:val="center"/>
          </w:tcPr>
          <w:p w14:paraId="1B8D4644"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15CD50D5" w14:textId="47AB5428" w:rsidR="00BB0ADB" w:rsidRPr="00C41363" w:rsidRDefault="006C7696" w:rsidP="001C380C">
            <w:pPr>
              <w:pStyle w:val="TableTextLeft"/>
              <w:jc w:val="right"/>
            </w:pPr>
            <w:r w:rsidRPr="00C41363">
              <w:t>4,550</w:t>
            </w:r>
          </w:p>
        </w:tc>
        <w:tc>
          <w:tcPr>
            <w:tcW w:w="517" w:type="pct"/>
            <w:tcBorders>
              <w:top w:val="nil"/>
              <w:left w:val="nil"/>
              <w:bottom w:val="nil"/>
              <w:right w:val="nil"/>
            </w:tcBorders>
            <w:vAlign w:val="center"/>
          </w:tcPr>
          <w:p w14:paraId="00A2C2B7" w14:textId="1582DE32" w:rsidR="00BB0ADB" w:rsidRPr="00C41363" w:rsidRDefault="00891899" w:rsidP="001C380C">
            <w:pPr>
              <w:pStyle w:val="TableTextLeft"/>
              <w:jc w:val="right"/>
            </w:pPr>
            <w:r w:rsidRPr="00C41363">
              <w:t>6.6</w:t>
            </w:r>
          </w:p>
        </w:tc>
        <w:tc>
          <w:tcPr>
            <w:tcW w:w="516" w:type="pct"/>
            <w:tcBorders>
              <w:top w:val="nil"/>
              <w:left w:val="nil"/>
              <w:bottom w:val="nil"/>
              <w:right w:val="nil"/>
            </w:tcBorders>
            <w:vAlign w:val="center"/>
          </w:tcPr>
          <w:p w14:paraId="7F1496F5" w14:textId="13538CAB" w:rsidR="00BB0ADB" w:rsidRPr="00C41363" w:rsidRDefault="00891899" w:rsidP="001C380C">
            <w:pPr>
              <w:pStyle w:val="TableTextLeft"/>
              <w:jc w:val="right"/>
            </w:pPr>
            <w:r w:rsidRPr="00C41363">
              <w:t>5.4</w:t>
            </w:r>
          </w:p>
        </w:tc>
      </w:tr>
      <w:tr w:rsidR="000D4EFC" w:rsidRPr="00273AA1" w14:paraId="798BA8C1" w14:textId="77777777" w:rsidTr="00310AC6">
        <w:trPr>
          <w:trHeight w:val="227"/>
        </w:trPr>
        <w:tc>
          <w:tcPr>
            <w:tcW w:w="460" w:type="pct"/>
            <w:tcBorders>
              <w:top w:val="nil"/>
              <w:left w:val="nil"/>
              <w:bottom w:val="nil"/>
              <w:right w:val="nil"/>
            </w:tcBorders>
            <w:shd w:val="clear" w:color="auto" w:fill="auto"/>
            <w:noWrap/>
            <w:vAlign w:val="center"/>
          </w:tcPr>
          <w:p w14:paraId="421E1773" w14:textId="79117E56"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17767125" w14:textId="42C8F0E4" w:rsidR="00BB0ADB" w:rsidRPr="00C41363" w:rsidRDefault="00E70F4C" w:rsidP="00C41363">
            <w:pPr>
              <w:pStyle w:val="TableTextLeft"/>
            </w:pPr>
            <w:r w:rsidRPr="00C41363">
              <w:t>A27</w:t>
            </w:r>
          </w:p>
        </w:tc>
        <w:tc>
          <w:tcPr>
            <w:tcW w:w="2184" w:type="pct"/>
            <w:tcBorders>
              <w:top w:val="nil"/>
              <w:left w:val="nil"/>
              <w:bottom w:val="nil"/>
              <w:right w:val="nil"/>
            </w:tcBorders>
            <w:shd w:val="clear" w:color="auto" w:fill="auto"/>
            <w:vAlign w:val="center"/>
          </w:tcPr>
          <w:p w14:paraId="35DF4E2A" w14:textId="4CED0B22" w:rsidR="00BB0ADB" w:rsidRPr="00C41363" w:rsidRDefault="00E70F4C" w:rsidP="00C41363">
            <w:pPr>
              <w:pStyle w:val="TableTextLeft"/>
            </w:pPr>
            <w:r w:rsidRPr="00C41363">
              <w:t>Exemption of Child Care Assistance payments</w:t>
            </w:r>
          </w:p>
        </w:tc>
        <w:tc>
          <w:tcPr>
            <w:tcW w:w="460" w:type="pct"/>
            <w:tcBorders>
              <w:top w:val="nil"/>
              <w:left w:val="nil"/>
              <w:bottom w:val="nil"/>
              <w:right w:val="nil"/>
            </w:tcBorders>
            <w:vAlign w:val="center"/>
          </w:tcPr>
          <w:p w14:paraId="52C6842A"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24C9101C" w14:textId="2CE56AAA" w:rsidR="00BB0ADB" w:rsidRPr="00C41363" w:rsidRDefault="006C7696" w:rsidP="001C380C">
            <w:pPr>
              <w:pStyle w:val="TableTextLeft"/>
              <w:jc w:val="right"/>
            </w:pPr>
            <w:r w:rsidRPr="00C41363">
              <w:t>4,100</w:t>
            </w:r>
          </w:p>
        </w:tc>
        <w:tc>
          <w:tcPr>
            <w:tcW w:w="517" w:type="pct"/>
            <w:tcBorders>
              <w:top w:val="nil"/>
              <w:left w:val="nil"/>
              <w:bottom w:val="nil"/>
              <w:right w:val="nil"/>
            </w:tcBorders>
            <w:vAlign w:val="center"/>
          </w:tcPr>
          <w:p w14:paraId="507BB546" w14:textId="75412BBF" w:rsidR="00BB0ADB" w:rsidRPr="00C41363" w:rsidRDefault="00E70F4C" w:rsidP="001C380C">
            <w:pPr>
              <w:pStyle w:val="TableTextLeft"/>
              <w:jc w:val="right"/>
            </w:pPr>
            <w:r w:rsidRPr="00C41363">
              <w:t>20.8</w:t>
            </w:r>
          </w:p>
        </w:tc>
        <w:tc>
          <w:tcPr>
            <w:tcW w:w="516" w:type="pct"/>
            <w:tcBorders>
              <w:top w:val="nil"/>
              <w:left w:val="nil"/>
              <w:bottom w:val="nil"/>
              <w:right w:val="nil"/>
            </w:tcBorders>
            <w:vAlign w:val="center"/>
          </w:tcPr>
          <w:p w14:paraId="34E613A0" w14:textId="6983B011" w:rsidR="00BB0ADB" w:rsidRPr="00C41363" w:rsidRDefault="00E70F4C" w:rsidP="001C380C">
            <w:pPr>
              <w:pStyle w:val="TableTextLeft"/>
              <w:jc w:val="right"/>
            </w:pPr>
            <w:r w:rsidRPr="00C41363">
              <w:t>4.9</w:t>
            </w:r>
          </w:p>
        </w:tc>
      </w:tr>
      <w:tr w:rsidR="000D4EFC" w:rsidRPr="00273AA1" w14:paraId="13E39BE6" w14:textId="77777777" w:rsidTr="00310AC6">
        <w:trPr>
          <w:trHeight w:val="227"/>
        </w:trPr>
        <w:tc>
          <w:tcPr>
            <w:tcW w:w="460" w:type="pct"/>
            <w:tcBorders>
              <w:top w:val="nil"/>
              <w:left w:val="nil"/>
              <w:bottom w:val="nil"/>
              <w:right w:val="nil"/>
            </w:tcBorders>
            <w:shd w:val="clear" w:color="auto" w:fill="auto"/>
            <w:noWrap/>
            <w:vAlign w:val="center"/>
          </w:tcPr>
          <w:p w14:paraId="2811714F" w14:textId="1A9483D3"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4034B658" w14:textId="5207C1DD" w:rsidR="00BB0ADB" w:rsidRPr="00C41363" w:rsidRDefault="005A72DA" w:rsidP="00C41363">
            <w:pPr>
              <w:pStyle w:val="TableTextLeft"/>
            </w:pPr>
            <w:r w:rsidRPr="00C41363">
              <w:t>B63</w:t>
            </w:r>
          </w:p>
        </w:tc>
        <w:tc>
          <w:tcPr>
            <w:tcW w:w="2184" w:type="pct"/>
            <w:tcBorders>
              <w:top w:val="nil"/>
              <w:left w:val="nil"/>
              <w:bottom w:val="nil"/>
              <w:right w:val="nil"/>
            </w:tcBorders>
            <w:shd w:val="clear" w:color="auto" w:fill="auto"/>
            <w:vAlign w:val="center"/>
          </w:tcPr>
          <w:p w14:paraId="41443538" w14:textId="6CC98E12" w:rsidR="00BB0ADB" w:rsidRPr="00C41363" w:rsidRDefault="00E70F4C" w:rsidP="00C41363">
            <w:pPr>
              <w:pStyle w:val="TableTextLeft"/>
            </w:pPr>
            <w:r w:rsidRPr="00C41363">
              <w:t>Lower tax rate for small companies</w:t>
            </w:r>
          </w:p>
        </w:tc>
        <w:tc>
          <w:tcPr>
            <w:tcW w:w="460" w:type="pct"/>
            <w:tcBorders>
              <w:top w:val="nil"/>
              <w:left w:val="nil"/>
              <w:bottom w:val="nil"/>
              <w:right w:val="nil"/>
            </w:tcBorders>
            <w:vAlign w:val="center"/>
          </w:tcPr>
          <w:p w14:paraId="70BA8AB8" w14:textId="6EE96C8F" w:rsidR="00BB0ADB" w:rsidRPr="00C41363" w:rsidRDefault="00E70F4C" w:rsidP="00C41363">
            <w:pPr>
              <w:pStyle w:val="TableTextLeft"/>
            </w:pPr>
            <w:r w:rsidRPr="00C41363">
              <w:t>Y</w:t>
            </w:r>
          </w:p>
        </w:tc>
        <w:tc>
          <w:tcPr>
            <w:tcW w:w="633" w:type="pct"/>
            <w:tcBorders>
              <w:top w:val="nil"/>
              <w:left w:val="nil"/>
              <w:bottom w:val="nil"/>
              <w:right w:val="nil"/>
            </w:tcBorders>
            <w:shd w:val="clear" w:color="auto" w:fill="auto"/>
            <w:noWrap/>
            <w:vAlign w:val="center"/>
          </w:tcPr>
          <w:p w14:paraId="3F68ABD5" w14:textId="5E53D9C9" w:rsidR="00BB0ADB" w:rsidRPr="00C41363" w:rsidRDefault="006C7696" w:rsidP="001C380C">
            <w:pPr>
              <w:pStyle w:val="TableTextLeft"/>
              <w:jc w:val="right"/>
            </w:pPr>
            <w:r w:rsidRPr="00C41363">
              <w:t>3,500</w:t>
            </w:r>
          </w:p>
        </w:tc>
        <w:tc>
          <w:tcPr>
            <w:tcW w:w="517" w:type="pct"/>
            <w:tcBorders>
              <w:top w:val="nil"/>
              <w:left w:val="nil"/>
              <w:bottom w:val="nil"/>
              <w:right w:val="nil"/>
            </w:tcBorders>
            <w:vAlign w:val="center"/>
          </w:tcPr>
          <w:p w14:paraId="2D94CEF1" w14:textId="4CB50B90" w:rsidR="00BB0ADB" w:rsidRPr="00C41363" w:rsidRDefault="008F2E45" w:rsidP="001C380C">
            <w:pPr>
              <w:pStyle w:val="TableTextLeft"/>
              <w:jc w:val="right"/>
            </w:pPr>
            <w:r w:rsidRPr="00C41363">
              <w:t>11.1</w:t>
            </w:r>
          </w:p>
        </w:tc>
        <w:tc>
          <w:tcPr>
            <w:tcW w:w="516" w:type="pct"/>
            <w:tcBorders>
              <w:top w:val="nil"/>
              <w:left w:val="nil"/>
              <w:bottom w:val="nil"/>
              <w:right w:val="nil"/>
            </w:tcBorders>
            <w:vAlign w:val="center"/>
          </w:tcPr>
          <w:p w14:paraId="40D3AEBF" w14:textId="2B3BA232" w:rsidR="00BB0ADB" w:rsidRPr="00C41363" w:rsidRDefault="00891899" w:rsidP="001C380C">
            <w:pPr>
              <w:pStyle w:val="TableTextLeft"/>
              <w:jc w:val="right"/>
            </w:pPr>
            <w:r w:rsidRPr="00C41363">
              <w:t>2.</w:t>
            </w:r>
            <w:r w:rsidR="008F2E45" w:rsidRPr="00C41363">
              <w:t>6</w:t>
            </w:r>
          </w:p>
        </w:tc>
      </w:tr>
      <w:tr w:rsidR="000D4EFC" w:rsidRPr="00273AA1" w14:paraId="31724260" w14:textId="77777777" w:rsidTr="00310AC6">
        <w:trPr>
          <w:trHeight w:val="227"/>
        </w:trPr>
        <w:tc>
          <w:tcPr>
            <w:tcW w:w="460" w:type="pct"/>
            <w:tcBorders>
              <w:top w:val="nil"/>
              <w:left w:val="nil"/>
              <w:bottom w:val="nil"/>
              <w:right w:val="nil"/>
            </w:tcBorders>
            <w:shd w:val="clear" w:color="auto" w:fill="auto"/>
            <w:noWrap/>
            <w:vAlign w:val="center"/>
          </w:tcPr>
          <w:p w14:paraId="18B2B92B" w14:textId="49C56660" w:rsidR="00BB0ADB" w:rsidRPr="00C41363" w:rsidRDefault="00BB0ADB"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1B76542E" w14:textId="423FF4A4" w:rsidR="00BB0ADB" w:rsidRPr="00C41363" w:rsidRDefault="00BB0ADB" w:rsidP="00C41363">
            <w:pPr>
              <w:pStyle w:val="TableTextLeft"/>
            </w:pPr>
            <w:r w:rsidRPr="00C41363">
              <w:t>H2</w:t>
            </w:r>
          </w:p>
        </w:tc>
        <w:tc>
          <w:tcPr>
            <w:tcW w:w="2184" w:type="pct"/>
            <w:tcBorders>
              <w:top w:val="nil"/>
              <w:left w:val="nil"/>
              <w:bottom w:val="nil"/>
              <w:right w:val="nil"/>
            </w:tcBorders>
            <w:shd w:val="clear" w:color="auto" w:fill="auto"/>
            <w:vAlign w:val="center"/>
          </w:tcPr>
          <w:p w14:paraId="25882CF9" w14:textId="4FB38B38" w:rsidR="00BB0ADB" w:rsidRPr="00C41363" w:rsidRDefault="00BB0ADB" w:rsidP="00C41363">
            <w:pPr>
              <w:pStyle w:val="TableTextLeft"/>
            </w:pPr>
            <w:r w:rsidRPr="00C41363">
              <w:t>Financial supplies – input taxed treatment</w:t>
            </w:r>
          </w:p>
        </w:tc>
        <w:tc>
          <w:tcPr>
            <w:tcW w:w="460" w:type="pct"/>
            <w:tcBorders>
              <w:top w:val="nil"/>
              <w:left w:val="nil"/>
              <w:bottom w:val="nil"/>
              <w:right w:val="nil"/>
            </w:tcBorders>
            <w:vAlign w:val="center"/>
          </w:tcPr>
          <w:p w14:paraId="74321223"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3FEEC612" w14:textId="3C3099BA" w:rsidR="00BB0ADB" w:rsidRPr="00C41363" w:rsidRDefault="006C7696" w:rsidP="001C380C">
            <w:pPr>
              <w:pStyle w:val="TableTextLeft"/>
              <w:jc w:val="right"/>
            </w:pPr>
            <w:r w:rsidRPr="00C41363">
              <w:t>3,500</w:t>
            </w:r>
          </w:p>
        </w:tc>
        <w:tc>
          <w:tcPr>
            <w:tcW w:w="517" w:type="pct"/>
            <w:tcBorders>
              <w:top w:val="nil"/>
              <w:left w:val="nil"/>
              <w:bottom w:val="nil"/>
              <w:right w:val="nil"/>
            </w:tcBorders>
            <w:vAlign w:val="center"/>
          </w:tcPr>
          <w:p w14:paraId="46317608" w14:textId="2710E5BA" w:rsidR="00BB0ADB" w:rsidRPr="00C41363" w:rsidRDefault="00E70F4C" w:rsidP="001C380C">
            <w:pPr>
              <w:pStyle w:val="TableTextLeft"/>
              <w:jc w:val="right"/>
            </w:pPr>
            <w:r w:rsidRPr="00C41363">
              <w:t>3.7</w:t>
            </w:r>
          </w:p>
        </w:tc>
        <w:tc>
          <w:tcPr>
            <w:tcW w:w="516" w:type="pct"/>
            <w:tcBorders>
              <w:top w:val="nil"/>
              <w:left w:val="nil"/>
              <w:bottom w:val="nil"/>
              <w:right w:val="nil"/>
            </w:tcBorders>
            <w:vAlign w:val="center"/>
          </w:tcPr>
          <w:p w14:paraId="7289F469" w14:textId="00546221" w:rsidR="00BB0ADB" w:rsidRPr="00C41363" w:rsidRDefault="00E70F4C" w:rsidP="001C380C">
            <w:pPr>
              <w:pStyle w:val="TableTextLeft"/>
              <w:jc w:val="right"/>
            </w:pPr>
            <w:r w:rsidRPr="00C41363">
              <w:t>4.5</w:t>
            </w:r>
          </w:p>
        </w:tc>
      </w:tr>
      <w:tr w:rsidR="000D4EFC" w:rsidRPr="00273AA1" w14:paraId="1A82DD04" w14:textId="77777777" w:rsidTr="00310AC6">
        <w:trPr>
          <w:trHeight w:val="227"/>
        </w:trPr>
        <w:tc>
          <w:tcPr>
            <w:tcW w:w="460" w:type="pct"/>
            <w:tcBorders>
              <w:top w:val="nil"/>
              <w:left w:val="nil"/>
              <w:bottom w:val="nil"/>
              <w:right w:val="nil"/>
            </w:tcBorders>
            <w:shd w:val="clear" w:color="auto" w:fill="auto"/>
            <w:noWrap/>
            <w:vAlign w:val="center"/>
          </w:tcPr>
          <w:p w14:paraId="242B3814" w14:textId="3A55F8C7" w:rsidR="00BB0ADB" w:rsidRPr="00C41363" w:rsidRDefault="00E70F4C" w:rsidP="00C41363">
            <w:pPr>
              <w:pStyle w:val="TableTextLeft"/>
            </w:pPr>
            <w:r w:rsidRPr="00C41363">
              <w:t>FBT</w:t>
            </w:r>
          </w:p>
        </w:tc>
        <w:tc>
          <w:tcPr>
            <w:tcW w:w="230" w:type="pct"/>
            <w:tcBorders>
              <w:top w:val="nil"/>
              <w:left w:val="nil"/>
              <w:bottom w:val="nil"/>
              <w:right w:val="nil"/>
            </w:tcBorders>
            <w:shd w:val="clear" w:color="auto" w:fill="auto"/>
            <w:noWrap/>
            <w:vAlign w:val="center"/>
          </w:tcPr>
          <w:p w14:paraId="29130ECA" w14:textId="1B1150C7" w:rsidR="00BB0ADB" w:rsidRPr="00C41363" w:rsidRDefault="00E70F4C" w:rsidP="00C41363">
            <w:pPr>
              <w:pStyle w:val="TableTextLeft"/>
            </w:pPr>
            <w:r w:rsidRPr="00C41363">
              <w:t>D15</w:t>
            </w:r>
          </w:p>
        </w:tc>
        <w:tc>
          <w:tcPr>
            <w:tcW w:w="2184" w:type="pct"/>
            <w:tcBorders>
              <w:top w:val="nil"/>
              <w:left w:val="nil"/>
              <w:bottom w:val="nil"/>
              <w:right w:val="nil"/>
            </w:tcBorders>
            <w:shd w:val="clear" w:color="auto" w:fill="auto"/>
            <w:vAlign w:val="center"/>
          </w:tcPr>
          <w:p w14:paraId="5B2B25B6" w14:textId="054132DE" w:rsidR="00BB0ADB" w:rsidRPr="00C41363" w:rsidRDefault="00E70F4C" w:rsidP="00C41363">
            <w:pPr>
              <w:pStyle w:val="TableTextLeft"/>
            </w:pPr>
            <w:r w:rsidRPr="00C41363">
              <w:t>Exemption for public benevolent institutions (excluding hospitals)</w:t>
            </w:r>
          </w:p>
        </w:tc>
        <w:tc>
          <w:tcPr>
            <w:tcW w:w="460" w:type="pct"/>
            <w:tcBorders>
              <w:top w:val="nil"/>
              <w:left w:val="nil"/>
              <w:bottom w:val="nil"/>
              <w:right w:val="nil"/>
            </w:tcBorders>
            <w:vAlign w:val="center"/>
          </w:tcPr>
          <w:p w14:paraId="21529827"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78A3CC42" w14:textId="4EBA20F8" w:rsidR="00BB0ADB" w:rsidRPr="00C41363" w:rsidRDefault="006C7696" w:rsidP="001C380C">
            <w:pPr>
              <w:pStyle w:val="TableTextLeft"/>
              <w:jc w:val="right"/>
            </w:pPr>
            <w:r w:rsidRPr="00C41363">
              <w:t>2,950</w:t>
            </w:r>
          </w:p>
        </w:tc>
        <w:tc>
          <w:tcPr>
            <w:tcW w:w="517" w:type="pct"/>
            <w:tcBorders>
              <w:top w:val="nil"/>
              <w:left w:val="nil"/>
              <w:bottom w:val="nil"/>
              <w:right w:val="nil"/>
            </w:tcBorders>
            <w:vAlign w:val="center"/>
          </w:tcPr>
          <w:p w14:paraId="3EDFF3BE" w14:textId="60A75B7D" w:rsidR="00BB0ADB" w:rsidRPr="00C41363" w:rsidRDefault="00E70F4C" w:rsidP="001C380C">
            <w:pPr>
              <w:pStyle w:val="TableTextLeft"/>
              <w:jc w:val="right"/>
            </w:pPr>
            <w:r w:rsidRPr="00C41363">
              <w:t>11.</w:t>
            </w:r>
            <w:r w:rsidR="00BB0ADB" w:rsidRPr="00C41363">
              <w:t>5</w:t>
            </w:r>
          </w:p>
        </w:tc>
        <w:tc>
          <w:tcPr>
            <w:tcW w:w="516" w:type="pct"/>
            <w:tcBorders>
              <w:top w:val="nil"/>
              <w:left w:val="nil"/>
              <w:bottom w:val="nil"/>
              <w:right w:val="nil"/>
            </w:tcBorders>
            <w:vAlign w:val="center"/>
          </w:tcPr>
          <w:p w14:paraId="30968BED" w14:textId="7C9EF8C8" w:rsidR="00BB0ADB" w:rsidRPr="00C41363" w:rsidRDefault="00E70F4C" w:rsidP="001C380C">
            <w:pPr>
              <w:pStyle w:val="TableTextLeft"/>
              <w:jc w:val="right"/>
            </w:pPr>
            <w:r w:rsidRPr="00C41363">
              <w:t>3.1</w:t>
            </w:r>
          </w:p>
        </w:tc>
      </w:tr>
      <w:tr w:rsidR="000D4EFC" w:rsidRPr="00273AA1" w14:paraId="616F7EC6" w14:textId="77777777" w:rsidTr="00310AC6">
        <w:trPr>
          <w:trHeight w:val="227"/>
        </w:trPr>
        <w:tc>
          <w:tcPr>
            <w:tcW w:w="460" w:type="pct"/>
            <w:tcBorders>
              <w:top w:val="nil"/>
              <w:left w:val="nil"/>
              <w:bottom w:val="nil"/>
              <w:right w:val="nil"/>
            </w:tcBorders>
            <w:shd w:val="clear" w:color="auto" w:fill="auto"/>
            <w:noWrap/>
            <w:vAlign w:val="center"/>
          </w:tcPr>
          <w:p w14:paraId="0E32EC54" w14:textId="15ED776B"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52A11BB8" w14:textId="090DAB07" w:rsidR="00BB0ADB" w:rsidRPr="00C41363" w:rsidRDefault="00E70F4C" w:rsidP="00C41363">
            <w:pPr>
              <w:pStyle w:val="TableTextLeft"/>
            </w:pPr>
            <w:r w:rsidRPr="00C41363">
              <w:t>B11</w:t>
            </w:r>
          </w:p>
        </w:tc>
        <w:tc>
          <w:tcPr>
            <w:tcW w:w="2184" w:type="pct"/>
            <w:tcBorders>
              <w:top w:val="nil"/>
              <w:left w:val="nil"/>
              <w:bottom w:val="nil"/>
              <w:right w:val="nil"/>
            </w:tcBorders>
            <w:shd w:val="clear" w:color="auto" w:fill="auto"/>
            <w:vAlign w:val="center"/>
          </w:tcPr>
          <w:p w14:paraId="09B14D72" w14:textId="3F812BC4" w:rsidR="00BB0ADB" w:rsidRPr="00C41363" w:rsidRDefault="00E70F4C" w:rsidP="00C41363">
            <w:pPr>
              <w:pStyle w:val="TableTextLeft"/>
            </w:pPr>
            <w:r w:rsidRPr="00C41363">
              <w:t>Exemption from interest withholding tax on certain securities</w:t>
            </w:r>
          </w:p>
        </w:tc>
        <w:tc>
          <w:tcPr>
            <w:tcW w:w="460" w:type="pct"/>
            <w:tcBorders>
              <w:top w:val="nil"/>
              <w:left w:val="nil"/>
              <w:bottom w:val="nil"/>
              <w:right w:val="nil"/>
            </w:tcBorders>
            <w:vAlign w:val="center"/>
          </w:tcPr>
          <w:p w14:paraId="71F4BB98" w14:textId="59A13989"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54CDA45D" w14:textId="0628B01E" w:rsidR="00BB0ADB" w:rsidRPr="00C41363" w:rsidRDefault="006C7696" w:rsidP="001C380C">
            <w:pPr>
              <w:pStyle w:val="TableTextLeft"/>
              <w:jc w:val="right"/>
            </w:pPr>
            <w:r w:rsidRPr="00C41363">
              <w:t>2,930</w:t>
            </w:r>
          </w:p>
        </w:tc>
        <w:tc>
          <w:tcPr>
            <w:tcW w:w="517" w:type="pct"/>
            <w:tcBorders>
              <w:top w:val="nil"/>
              <w:left w:val="nil"/>
              <w:bottom w:val="nil"/>
              <w:right w:val="nil"/>
            </w:tcBorders>
            <w:vAlign w:val="center"/>
          </w:tcPr>
          <w:p w14:paraId="70275E39" w14:textId="3D77ADE1" w:rsidR="00BB0ADB" w:rsidRPr="00C41363" w:rsidRDefault="00E70F4C" w:rsidP="001C380C">
            <w:pPr>
              <w:pStyle w:val="TableTextLeft"/>
              <w:jc w:val="right"/>
            </w:pPr>
            <w:r w:rsidRPr="00C41363">
              <w:t>11.5</w:t>
            </w:r>
          </w:p>
        </w:tc>
        <w:tc>
          <w:tcPr>
            <w:tcW w:w="516" w:type="pct"/>
            <w:tcBorders>
              <w:top w:val="nil"/>
              <w:left w:val="nil"/>
              <w:bottom w:val="nil"/>
              <w:right w:val="nil"/>
            </w:tcBorders>
            <w:vAlign w:val="center"/>
          </w:tcPr>
          <w:p w14:paraId="315693C3" w14:textId="1679F379" w:rsidR="00BB0ADB" w:rsidRPr="00C41363" w:rsidRDefault="00BB0ADB" w:rsidP="001C380C">
            <w:pPr>
              <w:pStyle w:val="TableTextLeft"/>
              <w:jc w:val="right"/>
            </w:pPr>
            <w:r w:rsidRPr="00C41363">
              <w:t>0</w:t>
            </w:r>
            <w:r w:rsidR="00E70F4C" w:rsidRPr="00C41363">
              <w:t>.3</w:t>
            </w:r>
          </w:p>
        </w:tc>
      </w:tr>
      <w:tr w:rsidR="000D4EFC" w:rsidRPr="00273AA1" w14:paraId="0A9C16D1" w14:textId="77777777" w:rsidTr="00310AC6">
        <w:trPr>
          <w:trHeight w:val="227"/>
        </w:trPr>
        <w:tc>
          <w:tcPr>
            <w:tcW w:w="460" w:type="pct"/>
            <w:tcBorders>
              <w:top w:val="nil"/>
              <w:left w:val="nil"/>
              <w:bottom w:val="nil"/>
              <w:right w:val="nil"/>
            </w:tcBorders>
            <w:shd w:val="clear" w:color="auto" w:fill="auto"/>
            <w:noWrap/>
            <w:vAlign w:val="center"/>
          </w:tcPr>
          <w:p w14:paraId="7D6E2E9C" w14:textId="064EC665"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06FF0FE9" w14:textId="6A5D89EA" w:rsidR="00BB0ADB" w:rsidRPr="00C41363" w:rsidRDefault="00E70F4C" w:rsidP="00C41363">
            <w:pPr>
              <w:pStyle w:val="TableTextLeft"/>
            </w:pPr>
            <w:r w:rsidRPr="00C41363">
              <w:t>A20</w:t>
            </w:r>
          </w:p>
        </w:tc>
        <w:tc>
          <w:tcPr>
            <w:tcW w:w="2184" w:type="pct"/>
            <w:tcBorders>
              <w:top w:val="nil"/>
              <w:left w:val="nil"/>
              <w:bottom w:val="nil"/>
              <w:right w:val="nil"/>
            </w:tcBorders>
            <w:shd w:val="clear" w:color="auto" w:fill="auto"/>
            <w:vAlign w:val="center"/>
          </w:tcPr>
          <w:p w14:paraId="02120D3A" w14:textId="63878B3D" w:rsidR="00BB0ADB" w:rsidRPr="00C41363" w:rsidRDefault="00E70F4C" w:rsidP="00C41363">
            <w:pPr>
              <w:pStyle w:val="TableTextLeft"/>
            </w:pPr>
            <w:r w:rsidRPr="00C41363">
              <w:t>Medicare levy exemption for residents with taxable income below the low</w:t>
            </w:r>
            <w:r w:rsidRPr="00C41363">
              <w:softHyphen/>
            </w:r>
            <w:r w:rsidRPr="00C41363">
              <w:softHyphen/>
            </w:r>
            <w:r w:rsidRPr="00C41363">
              <w:softHyphen/>
              <w:t>-income thresholds</w:t>
            </w:r>
          </w:p>
        </w:tc>
        <w:tc>
          <w:tcPr>
            <w:tcW w:w="460" w:type="pct"/>
            <w:tcBorders>
              <w:top w:val="nil"/>
              <w:left w:val="nil"/>
              <w:bottom w:val="nil"/>
              <w:right w:val="nil"/>
            </w:tcBorders>
            <w:vAlign w:val="center"/>
          </w:tcPr>
          <w:p w14:paraId="09922AAA" w14:textId="1AA18E20" w:rsidR="00BB0ADB" w:rsidRPr="00C41363" w:rsidRDefault="000A4999" w:rsidP="00C41363">
            <w:pPr>
              <w:pStyle w:val="TableTextLeft"/>
            </w:pPr>
            <w:r w:rsidRPr="00C41363">
              <w:t>Y</w:t>
            </w:r>
          </w:p>
        </w:tc>
        <w:tc>
          <w:tcPr>
            <w:tcW w:w="633" w:type="pct"/>
            <w:tcBorders>
              <w:top w:val="nil"/>
              <w:left w:val="nil"/>
              <w:bottom w:val="nil"/>
              <w:right w:val="nil"/>
            </w:tcBorders>
            <w:shd w:val="clear" w:color="auto" w:fill="auto"/>
            <w:noWrap/>
            <w:vAlign w:val="center"/>
          </w:tcPr>
          <w:p w14:paraId="477B5EE7" w14:textId="2B6F6828" w:rsidR="00BB0ADB" w:rsidRPr="00C41363" w:rsidRDefault="006C7696" w:rsidP="001C380C">
            <w:pPr>
              <w:pStyle w:val="TableTextLeft"/>
              <w:jc w:val="right"/>
            </w:pPr>
            <w:r w:rsidRPr="00C41363">
              <w:t>2,750</w:t>
            </w:r>
          </w:p>
        </w:tc>
        <w:tc>
          <w:tcPr>
            <w:tcW w:w="517" w:type="pct"/>
            <w:tcBorders>
              <w:top w:val="nil"/>
              <w:left w:val="nil"/>
              <w:bottom w:val="nil"/>
              <w:right w:val="nil"/>
            </w:tcBorders>
            <w:vAlign w:val="center"/>
          </w:tcPr>
          <w:p w14:paraId="62F495A7" w14:textId="48F92894" w:rsidR="00BB0ADB" w:rsidRPr="00C41363" w:rsidRDefault="00E70F4C" w:rsidP="001C380C">
            <w:pPr>
              <w:pStyle w:val="TableTextLeft"/>
              <w:jc w:val="right"/>
            </w:pPr>
            <w:r w:rsidRPr="00C41363">
              <w:t>1.9</w:t>
            </w:r>
          </w:p>
        </w:tc>
        <w:tc>
          <w:tcPr>
            <w:tcW w:w="516" w:type="pct"/>
            <w:tcBorders>
              <w:top w:val="nil"/>
              <w:left w:val="nil"/>
              <w:bottom w:val="nil"/>
              <w:right w:val="nil"/>
            </w:tcBorders>
            <w:vAlign w:val="center"/>
          </w:tcPr>
          <w:p w14:paraId="5C1E1F1A" w14:textId="42B38097" w:rsidR="00BB0ADB" w:rsidRPr="00C41363" w:rsidRDefault="00E70F4C" w:rsidP="001C380C">
            <w:pPr>
              <w:pStyle w:val="TableTextLeft"/>
              <w:jc w:val="right"/>
            </w:pPr>
            <w:r w:rsidRPr="00C41363">
              <w:t>0.5</w:t>
            </w:r>
          </w:p>
        </w:tc>
      </w:tr>
      <w:tr w:rsidR="000D4EFC" w:rsidRPr="00273AA1" w14:paraId="03561A3D" w14:textId="77777777" w:rsidTr="00310AC6">
        <w:trPr>
          <w:trHeight w:val="227"/>
        </w:trPr>
        <w:tc>
          <w:tcPr>
            <w:tcW w:w="460" w:type="pct"/>
            <w:tcBorders>
              <w:top w:val="nil"/>
              <w:left w:val="nil"/>
              <w:bottom w:val="nil"/>
              <w:right w:val="nil"/>
            </w:tcBorders>
            <w:shd w:val="clear" w:color="auto" w:fill="auto"/>
            <w:noWrap/>
            <w:vAlign w:val="center"/>
          </w:tcPr>
          <w:p w14:paraId="2F0BF791" w14:textId="1E1DC148" w:rsidR="00BB0ADB" w:rsidRPr="00C41363" w:rsidRDefault="00BB0ADB"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79254AF1" w14:textId="0B710663" w:rsidR="00BB0ADB" w:rsidRPr="00C41363" w:rsidRDefault="00E70F4C" w:rsidP="00C41363">
            <w:pPr>
              <w:pStyle w:val="TableTextLeft"/>
            </w:pPr>
            <w:r w:rsidRPr="00C41363">
              <w:t>A24</w:t>
            </w:r>
          </w:p>
        </w:tc>
        <w:tc>
          <w:tcPr>
            <w:tcW w:w="2184" w:type="pct"/>
            <w:tcBorders>
              <w:top w:val="nil"/>
              <w:left w:val="nil"/>
              <w:bottom w:val="nil"/>
              <w:right w:val="nil"/>
            </w:tcBorders>
            <w:shd w:val="clear" w:color="auto" w:fill="auto"/>
            <w:vAlign w:val="center"/>
          </w:tcPr>
          <w:p w14:paraId="26B8F484" w14:textId="74D096FE" w:rsidR="00BB0ADB" w:rsidRPr="00C41363" w:rsidRDefault="00E70F4C" w:rsidP="00C41363">
            <w:pPr>
              <w:pStyle w:val="TableTextLeft"/>
            </w:pPr>
            <w:r w:rsidRPr="00C41363">
              <w:t>Concessional taxation of non-superannuation termination benefits</w:t>
            </w:r>
          </w:p>
        </w:tc>
        <w:tc>
          <w:tcPr>
            <w:tcW w:w="460" w:type="pct"/>
            <w:tcBorders>
              <w:top w:val="nil"/>
              <w:left w:val="nil"/>
              <w:bottom w:val="nil"/>
              <w:right w:val="nil"/>
            </w:tcBorders>
            <w:vAlign w:val="center"/>
          </w:tcPr>
          <w:p w14:paraId="20893443"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4AA6ACAE" w14:textId="2AFFDF54" w:rsidR="00BB0ADB" w:rsidRPr="00C41363" w:rsidRDefault="006C7696" w:rsidP="001C380C">
            <w:pPr>
              <w:pStyle w:val="TableTextLeft"/>
              <w:jc w:val="right"/>
            </w:pPr>
            <w:r w:rsidRPr="00C41363">
              <w:t>2,700</w:t>
            </w:r>
          </w:p>
        </w:tc>
        <w:tc>
          <w:tcPr>
            <w:tcW w:w="517" w:type="pct"/>
            <w:tcBorders>
              <w:top w:val="nil"/>
              <w:left w:val="nil"/>
              <w:bottom w:val="nil"/>
              <w:right w:val="nil"/>
            </w:tcBorders>
            <w:vAlign w:val="center"/>
          </w:tcPr>
          <w:p w14:paraId="773B6DD8" w14:textId="1B397371" w:rsidR="00BB0ADB" w:rsidRPr="00C41363" w:rsidRDefault="00E70F4C" w:rsidP="001C380C">
            <w:pPr>
              <w:pStyle w:val="TableTextLeft"/>
              <w:jc w:val="right"/>
            </w:pPr>
            <w:r w:rsidRPr="00C41363">
              <w:t>-5.5</w:t>
            </w:r>
          </w:p>
        </w:tc>
        <w:tc>
          <w:tcPr>
            <w:tcW w:w="516" w:type="pct"/>
            <w:tcBorders>
              <w:top w:val="nil"/>
              <w:left w:val="nil"/>
              <w:bottom w:val="nil"/>
              <w:right w:val="nil"/>
            </w:tcBorders>
            <w:vAlign w:val="center"/>
          </w:tcPr>
          <w:p w14:paraId="3DF1E11E" w14:textId="747FB45B" w:rsidR="00BB0ADB" w:rsidRPr="00C41363" w:rsidRDefault="00E70F4C" w:rsidP="001C380C">
            <w:pPr>
              <w:pStyle w:val="TableTextLeft"/>
              <w:jc w:val="right"/>
            </w:pPr>
            <w:r w:rsidRPr="00C41363">
              <w:t>N/A</w:t>
            </w:r>
          </w:p>
        </w:tc>
      </w:tr>
      <w:tr w:rsidR="000D4EFC" w:rsidRPr="00273AA1" w14:paraId="366B8FA5" w14:textId="77777777" w:rsidTr="00310AC6">
        <w:trPr>
          <w:trHeight w:val="227"/>
        </w:trPr>
        <w:tc>
          <w:tcPr>
            <w:tcW w:w="460" w:type="pct"/>
            <w:tcBorders>
              <w:top w:val="nil"/>
              <w:left w:val="nil"/>
              <w:bottom w:val="nil"/>
              <w:right w:val="nil"/>
            </w:tcBorders>
            <w:shd w:val="clear" w:color="auto" w:fill="auto"/>
            <w:noWrap/>
            <w:vAlign w:val="center"/>
          </w:tcPr>
          <w:p w14:paraId="062A4B79" w14:textId="71D6E143" w:rsidR="00BB0ADB" w:rsidRPr="00C41363" w:rsidRDefault="00E70F4C"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1F9E2059" w14:textId="41A21EE6" w:rsidR="00BB0ADB" w:rsidRPr="00C41363" w:rsidRDefault="00E70F4C" w:rsidP="00C41363">
            <w:pPr>
              <w:pStyle w:val="TableTextLeft"/>
            </w:pPr>
            <w:r w:rsidRPr="00C41363">
              <w:t>C6</w:t>
            </w:r>
          </w:p>
        </w:tc>
        <w:tc>
          <w:tcPr>
            <w:tcW w:w="2184" w:type="pct"/>
            <w:tcBorders>
              <w:top w:val="nil"/>
              <w:left w:val="nil"/>
              <w:bottom w:val="nil"/>
              <w:right w:val="nil"/>
            </w:tcBorders>
            <w:shd w:val="clear" w:color="auto" w:fill="auto"/>
            <w:vAlign w:val="center"/>
          </w:tcPr>
          <w:p w14:paraId="104BC370" w14:textId="19A2A7CF" w:rsidR="00BB0ADB" w:rsidRPr="00C41363" w:rsidRDefault="00E70F4C" w:rsidP="00C41363">
            <w:pPr>
              <w:pStyle w:val="TableTextLeft"/>
            </w:pPr>
            <w:r w:rsidRPr="00C41363">
              <w:t>Deductibility of life and total and permanent disability insurance premiums provided inside of superannuation</w:t>
            </w:r>
          </w:p>
        </w:tc>
        <w:tc>
          <w:tcPr>
            <w:tcW w:w="460" w:type="pct"/>
            <w:tcBorders>
              <w:top w:val="nil"/>
              <w:left w:val="nil"/>
              <w:bottom w:val="nil"/>
              <w:right w:val="nil"/>
            </w:tcBorders>
            <w:vAlign w:val="center"/>
          </w:tcPr>
          <w:p w14:paraId="45954FA4" w14:textId="34EF26E4"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0C1D2A03" w14:textId="446D4825" w:rsidR="00BB0ADB" w:rsidRPr="00C41363" w:rsidRDefault="006C7696" w:rsidP="001C380C">
            <w:pPr>
              <w:pStyle w:val="TableTextLeft"/>
              <w:jc w:val="right"/>
            </w:pPr>
            <w:r w:rsidRPr="00C41363">
              <w:t>2,340</w:t>
            </w:r>
          </w:p>
        </w:tc>
        <w:tc>
          <w:tcPr>
            <w:tcW w:w="517" w:type="pct"/>
            <w:tcBorders>
              <w:top w:val="nil"/>
              <w:left w:val="nil"/>
              <w:bottom w:val="nil"/>
              <w:right w:val="nil"/>
            </w:tcBorders>
            <w:vAlign w:val="center"/>
          </w:tcPr>
          <w:p w14:paraId="55E169FD" w14:textId="034C0432" w:rsidR="00BB0ADB" w:rsidRPr="00C41363" w:rsidRDefault="008F2E45" w:rsidP="001C380C">
            <w:pPr>
              <w:pStyle w:val="TableTextLeft"/>
              <w:jc w:val="right"/>
            </w:pPr>
            <w:r w:rsidRPr="00C41363">
              <w:t>4.6</w:t>
            </w:r>
          </w:p>
        </w:tc>
        <w:tc>
          <w:tcPr>
            <w:tcW w:w="516" w:type="pct"/>
            <w:tcBorders>
              <w:top w:val="nil"/>
              <w:left w:val="nil"/>
              <w:bottom w:val="nil"/>
              <w:right w:val="nil"/>
            </w:tcBorders>
            <w:vAlign w:val="center"/>
          </w:tcPr>
          <w:p w14:paraId="43ABF1E4" w14:textId="2222503A" w:rsidR="00BB0ADB" w:rsidRPr="00C41363" w:rsidRDefault="00891899" w:rsidP="001C380C">
            <w:pPr>
              <w:pStyle w:val="TableTextLeft"/>
              <w:jc w:val="right"/>
            </w:pPr>
            <w:r w:rsidRPr="00C41363">
              <w:t>4.0</w:t>
            </w:r>
          </w:p>
        </w:tc>
      </w:tr>
      <w:tr w:rsidR="000D4EFC" w:rsidRPr="00273AA1" w14:paraId="7AFBAF62" w14:textId="77777777" w:rsidTr="00310AC6">
        <w:trPr>
          <w:trHeight w:val="227"/>
        </w:trPr>
        <w:tc>
          <w:tcPr>
            <w:tcW w:w="460" w:type="pct"/>
            <w:tcBorders>
              <w:top w:val="nil"/>
              <w:left w:val="nil"/>
              <w:bottom w:val="nil"/>
              <w:right w:val="nil"/>
            </w:tcBorders>
            <w:shd w:val="clear" w:color="auto" w:fill="auto"/>
            <w:noWrap/>
            <w:vAlign w:val="center"/>
          </w:tcPr>
          <w:p w14:paraId="72EBA593" w14:textId="70E326ED" w:rsidR="00BB0ADB" w:rsidRPr="00C41363" w:rsidRDefault="00E70F4C" w:rsidP="00C41363">
            <w:pPr>
              <w:pStyle w:val="TableTextLeft"/>
            </w:pPr>
            <w:r w:rsidRPr="00C41363">
              <w:t>GST</w:t>
            </w:r>
          </w:p>
        </w:tc>
        <w:tc>
          <w:tcPr>
            <w:tcW w:w="230" w:type="pct"/>
            <w:tcBorders>
              <w:top w:val="nil"/>
              <w:left w:val="nil"/>
              <w:bottom w:val="nil"/>
              <w:right w:val="nil"/>
            </w:tcBorders>
            <w:shd w:val="clear" w:color="auto" w:fill="auto"/>
            <w:noWrap/>
            <w:vAlign w:val="center"/>
          </w:tcPr>
          <w:p w14:paraId="553C002C" w14:textId="5C921E58" w:rsidR="00BB0ADB" w:rsidRPr="00C41363" w:rsidRDefault="00E70F4C" w:rsidP="00C41363">
            <w:pPr>
              <w:pStyle w:val="TableTextLeft"/>
            </w:pPr>
            <w:r w:rsidRPr="00C41363">
              <w:t>H5</w:t>
            </w:r>
          </w:p>
        </w:tc>
        <w:tc>
          <w:tcPr>
            <w:tcW w:w="2184" w:type="pct"/>
            <w:tcBorders>
              <w:top w:val="nil"/>
              <w:left w:val="nil"/>
              <w:bottom w:val="nil"/>
              <w:right w:val="nil"/>
            </w:tcBorders>
            <w:shd w:val="clear" w:color="auto" w:fill="auto"/>
            <w:vAlign w:val="center"/>
          </w:tcPr>
          <w:p w14:paraId="79DF76EA" w14:textId="44BF2860" w:rsidR="00BB0ADB" w:rsidRPr="00C41363" w:rsidRDefault="00E70F4C" w:rsidP="00C41363">
            <w:pPr>
              <w:pStyle w:val="TableTextLeft"/>
            </w:pPr>
            <w:r w:rsidRPr="00C41363">
              <w:t>Child care services</w:t>
            </w:r>
          </w:p>
        </w:tc>
        <w:tc>
          <w:tcPr>
            <w:tcW w:w="460" w:type="pct"/>
            <w:tcBorders>
              <w:top w:val="nil"/>
              <w:left w:val="nil"/>
              <w:bottom w:val="nil"/>
              <w:right w:val="nil"/>
            </w:tcBorders>
            <w:vAlign w:val="center"/>
          </w:tcPr>
          <w:p w14:paraId="0CE1F489"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536ED342" w14:textId="4D7480E9" w:rsidR="00BB0ADB" w:rsidRPr="00C41363" w:rsidRDefault="006C7696" w:rsidP="001C380C">
            <w:pPr>
              <w:pStyle w:val="TableTextLeft"/>
              <w:jc w:val="right"/>
            </w:pPr>
            <w:r w:rsidRPr="00C41363">
              <w:t>2,330</w:t>
            </w:r>
          </w:p>
        </w:tc>
        <w:tc>
          <w:tcPr>
            <w:tcW w:w="517" w:type="pct"/>
            <w:tcBorders>
              <w:top w:val="nil"/>
              <w:left w:val="nil"/>
              <w:bottom w:val="nil"/>
              <w:right w:val="nil"/>
            </w:tcBorders>
            <w:vAlign w:val="center"/>
          </w:tcPr>
          <w:p w14:paraId="5DAB5A40" w14:textId="68C3FCAF" w:rsidR="00BB0ADB" w:rsidRPr="00C41363" w:rsidRDefault="00E70F4C" w:rsidP="001C380C">
            <w:pPr>
              <w:pStyle w:val="TableTextLeft"/>
              <w:jc w:val="right"/>
            </w:pPr>
            <w:r w:rsidRPr="00C41363">
              <w:t>11.2</w:t>
            </w:r>
          </w:p>
        </w:tc>
        <w:tc>
          <w:tcPr>
            <w:tcW w:w="516" w:type="pct"/>
            <w:tcBorders>
              <w:top w:val="nil"/>
              <w:left w:val="nil"/>
              <w:bottom w:val="nil"/>
              <w:right w:val="nil"/>
            </w:tcBorders>
            <w:vAlign w:val="center"/>
          </w:tcPr>
          <w:p w14:paraId="11B229D6" w14:textId="41575A44" w:rsidR="00BB0ADB" w:rsidRPr="00C41363" w:rsidRDefault="00E70F4C" w:rsidP="001C380C">
            <w:pPr>
              <w:pStyle w:val="TableTextLeft"/>
              <w:jc w:val="right"/>
            </w:pPr>
            <w:r w:rsidRPr="00C41363">
              <w:t>5.0</w:t>
            </w:r>
          </w:p>
        </w:tc>
      </w:tr>
      <w:tr w:rsidR="000D4EFC" w:rsidRPr="00273AA1" w14:paraId="2A3F2897" w14:textId="77777777" w:rsidTr="00310AC6">
        <w:trPr>
          <w:trHeight w:val="227"/>
        </w:trPr>
        <w:tc>
          <w:tcPr>
            <w:tcW w:w="460" w:type="pct"/>
            <w:tcBorders>
              <w:top w:val="nil"/>
              <w:left w:val="nil"/>
              <w:bottom w:val="nil"/>
              <w:right w:val="nil"/>
            </w:tcBorders>
            <w:shd w:val="clear" w:color="auto" w:fill="auto"/>
            <w:noWrap/>
            <w:vAlign w:val="center"/>
          </w:tcPr>
          <w:p w14:paraId="7253D12D" w14:textId="5145B82C" w:rsidR="00BB0ADB" w:rsidRPr="00C41363" w:rsidRDefault="00E70F4C" w:rsidP="00C41363">
            <w:pPr>
              <w:pStyle w:val="TableTextLeft"/>
            </w:pPr>
            <w:r w:rsidRPr="00C41363">
              <w:t>Income</w:t>
            </w:r>
          </w:p>
        </w:tc>
        <w:tc>
          <w:tcPr>
            <w:tcW w:w="230" w:type="pct"/>
            <w:tcBorders>
              <w:top w:val="nil"/>
              <w:left w:val="nil"/>
              <w:bottom w:val="nil"/>
              <w:right w:val="nil"/>
            </w:tcBorders>
            <w:shd w:val="clear" w:color="auto" w:fill="auto"/>
            <w:noWrap/>
            <w:vAlign w:val="center"/>
          </w:tcPr>
          <w:p w14:paraId="148CB1B2" w14:textId="66DF7B12" w:rsidR="00BB0ADB" w:rsidRPr="00C41363" w:rsidRDefault="00E70F4C" w:rsidP="00C41363">
            <w:pPr>
              <w:pStyle w:val="TableTextLeft"/>
            </w:pPr>
            <w:r w:rsidRPr="00C41363">
              <w:t>B1</w:t>
            </w:r>
          </w:p>
        </w:tc>
        <w:tc>
          <w:tcPr>
            <w:tcW w:w="2184" w:type="pct"/>
            <w:tcBorders>
              <w:top w:val="nil"/>
              <w:left w:val="nil"/>
              <w:bottom w:val="nil"/>
              <w:right w:val="nil"/>
            </w:tcBorders>
            <w:shd w:val="clear" w:color="auto" w:fill="auto"/>
            <w:vAlign w:val="center"/>
          </w:tcPr>
          <w:p w14:paraId="7489C75D" w14:textId="47DDFDC1" w:rsidR="00BB0ADB" w:rsidRPr="00C41363" w:rsidRDefault="00E70F4C" w:rsidP="00C41363">
            <w:pPr>
              <w:pStyle w:val="TableTextLeft"/>
            </w:pPr>
            <w:r w:rsidRPr="00C41363">
              <w:t>Local government bodies income tax exemption</w:t>
            </w:r>
          </w:p>
        </w:tc>
        <w:tc>
          <w:tcPr>
            <w:tcW w:w="460" w:type="pct"/>
            <w:tcBorders>
              <w:top w:val="nil"/>
              <w:left w:val="nil"/>
              <w:bottom w:val="nil"/>
              <w:right w:val="nil"/>
            </w:tcBorders>
            <w:vAlign w:val="center"/>
          </w:tcPr>
          <w:p w14:paraId="64B2227C" w14:textId="77777777" w:rsidR="00BB0ADB" w:rsidRPr="00C41363" w:rsidRDefault="00BB0ADB" w:rsidP="00C41363">
            <w:pPr>
              <w:pStyle w:val="TableTextLeft"/>
            </w:pPr>
          </w:p>
        </w:tc>
        <w:tc>
          <w:tcPr>
            <w:tcW w:w="633" w:type="pct"/>
            <w:tcBorders>
              <w:top w:val="nil"/>
              <w:left w:val="nil"/>
              <w:bottom w:val="nil"/>
              <w:right w:val="nil"/>
            </w:tcBorders>
            <w:shd w:val="clear" w:color="auto" w:fill="auto"/>
            <w:noWrap/>
            <w:vAlign w:val="center"/>
          </w:tcPr>
          <w:p w14:paraId="20E1D7E0" w14:textId="68197D3B" w:rsidR="00BB0ADB" w:rsidRPr="00C41363" w:rsidRDefault="006C7696" w:rsidP="001C380C">
            <w:pPr>
              <w:pStyle w:val="TableTextLeft"/>
              <w:jc w:val="right"/>
            </w:pPr>
            <w:r w:rsidRPr="00C41363">
              <w:t>2,060</w:t>
            </w:r>
          </w:p>
        </w:tc>
        <w:tc>
          <w:tcPr>
            <w:tcW w:w="517" w:type="pct"/>
            <w:tcBorders>
              <w:top w:val="nil"/>
              <w:left w:val="nil"/>
              <w:bottom w:val="nil"/>
              <w:right w:val="nil"/>
            </w:tcBorders>
            <w:vAlign w:val="center"/>
          </w:tcPr>
          <w:p w14:paraId="13236446" w14:textId="7D15BB02" w:rsidR="00BB0ADB" w:rsidRPr="00C41363" w:rsidRDefault="00BB0ADB" w:rsidP="001C380C">
            <w:pPr>
              <w:pStyle w:val="TableTextLeft"/>
              <w:jc w:val="right"/>
            </w:pPr>
            <w:r w:rsidRPr="00C41363">
              <w:t>5</w:t>
            </w:r>
            <w:r w:rsidR="00E70F4C" w:rsidRPr="00C41363">
              <w:t>.9</w:t>
            </w:r>
          </w:p>
        </w:tc>
        <w:tc>
          <w:tcPr>
            <w:tcW w:w="516" w:type="pct"/>
            <w:tcBorders>
              <w:top w:val="nil"/>
              <w:left w:val="nil"/>
              <w:bottom w:val="nil"/>
              <w:right w:val="nil"/>
            </w:tcBorders>
            <w:vAlign w:val="center"/>
          </w:tcPr>
          <w:p w14:paraId="4FCA983C" w14:textId="2D1E7A36" w:rsidR="00BB0ADB" w:rsidRPr="00C41363" w:rsidRDefault="00E70F4C" w:rsidP="001C380C">
            <w:pPr>
              <w:pStyle w:val="TableTextLeft"/>
              <w:jc w:val="right"/>
            </w:pPr>
            <w:r w:rsidRPr="00C41363">
              <w:t>1</w:t>
            </w:r>
            <w:r w:rsidR="00BB0ADB" w:rsidRPr="00C41363">
              <w:t>.3</w:t>
            </w:r>
          </w:p>
        </w:tc>
      </w:tr>
      <w:tr w:rsidR="000D4EFC" w:rsidRPr="00273AA1" w14:paraId="71FB550A" w14:textId="77777777" w:rsidTr="00310AC6">
        <w:trPr>
          <w:trHeight w:val="227"/>
        </w:trPr>
        <w:tc>
          <w:tcPr>
            <w:tcW w:w="460" w:type="pct"/>
            <w:tcBorders>
              <w:top w:val="nil"/>
              <w:left w:val="nil"/>
              <w:bottom w:val="nil"/>
              <w:right w:val="nil"/>
            </w:tcBorders>
            <w:shd w:val="clear" w:color="auto" w:fill="auto"/>
            <w:noWrap/>
            <w:vAlign w:val="center"/>
          </w:tcPr>
          <w:p w14:paraId="3D419600" w14:textId="7E60699D" w:rsidR="00BB0ADB" w:rsidRPr="00C41363" w:rsidRDefault="00E70F4C" w:rsidP="00C41363">
            <w:pPr>
              <w:pStyle w:val="TableTextLeft"/>
            </w:pPr>
            <w:r w:rsidRPr="00C41363">
              <w:t>Super</w:t>
            </w:r>
          </w:p>
        </w:tc>
        <w:tc>
          <w:tcPr>
            <w:tcW w:w="230" w:type="pct"/>
            <w:tcBorders>
              <w:top w:val="nil"/>
              <w:left w:val="nil"/>
              <w:bottom w:val="nil"/>
              <w:right w:val="nil"/>
            </w:tcBorders>
            <w:shd w:val="clear" w:color="auto" w:fill="auto"/>
            <w:noWrap/>
            <w:vAlign w:val="center"/>
          </w:tcPr>
          <w:p w14:paraId="18245C0A" w14:textId="2348BE91" w:rsidR="00BB0ADB" w:rsidRPr="00C41363" w:rsidRDefault="00E70F4C" w:rsidP="00C41363">
            <w:pPr>
              <w:pStyle w:val="TableTextLeft"/>
            </w:pPr>
            <w:r w:rsidRPr="00C41363">
              <w:t>C1</w:t>
            </w:r>
          </w:p>
        </w:tc>
        <w:tc>
          <w:tcPr>
            <w:tcW w:w="2184" w:type="pct"/>
            <w:tcBorders>
              <w:top w:val="nil"/>
              <w:left w:val="nil"/>
              <w:bottom w:val="nil"/>
              <w:right w:val="nil"/>
            </w:tcBorders>
            <w:shd w:val="clear" w:color="auto" w:fill="auto"/>
            <w:vAlign w:val="center"/>
          </w:tcPr>
          <w:p w14:paraId="45EB9D89" w14:textId="3D31EF01" w:rsidR="00BB0ADB" w:rsidRPr="00C41363" w:rsidRDefault="00E70F4C" w:rsidP="00C41363">
            <w:pPr>
              <w:pStyle w:val="TableTextLeft"/>
            </w:pPr>
            <w:r w:rsidRPr="00C41363">
              <w:t>Concessional taxation of capital gains for superannuation funds</w:t>
            </w:r>
          </w:p>
        </w:tc>
        <w:tc>
          <w:tcPr>
            <w:tcW w:w="460" w:type="pct"/>
            <w:tcBorders>
              <w:top w:val="nil"/>
              <w:left w:val="nil"/>
              <w:bottom w:val="nil"/>
              <w:right w:val="nil"/>
            </w:tcBorders>
            <w:vAlign w:val="center"/>
          </w:tcPr>
          <w:p w14:paraId="7B07698E" w14:textId="1733268A" w:rsidR="00BB0ADB" w:rsidRPr="00C41363" w:rsidRDefault="00BB0ADB" w:rsidP="00C41363">
            <w:pPr>
              <w:pStyle w:val="TableTextLeft"/>
            </w:pPr>
            <w:r w:rsidRPr="00C41363">
              <w:t>Y</w:t>
            </w:r>
          </w:p>
        </w:tc>
        <w:tc>
          <w:tcPr>
            <w:tcW w:w="633" w:type="pct"/>
            <w:tcBorders>
              <w:top w:val="nil"/>
              <w:left w:val="nil"/>
              <w:bottom w:val="nil"/>
              <w:right w:val="nil"/>
            </w:tcBorders>
            <w:shd w:val="clear" w:color="auto" w:fill="auto"/>
            <w:noWrap/>
            <w:vAlign w:val="center"/>
          </w:tcPr>
          <w:p w14:paraId="66697627" w14:textId="7D64E040" w:rsidR="00BB0ADB" w:rsidRPr="00C41363" w:rsidRDefault="006C7696" w:rsidP="001C380C">
            <w:pPr>
              <w:pStyle w:val="TableTextLeft"/>
              <w:jc w:val="right"/>
            </w:pPr>
            <w:r w:rsidRPr="00C41363">
              <w:t>2,000</w:t>
            </w:r>
          </w:p>
        </w:tc>
        <w:tc>
          <w:tcPr>
            <w:tcW w:w="517" w:type="pct"/>
            <w:tcBorders>
              <w:top w:val="nil"/>
              <w:left w:val="nil"/>
              <w:bottom w:val="nil"/>
              <w:right w:val="nil"/>
            </w:tcBorders>
            <w:vAlign w:val="center"/>
          </w:tcPr>
          <w:p w14:paraId="76E6A2E3" w14:textId="01C3A94D" w:rsidR="00BB0ADB" w:rsidRPr="00C41363" w:rsidRDefault="00E70F4C" w:rsidP="001C380C">
            <w:pPr>
              <w:pStyle w:val="TableTextLeft"/>
              <w:jc w:val="right"/>
            </w:pPr>
            <w:r w:rsidRPr="00C41363">
              <w:t>-15.5</w:t>
            </w:r>
          </w:p>
        </w:tc>
        <w:tc>
          <w:tcPr>
            <w:tcW w:w="516" w:type="pct"/>
            <w:tcBorders>
              <w:top w:val="nil"/>
              <w:left w:val="nil"/>
              <w:bottom w:val="nil"/>
              <w:right w:val="nil"/>
            </w:tcBorders>
            <w:vAlign w:val="center"/>
          </w:tcPr>
          <w:p w14:paraId="0903CDD0" w14:textId="79B80370" w:rsidR="00BB0ADB" w:rsidRPr="00C41363" w:rsidRDefault="00E70F4C" w:rsidP="001C380C">
            <w:pPr>
              <w:pStyle w:val="TableTextLeft"/>
              <w:jc w:val="right"/>
            </w:pPr>
            <w:r w:rsidRPr="00C41363">
              <w:t>11.</w:t>
            </w:r>
            <w:r w:rsidR="00BB0ADB" w:rsidRPr="00C41363">
              <w:t>0</w:t>
            </w:r>
          </w:p>
        </w:tc>
      </w:tr>
      <w:tr w:rsidR="000D4EFC" w:rsidRPr="00273AA1" w14:paraId="2487D31F" w14:textId="77777777" w:rsidTr="00310AC6">
        <w:trPr>
          <w:trHeight w:val="227"/>
        </w:trPr>
        <w:tc>
          <w:tcPr>
            <w:tcW w:w="460" w:type="pct"/>
            <w:tcBorders>
              <w:top w:val="nil"/>
              <w:left w:val="nil"/>
              <w:right w:val="nil"/>
            </w:tcBorders>
            <w:shd w:val="clear" w:color="auto" w:fill="auto"/>
            <w:noWrap/>
            <w:vAlign w:val="center"/>
          </w:tcPr>
          <w:p w14:paraId="020D2A99" w14:textId="0ADD6E82" w:rsidR="00BB0ADB" w:rsidRPr="00C41363" w:rsidRDefault="00BB0ADB" w:rsidP="00C41363">
            <w:pPr>
              <w:pStyle w:val="TableTextLeft"/>
            </w:pPr>
            <w:r w:rsidRPr="00C41363">
              <w:t>Super</w:t>
            </w:r>
          </w:p>
        </w:tc>
        <w:tc>
          <w:tcPr>
            <w:tcW w:w="230" w:type="pct"/>
            <w:tcBorders>
              <w:top w:val="nil"/>
              <w:left w:val="nil"/>
              <w:right w:val="nil"/>
            </w:tcBorders>
            <w:shd w:val="clear" w:color="auto" w:fill="auto"/>
            <w:noWrap/>
            <w:vAlign w:val="center"/>
          </w:tcPr>
          <w:p w14:paraId="4E27E6CE" w14:textId="50AF7FB5" w:rsidR="00BB0ADB" w:rsidRPr="00C41363" w:rsidRDefault="00E70F4C" w:rsidP="00C41363">
            <w:pPr>
              <w:pStyle w:val="TableTextLeft"/>
            </w:pPr>
            <w:r w:rsidRPr="00C41363">
              <w:t>C3</w:t>
            </w:r>
          </w:p>
        </w:tc>
        <w:tc>
          <w:tcPr>
            <w:tcW w:w="2184" w:type="pct"/>
            <w:tcBorders>
              <w:top w:val="nil"/>
              <w:left w:val="nil"/>
              <w:right w:val="nil"/>
            </w:tcBorders>
            <w:shd w:val="clear" w:color="auto" w:fill="auto"/>
            <w:vAlign w:val="center"/>
          </w:tcPr>
          <w:p w14:paraId="6BCE41A8" w14:textId="1634E1FA" w:rsidR="00BB0ADB" w:rsidRPr="00C41363" w:rsidRDefault="00E70F4C" w:rsidP="00C41363">
            <w:pPr>
              <w:pStyle w:val="TableTextLeft"/>
            </w:pPr>
            <w:r w:rsidRPr="00C41363">
              <w:t>Concessional taxation of personal superannuation contributions</w:t>
            </w:r>
          </w:p>
        </w:tc>
        <w:tc>
          <w:tcPr>
            <w:tcW w:w="460" w:type="pct"/>
            <w:tcBorders>
              <w:top w:val="nil"/>
              <w:left w:val="nil"/>
              <w:right w:val="nil"/>
            </w:tcBorders>
            <w:vAlign w:val="center"/>
          </w:tcPr>
          <w:p w14:paraId="62B9AC2F" w14:textId="47182151" w:rsidR="00BB0ADB" w:rsidRPr="00C41363" w:rsidRDefault="00E70F4C" w:rsidP="00C41363">
            <w:pPr>
              <w:pStyle w:val="TableTextLeft"/>
            </w:pPr>
            <w:r w:rsidRPr="00C41363">
              <w:t>Y</w:t>
            </w:r>
          </w:p>
        </w:tc>
        <w:tc>
          <w:tcPr>
            <w:tcW w:w="633" w:type="pct"/>
            <w:tcBorders>
              <w:top w:val="nil"/>
              <w:left w:val="nil"/>
              <w:right w:val="nil"/>
            </w:tcBorders>
            <w:shd w:val="clear" w:color="auto" w:fill="auto"/>
            <w:noWrap/>
            <w:vAlign w:val="center"/>
          </w:tcPr>
          <w:p w14:paraId="080F857B" w14:textId="589C028B" w:rsidR="00BB0ADB" w:rsidRPr="00C41363" w:rsidRDefault="006C7696" w:rsidP="001C380C">
            <w:pPr>
              <w:pStyle w:val="TableTextLeft"/>
              <w:jc w:val="right"/>
            </w:pPr>
            <w:r w:rsidRPr="00C41363">
              <w:t>1,800</w:t>
            </w:r>
          </w:p>
        </w:tc>
        <w:tc>
          <w:tcPr>
            <w:tcW w:w="517" w:type="pct"/>
            <w:tcBorders>
              <w:top w:val="nil"/>
              <w:left w:val="nil"/>
              <w:right w:val="nil"/>
            </w:tcBorders>
            <w:vAlign w:val="center"/>
          </w:tcPr>
          <w:p w14:paraId="56808391" w14:textId="314CCF1D" w:rsidR="00BB0ADB" w:rsidRPr="00C41363" w:rsidRDefault="00E70F4C" w:rsidP="001C380C">
            <w:pPr>
              <w:pStyle w:val="TableTextLeft"/>
              <w:jc w:val="right"/>
            </w:pPr>
            <w:r w:rsidRPr="00C41363">
              <w:t>20.0</w:t>
            </w:r>
          </w:p>
        </w:tc>
        <w:tc>
          <w:tcPr>
            <w:tcW w:w="516" w:type="pct"/>
            <w:tcBorders>
              <w:top w:val="nil"/>
              <w:left w:val="nil"/>
              <w:right w:val="nil"/>
            </w:tcBorders>
            <w:vAlign w:val="center"/>
          </w:tcPr>
          <w:p w14:paraId="1B44413F" w14:textId="57B73341" w:rsidR="00BB0ADB" w:rsidRPr="00C41363" w:rsidRDefault="00BB0ADB" w:rsidP="001C380C">
            <w:pPr>
              <w:pStyle w:val="TableTextLeft"/>
              <w:jc w:val="right"/>
            </w:pPr>
            <w:r w:rsidRPr="00C41363">
              <w:t>3.</w:t>
            </w:r>
            <w:r w:rsidR="00E70F4C" w:rsidRPr="00C41363">
              <w:t>1</w:t>
            </w:r>
          </w:p>
        </w:tc>
      </w:tr>
      <w:tr w:rsidR="000D4EFC" w:rsidRPr="00273AA1" w14:paraId="23AF68F0" w14:textId="77777777" w:rsidTr="00310AC6">
        <w:trPr>
          <w:trHeight w:val="227"/>
        </w:trPr>
        <w:tc>
          <w:tcPr>
            <w:tcW w:w="460" w:type="pct"/>
            <w:tcBorders>
              <w:top w:val="nil"/>
              <w:left w:val="nil"/>
              <w:bottom w:val="single" w:sz="4" w:space="0" w:color="auto"/>
              <w:right w:val="nil"/>
            </w:tcBorders>
            <w:shd w:val="clear" w:color="auto" w:fill="auto"/>
            <w:noWrap/>
            <w:vAlign w:val="center"/>
          </w:tcPr>
          <w:p w14:paraId="51EBF6A7" w14:textId="7B6300FB" w:rsidR="00BB0ADB" w:rsidRPr="00C41363" w:rsidRDefault="00BB0ADB" w:rsidP="00C41363">
            <w:pPr>
              <w:pStyle w:val="TableTextLeft"/>
            </w:pPr>
            <w:r w:rsidRPr="00C41363">
              <w:t>Income</w:t>
            </w:r>
          </w:p>
        </w:tc>
        <w:tc>
          <w:tcPr>
            <w:tcW w:w="230" w:type="pct"/>
            <w:tcBorders>
              <w:top w:val="nil"/>
              <w:left w:val="nil"/>
              <w:bottom w:val="single" w:sz="4" w:space="0" w:color="auto"/>
              <w:right w:val="nil"/>
            </w:tcBorders>
            <w:shd w:val="clear" w:color="auto" w:fill="auto"/>
            <w:noWrap/>
            <w:vAlign w:val="center"/>
          </w:tcPr>
          <w:p w14:paraId="646250F0" w14:textId="73DE9ADE" w:rsidR="00BB0ADB" w:rsidRPr="00C41363" w:rsidRDefault="00E70F4C" w:rsidP="00C41363">
            <w:pPr>
              <w:pStyle w:val="TableTextLeft"/>
            </w:pPr>
            <w:r w:rsidRPr="00C41363">
              <w:t>A39</w:t>
            </w:r>
          </w:p>
        </w:tc>
        <w:tc>
          <w:tcPr>
            <w:tcW w:w="2184" w:type="pct"/>
            <w:tcBorders>
              <w:top w:val="nil"/>
              <w:left w:val="nil"/>
              <w:bottom w:val="single" w:sz="4" w:space="0" w:color="auto"/>
              <w:right w:val="nil"/>
            </w:tcBorders>
            <w:shd w:val="clear" w:color="auto" w:fill="auto"/>
            <w:vAlign w:val="center"/>
          </w:tcPr>
          <w:p w14:paraId="2AC7F316" w14:textId="11A3EE53" w:rsidR="00BB0ADB" w:rsidRPr="00C41363" w:rsidRDefault="00E70F4C" w:rsidP="00C41363">
            <w:pPr>
              <w:pStyle w:val="TableTextLeft"/>
            </w:pPr>
            <w:r w:rsidRPr="00C41363">
              <w:t>Exemption of Family Tax Benefit payments</w:t>
            </w:r>
          </w:p>
        </w:tc>
        <w:tc>
          <w:tcPr>
            <w:tcW w:w="460" w:type="pct"/>
            <w:tcBorders>
              <w:top w:val="nil"/>
              <w:left w:val="nil"/>
              <w:bottom w:val="single" w:sz="4" w:space="0" w:color="auto"/>
              <w:right w:val="nil"/>
            </w:tcBorders>
            <w:vAlign w:val="center"/>
          </w:tcPr>
          <w:p w14:paraId="53C55C0C" w14:textId="77777777" w:rsidR="00BB0ADB" w:rsidRPr="00C41363" w:rsidRDefault="00BB0ADB" w:rsidP="00C41363">
            <w:pPr>
              <w:pStyle w:val="TableTextLeft"/>
            </w:pPr>
          </w:p>
        </w:tc>
        <w:tc>
          <w:tcPr>
            <w:tcW w:w="633" w:type="pct"/>
            <w:tcBorders>
              <w:top w:val="nil"/>
              <w:left w:val="nil"/>
              <w:bottom w:val="single" w:sz="4" w:space="0" w:color="auto"/>
              <w:right w:val="nil"/>
            </w:tcBorders>
            <w:shd w:val="clear" w:color="auto" w:fill="auto"/>
            <w:noWrap/>
            <w:vAlign w:val="center"/>
          </w:tcPr>
          <w:p w14:paraId="55691605" w14:textId="36FE7BF0" w:rsidR="00BB0ADB" w:rsidRPr="00C41363" w:rsidRDefault="006C7696" w:rsidP="001C380C">
            <w:pPr>
              <w:pStyle w:val="TableTextLeft"/>
              <w:jc w:val="right"/>
            </w:pPr>
            <w:r w:rsidRPr="00C41363">
              <w:t>1,780</w:t>
            </w:r>
          </w:p>
        </w:tc>
        <w:tc>
          <w:tcPr>
            <w:tcW w:w="517" w:type="pct"/>
            <w:tcBorders>
              <w:top w:val="nil"/>
              <w:left w:val="nil"/>
              <w:bottom w:val="single" w:sz="4" w:space="0" w:color="auto"/>
              <w:right w:val="nil"/>
            </w:tcBorders>
            <w:vAlign w:val="center"/>
          </w:tcPr>
          <w:p w14:paraId="3B7E999B" w14:textId="468A2EC0" w:rsidR="00BB0ADB" w:rsidRPr="00C41363" w:rsidRDefault="00E70F4C" w:rsidP="001C380C">
            <w:pPr>
              <w:pStyle w:val="TableTextLeft"/>
              <w:jc w:val="right"/>
            </w:pPr>
            <w:r w:rsidRPr="00C41363">
              <w:t>1.6</w:t>
            </w:r>
          </w:p>
        </w:tc>
        <w:tc>
          <w:tcPr>
            <w:tcW w:w="516" w:type="pct"/>
            <w:tcBorders>
              <w:top w:val="nil"/>
              <w:left w:val="nil"/>
              <w:bottom w:val="single" w:sz="4" w:space="0" w:color="auto"/>
              <w:right w:val="nil"/>
            </w:tcBorders>
            <w:vAlign w:val="center"/>
          </w:tcPr>
          <w:p w14:paraId="02D79658" w14:textId="5EDA78D4" w:rsidR="00BB0ADB" w:rsidRPr="00C41363" w:rsidRDefault="00BB0ADB" w:rsidP="001C380C">
            <w:pPr>
              <w:pStyle w:val="TableTextLeft"/>
              <w:jc w:val="right"/>
            </w:pPr>
            <w:r w:rsidRPr="00C41363">
              <w:t>0.</w:t>
            </w:r>
            <w:r w:rsidR="00E70F4C" w:rsidRPr="00C41363">
              <w:t>7</w:t>
            </w:r>
          </w:p>
        </w:tc>
      </w:tr>
    </w:tbl>
    <w:p w14:paraId="08F4BFC7" w14:textId="72807D50" w:rsidR="003A4DFF" w:rsidRPr="002A0EFC" w:rsidRDefault="00501433" w:rsidP="186F5814">
      <w:pPr>
        <w:pStyle w:val="ChartandTableFootnote"/>
      </w:pPr>
      <w:r w:rsidRPr="002A0EFC">
        <w:t xml:space="preserve">* For deductions, </w:t>
      </w:r>
      <w:r w:rsidR="00A72536" w:rsidRPr="002A0EFC">
        <w:t>‘</w:t>
      </w:r>
      <w:r w:rsidR="00363991" w:rsidRPr="002A0EFC">
        <w:t>R</w:t>
      </w:r>
      <w:r w:rsidRPr="002A0EFC">
        <w:t>evenue forgone</w:t>
      </w:r>
      <w:r w:rsidR="00A72536" w:rsidRPr="002A0EFC">
        <w:t>’</w:t>
      </w:r>
      <w:r w:rsidRPr="002A0EFC">
        <w:t xml:space="preserve"> refers to the reduction in tax in relation to the specified income year due to the utilisation of deductions.</w:t>
      </w:r>
    </w:p>
    <w:p w14:paraId="00276AD4" w14:textId="2FF4FB19" w:rsidR="00A27AFB" w:rsidRPr="002A0EFC" w:rsidRDefault="00431263" w:rsidP="00C41363">
      <w:pPr>
        <w:pStyle w:val="TableHeadingcontinued"/>
        <w:tabs>
          <w:tab w:val="left" w:pos="1843"/>
        </w:tabs>
      </w:pPr>
      <w:r w:rsidRPr="002A0EFC">
        <w:t>Table 1.</w:t>
      </w:r>
      <w:r w:rsidR="00EF6CDD">
        <w:t>2</w:t>
      </w:r>
      <w:r w:rsidRPr="002A0EFC">
        <w:t xml:space="preserve"> Large tax expenditures and deductions by revenue forgone 202</w:t>
      </w:r>
      <w:r w:rsidR="00531356" w:rsidRPr="002A0EFC">
        <w:t>4</w:t>
      </w:r>
      <w:r w:rsidRPr="002A0EFC">
        <w:t>–2</w:t>
      </w:r>
      <w:r w:rsidR="00531356" w:rsidRPr="002A0EFC">
        <w:t>5</w:t>
      </w:r>
      <w:r w:rsidRPr="002A0EFC">
        <w:t xml:space="preserve"> </w:t>
      </w:r>
      <w:r w:rsidR="00EA271A" w:rsidRPr="002A0EFC">
        <w:t>(continued)</w:t>
      </w:r>
    </w:p>
    <w:tbl>
      <w:tblPr>
        <w:tblW w:w="5063" w:type="pct"/>
        <w:tblLayout w:type="fixed"/>
        <w:tblCellMar>
          <w:left w:w="0" w:type="dxa"/>
          <w:right w:w="28" w:type="dxa"/>
        </w:tblCellMar>
        <w:tblLook w:val="04A0" w:firstRow="1" w:lastRow="0" w:firstColumn="1" w:lastColumn="0" w:noHBand="0" w:noVBand="1"/>
        <w:tblCaption w:val="Table"/>
      </w:tblPr>
      <w:tblGrid>
        <w:gridCol w:w="1049"/>
        <w:gridCol w:w="555"/>
        <w:gridCol w:w="5484"/>
        <w:gridCol w:w="1095"/>
        <w:gridCol w:w="1529"/>
        <w:gridCol w:w="1174"/>
        <w:gridCol w:w="1172"/>
      </w:tblGrid>
      <w:tr w:rsidR="000447F1" w:rsidRPr="00273AA1" w14:paraId="7212E634" w14:textId="77777777" w:rsidTr="001C380C">
        <w:trPr>
          <w:cantSplit/>
          <w:trHeight w:val="232"/>
        </w:trPr>
        <w:tc>
          <w:tcPr>
            <w:tcW w:w="435" w:type="pct"/>
            <w:tcBorders>
              <w:top w:val="single" w:sz="4" w:space="0" w:color="auto"/>
              <w:left w:val="nil"/>
              <w:bottom w:val="single" w:sz="4" w:space="0" w:color="auto"/>
              <w:right w:val="nil"/>
            </w:tcBorders>
            <w:shd w:val="clear" w:color="auto" w:fill="auto"/>
            <w:noWrap/>
            <w:vAlign w:val="center"/>
          </w:tcPr>
          <w:p w14:paraId="72575A80" w14:textId="34F4BF8C" w:rsidR="00A27AFB" w:rsidRPr="002A0EFC" w:rsidRDefault="00A27AFB" w:rsidP="186F5814">
            <w:pPr>
              <w:pStyle w:val="TableTextLeft"/>
              <w:rPr>
                <w:b/>
              </w:rPr>
            </w:pPr>
            <w:r w:rsidRPr="002A0EFC">
              <w:rPr>
                <w:b/>
              </w:rPr>
              <w:t xml:space="preserve">Tax type </w:t>
            </w:r>
            <w:r>
              <w:br/>
            </w:r>
            <w:r w:rsidRPr="002A0EFC">
              <w:rPr>
                <w:b/>
              </w:rPr>
              <w:t>affected</w:t>
            </w:r>
          </w:p>
        </w:tc>
        <w:tc>
          <w:tcPr>
            <w:tcW w:w="230" w:type="pct"/>
            <w:tcBorders>
              <w:top w:val="single" w:sz="4" w:space="0" w:color="auto"/>
              <w:left w:val="nil"/>
              <w:bottom w:val="single" w:sz="4" w:space="0" w:color="auto"/>
              <w:right w:val="nil"/>
            </w:tcBorders>
            <w:shd w:val="clear" w:color="auto" w:fill="auto"/>
            <w:noWrap/>
            <w:vAlign w:val="center"/>
          </w:tcPr>
          <w:p w14:paraId="1C37D730" w14:textId="2C653800" w:rsidR="00A27AFB" w:rsidRPr="002A0EFC" w:rsidRDefault="00A27AFB" w:rsidP="186F5814">
            <w:pPr>
              <w:pStyle w:val="TableTextLeft"/>
              <w:rPr>
                <w:b/>
              </w:rPr>
            </w:pPr>
            <w:r w:rsidRPr="002A0EFC">
              <w:rPr>
                <w:b/>
              </w:rPr>
              <w:t>Code</w:t>
            </w:r>
          </w:p>
        </w:tc>
        <w:tc>
          <w:tcPr>
            <w:tcW w:w="2274" w:type="pct"/>
            <w:tcBorders>
              <w:top w:val="single" w:sz="4" w:space="0" w:color="auto"/>
              <w:left w:val="nil"/>
              <w:bottom w:val="single" w:sz="4" w:space="0" w:color="auto"/>
              <w:right w:val="nil"/>
            </w:tcBorders>
            <w:shd w:val="clear" w:color="auto" w:fill="auto"/>
            <w:vAlign w:val="center"/>
          </w:tcPr>
          <w:p w14:paraId="25471B7D" w14:textId="42221F2F" w:rsidR="00A27AFB" w:rsidRPr="002A0EFC" w:rsidRDefault="00A27AFB" w:rsidP="186F5814">
            <w:pPr>
              <w:pStyle w:val="TableTextLeft"/>
              <w:rPr>
                <w:b/>
              </w:rPr>
            </w:pPr>
            <w:r w:rsidRPr="002A0EFC">
              <w:rPr>
                <w:b/>
              </w:rPr>
              <w:t>Title</w:t>
            </w:r>
          </w:p>
        </w:tc>
        <w:tc>
          <w:tcPr>
            <w:tcW w:w="454" w:type="pct"/>
            <w:tcBorders>
              <w:top w:val="single" w:sz="4" w:space="0" w:color="auto"/>
              <w:left w:val="nil"/>
              <w:bottom w:val="single" w:sz="4" w:space="0" w:color="auto"/>
              <w:right w:val="nil"/>
            </w:tcBorders>
            <w:vAlign w:val="center"/>
          </w:tcPr>
          <w:p w14:paraId="33F65617" w14:textId="6AAE2049" w:rsidR="00A27AFB" w:rsidRPr="002A0EFC" w:rsidRDefault="00A27AFB" w:rsidP="186F5814">
            <w:pPr>
              <w:pStyle w:val="TableTextLeft"/>
              <w:rPr>
                <w:b/>
              </w:rPr>
            </w:pPr>
            <w:r w:rsidRPr="002A0EFC">
              <w:rPr>
                <w:b/>
              </w:rPr>
              <w:t>Distributional analysis included</w:t>
            </w:r>
          </w:p>
        </w:tc>
        <w:tc>
          <w:tcPr>
            <w:tcW w:w="634" w:type="pct"/>
            <w:tcBorders>
              <w:top w:val="single" w:sz="4" w:space="0" w:color="auto"/>
              <w:left w:val="nil"/>
              <w:bottom w:val="single" w:sz="4" w:space="0" w:color="auto"/>
              <w:right w:val="nil"/>
            </w:tcBorders>
            <w:shd w:val="clear" w:color="auto" w:fill="auto"/>
            <w:noWrap/>
            <w:vAlign w:val="center"/>
          </w:tcPr>
          <w:p w14:paraId="17980AB3" w14:textId="77777777" w:rsidR="00DC4F35" w:rsidRDefault="00A27AFB" w:rsidP="186F5814">
            <w:pPr>
              <w:pStyle w:val="TableTextLeft"/>
              <w:jc w:val="right"/>
              <w:rPr>
                <w:b/>
              </w:rPr>
            </w:pPr>
            <w:r w:rsidRPr="002A0EFC">
              <w:rPr>
                <w:b/>
              </w:rPr>
              <w:t xml:space="preserve">Revenue </w:t>
            </w:r>
          </w:p>
          <w:p w14:paraId="0CC08FEF" w14:textId="77777777" w:rsidR="00416315" w:rsidRDefault="00A27AFB" w:rsidP="186F5814">
            <w:pPr>
              <w:pStyle w:val="TableTextLeft"/>
              <w:jc w:val="right"/>
              <w:rPr>
                <w:b/>
              </w:rPr>
            </w:pPr>
            <w:r w:rsidRPr="002A0EFC">
              <w:rPr>
                <w:b/>
              </w:rPr>
              <w:t xml:space="preserve">forgone </w:t>
            </w:r>
          </w:p>
          <w:p w14:paraId="0C51755E" w14:textId="383B4E06" w:rsidR="00A27AFB" w:rsidRPr="002A0EFC" w:rsidRDefault="00A27AFB" w:rsidP="186F5814">
            <w:pPr>
              <w:pStyle w:val="TableTextLeft"/>
              <w:jc w:val="right"/>
              <w:rPr>
                <w:b/>
              </w:rPr>
            </w:pPr>
            <w:r w:rsidRPr="002A0EFC">
              <w:rPr>
                <w:b/>
              </w:rPr>
              <w:t>202</w:t>
            </w:r>
            <w:r w:rsidR="00BA4654">
              <w:rPr>
                <w:b/>
              </w:rPr>
              <w:t>4</w:t>
            </w:r>
            <w:r w:rsidRPr="002A0EFC">
              <w:rPr>
                <w:b/>
              </w:rPr>
              <w:t>-2</w:t>
            </w:r>
            <w:r w:rsidR="00BA4654">
              <w:rPr>
                <w:b/>
              </w:rPr>
              <w:t>5</w:t>
            </w:r>
            <w:r w:rsidRPr="002A0EFC">
              <w:rPr>
                <w:b/>
              </w:rPr>
              <w:t xml:space="preserve"> ($m)*</w:t>
            </w:r>
          </w:p>
        </w:tc>
        <w:tc>
          <w:tcPr>
            <w:tcW w:w="487" w:type="pct"/>
            <w:tcBorders>
              <w:top w:val="single" w:sz="4" w:space="0" w:color="auto"/>
              <w:left w:val="nil"/>
              <w:bottom w:val="single" w:sz="4" w:space="0" w:color="auto"/>
              <w:right w:val="nil"/>
            </w:tcBorders>
            <w:vAlign w:val="center"/>
          </w:tcPr>
          <w:p w14:paraId="68620D85" w14:textId="77777777" w:rsidR="00991A5F" w:rsidRDefault="00A27AFB" w:rsidP="186F5814">
            <w:pPr>
              <w:pStyle w:val="TableTextLeft"/>
              <w:jc w:val="right"/>
              <w:rPr>
                <w:b/>
              </w:rPr>
            </w:pPr>
            <w:r w:rsidRPr="002A0EFC">
              <w:rPr>
                <w:b/>
              </w:rPr>
              <w:t xml:space="preserve">Average </w:t>
            </w:r>
          </w:p>
          <w:p w14:paraId="6A4D4318" w14:textId="77777777" w:rsidR="00991A5F" w:rsidRDefault="00A27AFB" w:rsidP="186F5814">
            <w:pPr>
              <w:pStyle w:val="TableTextLeft"/>
              <w:jc w:val="right"/>
              <w:rPr>
                <w:b/>
              </w:rPr>
            </w:pPr>
            <w:r w:rsidRPr="002A0EFC">
              <w:rPr>
                <w:b/>
              </w:rPr>
              <w:t xml:space="preserve">growth </w:t>
            </w:r>
          </w:p>
          <w:p w14:paraId="10953792" w14:textId="18B8A641" w:rsidR="00524E6A" w:rsidRDefault="00A27AFB" w:rsidP="186F5814">
            <w:pPr>
              <w:pStyle w:val="TableTextLeft"/>
              <w:jc w:val="right"/>
              <w:rPr>
                <w:b/>
              </w:rPr>
            </w:pPr>
            <w:r w:rsidRPr="002A0EFC">
              <w:rPr>
                <w:b/>
              </w:rPr>
              <w:t>20</w:t>
            </w:r>
            <w:r w:rsidR="00BA4654">
              <w:rPr>
                <w:b/>
              </w:rPr>
              <w:t>20</w:t>
            </w:r>
            <w:r w:rsidRPr="002A0EFC">
              <w:rPr>
                <w:b/>
              </w:rPr>
              <w:t>-2</w:t>
            </w:r>
            <w:r w:rsidR="00BA4654">
              <w:rPr>
                <w:b/>
              </w:rPr>
              <w:t>1</w:t>
            </w:r>
            <w:r w:rsidRPr="002A0EFC">
              <w:rPr>
                <w:b/>
              </w:rPr>
              <w:t xml:space="preserve"> to </w:t>
            </w:r>
          </w:p>
          <w:p w14:paraId="2C1055CA" w14:textId="5BEA6E02" w:rsidR="00A27AFB" w:rsidRPr="002A0EFC" w:rsidRDefault="00A27AFB" w:rsidP="186F5814">
            <w:pPr>
              <w:pStyle w:val="TableTextLeft"/>
              <w:jc w:val="right"/>
              <w:rPr>
                <w:b/>
              </w:rPr>
            </w:pPr>
            <w:r w:rsidRPr="002A0EFC">
              <w:rPr>
                <w:b/>
              </w:rPr>
              <w:t>202</w:t>
            </w:r>
            <w:r w:rsidR="00B96043">
              <w:rPr>
                <w:b/>
              </w:rPr>
              <w:t>3</w:t>
            </w:r>
            <w:r w:rsidRPr="002A0EFC">
              <w:rPr>
                <w:b/>
              </w:rPr>
              <w:t>-2</w:t>
            </w:r>
            <w:r w:rsidR="00B96043">
              <w:rPr>
                <w:b/>
              </w:rPr>
              <w:t>4</w:t>
            </w:r>
            <w:r w:rsidRPr="002A0EFC">
              <w:rPr>
                <w:b/>
              </w:rPr>
              <w:t xml:space="preserve"> (%)</w:t>
            </w:r>
          </w:p>
        </w:tc>
        <w:tc>
          <w:tcPr>
            <w:tcW w:w="487" w:type="pct"/>
            <w:tcBorders>
              <w:top w:val="single" w:sz="4" w:space="0" w:color="auto"/>
              <w:left w:val="nil"/>
              <w:bottom w:val="single" w:sz="4" w:space="0" w:color="auto"/>
              <w:right w:val="nil"/>
            </w:tcBorders>
            <w:vAlign w:val="center"/>
          </w:tcPr>
          <w:p w14:paraId="10745538" w14:textId="77777777" w:rsidR="00991A5F" w:rsidRDefault="00A27AFB" w:rsidP="186F5814">
            <w:pPr>
              <w:pStyle w:val="TableTextLeft"/>
              <w:jc w:val="right"/>
              <w:rPr>
                <w:b/>
              </w:rPr>
            </w:pPr>
            <w:r w:rsidRPr="002A0EFC">
              <w:rPr>
                <w:b/>
              </w:rPr>
              <w:t xml:space="preserve">Average projected </w:t>
            </w:r>
          </w:p>
          <w:p w14:paraId="08C73B98" w14:textId="77777777" w:rsidR="00F83DF5" w:rsidRDefault="00A27AFB" w:rsidP="186F5814">
            <w:pPr>
              <w:pStyle w:val="TableTextLeft"/>
              <w:jc w:val="right"/>
              <w:rPr>
                <w:b/>
              </w:rPr>
            </w:pPr>
            <w:r w:rsidRPr="002A0EFC">
              <w:rPr>
                <w:b/>
              </w:rPr>
              <w:t xml:space="preserve">growth over </w:t>
            </w:r>
          </w:p>
          <w:p w14:paraId="09B7FA88" w14:textId="5C8C2DD5" w:rsidR="00A27AFB" w:rsidRPr="002A0EFC" w:rsidRDefault="00A27AFB" w:rsidP="186F5814">
            <w:pPr>
              <w:pStyle w:val="TableTextLeft"/>
              <w:jc w:val="right"/>
              <w:rPr>
                <w:b/>
              </w:rPr>
            </w:pPr>
            <w:r w:rsidRPr="002A0EFC">
              <w:rPr>
                <w:b/>
              </w:rPr>
              <w:t>FEs (%)</w:t>
            </w:r>
          </w:p>
        </w:tc>
      </w:tr>
      <w:tr w:rsidR="00BD2A71" w:rsidRPr="00273AA1" w14:paraId="1EF66602" w14:textId="77777777" w:rsidTr="001C380C">
        <w:trPr>
          <w:cantSplit/>
          <w:trHeight w:val="232"/>
        </w:trPr>
        <w:tc>
          <w:tcPr>
            <w:tcW w:w="435" w:type="pct"/>
            <w:tcBorders>
              <w:top w:val="nil"/>
              <w:left w:val="nil"/>
              <w:bottom w:val="nil"/>
              <w:right w:val="nil"/>
            </w:tcBorders>
            <w:shd w:val="clear" w:color="auto" w:fill="auto"/>
            <w:noWrap/>
            <w:vAlign w:val="center"/>
          </w:tcPr>
          <w:p w14:paraId="3F95E2ED" w14:textId="48DF6443" w:rsidR="00BD2A71" w:rsidRPr="002A0EFC" w:rsidRDefault="00BD2A71" w:rsidP="00BD2A71">
            <w:pPr>
              <w:pStyle w:val="TableTextLeft"/>
              <w:rPr>
                <w:rFonts w:cs="Arial"/>
                <w:szCs w:val="16"/>
              </w:rPr>
            </w:pPr>
            <w:r>
              <w:rPr>
                <w:rFonts w:cs="Arial"/>
                <w:szCs w:val="16"/>
              </w:rPr>
              <w:t>FBT</w:t>
            </w:r>
          </w:p>
        </w:tc>
        <w:tc>
          <w:tcPr>
            <w:tcW w:w="230" w:type="pct"/>
            <w:tcBorders>
              <w:top w:val="nil"/>
              <w:left w:val="nil"/>
              <w:bottom w:val="nil"/>
              <w:right w:val="nil"/>
            </w:tcBorders>
            <w:shd w:val="clear" w:color="auto" w:fill="auto"/>
            <w:noWrap/>
            <w:vAlign w:val="center"/>
          </w:tcPr>
          <w:p w14:paraId="742F7456" w14:textId="3D163867" w:rsidR="00BD2A71" w:rsidRPr="002A0EFC" w:rsidRDefault="00BD2A71" w:rsidP="00BD2A71">
            <w:pPr>
              <w:pStyle w:val="TableTextLeft"/>
              <w:rPr>
                <w:rFonts w:cs="Arial"/>
                <w:szCs w:val="16"/>
              </w:rPr>
            </w:pPr>
            <w:r>
              <w:rPr>
                <w:rFonts w:cs="Arial"/>
                <w:szCs w:val="16"/>
              </w:rPr>
              <w:t>D11</w:t>
            </w:r>
          </w:p>
        </w:tc>
        <w:tc>
          <w:tcPr>
            <w:tcW w:w="2274" w:type="pct"/>
            <w:tcBorders>
              <w:top w:val="nil"/>
              <w:left w:val="nil"/>
              <w:bottom w:val="nil"/>
              <w:right w:val="nil"/>
            </w:tcBorders>
            <w:shd w:val="clear" w:color="auto" w:fill="auto"/>
            <w:vAlign w:val="center"/>
          </w:tcPr>
          <w:p w14:paraId="5B8F0A11" w14:textId="187EADFF" w:rsidR="00BD2A71" w:rsidRPr="002A0EFC" w:rsidRDefault="00BD2A71" w:rsidP="00BD2A71">
            <w:pPr>
              <w:pStyle w:val="TableTextLeft"/>
              <w:rPr>
                <w:rFonts w:cs="Arial"/>
                <w:szCs w:val="16"/>
              </w:rPr>
            </w:pPr>
            <w:r>
              <w:rPr>
                <w:rFonts w:cs="Arial"/>
                <w:szCs w:val="16"/>
              </w:rPr>
              <w:t>Exemption for public and not-for-profit hospitals and public ambulance services</w:t>
            </w:r>
          </w:p>
        </w:tc>
        <w:tc>
          <w:tcPr>
            <w:tcW w:w="454" w:type="pct"/>
            <w:tcBorders>
              <w:top w:val="nil"/>
              <w:left w:val="nil"/>
              <w:bottom w:val="nil"/>
              <w:right w:val="nil"/>
            </w:tcBorders>
            <w:vAlign w:val="center"/>
          </w:tcPr>
          <w:p w14:paraId="19820DB6" w14:textId="77777777" w:rsidR="00BD2A71" w:rsidRPr="002A0EFC" w:rsidRDefault="00BD2A71" w:rsidP="00BD2A71">
            <w:pPr>
              <w:pStyle w:val="TableTextLeft"/>
            </w:pPr>
          </w:p>
        </w:tc>
        <w:tc>
          <w:tcPr>
            <w:tcW w:w="634" w:type="pct"/>
            <w:tcBorders>
              <w:top w:val="nil"/>
              <w:left w:val="nil"/>
              <w:bottom w:val="nil"/>
              <w:right w:val="nil"/>
            </w:tcBorders>
            <w:shd w:val="clear" w:color="auto" w:fill="auto"/>
            <w:noWrap/>
            <w:vAlign w:val="center"/>
          </w:tcPr>
          <w:p w14:paraId="2D54C94C" w14:textId="4EE5DCAA" w:rsidR="00BD2A71" w:rsidRDefault="00BD2A71" w:rsidP="00BD2A71">
            <w:pPr>
              <w:pStyle w:val="TableTextLeft"/>
              <w:jc w:val="right"/>
              <w:rPr>
                <w:rFonts w:cs="Arial"/>
                <w:szCs w:val="16"/>
              </w:rPr>
            </w:pPr>
            <w:r w:rsidRPr="002136AB">
              <w:rPr>
                <w:rFonts w:cs="Arial"/>
                <w:szCs w:val="16"/>
              </w:rPr>
              <w:t>1,750</w:t>
            </w:r>
          </w:p>
        </w:tc>
        <w:tc>
          <w:tcPr>
            <w:tcW w:w="487" w:type="pct"/>
            <w:tcBorders>
              <w:top w:val="nil"/>
              <w:left w:val="nil"/>
              <w:bottom w:val="nil"/>
              <w:right w:val="nil"/>
            </w:tcBorders>
            <w:vAlign w:val="center"/>
          </w:tcPr>
          <w:p w14:paraId="28BB3BB5" w14:textId="634F351B" w:rsidR="00BD2A71" w:rsidRPr="002A0EFC" w:rsidRDefault="00BD2A71" w:rsidP="00BD2A71">
            <w:pPr>
              <w:pStyle w:val="TableTextLeft"/>
              <w:jc w:val="right"/>
              <w:rPr>
                <w:rFonts w:cs="Arial"/>
                <w:szCs w:val="16"/>
              </w:rPr>
            </w:pPr>
            <w:r>
              <w:rPr>
                <w:rFonts w:cs="Arial"/>
                <w:szCs w:val="16"/>
              </w:rPr>
              <w:t>7.2</w:t>
            </w:r>
          </w:p>
        </w:tc>
        <w:tc>
          <w:tcPr>
            <w:tcW w:w="487" w:type="pct"/>
            <w:tcBorders>
              <w:top w:val="nil"/>
              <w:left w:val="nil"/>
              <w:bottom w:val="nil"/>
              <w:right w:val="nil"/>
            </w:tcBorders>
            <w:vAlign w:val="center"/>
          </w:tcPr>
          <w:p w14:paraId="31EE5317" w14:textId="70B5345B" w:rsidR="00BD2A71" w:rsidRPr="002A0EFC" w:rsidRDefault="00BD2A71" w:rsidP="00BD2A71">
            <w:pPr>
              <w:pStyle w:val="TableTextLeft"/>
              <w:jc w:val="right"/>
              <w:rPr>
                <w:rFonts w:cs="Arial"/>
                <w:szCs w:val="16"/>
              </w:rPr>
            </w:pPr>
            <w:r>
              <w:rPr>
                <w:rFonts w:cs="Arial"/>
                <w:szCs w:val="16"/>
              </w:rPr>
              <w:t>2.0</w:t>
            </w:r>
          </w:p>
        </w:tc>
      </w:tr>
      <w:tr w:rsidR="00BD2A71" w:rsidRPr="00273AA1" w14:paraId="45418113" w14:textId="77777777" w:rsidTr="001C380C">
        <w:trPr>
          <w:cantSplit/>
          <w:trHeight w:val="232"/>
        </w:trPr>
        <w:tc>
          <w:tcPr>
            <w:tcW w:w="435" w:type="pct"/>
            <w:tcBorders>
              <w:top w:val="nil"/>
              <w:left w:val="nil"/>
              <w:bottom w:val="nil"/>
              <w:right w:val="nil"/>
            </w:tcBorders>
            <w:shd w:val="clear" w:color="auto" w:fill="auto"/>
            <w:noWrap/>
            <w:vAlign w:val="center"/>
          </w:tcPr>
          <w:p w14:paraId="6452ED48" w14:textId="72A6884F" w:rsidR="00BD2A71" w:rsidRPr="002A0EFC" w:rsidRDefault="00BD2A71" w:rsidP="00BD2A71">
            <w:pPr>
              <w:pStyle w:val="TableTextLeft"/>
              <w:rPr>
                <w:rFonts w:cs="Arial"/>
                <w:szCs w:val="16"/>
              </w:rPr>
            </w:pPr>
            <w:r>
              <w:rPr>
                <w:rFonts w:cs="Arial"/>
                <w:szCs w:val="16"/>
              </w:rPr>
              <w:t>Income</w:t>
            </w:r>
          </w:p>
        </w:tc>
        <w:tc>
          <w:tcPr>
            <w:tcW w:w="230" w:type="pct"/>
            <w:tcBorders>
              <w:top w:val="nil"/>
              <w:left w:val="nil"/>
              <w:bottom w:val="nil"/>
              <w:right w:val="nil"/>
            </w:tcBorders>
            <w:shd w:val="clear" w:color="auto" w:fill="auto"/>
            <w:noWrap/>
            <w:vAlign w:val="center"/>
          </w:tcPr>
          <w:p w14:paraId="5C65C6A9" w14:textId="79C82546" w:rsidR="00BD2A71" w:rsidRPr="002A0EFC" w:rsidRDefault="00BD2A71" w:rsidP="00BD2A71">
            <w:pPr>
              <w:pStyle w:val="TableTextLeft"/>
              <w:rPr>
                <w:rFonts w:cs="Arial"/>
                <w:szCs w:val="16"/>
              </w:rPr>
            </w:pPr>
            <w:r>
              <w:rPr>
                <w:rFonts w:cs="Arial"/>
                <w:szCs w:val="16"/>
              </w:rPr>
              <w:t>A38</w:t>
            </w:r>
          </w:p>
        </w:tc>
        <w:tc>
          <w:tcPr>
            <w:tcW w:w="2274" w:type="pct"/>
            <w:tcBorders>
              <w:top w:val="nil"/>
              <w:left w:val="nil"/>
              <w:bottom w:val="nil"/>
              <w:right w:val="nil"/>
            </w:tcBorders>
            <w:shd w:val="clear" w:color="auto" w:fill="auto"/>
            <w:vAlign w:val="center"/>
          </w:tcPr>
          <w:p w14:paraId="478323A0" w14:textId="0E4AE1E6" w:rsidR="00BD2A71" w:rsidRPr="002A0EFC" w:rsidRDefault="00BD2A71" w:rsidP="00BD2A71">
            <w:pPr>
              <w:pStyle w:val="TableTextLeft"/>
              <w:rPr>
                <w:rFonts w:cs="Arial"/>
                <w:szCs w:val="16"/>
              </w:rPr>
            </w:pPr>
            <w:r>
              <w:rPr>
                <w:rFonts w:cs="Arial"/>
                <w:szCs w:val="16"/>
              </w:rPr>
              <w:t>Exemption of certain income support benefits, pensions or allowances</w:t>
            </w:r>
          </w:p>
        </w:tc>
        <w:tc>
          <w:tcPr>
            <w:tcW w:w="454" w:type="pct"/>
            <w:tcBorders>
              <w:top w:val="nil"/>
              <w:left w:val="nil"/>
              <w:bottom w:val="nil"/>
              <w:right w:val="nil"/>
            </w:tcBorders>
            <w:vAlign w:val="center"/>
          </w:tcPr>
          <w:p w14:paraId="0CFA8FFD" w14:textId="77777777" w:rsidR="00BD2A71" w:rsidRPr="002A0EFC" w:rsidRDefault="00BD2A71" w:rsidP="00BD2A71">
            <w:pPr>
              <w:pStyle w:val="TableTextLeft"/>
            </w:pPr>
          </w:p>
        </w:tc>
        <w:tc>
          <w:tcPr>
            <w:tcW w:w="634" w:type="pct"/>
            <w:tcBorders>
              <w:top w:val="nil"/>
              <w:left w:val="nil"/>
              <w:bottom w:val="nil"/>
              <w:right w:val="nil"/>
            </w:tcBorders>
            <w:shd w:val="clear" w:color="auto" w:fill="auto"/>
            <w:noWrap/>
            <w:vAlign w:val="center"/>
          </w:tcPr>
          <w:p w14:paraId="03728EBE" w14:textId="69C8E495" w:rsidR="00BD2A71" w:rsidRDefault="00BD2A71" w:rsidP="00BD2A71">
            <w:pPr>
              <w:pStyle w:val="TableTextLeft"/>
              <w:jc w:val="right"/>
              <w:rPr>
                <w:rFonts w:cs="Arial"/>
                <w:szCs w:val="16"/>
              </w:rPr>
            </w:pPr>
            <w:r w:rsidRPr="002136AB">
              <w:rPr>
                <w:rFonts w:cs="Arial"/>
                <w:szCs w:val="16"/>
              </w:rPr>
              <w:t>1,700</w:t>
            </w:r>
          </w:p>
        </w:tc>
        <w:tc>
          <w:tcPr>
            <w:tcW w:w="487" w:type="pct"/>
            <w:tcBorders>
              <w:top w:val="nil"/>
              <w:left w:val="nil"/>
              <w:bottom w:val="nil"/>
              <w:right w:val="nil"/>
            </w:tcBorders>
            <w:vAlign w:val="center"/>
          </w:tcPr>
          <w:p w14:paraId="5CDABA7B" w14:textId="5AF61287" w:rsidR="00BD2A71" w:rsidRPr="002A0EFC" w:rsidRDefault="00BD2A71" w:rsidP="00BD2A71">
            <w:pPr>
              <w:pStyle w:val="TableTextLeft"/>
              <w:jc w:val="right"/>
              <w:rPr>
                <w:rFonts w:cs="Arial"/>
                <w:szCs w:val="16"/>
              </w:rPr>
            </w:pPr>
            <w:r>
              <w:rPr>
                <w:rFonts w:cs="Arial"/>
                <w:szCs w:val="16"/>
              </w:rPr>
              <w:t>2.6</w:t>
            </w:r>
          </w:p>
        </w:tc>
        <w:tc>
          <w:tcPr>
            <w:tcW w:w="487" w:type="pct"/>
            <w:tcBorders>
              <w:top w:val="nil"/>
              <w:left w:val="nil"/>
              <w:bottom w:val="nil"/>
              <w:right w:val="nil"/>
            </w:tcBorders>
            <w:vAlign w:val="center"/>
          </w:tcPr>
          <w:p w14:paraId="4E30E802" w14:textId="2D319C30" w:rsidR="00BD2A71" w:rsidRPr="002A0EFC" w:rsidRDefault="00BD2A71" w:rsidP="00BD2A71">
            <w:pPr>
              <w:pStyle w:val="TableTextLeft"/>
              <w:jc w:val="right"/>
              <w:rPr>
                <w:rFonts w:cs="Arial"/>
                <w:szCs w:val="16"/>
              </w:rPr>
            </w:pPr>
            <w:r>
              <w:rPr>
                <w:rFonts w:cs="Arial"/>
                <w:szCs w:val="16"/>
              </w:rPr>
              <w:t>-0.6</w:t>
            </w:r>
          </w:p>
        </w:tc>
      </w:tr>
      <w:tr w:rsidR="00505E73" w:rsidRPr="00273AA1" w14:paraId="1F5E0D10" w14:textId="77777777" w:rsidTr="001C380C">
        <w:trPr>
          <w:cantSplit/>
          <w:trHeight w:val="232"/>
        </w:trPr>
        <w:tc>
          <w:tcPr>
            <w:tcW w:w="435" w:type="pct"/>
            <w:tcBorders>
              <w:top w:val="nil"/>
              <w:left w:val="nil"/>
              <w:bottom w:val="nil"/>
              <w:right w:val="nil"/>
            </w:tcBorders>
            <w:shd w:val="clear" w:color="auto" w:fill="auto"/>
            <w:noWrap/>
            <w:vAlign w:val="center"/>
          </w:tcPr>
          <w:p w14:paraId="392D5B00" w14:textId="72E5B33F" w:rsidR="00641C09" w:rsidRPr="002A0EFC" w:rsidRDefault="00641C09" w:rsidP="00641C09">
            <w:pPr>
              <w:pStyle w:val="TableTextLeft"/>
              <w:rPr>
                <w:rFonts w:cs="Arial"/>
                <w:szCs w:val="16"/>
              </w:rPr>
            </w:pPr>
            <w:r w:rsidRPr="002A0EFC">
              <w:rPr>
                <w:rFonts w:cs="Arial"/>
                <w:szCs w:val="16"/>
              </w:rPr>
              <w:t>Other</w:t>
            </w:r>
          </w:p>
        </w:tc>
        <w:tc>
          <w:tcPr>
            <w:tcW w:w="230" w:type="pct"/>
            <w:tcBorders>
              <w:top w:val="nil"/>
              <w:left w:val="nil"/>
              <w:bottom w:val="nil"/>
              <w:right w:val="nil"/>
            </w:tcBorders>
            <w:shd w:val="clear" w:color="auto" w:fill="auto"/>
            <w:noWrap/>
            <w:vAlign w:val="center"/>
          </w:tcPr>
          <w:p w14:paraId="1C08E013" w14:textId="1FFF3636" w:rsidR="00641C09" w:rsidRPr="002A0EFC" w:rsidRDefault="00641C09" w:rsidP="00641C09">
            <w:pPr>
              <w:pStyle w:val="TableTextLeft"/>
              <w:rPr>
                <w:rFonts w:cs="Arial"/>
                <w:szCs w:val="16"/>
              </w:rPr>
            </w:pPr>
            <w:r w:rsidRPr="002A0EFC">
              <w:rPr>
                <w:rFonts w:cs="Arial"/>
                <w:szCs w:val="16"/>
              </w:rPr>
              <w:t>F6</w:t>
            </w:r>
          </w:p>
        </w:tc>
        <w:tc>
          <w:tcPr>
            <w:tcW w:w="2274" w:type="pct"/>
            <w:tcBorders>
              <w:top w:val="nil"/>
              <w:left w:val="nil"/>
              <w:bottom w:val="nil"/>
              <w:right w:val="nil"/>
            </w:tcBorders>
            <w:shd w:val="clear" w:color="auto" w:fill="auto"/>
            <w:vAlign w:val="center"/>
          </w:tcPr>
          <w:p w14:paraId="1B8900E9" w14:textId="5CE5850B" w:rsidR="00641C09" w:rsidRPr="002A0EFC" w:rsidRDefault="00641C09" w:rsidP="00641C09">
            <w:pPr>
              <w:pStyle w:val="TableTextLeft"/>
              <w:rPr>
                <w:rFonts w:cs="Arial"/>
                <w:szCs w:val="16"/>
              </w:rPr>
            </w:pPr>
            <w:r w:rsidRPr="002A0EFC">
              <w:rPr>
                <w:rFonts w:cs="Arial"/>
                <w:szCs w:val="16"/>
              </w:rPr>
              <w:t>Concessional rate of excise levied on aviation gasoline and aviation turbine fuel</w:t>
            </w:r>
          </w:p>
        </w:tc>
        <w:tc>
          <w:tcPr>
            <w:tcW w:w="454" w:type="pct"/>
            <w:tcBorders>
              <w:top w:val="nil"/>
              <w:left w:val="nil"/>
              <w:bottom w:val="nil"/>
              <w:right w:val="nil"/>
            </w:tcBorders>
            <w:vAlign w:val="center"/>
          </w:tcPr>
          <w:p w14:paraId="71F4B379" w14:textId="77777777" w:rsidR="00641C09" w:rsidRPr="002A0EFC" w:rsidRDefault="00641C09" w:rsidP="00641C09">
            <w:pPr>
              <w:pStyle w:val="TableTextLeft"/>
            </w:pPr>
          </w:p>
        </w:tc>
        <w:tc>
          <w:tcPr>
            <w:tcW w:w="634" w:type="pct"/>
            <w:tcBorders>
              <w:top w:val="nil"/>
              <w:left w:val="nil"/>
              <w:bottom w:val="nil"/>
              <w:right w:val="nil"/>
            </w:tcBorders>
            <w:shd w:val="clear" w:color="auto" w:fill="auto"/>
            <w:noWrap/>
            <w:vAlign w:val="center"/>
          </w:tcPr>
          <w:p w14:paraId="53961813" w14:textId="36F6194B" w:rsidR="00641C09" w:rsidRPr="002A0EFC" w:rsidRDefault="008942FA" w:rsidP="00641C09">
            <w:pPr>
              <w:pStyle w:val="TableTextLeft"/>
              <w:jc w:val="right"/>
              <w:rPr>
                <w:rFonts w:cs="Arial"/>
                <w:szCs w:val="16"/>
              </w:rPr>
            </w:pPr>
            <w:r>
              <w:rPr>
                <w:rFonts w:cs="Arial"/>
                <w:szCs w:val="16"/>
              </w:rPr>
              <w:t xml:space="preserve">                        1,700 </w:t>
            </w:r>
          </w:p>
        </w:tc>
        <w:tc>
          <w:tcPr>
            <w:tcW w:w="487" w:type="pct"/>
            <w:tcBorders>
              <w:top w:val="nil"/>
              <w:left w:val="nil"/>
              <w:bottom w:val="nil"/>
              <w:right w:val="nil"/>
            </w:tcBorders>
            <w:vAlign w:val="center"/>
          </w:tcPr>
          <w:p w14:paraId="40267921" w14:textId="00D2C8BE" w:rsidR="00641C09" w:rsidRPr="002A0EFC" w:rsidRDefault="00641C09" w:rsidP="00641C09">
            <w:pPr>
              <w:pStyle w:val="TableTextLeft"/>
              <w:jc w:val="right"/>
              <w:rPr>
                <w:rFonts w:cs="Arial"/>
                <w:szCs w:val="16"/>
              </w:rPr>
            </w:pPr>
            <w:r w:rsidRPr="002A0EFC">
              <w:rPr>
                <w:rFonts w:cs="Arial"/>
                <w:szCs w:val="16"/>
              </w:rPr>
              <w:t>27.9</w:t>
            </w:r>
          </w:p>
        </w:tc>
        <w:tc>
          <w:tcPr>
            <w:tcW w:w="487" w:type="pct"/>
            <w:tcBorders>
              <w:top w:val="nil"/>
              <w:left w:val="nil"/>
              <w:bottom w:val="nil"/>
              <w:right w:val="nil"/>
            </w:tcBorders>
            <w:vAlign w:val="center"/>
          </w:tcPr>
          <w:p w14:paraId="1F01B3DE" w14:textId="11483E3A" w:rsidR="00641C09" w:rsidRPr="002A0EFC" w:rsidRDefault="00641C09" w:rsidP="00641C09">
            <w:pPr>
              <w:pStyle w:val="TableTextLeft"/>
              <w:jc w:val="right"/>
              <w:rPr>
                <w:rFonts w:cs="Arial"/>
                <w:szCs w:val="16"/>
              </w:rPr>
            </w:pPr>
            <w:r w:rsidRPr="002A0EFC">
              <w:rPr>
                <w:rFonts w:cs="Arial"/>
                <w:szCs w:val="16"/>
              </w:rPr>
              <w:t>6.0</w:t>
            </w:r>
          </w:p>
        </w:tc>
      </w:tr>
      <w:tr w:rsidR="00365D13" w:rsidRPr="00273AA1" w14:paraId="44DE03AF" w14:textId="77777777" w:rsidTr="001C380C">
        <w:trPr>
          <w:cantSplit/>
          <w:trHeight w:val="232"/>
        </w:trPr>
        <w:tc>
          <w:tcPr>
            <w:tcW w:w="435" w:type="pct"/>
            <w:tcBorders>
              <w:top w:val="nil"/>
              <w:left w:val="nil"/>
              <w:bottom w:val="nil"/>
              <w:right w:val="nil"/>
            </w:tcBorders>
            <w:shd w:val="clear" w:color="auto" w:fill="auto"/>
            <w:noWrap/>
            <w:vAlign w:val="center"/>
          </w:tcPr>
          <w:p w14:paraId="27D02A2A" w14:textId="5C74F324" w:rsidR="00365D13" w:rsidRDefault="00C06B9A" w:rsidP="186F5814">
            <w:pPr>
              <w:pStyle w:val="TableTextLeft"/>
              <w:rPr>
                <w:rFonts w:cs="Arial"/>
                <w:szCs w:val="16"/>
              </w:rPr>
            </w:pPr>
            <w:r w:rsidRPr="00C06B9A">
              <w:rPr>
                <w:rFonts w:cs="Arial"/>
                <w:szCs w:val="16"/>
              </w:rPr>
              <w:t>Deductions</w:t>
            </w:r>
          </w:p>
        </w:tc>
        <w:tc>
          <w:tcPr>
            <w:tcW w:w="230" w:type="pct"/>
            <w:tcBorders>
              <w:top w:val="nil"/>
              <w:left w:val="nil"/>
              <w:bottom w:val="nil"/>
              <w:right w:val="nil"/>
            </w:tcBorders>
            <w:shd w:val="clear" w:color="auto" w:fill="auto"/>
            <w:noWrap/>
            <w:vAlign w:val="center"/>
          </w:tcPr>
          <w:p w14:paraId="77EE685E" w14:textId="77777777" w:rsidR="00365D13" w:rsidRDefault="00365D13" w:rsidP="186F5814">
            <w:pPr>
              <w:pStyle w:val="TableTextLeft"/>
              <w:rPr>
                <w:rFonts w:cs="Arial"/>
                <w:szCs w:val="16"/>
              </w:rPr>
            </w:pPr>
          </w:p>
        </w:tc>
        <w:tc>
          <w:tcPr>
            <w:tcW w:w="2274" w:type="pct"/>
            <w:tcBorders>
              <w:top w:val="nil"/>
              <w:left w:val="nil"/>
              <w:bottom w:val="nil"/>
              <w:right w:val="nil"/>
            </w:tcBorders>
            <w:shd w:val="clear" w:color="auto" w:fill="auto"/>
            <w:vAlign w:val="center"/>
          </w:tcPr>
          <w:p w14:paraId="1026D98F" w14:textId="7DA17709" w:rsidR="00365D13" w:rsidRDefault="00C06B9A" w:rsidP="186F5814">
            <w:pPr>
              <w:pStyle w:val="TableTextLeft"/>
              <w:rPr>
                <w:rFonts w:cs="Arial"/>
                <w:szCs w:val="16"/>
              </w:rPr>
            </w:pPr>
            <w:r w:rsidRPr="00C06B9A">
              <w:rPr>
                <w:rFonts w:cs="Arial"/>
                <w:szCs w:val="16"/>
              </w:rPr>
              <w:t>Cost of managing tax affairs and other deductions</w:t>
            </w:r>
          </w:p>
        </w:tc>
        <w:tc>
          <w:tcPr>
            <w:tcW w:w="454" w:type="pct"/>
            <w:tcBorders>
              <w:top w:val="nil"/>
              <w:left w:val="nil"/>
              <w:bottom w:val="nil"/>
              <w:right w:val="nil"/>
            </w:tcBorders>
            <w:vAlign w:val="center"/>
          </w:tcPr>
          <w:p w14:paraId="3D74FCB8" w14:textId="390E6658" w:rsidR="00365D13" w:rsidRPr="002A0EFC" w:rsidRDefault="00C06B9A" w:rsidP="186F5814">
            <w:pPr>
              <w:pStyle w:val="TableTextLeft"/>
            </w:pPr>
            <w:r>
              <w:t>Y</w:t>
            </w:r>
          </w:p>
        </w:tc>
        <w:tc>
          <w:tcPr>
            <w:tcW w:w="634" w:type="pct"/>
            <w:tcBorders>
              <w:top w:val="nil"/>
              <w:left w:val="nil"/>
              <w:bottom w:val="nil"/>
              <w:right w:val="nil"/>
            </w:tcBorders>
            <w:shd w:val="clear" w:color="auto" w:fill="auto"/>
            <w:noWrap/>
            <w:vAlign w:val="center"/>
          </w:tcPr>
          <w:p w14:paraId="4C0FFA68" w14:textId="185384D1" w:rsidR="00365D13" w:rsidRPr="00C06B9A" w:rsidRDefault="00C06B9A" w:rsidP="00C06B9A">
            <w:pPr>
              <w:spacing w:after="0" w:line="240" w:lineRule="auto"/>
              <w:jc w:val="right"/>
              <w:rPr>
                <w:rFonts w:ascii="Arial" w:hAnsi="Arial" w:cs="Arial"/>
                <w:color w:val="000000"/>
                <w:sz w:val="16"/>
                <w:szCs w:val="16"/>
              </w:rPr>
            </w:pPr>
            <w:r>
              <w:rPr>
                <w:rFonts w:ascii="Arial" w:hAnsi="Arial" w:cs="Arial"/>
                <w:color w:val="000000"/>
                <w:sz w:val="16"/>
                <w:szCs w:val="16"/>
              </w:rPr>
              <w:t xml:space="preserve">                        1,600 </w:t>
            </w:r>
          </w:p>
        </w:tc>
        <w:tc>
          <w:tcPr>
            <w:tcW w:w="487" w:type="pct"/>
            <w:tcBorders>
              <w:top w:val="nil"/>
              <w:left w:val="nil"/>
              <w:bottom w:val="nil"/>
              <w:right w:val="nil"/>
            </w:tcBorders>
            <w:vAlign w:val="center"/>
          </w:tcPr>
          <w:p w14:paraId="1C064046" w14:textId="4E3D4C17" w:rsidR="00365D13" w:rsidRDefault="00C06B9A" w:rsidP="186F5814">
            <w:pPr>
              <w:pStyle w:val="TableTextLeft"/>
              <w:jc w:val="right"/>
              <w:rPr>
                <w:rFonts w:cs="Arial"/>
                <w:szCs w:val="16"/>
              </w:rPr>
            </w:pPr>
            <w:r>
              <w:rPr>
                <w:rFonts w:cs="Arial"/>
                <w:szCs w:val="16"/>
              </w:rPr>
              <w:t>7.2</w:t>
            </w:r>
          </w:p>
        </w:tc>
        <w:tc>
          <w:tcPr>
            <w:tcW w:w="487" w:type="pct"/>
            <w:tcBorders>
              <w:top w:val="nil"/>
              <w:left w:val="nil"/>
              <w:bottom w:val="nil"/>
              <w:right w:val="nil"/>
            </w:tcBorders>
            <w:vAlign w:val="center"/>
          </w:tcPr>
          <w:p w14:paraId="36DC84C3" w14:textId="44DD386D" w:rsidR="00365D13" w:rsidRDefault="00C06B9A" w:rsidP="186F5814">
            <w:pPr>
              <w:pStyle w:val="TableTextLeft"/>
              <w:jc w:val="right"/>
              <w:rPr>
                <w:rFonts w:cs="Arial"/>
                <w:szCs w:val="16"/>
              </w:rPr>
            </w:pPr>
            <w:r>
              <w:rPr>
                <w:rFonts w:cs="Arial"/>
                <w:szCs w:val="16"/>
              </w:rPr>
              <w:t>4.4</w:t>
            </w:r>
          </w:p>
        </w:tc>
      </w:tr>
      <w:tr w:rsidR="00505E73" w:rsidRPr="00273AA1" w14:paraId="688EA7A3" w14:textId="77777777" w:rsidTr="001C380C">
        <w:trPr>
          <w:cantSplit/>
          <w:trHeight w:val="232"/>
        </w:trPr>
        <w:tc>
          <w:tcPr>
            <w:tcW w:w="435" w:type="pct"/>
            <w:tcBorders>
              <w:top w:val="nil"/>
              <w:left w:val="nil"/>
              <w:bottom w:val="nil"/>
              <w:right w:val="nil"/>
            </w:tcBorders>
            <w:shd w:val="clear" w:color="auto" w:fill="auto"/>
            <w:noWrap/>
            <w:vAlign w:val="center"/>
          </w:tcPr>
          <w:p w14:paraId="5C36418D" w14:textId="4A3C0793" w:rsidR="0093090B"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87DAD58" w14:textId="79DFCC5C" w:rsidR="0093090B" w:rsidRPr="002A0EFC" w:rsidRDefault="00C373FE" w:rsidP="186F5814">
            <w:pPr>
              <w:pStyle w:val="TableTextLeft"/>
            </w:pPr>
            <w:r>
              <w:rPr>
                <w:rFonts w:cs="Arial"/>
                <w:szCs w:val="16"/>
              </w:rPr>
              <w:t>A18</w:t>
            </w:r>
          </w:p>
        </w:tc>
        <w:tc>
          <w:tcPr>
            <w:tcW w:w="2274" w:type="pct"/>
            <w:tcBorders>
              <w:top w:val="nil"/>
              <w:left w:val="nil"/>
              <w:bottom w:val="nil"/>
              <w:right w:val="nil"/>
            </w:tcBorders>
            <w:shd w:val="clear" w:color="auto" w:fill="auto"/>
            <w:vAlign w:val="center"/>
          </w:tcPr>
          <w:p w14:paraId="786FCAC1" w14:textId="0BA18188" w:rsidR="0093090B" w:rsidRPr="002A0EFC" w:rsidRDefault="00C373FE" w:rsidP="186F5814">
            <w:pPr>
              <w:pStyle w:val="TableTextLeft"/>
            </w:pPr>
            <w:r>
              <w:rPr>
                <w:rFonts w:cs="Arial"/>
                <w:szCs w:val="16"/>
              </w:rPr>
              <w:t>Exemption of the Private Health Insurance Rebate</w:t>
            </w:r>
          </w:p>
        </w:tc>
        <w:tc>
          <w:tcPr>
            <w:tcW w:w="454" w:type="pct"/>
            <w:tcBorders>
              <w:top w:val="nil"/>
              <w:left w:val="nil"/>
              <w:bottom w:val="nil"/>
              <w:right w:val="nil"/>
            </w:tcBorders>
            <w:vAlign w:val="center"/>
          </w:tcPr>
          <w:p w14:paraId="73C23A62" w14:textId="105EC1F5" w:rsidR="0093090B" w:rsidRPr="002A0EFC" w:rsidRDefault="0093090B" w:rsidP="186F5814">
            <w:pPr>
              <w:pStyle w:val="TableTextLeft"/>
            </w:pPr>
          </w:p>
        </w:tc>
        <w:tc>
          <w:tcPr>
            <w:tcW w:w="634" w:type="pct"/>
            <w:tcBorders>
              <w:top w:val="nil"/>
              <w:left w:val="nil"/>
              <w:bottom w:val="nil"/>
              <w:right w:val="nil"/>
            </w:tcBorders>
            <w:shd w:val="clear" w:color="auto" w:fill="auto"/>
            <w:noWrap/>
            <w:vAlign w:val="center"/>
          </w:tcPr>
          <w:p w14:paraId="7D46AD92" w14:textId="7C6CDA50" w:rsidR="0093090B" w:rsidRPr="002A0EFC" w:rsidRDefault="008942FA" w:rsidP="186F5814">
            <w:pPr>
              <w:pStyle w:val="TableTextLeft"/>
              <w:jc w:val="right"/>
            </w:pPr>
            <w:r>
              <w:rPr>
                <w:rFonts w:cs="Arial"/>
                <w:szCs w:val="16"/>
              </w:rPr>
              <w:t xml:space="preserve">                        1,600 </w:t>
            </w:r>
          </w:p>
        </w:tc>
        <w:tc>
          <w:tcPr>
            <w:tcW w:w="487" w:type="pct"/>
            <w:tcBorders>
              <w:top w:val="nil"/>
              <w:left w:val="nil"/>
              <w:bottom w:val="nil"/>
              <w:right w:val="nil"/>
            </w:tcBorders>
            <w:vAlign w:val="center"/>
          </w:tcPr>
          <w:p w14:paraId="1B7DB081" w14:textId="5CD478DE" w:rsidR="0093090B" w:rsidRPr="002A0EFC" w:rsidRDefault="00C373FE" w:rsidP="186F5814">
            <w:pPr>
              <w:pStyle w:val="TableTextLeft"/>
              <w:jc w:val="right"/>
            </w:pPr>
            <w:r>
              <w:rPr>
                <w:rFonts w:cs="Arial"/>
                <w:szCs w:val="16"/>
              </w:rPr>
              <w:t>0.0</w:t>
            </w:r>
          </w:p>
        </w:tc>
        <w:tc>
          <w:tcPr>
            <w:tcW w:w="487" w:type="pct"/>
            <w:tcBorders>
              <w:top w:val="nil"/>
              <w:left w:val="nil"/>
              <w:bottom w:val="nil"/>
              <w:right w:val="nil"/>
            </w:tcBorders>
            <w:vAlign w:val="center"/>
          </w:tcPr>
          <w:p w14:paraId="3FE8FF15" w14:textId="1A1DB254" w:rsidR="0093090B" w:rsidRPr="002A0EFC" w:rsidRDefault="00C373FE" w:rsidP="186F5814">
            <w:pPr>
              <w:pStyle w:val="TableTextLeft"/>
              <w:jc w:val="right"/>
            </w:pPr>
            <w:r>
              <w:rPr>
                <w:rFonts w:cs="Arial"/>
                <w:szCs w:val="16"/>
              </w:rPr>
              <w:t>2.3</w:t>
            </w:r>
          </w:p>
        </w:tc>
      </w:tr>
      <w:tr w:rsidR="00505E73" w:rsidRPr="00273AA1" w14:paraId="2E73A1CB" w14:textId="77777777" w:rsidTr="001C380C">
        <w:trPr>
          <w:cantSplit/>
          <w:trHeight w:val="232"/>
        </w:trPr>
        <w:tc>
          <w:tcPr>
            <w:tcW w:w="435" w:type="pct"/>
            <w:tcBorders>
              <w:top w:val="nil"/>
              <w:left w:val="nil"/>
              <w:bottom w:val="nil"/>
              <w:right w:val="nil"/>
            </w:tcBorders>
            <w:shd w:val="clear" w:color="auto" w:fill="auto"/>
            <w:noWrap/>
            <w:vAlign w:val="center"/>
          </w:tcPr>
          <w:p w14:paraId="5BF44918" w14:textId="6FF8E8AF" w:rsidR="00FF5643" w:rsidRPr="002A0EFC" w:rsidRDefault="00C373FE" w:rsidP="186F5814">
            <w:pPr>
              <w:pStyle w:val="TableTextLeft"/>
            </w:pPr>
            <w:bookmarkStart w:id="28" w:name="_Hlk183072328"/>
            <w:r>
              <w:rPr>
                <w:rFonts w:cs="Arial"/>
                <w:szCs w:val="16"/>
              </w:rPr>
              <w:t>GST</w:t>
            </w:r>
          </w:p>
        </w:tc>
        <w:tc>
          <w:tcPr>
            <w:tcW w:w="230" w:type="pct"/>
            <w:tcBorders>
              <w:top w:val="nil"/>
              <w:left w:val="nil"/>
              <w:bottom w:val="nil"/>
              <w:right w:val="nil"/>
            </w:tcBorders>
            <w:shd w:val="clear" w:color="auto" w:fill="auto"/>
            <w:noWrap/>
            <w:vAlign w:val="center"/>
          </w:tcPr>
          <w:p w14:paraId="45A500A0" w14:textId="0F491E6E" w:rsidR="00FF5643" w:rsidRPr="002A0EFC" w:rsidRDefault="00C373FE" w:rsidP="186F5814">
            <w:pPr>
              <w:pStyle w:val="TableTextLeft"/>
            </w:pPr>
            <w:r>
              <w:rPr>
                <w:rFonts w:cs="Arial"/>
                <w:szCs w:val="16"/>
              </w:rPr>
              <w:t>H18</w:t>
            </w:r>
          </w:p>
        </w:tc>
        <w:tc>
          <w:tcPr>
            <w:tcW w:w="2274" w:type="pct"/>
            <w:tcBorders>
              <w:top w:val="nil"/>
              <w:left w:val="nil"/>
              <w:bottom w:val="nil"/>
              <w:right w:val="nil"/>
            </w:tcBorders>
            <w:shd w:val="clear" w:color="auto" w:fill="auto"/>
            <w:vAlign w:val="center"/>
          </w:tcPr>
          <w:p w14:paraId="6615CAF8" w14:textId="2A28B9DE" w:rsidR="00FF5643" w:rsidRPr="002A0EFC" w:rsidRDefault="00C373FE" w:rsidP="186F5814">
            <w:pPr>
              <w:pStyle w:val="TableTextLeft"/>
            </w:pPr>
            <w:r>
              <w:rPr>
                <w:rFonts w:cs="Arial"/>
                <w:szCs w:val="16"/>
              </w:rPr>
              <w:t>Health – residential care, community care and other care services</w:t>
            </w:r>
          </w:p>
        </w:tc>
        <w:tc>
          <w:tcPr>
            <w:tcW w:w="454" w:type="pct"/>
            <w:tcBorders>
              <w:top w:val="nil"/>
              <w:left w:val="nil"/>
              <w:bottom w:val="nil"/>
              <w:right w:val="nil"/>
            </w:tcBorders>
            <w:vAlign w:val="center"/>
          </w:tcPr>
          <w:p w14:paraId="6D188BEB"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61BCB1ED" w14:textId="00176250" w:rsidR="00FF5643" w:rsidRPr="002A0EFC" w:rsidRDefault="008942FA" w:rsidP="186F5814">
            <w:pPr>
              <w:pStyle w:val="TableTextLeft"/>
              <w:jc w:val="right"/>
            </w:pPr>
            <w:r>
              <w:rPr>
                <w:rFonts w:cs="Arial"/>
                <w:szCs w:val="16"/>
              </w:rPr>
              <w:t xml:space="preserve">                        1,600 </w:t>
            </w:r>
          </w:p>
        </w:tc>
        <w:tc>
          <w:tcPr>
            <w:tcW w:w="487" w:type="pct"/>
            <w:tcBorders>
              <w:top w:val="nil"/>
              <w:left w:val="nil"/>
              <w:bottom w:val="nil"/>
              <w:right w:val="nil"/>
            </w:tcBorders>
            <w:vAlign w:val="center"/>
          </w:tcPr>
          <w:p w14:paraId="1F02BF2B" w14:textId="0EC77AA4" w:rsidR="00FF5643" w:rsidRPr="002A0EFC" w:rsidRDefault="00C373FE" w:rsidP="186F5814">
            <w:pPr>
              <w:pStyle w:val="TableTextLeft"/>
              <w:jc w:val="right"/>
            </w:pPr>
            <w:r>
              <w:rPr>
                <w:rFonts w:cs="Arial"/>
                <w:szCs w:val="16"/>
              </w:rPr>
              <w:t>4.1</w:t>
            </w:r>
          </w:p>
        </w:tc>
        <w:tc>
          <w:tcPr>
            <w:tcW w:w="487" w:type="pct"/>
            <w:tcBorders>
              <w:top w:val="nil"/>
              <w:left w:val="nil"/>
              <w:bottom w:val="nil"/>
              <w:right w:val="nil"/>
            </w:tcBorders>
            <w:vAlign w:val="center"/>
          </w:tcPr>
          <w:p w14:paraId="476CA7F1" w14:textId="65A681D3" w:rsidR="00FF5643" w:rsidRPr="002A0EFC" w:rsidRDefault="00C373FE" w:rsidP="186F5814">
            <w:pPr>
              <w:pStyle w:val="TableTextLeft"/>
              <w:jc w:val="right"/>
            </w:pPr>
            <w:r>
              <w:rPr>
                <w:rFonts w:cs="Arial"/>
                <w:szCs w:val="16"/>
              </w:rPr>
              <w:t>6.6</w:t>
            </w:r>
          </w:p>
        </w:tc>
      </w:tr>
      <w:bookmarkEnd w:id="28"/>
      <w:tr w:rsidR="00505E73" w:rsidRPr="00273AA1" w14:paraId="4A120FB3" w14:textId="77777777" w:rsidTr="001C380C">
        <w:trPr>
          <w:cantSplit/>
          <w:trHeight w:val="232"/>
        </w:trPr>
        <w:tc>
          <w:tcPr>
            <w:tcW w:w="435" w:type="pct"/>
            <w:tcBorders>
              <w:top w:val="nil"/>
              <w:left w:val="nil"/>
              <w:bottom w:val="nil"/>
              <w:right w:val="nil"/>
            </w:tcBorders>
            <w:shd w:val="clear" w:color="auto" w:fill="auto"/>
            <w:noWrap/>
            <w:vAlign w:val="center"/>
          </w:tcPr>
          <w:p w14:paraId="6894A099" w14:textId="142025A2"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8E1F5F5" w14:textId="18C7C077" w:rsidR="00FF5643" w:rsidRPr="002A0EFC" w:rsidRDefault="00C373FE" w:rsidP="186F5814">
            <w:pPr>
              <w:pStyle w:val="TableTextLeft"/>
            </w:pPr>
            <w:r>
              <w:rPr>
                <w:rFonts w:cs="Arial"/>
                <w:szCs w:val="16"/>
              </w:rPr>
              <w:t>A57</w:t>
            </w:r>
          </w:p>
        </w:tc>
        <w:tc>
          <w:tcPr>
            <w:tcW w:w="2274" w:type="pct"/>
            <w:tcBorders>
              <w:top w:val="nil"/>
              <w:left w:val="nil"/>
              <w:bottom w:val="nil"/>
              <w:right w:val="nil"/>
            </w:tcBorders>
            <w:shd w:val="clear" w:color="auto" w:fill="auto"/>
            <w:vAlign w:val="center"/>
          </w:tcPr>
          <w:p w14:paraId="7FA592D0" w14:textId="2D553EC9" w:rsidR="00FF5643" w:rsidRPr="002A0EFC" w:rsidRDefault="00C373FE" w:rsidP="186F5814">
            <w:pPr>
              <w:pStyle w:val="TableTextLeft"/>
            </w:pPr>
            <w:r>
              <w:rPr>
                <w:rFonts w:cs="Arial"/>
                <w:szCs w:val="16"/>
              </w:rPr>
              <w:t>Philanthropy – deduction for gifts to deductible gift recipients</w:t>
            </w:r>
          </w:p>
        </w:tc>
        <w:tc>
          <w:tcPr>
            <w:tcW w:w="454" w:type="pct"/>
            <w:tcBorders>
              <w:top w:val="nil"/>
              <w:left w:val="nil"/>
              <w:bottom w:val="nil"/>
              <w:right w:val="nil"/>
            </w:tcBorders>
            <w:vAlign w:val="center"/>
          </w:tcPr>
          <w:p w14:paraId="0DFE3B76" w14:textId="227E98E8" w:rsidR="00FF5643" w:rsidRPr="002A0EFC" w:rsidRDefault="00C373FE"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6D3BE81E" w14:textId="7ED7074B" w:rsidR="00FF5643" w:rsidRPr="002A0EFC" w:rsidRDefault="008942FA" w:rsidP="186F5814">
            <w:pPr>
              <w:pStyle w:val="TableTextLeft"/>
              <w:jc w:val="right"/>
            </w:pPr>
            <w:r>
              <w:rPr>
                <w:rFonts w:cs="Arial"/>
                <w:szCs w:val="16"/>
              </w:rPr>
              <w:t xml:space="preserve">                        1,515 </w:t>
            </w:r>
          </w:p>
        </w:tc>
        <w:tc>
          <w:tcPr>
            <w:tcW w:w="487" w:type="pct"/>
            <w:tcBorders>
              <w:top w:val="nil"/>
              <w:left w:val="nil"/>
              <w:bottom w:val="nil"/>
              <w:right w:val="nil"/>
            </w:tcBorders>
            <w:vAlign w:val="center"/>
          </w:tcPr>
          <w:p w14:paraId="2E44C754" w14:textId="1D5E257D" w:rsidR="00FF5643" w:rsidRPr="002A0EFC" w:rsidRDefault="00C373FE" w:rsidP="186F5814">
            <w:pPr>
              <w:pStyle w:val="TableTextLeft"/>
              <w:jc w:val="right"/>
            </w:pPr>
            <w:r>
              <w:rPr>
                <w:rFonts w:cs="Arial"/>
                <w:szCs w:val="16"/>
              </w:rPr>
              <w:t>35.6</w:t>
            </w:r>
          </w:p>
        </w:tc>
        <w:tc>
          <w:tcPr>
            <w:tcW w:w="487" w:type="pct"/>
            <w:tcBorders>
              <w:top w:val="nil"/>
              <w:left w:val="nil"/>
              <w:bottom w:val="nil"/>
              <w:right w:val="nil"/>
            </w:tcBorders>
            <w:vAlign w:val="center"/>
          </w:tcPr>
          <w:p w14:paraId="1F9FA1E2" w14:textId="500C40E1" w:rsidR="00FF5643" w:rsidRPr="002A0EFC" w:rsidRDefault="00C373FE" w:rsidP="186F5814">
            <w:pPr>
              <w:pStyle w:val="TableTextLeft"/>
              <w:jc w:val="right"/>
            </w:pPr>
            <w:r>
              <w:rPr>
                <w:rFonts w:cs="Arial"/>
                <w:szCs w:val="16"/>
              </w:rPr>
              <w:t>-21.6</w:t>
            </w:r>
          </w:p>
        </w:tc>
      </w:tr>
      <w:tr w:rsidR="00505E73" w:rsidRPr="00273AA1" w14:paraId="13E485B8" w14:textId="77777777" w:rsidTr="001C380C">
        <w:trPr>
          <w:cantSplit/>
          <w:trHeight w:val="232"/>
        </w:trPr>
        <w:tc>
          <w:tcPr>
            <w:tcW w:w="435" w:type="pct"/>
            <w:tcBorders>
              <w:top w:val="nil"/>
              <w:left w:val="nil"/>
              <w:bottom w:val="nil"/>
              <w:right w:val="nil"/>
            </w:tcBorders>
            <w:shd w:val="clear" w:color="auto" w:fill="auto"/>
            <w:noWrap/>
            <w:vAlign w:val="center"/>
          </w:tcPr>
          <w:p w14:paraId="59F4FC45" w14:textId="0AF03B3E"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67EC227" w14:textId="2B33A9F6" w:rsidR="00FF5643" w:rsidRPr="002A0EFC" w:rsidRDefault="00054711" w:rsidP="186F5814">
            <w:pPr>
              <w:pStyle w:val="TableTextLeft"/>
            </w:pPr>
            <w:r>
              <w:rPr>
                <w:rFonts w:cs="Arial"/>
                <w:szCs w:val="16"/>
              </w:rPr>
              <w:t>B83</w:t>
            </w:r>
          </w:p>
        </w:tc>
        <w:tc>
          <w:tcPr>
            <w:tcW w:w="2274" w:type="pct"/>
            <w:tcBorders>
              <w:top w:val="nil"/>
              <w:left w:val="nil"/>
              <w:bottom w:val="nil"/>
              <w:right w:val="nil"/>
            </w:tcBorders>
            <w:shd w:val="clear" w:color="auto" w:fill="auto"/>
            <w:vAlign w:val="center"/>
          </w:tcPr>
          <w:p w14:paraId="67EB18E6" w14:textId="02865BBC" w:rsidR="00FF5643" w:rsidRPr="002A0EFC" w:rsidRDefault="00C373FE" w:rsidP="186F5814">
            <w:pPr>
              <w:pStyle w:val="TableTextLeft"/>
            </w:pPr>
            <w:r>
              <w:rPr>
                <w:rFonts w:cs="Arial"/>
                <w:szCs w:val="16"/>
              </w:rPr>
              <w:t>Capital works expenditure deduction</w:t>
            </w:r>
          </w:p>
        </w:tc>
        <w:tc>
          <w:tcPr>
            <w:tcW w:w="454" w:type="pct"/>
            <w:tcBorders>
              <w:top w:val="nil"/>
              <w:left w:val="nil"/>
              <w:bottom w:val="nil"/>
              <w:right w:val="nil"/>
            </w:tcBorders>
            <w:vAlign w:val="center"/>
          </w:tcPr>
          <w:p w14:paraId="41271B60"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14521A54" w14:textId="19A20C70" w:rsidR="00FF5643" w:rsidRPr="002A0EFC" w:rsidRDefault="008942FA" w:rsidP="186F5814">
            <w:pPr>
              <w:pStyle w:val="TableTextLeft"/>
              <w:jc w:val="right"/>
            </w:pPr>
            <w:r>
              <w:rPr>
                <w:rFonts w:cs="Arial"/>
                <w:szCs w:val="16"/>
              </w:rPr>
              <w:t xml:space="preserve">                        1,430 </w:t>
            </w:r>
          </w:p>
        </w:tc>
        <w:tc>
          <w:tcPr>
            <w:tcW w:w="487" w:type="pct"/>
            <w:tcBorders>
              <w:top w:val="nil"/>
              <w:left w:val="nil"/>
              <w:bottom w:val="nil"/>
              <w:right w:val="nil"/>
            </w:tcBorders>
            <w:vAlign w:val="center"/>
          </w:tcPr>
          <w:p w14:paraId="2CC8C3EF" w14:textId="0D84C6B5" w:rsidR="00FF5643" w:rsidRPr="002A0EFC" w:rsidRDefault="00C373FE" w:rsidP="186F5814">
            <w:pPr>
              <w:pStyle w:val="TableTextLeft"/>
              <w:jc w:val="right"/>
            </w:pPr>
            <w:r>
              <w:rPr>
                <w:rFonts w:cs="Arial"/>
                <w:szCs w:val="16"/>
              </w:rPr>
              <w:t>3.4</w:t>
            </w:r>
          </w:p>
        </w:tc>
        <w:tc>
          <w:tcPr>
            <w:tcW w:w="487" w:type="pct"/>
            <w:tcBorders>
              <w:top w:val="nil"/>
              <w:left w:val="nil"/>
              <w:bottom w:val="nil"/>
              <w:right w:val="nil"/>
            </w:tcBorders>
            <w:vAlign w:val="center"/>
          </w:tcPr>
          <w:p w14:paraId="2D11833D" w14:textId="4049BABA" w:rsidR="00FF5643" w:rsidRPr="002A0EFC" w:rsidRDefault="00FF5643" w:rsidP="186F5814">
            <w:pPr>
              <w:pStyle w:val="TableTextLeft"/>
              <w:jc w:val="right"/>
            </w:pPr>
            <w:r>
              <w:rPr>
                <w:rFonts w:cs="Arial"/>
                <w:szCs w:val="16"/>
              </w:rPr>
              <w:t>3</w:t>
            </w:r>
            <w:r w:rsidR="00C373FE">
              <w:rPr>
                <w:rFonts w:cs="Arial"/>
                <w:szCs w:val="16"/>
              </w:rPr>
              <w:t>.6</w:t>
            </w:r>
          </w:p>
        </w:tc>
      </w:tr>
      <w:tr w:rsidR="00505E73" w:rsidRPr="00273AA1" w14:paraId="659E32F2" w14:textId="77777777" w:rsidTr="001C380C">
        <w:trPr>
          <w:cantSplit/>
          <w:trHeight w:val="232"/>
        </w:trPr>
        <w:tc>
          <w:tcPr>
            <w:tcW w:w="435" w:type="pct"/>
            <w:tcBorders>
              <w:top w:val="nil"/>
              <w:left w:val="nil"/>
              <w:bottom w:val="nil"/>
              <w:right w:val="nil"/>
            </w:tcBorders>
            <w:shd w:val="clear" w:color="auto" w:fill="auto"/>
            <w:noWrap/>
            <w:vAlign w:val="center"/>
          </w:tcPr>
          <w:p w14:paraId="1B34318F" w14:textId="2FE6AB99" w:rsidR="00C839A1"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3C5DEF53" w14:textId="41722C65" w:rsidR="00C839A1" w:rsidRPr="002A0EFC" w:rsidRDefault="00C373FE" w:rsidP="186F5814">
            <w:pPr>
              <w:pStyle w:val="TableTextLeft"/>
            </w:pPr>
            <w:r>
              <w:rPr>
                <w:rFonts w:cs="Arial"/>
                <w:szCs w:val="16"/>
              </w:rPr>
              <w:t>A40</w:t>
            </w:r>
          </w:p>
        </w:tc>
        <w:tc>
          <w:tcPr>
            <w:tcW w:w="2274" w:type="pct"/>
            <w:tcBorders>
              <w:top w:val="nil"/>
              <w:left w:val="nil"/>
              <w:bottom w:val="nil"/>
              <w:right w:val="nil"/>
            </w:tcBorders>
            <w:shd w:val="clear" w:color="auto" w:fill="auto"/>
            <w:vAlign w:val="center"/>
          </w:tcPr>
          <w:p w14:paraId="7AB31BB7" w14:textId="19D7AD7B" w:rsidR="00C839A1" w:rsidRPr="002A0EFC" w:rsidRDefault="00C373FE" w:rsidP="186F5814">
            <w:pPr>
              <w:pStyle w:val="TableTextLeft"/>
            </w:pPr>
            <w:r>
              <w:rPr>
                <w:rFonts w:cs="Arial"/>
                <w:szCs w:val="16"/>
              </w:rPr>
              <w:t>Exemptions of certain veterans’ pensions, allowances or benefits, compensation, and particular World War II-related payments for persecution</w:t>
            </w:r>
          </w:p>
        </w:tc>
        <w:tc>
          <w:tcPr>
            <w:tcW w:w="454" w:type="pct"/>
            <w:tcBorders>
              <w:top w:val="nil"/>
              <w:left w:val="nil"/>
              <w:bottom w:val="nil"/>
              <w:right w:val="nil"/>
            </w:tcBorders>
            <w:vAlign w:val="center"/>
          </w:tcPr>
          <w:p w14:paraId="443B3025" w14:textId="55CA659A" w:rsidR="00C839A1" w:rsidRPr="002A0EFC" w:rsidRDefault="00C839A1" w:rsidP="186F5814">
            <w:pPr>
              <w:pStyle w:val="TableTextLeft"/>
            </w:pPr>
          </w:p>
        </w:tc>
        <w:tc>
          <w:tcPr>
            <w:tcW w:w="634" w:type="pct"/>
            <w:tcBorders>
              <w:top w:val="nil"/>
              <w:left w:val="nil"/>
              <w:bottom w:val="nil"/>
              <w:right w:val="nil"/>
            </w:tcBorders>
            <w:shd w:val="clear" w:color="auto" w:fill="auto"/>
            <w:noWrap/>
            <w:vAlign w:val="center"/>
          </w:tcPr>
          <w:p w14:paraId="2DB2CE3D" w14:textId="2FBA0052" w:rsidR="00C839A1" w:rsidRPr="002A0EFC" w:rsidRDefault="008942FA" w:rsidP="186F5814">
            <w:pPr>
              <w:pStyle w:val="TableTextLeft"/>
              <w:jc w:val="right"/>
            </w:pPr>
            <w:r>
              <w:rPr>
                <w:rFonts w:cs="Arial"/>
                <w:szCs w:val="16"/>
              </w:rPr>
              <w:t xml:space="preserve">                        1,380 </w:t>
            </w:r>
          </w:p>
        </w:tc>
        <w:tc>
          <w:tcPr>
            <w:tcW w:w="487" w:type="pct"/>
            <w:tcBorders>
              <w:top w:val="nil"/>
              <w:left w:val="nil"/>
              <w:bottom w:val="nil"/>
              <w:right w:val="nil"/>
            </w:tcBorders>
            <w:vAlign w:val="center"/>
          </w:tcPr>
          <w:p w14:paraId="3F9EC8FC" w14:textId="79CD7CCC" w:rsidR="00C839A1" w:rsidRPr="002A0EFC" w:rsidRDefault="00C373FE" w:rsidP="186F5814">
            <w:pPr>
              <w:pStyle w:val="TableTextLeft"/>
              <w:jc w:val="right"/>
            </w:pPr>
            <w:r>
              <w:rPr>
                <w:rFonts w:cs="Arial"/>
                <w:szCs w:val="16"/>
              </w:rPr>
              <w:t>20.2</w:t>
            </w:r>
          </w:p>
        </w:tc>
        <w:tc>
          <w:tcPr>
            <w:tcW w:w="487" w:type="pct"/>
            <w:tcBorders>
              <w:top w:val="nil"/>
              <w:left w:val="nil"/>
              <w:bottom w:val="nil"/>
              <w:right w:val="nil"/>
            </w:tcBorders>
            <w:vAlign w:val="center"/>
          </w:tcPr>
          <w:p w14:paraId="499148AF" w14:textId="4C3ED79A" w:rsidR="00C839A1" w:rsidRPr="002A0EFC" w:rsidRDefault="00C373FE" w:rsidP="186F5814">
            <w:pPr>
              <w:pStyle w:val="TableTextLeft"/>
              <w:jc w:val="right"/>
            </w:pPr>
            <w:r>
              <w:rPr>
                <w:rFonts w:cs="Arial"/>
                <w:szCs w:val="16"/>
              </w:rPr>
              <w:t>-</w:t>
            </w:r>
            <w:r w:rsidR="0056089C">
              <w:rPr>
                <w:rFonts w:cs="Arial"/>
                <w:szCs w:val="16"/>
              </w:rPr>
              <w:t>0.</w:t>
            </w:r>
            <w:r>
              <w:rPr>
                <w:rFonts w:cs="Arial"/>
                <w:szCs w:val="16"/>
              </w:rPr>
              <w:t>9</w:t>
            </w:r>
          </w:p>
        </w:tc>
      </w:tr>
      <w:tr w:rsidR="00505E73" w:rsidRPr="00273AA1" w14:paraId="18334F8C" w14:textId="77777777" w:rsidTr="001C380C">
        <w:trPr>
          <w:cantSplit/>
          <w:trHeight w:val="232"/>
        </w:trPr>
        <w:tc>
          <w:tcPr>
            <w:tcW w:w="435" w:type="pct"/>
            <w:tcBorders>
              <w:top w:val="nil"/>
              <w:left w:val="nil"/>
              <w:bottom w:val="nil"/>
              <w:right w:val="nil"/>
            </w:tcBorders>
            <w:shd w:val="clear" w:color="auto" w:fill="auto"/>
            <w:noWrap/>
            <w:vAlign w:val="center"/>
          </w:tcPr>
          <w:p w14:paraId="6F8806FF" w14:textId="753612AF" w:rsidR="00FF5643" w:rsidRPr="002A0EFC" w:rsidRDefault="00FF5643" w:rsidP="186F5814">
            <w:pPr>
              <w:pStyle w:val="TableTextLeft"/>
            </w:pPr>
            <w:r>
              <w:rPr>
                <w:rFonts w:cs="Arial"/>
                <w:szCs w:val="16"/>
              </w:rPr>
              <w:t>GST</w:t>
            </w:r>
          </w:p>
        </w:tc>
        <w:tc>
          <w:tcPr>
            <w:tcW w:w="230" w:type="pct"/>
            <w:tcBorders>
              <w:top w:val="nil"/>
              <w:left w:val="nil"/>
              <w:bottom w:val="nil"/>
              <w:right w:val="nil"/>
            </w:tcBorders>
            <w:shd w:val="clear" w:color="auto" w:fill="auto"/>
            <w:noWrap/>
            <w:vAlign w:val="center"/>
          </w:tcPr>
          <w:p w14:paraId="50816404" w14:textId="293476C6" w:rsidR="00FF5643" w:rsidRPr="002A0EFC" w:rsidRDefault="00C373FE" w:rsidP="186F5814">
            <w:pPr>
              <w:pStyle w:val="TableTextLeft"/>
            </w:pPr>
            <w:r>
              <w:rPr>
                <w:rFonts w:cs="Arial"/>
                <w:szCs w:val="16"/>
              </w:rPr>
              <w:t>H6</w:t>
            </w:r>
          </w:p>
        </w:tc>
        <w:tc>
          <w:tcPr>
            <w:tcW w:w="2274" w:type="pct"/>
            <w:tcBorders>
              <w:top w:val="nil"/>
              <w:left w:val="nil"/>
              <w:bottom w:val="nil"/>
              <w:right w:val="nil"/>
            </w:tcBorders>
            <w:shd w:val="clear" w:color="auto" w:fill="auto"/>
            <w:vAlign w:val="center"/>
          </w:tcPr>
          <w:p w14:paraId="0EE6BF34" w14:textId="63652AE4" w:rsidR="00FF5643" w:rsidRPr="002A0EFC" w:rsidRDefault="00C373FE" w:rsidP="186F5814">
            <w:pPr>
              <w:pStyle w:val="TableTextLeft"/>
            </w:pPr>
            <w:r>
              <w:rPr>
                <w:rFonts w:cs="Arial"/>
                <w:szCs w:val="16"/>
              </w:rPr>
              <w:t>Water, sewerage and drainage</w:t>
            </w:r>
          </w:p>
        </w:tc>
        <w:tc>
          <w:tcPr>
            <w:tcW w:w="454" w:type="pct"/>
            <w:tcBorders>
              <w:top w:val="nil"/>
              <w:left w:val="nil"/>
              <w:bottom w:val="nil"/>
              <w:right w:val="nil"/>
            </w:tcBorders>
            <w:vAlign w:val="center"/>
          </w:tcPr>
          <w:p w14:paraId="4541E7E3"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C69B993" w14:textId="0862275B" w:rsidR="00FF5643" w:rsidRPr="002A0EFC" w:rsidRDefault="008942FA" w:rsidP="186F5814">
            <w:pPr>
              <w:pStyle w:val="TableTextLeft"/>
              <w:jc w:val="right"/>
            </w:pPr>
            <w:r>
              <w:rPr>
                <w:rFonts w:cs="Arial"/>
                <w:szCs w:val="16"/>
              </w:rPr>
              <w:t xml:space="preserve">                        1,320 </w:t>
            </w:r>
          </w:p>
        </w:tc>
        <w:tc>
          <w:tcPr>
            <w:tcW w:w="487" w:type="pct"/>
            <w:tcBorders>
              <w:top w:val="nil"/>
              <w:left w:val="nil"/>
              <w:bottom w:val="nil"/>
              <w:right w:val="nil"/>
            </w:tcBorders>
            <w:vAlign w:val="center"/>
          </w:tcPr>
          <w:p w14:paraId="4F00E22A" w14:textId="7F836B42" w:rsidR="00FF5643" w:rsidRPr="002A0EFC" w:rsidRDefault="00C373FE" w:rsidP="186F5814">
            <w:pPr>
              <w:pStyle w:val="TableTextLeft"/>
              <w:jc w:val="right"/>
            </w:pPr>
            <w:r>
              <w:rPr>
                <w:rFonts w:cs="Arial"/>
                <w:szCs w:val="16"/>
              </w:rPr>
              <w:t>5</w:t>
            </w:r>
            <w:r w:rsidR="00FF5643">
              <w:rPr>
                <w:rFonts w:cs="Arial"/>
                <w:szCs w:val="16"/>
              </w:rPr>
              <w:t>.2</w:t>
            </w:r>
          </w:p>
        </w:tc>
        <w:tc>
          <w:tcPr>
            <w:tcW w:w="487" w:type="pct"/>
            <w:tcBorders>
              <w:top w:val="nil"/>
              <w:left w:val="nil"/>
              <w:bottom w:val="nil"/>
              <w:right w:val="nil"/>
            </w:tcBorders>
            <w:vAlign w:val="center"/>
          </w:tcPr>
          <w:p w14:paraId="6FF15413" w14:textId="530B5AA1" w:rsidR="00FF5643" w:rsidRPr="002A0EFC" w:rsidRDefault="00C373FE" w:rsidP="186F5814">
            <w:pPr>
              <w:pStyle w:val="TableTextLeft"/>
              <w:jc w:val="right"/>
            </w:pPr>
            <w:r>
              <w:rPr>
                <w:rFonts w:cs="Arial"/>
                <w:szCs w:val="16"/>
              </w:rPr>
              <w:t>3.</w:t>
            </w:r>
            <w:r w:rsidR="00FF5643">
              <w:rPr>
                <w:rFonts w:cs="Arial"/>
                <w:szCs w:val="16"/>
              </w:rPr>
              <w:t>5</w:t>
            </w:r>
          </w:p>
        </w:tc>
      </w:tr>
      <w:tr w:rsidR="00505E73" w:rsidRPr="00273AA1" w14:paraId="371D77A9" w14:textId="77777777" w:rsidTr="001C380C">
        <w:trPr>
          <w:cantSplit/>
          <w:trHeight w:val="232"/>
        </w:trPr>
        <w:tc>
          <w:tcPr>
            <w:tcW w:w="435" w:type="pct"/>
            <w:tcBorders>
              <w:top w:val="nil"/>
              <w:left w:val="nil"/>
              <w:bottom w:val="nil"/>
              <w:right w:val="nil"/>
            </w:tcBorders>
            <w:shd w:val="clear" w:color="auto" w:fill="auto"/>
            <w:noWrap/>
            <w:vAlign w:val="center"/>
          </w:tcPr>
          <w:p w14:paraId="681A3DE2" w14:textId="326148C6" w:rsidR="00FF5643" w:rsidRPr="002A0EFC" w:rsidRDefault="00C373FE" w:rsidP="186F5814">
            <w:pPr>
              <w:pStyle w:val="TableTextLeft"/>
            </w:pPr>
            <w:r>
              <w:rPr>
                <w:rFonts w:cs="Arial"/>
                <w:szCs w:val="16"/>
              </w:rPr>
              <w:t>CGT</w:t>
            </w:r>
          </w:p>
        </w:tc>
        <w:tc>
          <w:tcPr>
            <w:tcW w:w="230" w:type="pct"/>
            <w:tcBorders>
              <w:top w:val="nil"/>
              <w:left w:val="nil"/>
              <w:bottom w:val="nil"/>
              <w:right w:val="nil"/>
            </w:tcBorders>
            <w:shd w:val="clear" w:color="auto" w:fill="auto"/>
            <w:noWrap/>
            <w:vAlign w:val="center"/>
          </w:tcPr>
          <w:p w14:paraId="51C4EF8D" w14:textId="5D6663F8" w:rsidR="00FF5643" w:rsidRPr="002A0EFC" w:rsidRDefault="00C373FE" w:rsidP="186F5814">
            <w:pPr>
              <w:pStyle w:val="TableTextLeft"/>
            </w:pPr>
            <w:r>
              <w:rPr>
                <w:rFonts w:cs="Arial"/>
                <w:szCs w:val="16"/>
              </w:rPr>
              <w:t>E32</w:t>
            </w:r>
          </w:p>
        </w:tc>
        <w:tc>
          <w:tcPr>
            <w:tcW w:w="2274" w:type="pct"/>
            <w:tcBorders>
              <w:top w:val="nil"/>
              <w:left w:val="nil"/>
              <w:bottom w:val="nil"/>
              <w:right w:val="nil"/>
            </w:tcBorders>
            <w:shd w:val="clear" w:color="auto" w:fill="auto"/>
            <w:vAlign w:val="center"/>
          </w:tcPr>
          <w:p w14:paraId="0B26D602" w14:textId="32093758" w:rsidR="00FF5643" w:rsidRPr="002A0EFC" w:rsidRDefault="00C373FE" w:rsidP="186F5814">
            <w:pPr>
              <w:pStyle w:val="TableTextLeft"/>
            </w:pPr>
            <w:r>
              <w:rPr>
                <w:rFonts w:cs="Arial"/>
                <w:szCs w:val="16"/>
              </w:rPr>
              <w:t>Small business 50 per cent reduction</w:t>
            </w:r>
          </w:p>
        </w:tc>
        <w:tc>
          <w:tcPr>
            <w:tcW w:w="454" w:type="pct"/>
            <w:tcBorders>
              <w:top w:val="nil"/>
              <w:left w:val="nil"/>
              <w:bottom w:val="nil"/>
              <w:right w:val="nil"/>
            </w:tcBorders>
            <w:vAlign w:val="center"/>
          </w:tcPr>
          <w:p w14:paraId="6BECBFC6"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7485FFD8" w14:textId="6D13F5CE" w:rsidR="00FF5643" w:rsidRPr="002A0EFC" w:rsidRDefault="008942FA" w:rsidP="186F5814">
            <w:pPr>
              <w:pStyle w:val="TableTextLeft"/>
              <w:jc w:val="right"/>
            </w:pPr>
            <w:r>
              <w:rPr>
                <w:rFonts w:cs="Arial"/>
                <w:szCs w:val="16"/>
              </w:rPr>
              <w:t xml:space="preserve">                        1,310 </w:t>
            </w:r>
          </w:p>
        </w:tc>
        <w:tc>
          <w:tcPr>
            <w:tcW w:w="487" w:type="pct"/>
            <w:tcBorders>
              <w:top w:val="nil"/>
              <w:left w:val="nil"/>
              <w:bottom w:val="nil"/>
              <w:right w:val="nil"/>
            </w:tcBorders>
            <w:vAlign w:val="center"/>
          </w:tcPr>
          <w:p w14:paraId="53B4F77B" w14:textId="26A50867" w:rsidR="00FF5643" w:rsidRPr="002A0EFC" w:rsidRDefault="00C373FE" w:rsidP="186F5814">
            <w:pPr>
              <w:pStyle w:val="TableTextLeft"/>
              <w:jc w:val="right"/>
            </w:pPr>
            <w:r>
              <w:rPr>
                <w:rFonts w:cs="Arial"/>
                <w:szCs w:val="16"/>
              </w:rPr>
              <w:t>16.4</w:t>
            </w:r>
          </w:p>
        </w:tc>
        <w:tc>
          <w:tcPr>
            <w:tcW w:w="487" w:type="pct"/>
            <w:tcBorders>
              <w:top w:val="nil"/>
              <w:left w:val="nil"/>
              <w:bottom w:val="nil"/>
              <w:right w:val="nil"/>
            </w:tcBorders>
            <w:vAlign w:val="center"/>
          </w:tcPr>
          <w:p w14:paraId="608706D1" w14:textId="499B1198" w:rsidR="00FF5643" w:rsidRPr="002A0EFC" w:rsidRDefault="00C373FE" w:rsidP="186F5814">
            <w:pPr>
              <w:pStyle w:val="TableTextLeft"/>
              <w:jc w:val="right"/>
            </w:pPr>
            <w:r>
              <w:rPr>
                <w:rFonts w:cs="Arial"/>
                <w:szCs w:val="16"/>
              </w:rPr>
              <w:t>-4.</w:t>
            </w:r>
            <w:r w:rsidR="00FF5643">
              <w:rPr>
                <w:rFonts w:cs="Arial"/>
                <w:szCs w:val="16"/>
              </w:rPr>
              <w:t>2</w:t>
            </w:r>
          </w:p>
        </w:tc>
      </w:tr>
      <w:tr w:rsidR="00505E73" w:rsidRPr="00273AA1" w14:paraId="48C332BA" w14:textId="77777777" w:rsidTr="001C380C">
        <w:trPr>
          <w:cantSplit/>
          <w:trHeight w:val="232"/>
        </w:trPr>
        <w:tc>
          <w:tcPr>
            <w:tcW w:w="435" w:type="pct"/>
            <w:tcBorders>
              <w:top w:val="nil"/>
              <w:left w:val="nil"/>
              <w:bottom w:val="nil"/>
              <w:right w:val="nil"/>
            </w:tcBorders>
            <w:shd w:val="clear" w:color="auto" w:fill="auto"/>
            <w:noWrap/>
            <w:vAlign w:val="center"/>
          </w:tcPr>
          <w:p w14:paraId="1DD6AF01" w14:textId="361A0849" w:rsidR="00FF5643" w:rsidRPr="002A0EFC" w:rsidRDefault="00FF5643"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50047934" w14:textId="24D12812" w:rsidR="00FF5643" w:rsidRPr="002A0EFC" w:rsidRDefault="00C373FE" w:rsidP="186F5814">
            <w:pPr>
              <w:pStyle w:val="TableTextLeft"/>
            </w:pPr>
            <w:r>
              <w:rPr>
                <w:rFonts w:cs="Arial"/>
                <w:szCs w:val="16"/>
              </w:rPr>
              <w:t>B12</w:t>
            </w:r>
          </w:p>
        </w:tc>
        <w:tc>
          <w:tcPr>
            <w:tcW w:w="2274" w:type="pct"/>
            <w:tcBorders>
              <w:top w:val="nil"/>
              <w:left w:val="nil"/>
              <w:bottom w:val="nil"/>
              <w:right w:val="nil"/>
            </w:tcBorders>
            <w:shd w:val="clear" w:color="auto" w:fill="auto"/>
            <w:vAlign w:val="center"/>
          </w:tcPr>
          <w:p w14:paraId="56AA9070" w14:textId="662D62BB" w:rsidR="00FF5643" w:rsidRPr="002A0EFC" w:rsidRDefault="00C373FE" w:rsidP="186F5814">
            <w:pPr>
              <w:pStyle w:val="TableTextLeft"/>
            </w:pPr>
            <w:r>
              <w:rPr>
                <w:rFonts w:cs="Arial"/>
                <w:szCs w:val="16"/>
              </w:rPr>
              <w:t>Exemption of inbound non-portfolio distributions from income tax</w:t>
            </w:r>
          </w:p>
        </w:tc>
        <w:tc>
          <w:tcPr>
            <w:tcW w:w="454" w:type="pct"/>
            <w:tcBorders>
              <w:top w:val="nil"/>
              <w:left w:val="nil"/>
              <w:bottom w:val="nil"/>
              <w:right w:val="nil"/>
            </w:tcBorders>
            <w:vAlign w:val="center"/>
          </w:tcPr>
          <w:p w14:paraId="6873FCA4"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44B00541" w14:textId="6760A154" w:rsidR="00FF5643" w:rsidRPr="002A0EFC" w:rsidRDefault="008942FA" w:rsidP="186F5814">
            <w:pPr>
              <w:pStyle w:val="TableTextLeft"/>
              <w:jc w:val="right"/>
            </w:pPr>
            <w:r>
              <w:rPr>
                <w:rFonts w:cs="Arial"/>
                <w:szCs w:val="16"/>
              </w:rPr>
              <w:t xml:space="preserve">                        1,120 </w:t>
            </w:r>
          </w:p>
        </w:tc>
        <w:tc>
          <w:tcPr>
            <w:tcW w:w="487" w:type="pct"/>
            <w:tcBorders>
              <w:top w:val="nil"/>
              <w:left w:val="nil"/>
              <w:bottom w:val="nil"/>
              <w:right w:val="nil"/>
            </w:tcBorders>
            <w:vAlign w:val="center"/>
          </w:tcPr>
          <w:p w14:paraId="2FC67B1C" w14:textId="5B0F8997" w:rsidR="00FF5643" w:rsidRPr="002A0EFC" w:rsidRDefault="00C373FE" w:rsidP="186F5814">
            <w:pPr>
              <w:pStyle w:val="TableTextLeft"/>
              <w:jc w:val="right"/>
            </w:pPr>
            <w:r>
              <w:rPr>
                <w:rFonts w:cs="Arial"/>
                <w:szCs w:val="16"/>
              </w:rPr>
              <w:t>5.</w:t>
            </w:r>
            <w:r w:rsidR="00FF5643">
              <w:rPr>
                <w:rFonts w:cs="Arial"/>
                <w:szCs w:val="16"/>
              </w:rPr>
              <w:t>1</w:t>
            </w:r>
          </w:p>
        </w:tc>
        <w:tc>
          <w:tcPr>
            <w:tcW w:w="487" w:type="pct"/>
            <w:tcBorders>
              <w:top w:val="nil"/>
              <w:left w:val="nil"/>
              <w:bottom w:val="nil"/>
              <w:right w:val="nil"/>
            </w:tcBorders>
            <w:vAlign w:val="center"/>
          </w:tcPr>
          <w:p w14:paraId="6C6DBB9C" w14:textId="6CA90854" w:rsidR="00FF5643" w:rsidRPr="002A0EFC" w:rsidRDefault="00C373FE" w:rsidP="186F5814">
            <w:pPr>
              <w:pStyle w:val="TableTextLeft"/>
              <w:jc w:val="right"/>
            </w:pPr>
            <w:r>
              <w:rPr>
                <w:rFonts w:cs="Arial"/>
                <w:szCs w:val="16"/>
              </w:rPr>
              <w:t>-0.7</w:t>
            </w:r>
          </w:p>
        </w:tc>
      </w:tr>
      <w:tr w:rsidR="00505E73" w:rsidRPr="00273AA1" w14:paraId="73349232" w14:textId="77777777" w:rsidTr="001C380C">
        <w:trPr>
          <w:cantSplit/>
          <w:trHeight w:val="232"/>
        </w:trPr>
        <w:tc>
          <w:tcPr>
            <w:tcW w:w="435" w:type="pct"/>
            <w:tcBorders>
              <w:top w:val="nil"/>
              <w:left w:val="nil"/>
              <w:bottom w:val="nil"/>
              <w:right w:val="nil"/>
            </w:tcBorders>
            <w:shd w:val="clear" w:color="auto" w:fill="auto"/>
            <w:noWrap/>
            <w:vAlign w:val="center"/>
          </w:tcPr>
          <w:p w14:paraId="76FE4C5A" w14:textId="50660C79" w:rsidR="00FF5643" w:rsidRPr="002A0EFC" w:rsidRDefault="00FF5643"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14C4154E" w14:textId="7B78C9F5" w:rsidR="00FF5643" w:rsidRPr="002A0EFC" w:rsidRDefault="00C373FE" w:rsidP="186F5814">
            <w:pPr>
              <w:pStyle w:val="TableTextLeft"/>
            </w:pPr>
            <w:r>
              <w:rPr>
                <w:rFonts w:cs="Arial"/>
                <w:szCs w:val="16"/>
              </w:rPr>
              <w:t>B5</w:t>
            </w:r>
          </w:p>
        </w:tc>
        <w:tc>
          <w:tcPr>
            <w:tcW w:w="2274" w:type="pct"/>
            <w:tcBorders>
              <w:top w:val="nil"/>
              <w:left w:val="nil"/>
              <w:bottom w:val="nil"/>
              <w:right w:val="nil"/>
            </w:tcBorders>
            <w:shd w:val="clear" w:color="auto" w:fill="auto"/>
            <w:vAlign w:val="center"/>
          </w:tcPr>
          <w:p w14:paraId="41720782" w14:textId="70C8A32C" w:rsidR="00FF5643" w:rsidRPr="002A0EFC" w:rsidRDefault="00C373FE" w:rsidP="186F5814">
            <w:pPr>
              <w:pStyle w:val="TableTextLeft"/>
            </w:pPr>
            <w:r>
              <w:rPr>
                <w:rFonts w:cs="Arial"/>
                <w:szCs w:val="16"/>
              </w:rPr>
              <w:t>Reduced withholding tax under international tax treaties</w:t>
            </w:r>
          </w:p>
        </w:tc>
        <w:tc>
          <w:tcPr>
            <w:tcW w:w="454" w:type="pct"/>
            <w:tcBorders>
              <w:top w:val="nil"/>
              <w:left w:val="nil"/>
              <w:bottom w:val="nil"/>
              <w:right w:val="nil"/>
            </w:tcBorders>
            <w:vAlign w:val="center"/>
          </w:tcPr>
          <w:p w14:paraId="4E96EC94"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EFEC841" w14:textId="2436DB0C" w:rsidR="00FF5643" w:rsidRPr="002A0EFC" w:rsidRDefault="008942FA" w:rsidP="186F5814">
            <w:pPr>
              <w:pStyle w:val="TableTextLeft"/>
              <w:jc w:val="right"/>
            </w:pPr>
            <w:r>
              <w:rPr>
                <w:rFonts w:cs="Arial"/>
                <w:szCs w:val="16"/>
              </w:rPr>
              <w:t xml:space="preserve">                        1,080 </w:t>
            </w:r>
          </w:p>
        </w:tc>
        <w:tc>
          <w:tcPr>
            <w:tcW w:w="487" w:type="pct"/>
            <w:tcBorders>
              <w:top w:val="nil"/>
              <w:left w:val="nil"/>
              <w:bottom w:val="nil"/>
              <w:right w:val="nil"/>
            </w:tcBorders>
            <w:vAlign w:val="center"/>
          </w:tcPr>
          <w:p w14:paraId="5F551AF6" w14:textId="6BEC03D0" w:rsidR="00FF5643" w:rsidRPr="002A0EFC" w:rsidRDefault="00C373FE" w:rsidP="186F5814">
            <w:pPr>
              <w:pStyle w:val="TableTextLeft"/>
              <w:jc w:val="right"/>
            </w:pPr>
            <w:r>
              <w:rPr>
                <w:rFonts w:cs="Arial"/>
                <w:szCs w:val="16"/>
              </w:rPr>
              <w:t>15.4</w:t>
            </w:r>
          </w:p>
        </w:tc>
        <w:tc>
          <w:tcPr>
            <w:tcW w:w="487" w:type="pct"/>
            <w:tcBorders>
              <w:top w:val="nil"/>
              <w:left w:val="nil"/>
              <w:bottom w:val="nil"/>
              <w:right w:val="nil"/>
            </w:tcBorders>
            <w:vAlign w:val="center"/>
          </w:tcPr>
          <w:p w14:paraId="5EF835CB" w14:textId="406507A4" w:rsidR="00FF5643" w:rsidRPr="002A0EFC" w:rsidRDefault="00C373FE" w:rsidP="186F5814">
            <w:pPr>
              <w:pStyle w:val="TableTextLeft"/>
              <w:jc w:val="right"/>
            </w:pPr>
            <w:r>
              <w:rPr>
                <w:rFonts w:cs="Arial"/>
                <w:szCs w:val="16"/>
              </w:rPr>
              <w:t>8.6</w:t>
            </w:r>
          </w:p>
        </w:tc>
      </w:tr>
      <w:tr w:rsidR="00505E73" w:rsidRPr="00273AA1" w14:paraId="28D46754" w14:textId="77777777" w:rsidTr="001C380C">
        <w:trPr>
          <w:cantSplit/>
          <w:trHeight w:val="232"/>
        </w:trPr>
        <w:tc>
          <w:tcPr>
            <w:tcW w:w="435" w:type="pct"/>
            <w:tcBorders>
              <w:top w:val="nil"/>
              <w:left w:val="nil"/>
              <w:bottom w:val="nil"/>
              <w:right w:val="nil"/>
            </w:tcBorders>
            <w:shd w:val="clear" w:color="auto" w:fill="auto"/>
            <w:noWrap/>
            <w:vAlign w:val="center"/>
          </w:tcPr>
          <w:p w14:paraId="121613D1" w14:textId="661E7E7F"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7402F889" w14:textId="66181CFD" w:rsidR="00FF5643" w:rsidRPr="002A0EFC" w:rsidRDefault="00C373FE" w:rsidP="186F5814">
            <w:pPr>
              <w:pStyle w:val="TableTextLeft"/>
            </w:pPr>
            <w:r>
              <w:rPr>
                <w:rFonts w:cs="Arial"/>
                <w:szCs w:val="16"/>
              </w:rPr>
              <w:t>A32</w:t>
            </w:r>
          </w:p>
        </w:tc>
        <w:tc>
          <w:tcPr>
            <w:tcW w:w="2274" w:type="pct"/>
            <w:tcBorders>
              <w:top w:val="nil"/>
              <w:left w:val="nil"/>
              <w:bottom w:val="nil"/>
              <w:right w:val="nil"/>
            </w:tcBorders>
            <w:shd w:val="clear" w:color="auto" w:fill="auto"/>
            <w:vAlign w:val="center"/>
          </w:tcPr>
          <w:p w14:paraId="3105A824" w14:textId="60DB56C3" w:rsidR="00FF5643" w:rsidRPr="002A0EFC" w:rsidRDefault="00C373FE" w:rsidP="186F5814">
            <w:pPr>
              <w:pStyle w:val="TableTextLeft"/>
            </w:pPr>
            <w:r>
              <w:rPr>
                <w:rFonts w:cs="Arial"/>
                <w:szCs w:val="16"/>
              </w:rPr>
              <w:t>Seniors and pensioners tax offset</w:t>
            </w:r>
          </w:p>
        </w:tc>
        <w:tc>
          <w:tcPr>
            <w:tcW w:w="454" w:type="pct"/>
            <w:tcBorders>
              <w:top w:val="nil"/>
              <w:left w:val="nil"/>
              <w:bottom w:val="nil"/>
              <w:right w:val="nil"/>
            </w:tcBorders>
            <w:vAlign w:val="center"/>
          </w:tcPr>
          <w:p w14:paraId="41103708" w14:textId="609B892B" w:rsidR="00FF5643" w:rsidRPr="002A0EFC" w:rsidRDefault="00FF5643"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261C1276" w14:textId="376EA389" w:rsidR="00FF5643" w:rsidRPr="002A0EFC" w:rsidRDefault="008942FA" w:rsidP="186F5814">
            <w:pPr>
              <w:pStyle w:val="TableTextLeft"/>
              <w:jc w:val="right"/>
            </w:pPr>
            <w:r>
              <w:rPr>
                <w:rFonts w:cs="Arial"/>
                <w:szCs w:val="16"/>
              </w:rPr>
              <w:t xml:space="preserve">                        1,050 </w:t>
            </w:r>
          </w:p>
        </w:tc>
        <w:tc>
          <w:tcPr>
            <w:tcW w:w="487" w:type="pct"/>
            <w:tcBorders>
              <w:top w:val="nil"/>
              <w:left w:val="nil"/>
              <w:bottom w:val="nil"/>
              <w:right w:val="nil"/>
            </w:tcBorders>
            <w:vAlign w:val="center"/>
          </w:tcPr>
          <w:p w14:paraId="1DFD0991" w14:textId="399AC478" w:rsidR="00FF5643" w:rsidRPr="002A0EFC" w:rsidRDefault="00C373FE" w:rsidP="186F5814">
            <w:pPr>
              <w:pStyle w:val="TableTextLeft"/>
              <w:jc w:val="right"/>
            </w:pPr>
            <w:r>
              <w:rPr>
                <w:rFonts w:cs="Arial"/>
                <w:szCs w:val="16"/>
              </w:rPr>
              <w:t>25.</w:t>
            </w:r>
            <w:r w:rsidR="00FF5643">
              <w:rPr>
                <w:rFonts w:cs="Arial"/>
                <w:szCs w:val="16"/>
              </w:rPr>
              <w:t>7</w:t>
            </w:r>
          </w:p>
        </w:tc>
        <w:tc>
          <w:tcPr>
            <w:tcW w:w="487" w:type="pct"/>
            <w:tcBorders>
              <w:top w:val="nil"/>
              <w:left w:val="nil"/>
              <w:bottom w:val="nil"/>
              <w:right w:val="nil"/>
            </w:tcBorders>
            <w:vAlign w:val="center"/>
          </w:tcPr>
          <w:p w14:paraId="0F64CB35" w14:textId="405ACDB0" w:rsidR="00FF5643" w:rsidRPr="002A0EFC" w:rsidRDefault="00C373FE" w:rsidP="186F5814">
            <w:pPr>
              <w:pStyle w:val="TableTextLeft"/>
              <w:jc w:val="right"/>
            </w:pPr>
            <w:r>
              <w:rPr>
                <w:rFonts w:cs="Arial"/>
                <w:szCs w:val="16"/>
              </w:rPr>
              <w:t>-5.4</w:t>
            </w:r>
          </w:p>
        </w:tc>
      </w:tr>
      <w:tr w:rsidR="00505E73" w:rsidRPr="00273AA1" w14:paraId="1FB8EDF6" w14:textId="77777777" w:rsidTr="001C380C">
        <w:trPr>
          <w:cantSplit/>
          <w:trHeight w:val="232"/>
        </w:trPr>
        <w:tc>
          <w:tcPr>
            <w:tcW w:w="435" w:type="pct"/>
            <w:tcBorders>
              <w:top w:val="nil"/>
              <w:left w:val="nil"/>
              <w:bottom w:val="nil"/>
              <w:right w:val="nil"/>
            </w:tcBorders>
            <w:shd w:val="clear" w:color="auto" w:fill="auto"/>
            <w:noWrap/>
            <w:vAlign w:val="center"/>
          </w:tcPr>
          <w:p w14:paraId="148AD256" w14:textId="4F870DCA" w:rsidR="00FF5643" w:rsidRPr="002A0EFC" w:rsidRDefault="00C373FE" w:rsidP="186F5814">
            <w:pPr>
              <w:pStyle w:val="TableTextLeft"/>
            </w:pPr>
            <w:r>
              <w:rPr>
                <w:rFonts w:cs="Arial"/>
                <w:szCs w:val="16"/>
              </w:rPr>
              <w:t>FBT</w:t>
            </w:r>
          </w:p>
        </w:tc>
        <w:tc>
          <w:tcPr>
            <w:tcW w:w="230" w:type="pct"/>
            <w:tcBorders>
              <w:top w:val="nil"/>
              <w:left w:val="nil"/>
              <w:bottom w:val="nil"/>
              <w:right w:val="nil"/>
            </w:tcBorders>
            <w:shd w:val="clear" w:color="auto" w:fill="auto"/>
            <w:noWrap/>
            <w:vAlign w:val="center"/>
          </w:tcPr>
          <w:p w14:paraId="2CB3F9D2" w14:textId="39A28CE1" w:rsidR="00FF5643" w:rsidRPr="002A0EFC" w:rsidRDefault="00C373FE" w:rsidP="186F5814">
            <w:pPr>
              <w:pStyle w:val="TableTextLeft"/>
            </w:pPr>
            <w:r>
              <w:rPr>
                <w:rFonts w:cs="Arial"/>
                <w:szCs w:val="16"/>
              </w:rPr>
              <w:t>D21</w:t>
            </w:r>
          </w:p>
        </w:tc>
        <w:tc>
          <w:tcPr>
            <w:tcW w:w="2274" w:type="pct"/>
            <w:tcBorders>
              <w:top w:val="nil"/>
              <w:left w:val="nil"/>
              <w:bottom w:val="nil"/>
              <w:right w:val="nil"/>
            </w:tcBorders>
            <w:shd w:val="clear" w:color="auto" w:fill="auto"/>
            <w:vAlign w:val="center"/>
          </w:tcPr>
          <w:p w14:paraId="0F83B932" w14:textId="192B287A" w:rsidR="00FF5643" w:rsidRPr="002A0EFC" w:rsidRDefault="00C373FE" w:rsidP="186F5814">
            <w:pPr>
              <w:pStyle w:val="TableTextLeft"/>
            </w:pPr>
            <w:r>
              <w:rPr>
                <w:rFonts w:cs="Arial"/>
                <w:szCs w:val="16"/>
              </w:rPr>
              <w:t>Application of statutory formula to value car benefits</w:t>
            </w:r>
          </w:p>
        </w:tc>
        <w:tc>
          <w:tcPr>
            <w:tcW w:w="454" w:type="pct"/>
            <w:tcBorders>
              <w:top w:val="nil"/>
              <w:left w:val="nil"/>
              <w:bottom w:val="nil"/>
              <w:right w:val="nil"/>
            </w:tcBorders>
            <w:vAlign w:val="center"/>
          </w:tcPr>
          <w:p w14:paraId="4B6466B7"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65C5531E" w14:textId="07DF265A" w:rsidR="00FF5643" w:rsidRPr="002A0EFC" w:rsidRDefault="008942FA" w:rsidP="186F5814">
            <w:pPr>
              <w:pStyle w:val="TableTextLeft"/>
              <w:jc w:val="right"/>
            </w:pPr>
            <w:r>
              <w:rPr>
                <w:rFonts w:cs="Arial"/>
                <w:szCs w:val="16"/>
              </w:rPr>
              <w:t xml:space="preserve">                        1,050 </w:t>
            </w:r>
          </w:p>
        </w:tc>
        <w:tc>
          <w:tcPr>
            <w:tcW w:w="487" w:type="pct"/>
            <w:tcBorders>
              <w:top w:val="nil"/>
              <w:left w:val="nil"/>
              <w:bottom w:val="nil"/>
              <w:right w:val="nil"/>
            </w:tcBorders>
            <w:vAlign w:val="center"/>
          </w:tcPr>
          <w:p w14:paraId="5E12A187" w14:textId="1E10AEA0" w:rsidR="00FF5643" w:rsidRPr="002A0EFC" w:rsidRDefault="007E29A5" w:rsidP="186F5814">
            <w:pPr>
              <w:pStyle w:val="TableTextLeft"/>
              <w:jc w:val="right"/>
            </w:pPr>
            <w:r>
              <w:rPr>
                <w:rFonts w:cs="Arial"/>
                <w:szCs w:val="16"/>
              </w:rPr>
              <w:t>28.0</w:t>
            </w:r>
          </w:p>
        </w:tc>
        <w:tc>
          <w:tcPr>
            <w:tcW w:w="487" w:type="pct"/>
            <w:tcBorders>
              <w:top w:val="nil"/>
              <w:left w:val="nil"/>
              <w:bottom w:val="nil"/>
              <w:right w:val="nil"/>
            </w:tcBorders>
            <w:vAlign w:val="center"/>
          </w:tcPr>
          <w:p w14:paraId="0BCBAD02" w14:textId="27711415" w:rsidR="00FF5643" w:rsidRPr="002A0EFC" w:rsidRDefault="007E29A5" w:rsidP="186F5814">
            <w:pPr>
              <w:pStyle w:val="TableTextLeft"/>
              <w:jc w:val="right"/>
            </w:pPr>
            <w:r>
              <w:rPr>
                <w:rFonts w:cs="Arial"/>
                <w:szCs w:val="16"/>
              </w:rPr>
              <w:t>-2.0</w:t>
            </w:r>
          </w:p>
        </w:tc>
      </w:tr>
      <w:tr w:rsidR="00505E73" w:rsidRPr="00273AA1" w14:paraId="4021402D" w14:textId="77777777" w:rsidTr="001C380C">
        <w:trPr>
          <w:cantSplit/>
          <w:trHeight w:val="232"/>
        </w:trPr>
        <w:tc>
          <w:tcPr>
            <w:tcW w:w="435" w:type="pct"/>
            <w:tcBorders>
              <w:top w:val="nil"/>
              <w:left w:val="nil"/>
              <w:bottom w:val="nil"/>
              <w:right w:val="nil"/>
            </w:tcBorders>
            <w:shd w:val="clear" w:color="auto" w:fill="auto"/>
            <w:noWrap/>
            <w:vAlign w:val="center"/>
          </w:tcPr>
          <w:p w14:paraId="52F9C943" w14:textId="2EBFB67E" w:rsidR="00FF5643" w:rsidRPr="002A0EFC" w:rsidRDefault="00C373FE"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53AAE462" w14:textId="330F10AF" w:rsidR="00FF5643" w:rsidRPr="002A0EFC" w:rsidRDefault="00C373FE" w:rsidP="186F5814">
            <w:pPr>
              <w:pStyle w:val="TableTextLeft"/>
            </w:pPr>
            <w:r>
              <w:rPr>
                <w:rFonts w:cs="Arial"/>
                <w:szCs w:val="16"/>
              </w:rPr>
              <w:t>C12</w:t>
            </w:r>
          </w:p>
        </w:tc>
        <w:tc>
          <w:tcPr>
            <w:tcW w:w="2274" w:type="pct"/>
            <w:tcBorders>
              <w:top w:val="nil"/>
              <w:left w:val="nil"/>
              <w:bottom w:val="nil"/>
              <w:right w:val="nil"/>
            </w:tcBorders>
            <w:shd w:val="clear" w:color="auto" w:fill="auto"/>
            <w:vAlign w:val="center"/>
          </w:tcPr>
          <w:p w14:paraId="5E0863A8" w14:textId="67A7EF00" w:rsidR="00FF5643" w:rsidRPr="002A0EFC" w:rsidRDefault="00C373FE" w:rsidP="186F5814">
            <w:pPr>
              <w:pStyle w:val="TableTextLeft"/>
            </w:pPr>
            <w:r>
              <w:rPr>
                <w:rFonts w:cs="Arial"/>
                <w:szCs w:val="16"/>
              </w:rPr>
              <w:t>Exemption for small business assets held for more than 15 years</w:t>
            </w:r>
          </w:p>
        </w:tc>
        <w:tc>
          <w:tcPr>
            <w:tcW w:w="454" w:type="pct"/>
            <w:tcBorders>
              <w:top w:val="nil"/>
              <w:left w:val="nil"/>
              <w:bottom w:val="nil"/>
              <w:right w:val="nil"/>
            </w:tcBorders>
            <w:vAlign w:val="center"/>
          </w:tcPr>
          <w:p w14:paraId="02E41EFE"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0485AC87" w14:textId="0AA2B482" w:rsidR="00FF5643" w:rsidRPr="002A0EFC" w:rsidRDefault="008942FA" w:rsidP="186F5814">
            <w:pPr>
              <w:pStyle w:val="TableTextLeft"/>
              <w:jc w:val="right"/>
            </w:pPr>
            <w:r>
              <w:rPr>
                <w:rFonts w:cs="Arial"/>
                <w:szCs w:val="16"/>
              </w:rPr>
              <w:t xml:space="preserve">                        1,020 </w:t>
            </w:r>
          </w:p>
        </w:tc>
        <w:tc>
          <w:tcPr>
            <w:tcW w:w="487" w:type="pct"/>
            <w:tcBorders>
              <w:top w:val="nil"/>
              <w:left w:val="nil"/>
              <w:bottom w:val="nil"/>
              <w:right w:val="nil"/>
            </w:tcBorders>
            <w:vAlign w:val="center"/>
          </w:tcPr>
          <w:p w14:paraId="173857A4" w14:textId="01A8F10F" w:rsidR="00FF5643" w:rsidRPr="002A0EFC" w:rsidRDefault="007E29A5" w:rsidP="186F5814">
            <w:pPr>
              <w:pStyle w:val="TableTextLeft"/>
              <w:jc w:val="right"/>
            </w:pPr>
            <w:r>
              <w:rPr>
                <w:rFonts w:cs="Arial"/>
                <w:szCs w:val="16"/>
              </w:rPr>
              <w:t>33.1</w:t>
            </w:r>
          </w:p>
        </w:tc>
        <w:tc>
          <w:tcPr>
            <w:tcW w:w="487" w:type="pct"/>
            <w:tcBorders>
              <w:top w:val="nil"/>
              <w:left w:val="nil"/>
              <w:bottom w:val="nil"/>
              <w:right w:val="nil"/>
            </w:tcBorders>
            <w:vAlign w:val="center"/>
          </w:tcPr>
          <w:p w14:paraId="6786F992" w14:textId="7C256F66" w:rsidR="00FF5643" w:rsidRPr="002A0EFC" w:rsidRDefault="008942FA" w:rsidP="186F5814">
            <w:pPr>
              <w:pStyle w:val="TableTextLeft"/>
              <w:jc w:val="right"/>
            </w:pPr>
            <w:r>
              <w:rPr>
                <w:rFonts w:cs="Arial"/>
                <w:szCs w:val="16"/>
              </w:rPr>
              <w:t>-</w:t>
            </w:r>
            <w:r w:rsidR="007E29A5">
              <w:rPr>
                <w:rFonts w:cs="Arial"/>
                <w:szCs w:val="16"/>
              </w:rPr>
              <w:t>6.2</w:t>
            </w:r>
          </w:p>
        </w:tc>
      </w:tr>
      <w:tr w:rsidR="00505E73" w:rsidRPr="00273AA1" w14:paraId="67982A7F" w14:textId="77777777" w:rsidTr="001C380C">
        <w:trPr>
          <w:cantSplit/>
          <w:trHeight w:val="232"/>
        </w:trPr>
        <w:tc>
          <w:tcPr>
            <w:tcW w:w="435" w:type="pct"/>
            <w:tcBorders>
              <w:top w:val="nil"/>
              <w:left w:val="nil"/>
              <w:bottom w:val="nil"/>
              <w:right w:val="nil"/>
            </w:tcBorders>
            <w:shd w:val="clear" w:color="auto" w:fill="auto"/>
            <w:noWrap/>
            <w:vAlign w:val="center"/>
          </w:tcPr>
          <w:p w14:paraId="61FF8C6F" w14:textId="1508DC09"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3BB6AAC" w14:textId="39F90BB4" w:rsidR="00FF5643" w:rsidRPr="002A0EFC" w:rsidRDefault="00054711" w:rsidP="186F5814">
            <w:pPr>
              <w:pStyle w:val="TableTextLeft"/>
            </w:pPr>
            <w:r>
              <w:rPr>
                <w:rFonts w:cs="Arial"/>
                <w:szCs w:val="16"/>
              </w:rPr>
              <w:t>B71</w:t>
            </w:r>
          </w:p>
        </w:tc>
        <w:tc>
          <w:tcPr>
            <w:tcW w:w="2274" w:type="pct"/>
            <w:tcBorders>
              <w:top w:val="nil"/>
              <w:left w:val="nil"/>
              <w:bottom w:val="nil"/>
              <w:right w:val="nil"/>
            </w:tcBorders>
            <w:shd w:val="clear" w:color="auto" w:fill="auto"/>
            <w:vAlign w:val="center"/>
          </w:tcPr>
          <w:p w14:paraId="67F814FC" w14:textId="76406D5B" w:rsidR="00FF5643" w:rsidRPr="002A0EFC" w:rsidRDefault="00C373FE" w:rsidP="186F5814">
            <w:pPr>
              <w:pStyle w:val="TableTextLeft"/>
            </w:pPr>
            <w:r>
              <w:rPr>
                <w:rFonts w:cs="Arial"/>
                <w:szCs w:val="16"/>
              </w:rPr>
              <w:t>Unincorporated small business tax discount</w:t>
            </w:r>
          </w:p>
        </w:tc>
        <w:tc>
          <w:tcPr>
            <w:tcW w:w="454" w:type="pct"/>
            <w:tcBorders>
              <w:top w:val="nil"/>
              <w:left w:val="nil"/>
              <w:bottom w:val="nil"/>
              <w:right w:val="nil"/>
            </w:tcBorders>
            <w:vAlign w:val="center"/>
          </w:tcPr>
          <w:p w14:paraId="3349F2D8" w14:textId="22D6D5BE" w:rsidR="00FF5643" w:rsidRPr="002A0EFC" w:rsidRDefault="00C373FE" w:rsidP="186F5814">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36F62681" w14:textId="7A2BAF65" w:rsidR="00FF5643" w:rsidRPr="002A0EFC" w:rsidRDefault="008942FA" w:rsidP="186F5814">
            <w:pPr>
              <w:pStyle w:val="TableTextLeft"/>
              <w:jc w:val="right"/>
            </w:pPr>
            <w:r>
              <w:rPr>
                <w:rFonts w:cs="Arial"/>
                <w:szCs w:val="16"/>
              </w:rPr>
              <w:t xml:space="preserve">                           850 </w:t>
            </w:r>
          </w:p>
        </w:tc>
        <w:tc>
          <w:tcPr>
            <w:tcW w:w="487" w:type="pct"/>
            <w:tcBorders>
              <w:top w:val="nil"/>
              <w:left w:val="nil"/>
              <w:bottom w:val="nil"/>
              <w:right w:val="nil"/>
            </w:tcBorders>
            <w:vAlign w:val="center"/>
          </w:tcPr>
          <w:p w14:paraId="1C2FFB22" w14:textId="609F3098" w:rsidR="00FF5643" w:rsidRPr="002A0EFC" w:rsidRDefault="00C373FE" w:rsidP="186F5814">
            <w:pPr>
              <w:pStyle w:val="TableTextLeft"/>
              <w:jc w:val="right"/>
            </w:pPr>
            <w:r>
              <w:rPr>
                <w:rFonts w:cs="Arial"/>
                <w:szCs w:val="16"/>
              </w:rPr>
              <w:t>19.2</w:t>
            </w:r>
          </w:p>
        </w:tc>
        <w:tc>
          <w:tcPr>
            <w:tcW w:w="487" w:type="pct"/>
            <w:tcBorders>
              <w:top w:val="nil"/>
              <w:left w:val="nil"/>
              <w:bottom w:val="nil"/>
              <w:right w:val="nil"/>
            </w:tcBorders>
            <w:vAlign w:val="center"/>
          </w:tcPr>
          <w:p w14:paraId="77C1F9C6" w14:textId="743C3F27" w:rsidR="00FF5643" w:rsidRPr="002A0EFC" w:rsidRDefault="00C373FE" w:rsidP="186F5814">
            <w:pPr>
              <w:pStyle w:val="TableTextLeft"/>
              <w:jc w:val="right"/>
            </w:pPr>
            <w:r>
              <w:rPr>
                <w:rFonts w:cs="Arial"/>
                <w:szCs w:val="16"/>
              </w:rPr>
              <w:t>3.4</w:t>
            </w:r>
          </w:p>
        </w:tc>
      </w:tr>
      <w:tr w:rsidR="00505E73" w:rsidRPr="00273AA1" w14:paraId="30C69064" w14:textId="77777777" w:rsidTr="001C380C">
        <w:trPr>
          <w:cantSplit/>
          <w:trHeight w:val="232"/>
        </w:trPr>
        <w:tc>
          <w:tcPr>
            <w:tcW w:w="435" w:type="pct"/>
            <w:tcBorders>
              <w:top w:val="nil"/>
              <w:left w:val="nil"/>
              <w:bottom w:val="nil"/>
              <w:right w:val="nil"/>
            </w:tcBorders>
            <w:shd w:val="clear" w:color="auto" w:fill="auto"/>
            <w:noWrap/>
            <w:vAlign w:val="center"/>
          </w:tcPr>
          <w:p w14:paraId="0E98A224" w14:textId="7AF3C758" w:rsidR="00FF5643" w:rsidRPr="002A0EFC" w:rsidRDefault="00C373FE" w:rsidP="186F5814">
            <w:pPr>
              <w:pStyle w:val="TableTextLeft"/>
            </w:pPr>
            <w:r>
              <w:rPr>
                <w:rFonts w:cs="Arial"/>
                <w:szCs w:val="16"/>
              </w:rPr>
              <w:t>GST</w:t>
            </w:r>
          </w:p>
        </w:tc>
        <w:tc>
          <w:tcPr>
            <w:tcW w:w="230" w:type="pct"/>
            <w:tcBorders>
              <w:top w:val="nil"/>
              <w:left w:val="nil"/>
              <w:bottom w:val="nil"/>
              <w:right w:val="nil"/>
            </w:tcBorders>
            <w:shd w:val="clear" w:color="auto" w:fill="auto"/>
            <w:noWrap/>
            <w:vAlign w:val="center"/>
          </w:tcPr>
          <w:p w14:paraId="1090EED0" w14:textId="50711688" w:rsidR="00FF5643" w:rsidRPr="002A0EFC" w:rsidRDefault="00C373FE" w:rsidP="186F5814">
            <w:pPr>
              <w:pStyle w:val="TableTextLeft"/>
            </w:pPr>
            <w:r>
              <w:rPr>
                <w:rFonts w:cs="Arial"/>
                <w:szCs w:val="16"/>
              </w:rPr>
              <w:t>H3</w:t>
            </w:r>
          </w:p>
        </w:tc>
        <w:tc>
          <w:tcPr>
            <w:tcW w:w="2274" w:type="pct"/>
            <w:tcBorders>
              <w:top w:val="nil"/>
              <w:left w:val="nil"/>
              <w:bottom w:val="nil"/>
              <w:right w:val="nil"/>
            </w:tcBorders>
            <w:shd w:val="clear" w:color="auto" w:fill="auto"/>
            <w:vAlign w:val="center"/>
          </w:tcPr>
          <w:p w14:paraId="232649BA" w14:textId="73D3847D" w:rsidR="00FF5643" w:rsidRPr="002A0EFC" w:rsidRDefault="00C373FE" w:rsidP="186F5814">
            <w:pPr>
              <w:pStyle w:val="TableTextLeft"/>
            </w:pPr>
            <w:r>
              <w:rPr>
                <w:rFonts w:cs="Arial"/>
                <w:szCs w:val="16"/>
              </w:rPr>
              <w:t>Financial supplies – reduced input tax credits</w:t>
            </w:r>
          </w:p>
        </w:tc>
        <w:tc>
          <w:tcPr>
            <w:tcW w:w="454" w:type="pct"/>
            <w:tcBorders>
              <w:top w:val="nil"/>
              <w:left w:val="nil"/>
              <w:bottom w:val="nil"/>
              <w:right w:val="nil"/>
            </w:tcBorders>
            <w:vAlign w:val="center"/>
          </w:tcPr>
          <w:p w14:paraId="0EE725D6"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54A33E3C" w14:textId="3F673DA1" w:rsidR="00FF5643" w:rsidRPr="002A0EFC" w:rsidRDefault="008942FA" w:rsidP="186F5814">
            <w:pPr>
              <w:pStyle w:val="TableTextLeft"/>
              <w:jc w:val="right"/>
            </w:pPr>
            <w:r>
              <w:rPr>
                <w:rFonts w:cs="Arial"/>
                <w:szCs w:val="16"/>
              </w:rPr>
              <w:t xml:space="preserve">                           850 </w:t>
            </w:r>
          </w:p>
        </w:tc>
        <w:tc>
          <w:tcPr>
            <w:tcW w:w="487" w:type="pct"/>
            <w:tcBorders>
              <w:top w:val="nil"/>
              <w:left w:val="nil"/>
              <w:bottom w:val="nil"/>
              <w:right w:val="nil"/>
            </w:tcBorders>
            <w:vAlign w:val="center"/>
          </w:tcPr>
          <w:p w14:paraId="1597662E" w14:textId="77B37F93" w:rsidR="00FF5643" w:rsidRPr="002A0EFC" w:rsidRDefault="00C373FE" w:rsidP="186F5814">
            <w:pPr>
              <w:pStyle w:val="TableTextLeft"/>
              <w:jc w:val="right"/>
            </w:pPr>
            <w:r>
              <w:rPr>
                <w:rFonts w:cs="Arial"/>
                <w:szCs w:val="16"/>
              </w:rPr>
              <w:t>4.3</w:t>
            </w:r>
          </w:p>
        </w:tc>
        <w:tc>
          <w:tcPr>
            <w:tcW w:w="487" w:type="pct"/>
            <w:tcBorders>
              <w:top w:val="nil"/>
              <w:left w:val="nil"/>
              <w:bottom w:val="nil"/>
              <w:right w:val="nil"/>
            </w:tcBorders>
            <w:vAlign w:val="center"/>
          </w:tcPr>
          <w:p w14:paraId="6C37B924" w14:textId="67A57B93" w:rsidR="00FF5643" w:rsidRPr="002A0EFC" w:rsidRDefault="00C373FE" w:rsidP="186F5814">
            <w:pPr>
              <w:pStyle w:val="TableTextLeft"/>
              <w:jc w:val="right"/>
            </w:pPr>
            <w:r>
              <w:rPr>
                <w:rFonts w:cs="Arial"/>
                <w:szCs w:val="16"/>
              </w:rPr>
              <w:t>4.1</w:t>
            </w:r>
          </w:p>
        </w:tc>
      </w:tr>
      <w:tr w:rsidR="00505E73" w:rsidRPr="00273AA1" w14:paraId="3164B616" w14:textId="77777777" w:rsidTr="001C380C">
        <w:trPr>
          <w:cantSplit/>
          <w:trHeight w:val="232"/>
        </w:trPr>
        <w:tc>
          <w:tcPr>
            <w:tcW w:w="435" w:type="pct"/>
            <w:tcBorders>
              <w:top w:val="nil"/>
              <w:left w:val="nil"/>
              <w:bottom w:val="nil"/>
              <w:right w:val="nil"/>
            </w:tcBorders>
            <w:shd w:val="clear" w:color="auto" w:fill="auto"/>
            <w:noWrap/>
            <w:vAlign w:val="center"/>
          </w:tcPr>
          <w:p w14:paraId="692A936F" w14:textId="7B8A4B24" w:rsidR="00FF5643" w:rsidRPr="002A0EFC" w:rsidRDefault="00C373FE"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2166F213" w14:textId="397612CE" w:rsidR="00FF5643" w:rsidRPr="002A0EFC" w:rsidRDefault="00C373FE" w:rsidP="186F5814">
            <w:pPr>
              <w:pStyle w:val="TableTextLeft"/>
            </w:pPr>
            <w:r>
              <w:rPr>
                <w:rFonts w:cs="Arial"/>
                <w:szCs w:val="16"/>
              </w:rPr>
              <w:t>C7</w:t>
            </w:r>
          </w:p>
        </w:tc>
        <w:tc>
          <w:tcPr>
            <w:tcW w:w="2274" w:type="pct"/>
            <w:tcBorders>
              <w:top w:val="nil"/>
              <w:left w:val="nil"/>
              <w:bottom w:val="nil"/>
              <w:right w:val="nil"/>
            </w:tcBorders>
            <w:shd w:val="clear" w:color="auto" w:fill="auto"/>
            <w:vAlign w:val="center"/>
          </w:tcPr>
          <w:p w14:paraId="05619A33" w14:textId="2B3A7C58" w:rsidR="00FF5643" w:rsidRPr="002A0EFC" w:rsidRDefault="00C373FE" w:rsidP="186F5814">
            <w:pPr>
              <w:pStyle w:val="TableTextLeft"/>
            </w:pPr>
            <w:r>
              <w:rPr>
                <w:rFonts w:cs="Arial"/>
                <w:szCs w:val="16"/>
              </w:rPr>
              <w:t>Small business capital gains retirement exemption</w:t>
            </w:r>
          </w:p>
        </w:tc>
        <w:tc>
          <w:tcPr>
            <w:tcW w:w="454" w:type="pct"/>
            <w:tcBorders>
              <w:top w:val="nil"/>
              <w:left w:val="nil"/>
              <w:bottom w:val="nil"/>
              <w:right w:val="nil"/>
            </w:tcBorders>
            <w:vAlign w:val="center"/>
          </w:tcPr>
          <w:p w14:paraId="0C653B19"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2298D3C6" w14:textId="71F5FFD0" w:rsidR="00FF5643" w:rsidRPr="002A0EFC" w:rsidRDefault="008942FA" w:rsidP="186F5814">
            <w:pPr>
              <w:pStyle w:val="TableTextLeft"/>
              <w:jc w:val="right"/>
            </w:pPr>
            <w:r>
              <w:rPr>
                <w:rFonts w:cs="Arial"/>
                <w:szCs w:val="16"/>
              </w:rPr>
              <w:t xml:space="preserve">                           820 </w:t>
            </w:r>
          </w:p>
        </w:tc>
        <w:tc>
          <w:tcPr>
            <w:tcW w:w="487" w:type="pct"/>
            <w:tcBorders>
              <w:top w:val="nil"/>
              <w:left w:val="nil"/>
              <w:bottom w:val="nil"/>
              <w:right w:val="nil"/>
            </w:tcBorders>
            <w:vAlign w:val="center"/>
          </w:tcPr>
          <w:p w14:paraId="5C01146A" w14:textId="60031254" w:rsidR="00FF5643" w:rsidRPr="002A0EFC" w:rsidRDefault="00C373FE" w:rsidP="186F5814">
            <w:pPr>
              <w:pStyle w:val="TableTextLeft"/>
              <w:jc w:val="right"/>
            </w:pPr>
            <w:r>
              <w:rPr>
                <w:rFonts w:cs="Arial"/>
                <w:szCs w:val="16"/>
              </w:rPr>
              <w:t>15.</w:t>
            </w:r>
            <w:r w:rsidR="00FF5643">
              <w:rPr>
                <w:rFonts w:cs="Arial"/>
                <w:szCs w:val="16"/>
              </w:rPr>
              <w:t>6</w:t>
            </w:r>
          </w:p>
        </w:tc>
        <w:tc>
          <w:tcPr>
            <w:tcW w:w="487" w:type="pct"/>
            <w:tcBorders>
              <w:top w:val="nil"/>
              <w:left w:val="nil"/>
              <w:bottom w:val="nil"/>
              <w:right w:val="nil"/>
            </w:tcBorders>
            <w:vAlign w:val="center"/>
          </w:tcPr>
          <w:p w14:paraId="30791D45" w14:textId="52403D7A" w:rsidR="00FF5643" w:rsidRPr="002A0EFC" w:rsidRDefault="00C373FE" w:rsidP="186F5814">
            <w:pPr>
              <w:pStyle w:val="TableTextLeft"/>
              <w:jc w:val="right"/>
            </w:pPr>
            <w:r>
              <w:rPr>
                <w:rFonts w:cs="Arial"/>
                <w:szCs w:val="16"/>
              </w:rPr>
              <w:t>-0</w:t>
            </w:r>
            <w:r w:rsidR="00FF5643">
              <w:rPr>
                <w:rFonts w:cs="Arial"/>
                <w:szCs w:val="16"/>
              </w:rPr>
              <w:t>.9</w:t>
            </w:r>
          </w:p>
        </w:tc>
      </w:tr>
      <w:tr w:rsidR="00505E73" w:rsidRPr="00273AA1" w14:paraId="6250D660" w14:textId="77777777" w:rsidTr="001C380C">
        <w:trPr>
          <w:cantSplit/>
          <w:trHeight w:val="232"/>
        </w:trPr>
        <w:tc>
          <w:tcPr>
            <w:tcW w:w="435" w:type="pct"/>
            <w:tcBorders>
              <w:top w:val="nil"/>
              <w:left w:val="nil"/>
              <w:bottom w:val="nil"/>
              <w:right w:val="nil"/>
            </w:tcBorders>
            <w:shd w:val="clear" w:color="auto" w:fill="auto"/>
            <w:noWrap/>
            <w:vAlign w:val="center"/>
          </w:tcPr>
          <w:p w14:paraId="6079629E" w14:textId="174F07EF" w:rsidR="00FF5643" w:rsidRPr="002A0EFC" w:rsidRDefault="00C373FE" w:rsidP="186F5814">
            <w:pPr>
              <w:pStyle w:val="TableTextLeft"/>
            </w:pPr>
            <w:r>
              <w:rPr>
                <w:rFonts w:cs="Arial"/>
                <w:szCs w:val="16"/>
              </w:rPr>
              <w:t>Income</w:t>
            </w:r>
          </w:p>
        </w:tc>
        <w:tc>
          <w:tcPr>
            <w:tcW w:w="230" w:type="pct"/>
            <w:tcBorders>
              <w:top w:val="nil"/>
              <w:left w:val="nil"/>
              <w:bottom w:val="nil"/>
              <w:right w:val="nil"/>
            </w:tcBorders>
            <w:shd w:val="clear" w:color="auto" w:fill="auto"/>
            <w:noWrap/>
            <w:vAlign w:val="center"/>
          </w:tcPr>
          <w:p w14:paraId="2BC93FE2" w14:textId="0EEC3E9D" w:rsidR="00FF5643" w:rsidRPr="002A0EFC" w:rsidRDefault="00054711" w:rsidP="186F5814">
            <w:pPr>
              <w:pStyle w:val="TableTextLeft"/>
            </w:pPr>
            <w:r>
              <w:rPr>
                <w:rFonts w:cs="Arial"/>
                <w:szCs w:val="16"/>
              </w:rPr>
              <w:t>B92</w:t>
            </w:r>
          </w:p>
        </w:tc>
        <w:tc>
          <w:tcPr>
            <w:tcW w:w="2274" w:type="pct"/>
            <w:tcBorders>
              <w:top w:val="nil"/>
              <w:left w:val="nil"/>
              <w:bottom w:val="nil"/>
              <w:right w:val="nil"/>
            </w:tcBorders>
            <w:shd w:val="clear" w:color="auto" w:fill="auto"/>
            <w:vAlign w:val="center"/>
          </w:tcPr>
          <w:p w14:paraId="62A49DF0" w14:textId="393F893F" w:rsidR="00FF5643" w:rsidRPr="002A0EFC" w:rsidRDefault="00C373FE" w:rsidP="186F5814">
            <w:pPr>
              <w:pStyle w:val="TableTextLeft"/>
            </w:pPr>
            <w:r>
              <w:rPr>
                <w:rFonts w:cs="Arial"/>
                <w:szCs w:val="16"/>
              </w:rPr>
              <w:t>International tax – concessional rate of final withholding tax on certain distributions by Australian managed investment trusts to foreign residents</w:t>
            </w:r>
          </w:p>
        </w:tc>
        <w:tc>
          <w:tcPr>
            <w:tcW w:w="454" w:type="pct"/>
            <w:tcBorders>
              <w:top w:val="nil"/>
              <w:left w:val="nil"/>
              <w:bottom w:val="nil"/>
              <w:right w:val="nil"/>
            </w:tcBorders>
            <w:vAlign w:val="center"/>
          </w:tcPr>
          <w:p w14:paraId="604BDC0C" w14:textId="49A9D229"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5945ACB9" w14:textId="41C129EB" w:rsidR="00FF5643" w:rsidRPr="002A0EFC" w:rsidRDefault="008942FA" w:rsidP="186F5814">
            <w:pPr>
              <w:pStyle w:val="TableTextLeft"/>
              <w:jc w:val="right"/>
            </w:pPr>
            <w:r>
              <w:rPr>
                <w:rFonts w:cs="Arial"/>
                <w:szCs w:val="16"/>
              </w:rPr>
              <w:t xml:space="preserve">                           805 </w:t>
            </w:r>
          </w:p>
        </w:tc>
        <w:tc>
          <w:tcPr>
            <w:tcW w:w="487" w:type="pct"/>
            <w:tcBorders>
              <w:top w:val="nil"/>
              <w:left w:val="nil"/>
              <w:bottom w:val="nil"/>
              <w:right w:val="nil"/>
            </w:tcBorders>
            <w:vAlign w:val="center"/>
          </w:tcPr>
          <w:p w14:paraId="6100126B" w14:textId="70B1AAC7" w:rsidR="00FF5643" w:rsidRPr="002A0EFC" w:rsidRDefault="00C373FE" w:rsidP="186F5814">
            <w:pPr>
              <w:pStyle w:val="TableTextLeft"/>
              <w:jc w:val="right"/>
            </w:pPr>
            <w:r>
              <w:rPr>
                <w:rFonts w:cs="Arial"/>
                <w:szCs w:val="16"/>
              </w:rPr>
              <w:t>1</w:t>
            </w:r>
            <w:r w:rsidR="00FF5643">
              <w:rPr>
                <w:rFonts w:cs="Arial"/>
                <w:szCs w:val="16"/>
              </w:rPr>
              <w:t>.4</w:t>
            </w:r>
          </w:p>
        </w:tc>
        <w:tc>
          <w:tcPr>
            <w:tcW w:w="487" w:type="pct"/>
            <w:tcBorders>
              <w:top w:val="nil"/>
              <w:left w:val="nil"/>
              <w:bottom w:val="nil"/>
              <w:right w:val="nil"/>
            </w:tcBorders>
            <w:vAlign w:val="center"/>
          </w:tcPr>
          <w:p w14:paraId="5ACF6B36" w14:textId="5036C554" w:rsidR="00FF5643" w:rsidRPr="002A0EFC" w:rsidRDefault="00C373FE" w:rsidP="186F5814">
            <w:pPr>
              <w:pStyle w:val="TableTextLeft"/>
              <w:jc w:val="right"/>
            </w:pPr>
            <w:r>
              <w:rPr>
                <w:rFonts w:cs="Arial"/>
                <w:szCs w:val="16"/>
              </w:rPr>
              <w:t>3.0</w:t>
            </w:r>
          </w:p>
        </w:tc>
      </w:tr>
      <w:tr w:rsidR="00505E73" w:rsidRPr="00273AA1" w14:paraId="1F35E209" w14:textId="77777777" w:rsidTr="001C380C">
        <w:trPr>
          <w:cantSplit/>
          <w:trHeight w:val="232"/>
        </w:trPr>
        <w:tc>
          <w:tcPr>
            <w:tcW w:w="435" w:type="pct"/>
            <w:tcBorders>
              <w:top w:val="nil"/>
              <w:left w:val="nil"/>
              <w:bottom w:val="nil"/>
              <w:right w:val="nil"/>
            </w:tcBorders>
            <w:shd w:val="clear" w:color="auto" w:fill="auto"/>
            <w:noWrap/>
            <w:vAlign w:val="center"/>
          </w:tcPr>
          <w:p w14:paraId="1B5BD4B8" w14:textId="2227322D" w:rsidR="00FF5643" w:rsidRPr="002A0EFC" w:rsidRDefault="00FF5643" w:rsidP="186F5814">
            <w:pPr>
              <w:pStyle w:val="TableTextLeft"/>
            </w:pPr>
            <w:r>
              <w:rPr>
                <w:rFonts w:cs="Arial"/>
                <w:szCs w:val="16"/>
              </w:rPr>
              <w:t>Super</w:t>
            </w:r>
          </w:p>
        </w:tc>
        <w:tc>
          <w:tcPr>
            <w:tcW w:w="230" w:type="pct"/>
            <w:tcBorders>
              <w:top w:val="nil"/>
              <w:left w:val="nil"/>
              <w:bottom w:val="nil"/>
              <w:right w:val="nil"/>
            </w:tcBorders>
            <w:shd w:val="clear" w:color="auto" w:fill="auto"/>
            <w:noWrap/>
            <w:vAlign w:val="center"/>
          </w:tcPr>
          <w:p w14:paraId="2CFC691E" w14:textId="672ACBDA" w:rsidR="00FF5643" w:rsidRPr="002A0EFC" w:rsidRDefault="00C373FE" w:rsidP="186F5814">
            <w:pPr>
              <w:pStyle w:val="TableTextLeft"/>
            </w:pPr>
            <w:r>
              <w:rPr>
                <w:rFonts w:cs="Arial"/>
                <w:szCs w:val="16"/>
              </w:rPr>
              <w:t>C5</w:t>
            </w:r>
          </w:p>
        </w:tc>
        <w:tc>
          <w:tcPr>
            <w:tcW w:w="2274" w:type="pct"/>
            <w:tcBorders>
              <w:top w:val="nil"/>
              <w:left w:val="nil"/>
              <w:bottom w:val="nil"/>
              <w:right w:val="nil"/>
            </w:tcBorders>
            <w:shd w:val="clear" w:color="auto" w:fill="auto"/>
            <w:vAlign w:val="center"/>
          </w:tcPr>
          <w:p w14:paraId="6A59684E" w14:textId="4B26CF6C" w:rsidR="00FF5643" w:rsidRPr="002A0EFC" w:rsidRDefault="00C373FE" w:rsidP="186F5814">
            <w:pPr>
              <w:pStyle w:val="TableTextLeft"/>
            </w:pPr>
            <w:r>
              <w:rPr>
                <w:rFonts w:cs="Arial"/>
                <w:szCs w:val="16"/>
              </w:rPr>
              <w:t>Concessional taxation of unfunded superannuation</w:t>
            </w:r>
          </w:p>
        </w:tc>
        <w:tc>
          <w:tcPr>
            <w:tcW w:w="454" w:type="pct"/>
            <w:tcBorders>
              <w:top w:val="nil"/>
              <w:left w:val="nil"/>
              <w:bottom w:val="nil"/>
              <w:right w:val="nil"/>
            </w:tcBorders>
            <w:vAlign w:val="center"/>
          </w:tcPr>
          <w:p w14:paraId="03037253" w14:textId="77777777" w:rsidR="00FF5643" w:rsidRPr="002A0EFC" w:rsidRDefault="00FF5643" w:rsidP="186F5814">
            <w:pPr>
              <w:pStyle w:val="TableTextLeft"/>
            </w:pPr>
          </w:p>
        </w:tc>
        <w:tc>
          <w:tcPr>
            <w:tcW w:w="634" w:type="pct"/>
            <w:tcBorders>
              <w:top w:val="nil"/>
              <w:left w:val="nil"/>
              <w:bottom w:val="nil"/>
              <w:right w:val="nil"/>
            </w:tcBorders>
            <w:shd w:val="clear" w:color="auto" w:fill="auto"/>
            <w:noWrap/>
            <w:vAlign w:val="center"/>
          </w:tcPr>
          <w:p w14:paraId="3645828A" w14:textId="5DD2EFD9" w:rsidR="00FF5643" w:rsidRPr="002A0EFC" w:rsidRDefault="008942FA" w:rsidP="186F5814">
            <w:pPr>
              <w:pStyle w:val="TableTextLeft"/>
              <w:jc w:val="right"/>
            </w:pPr>
            <w:r>
              <w:rPr>
                <w:rFonts w:cs="Arial"/>
                <w:szCs w:val="16"/>
              </w:rPr>
              <w:t xml:space="preserve">                           780 </w:t>
            </w:r>
          </w:p>
        </w:tc>
        <w:tc>
          <w:tcPr>
            <w:tcW w:w="487" w:type="pct"/>
            <w:tcBorders>
              <w:top w:val="nil"/>
              <w:left w:val="nil"/>
              <w:bottom w:val="nil"/>
              <w:right w:val="nil"/>
            </w:tcBorders>
            <w:vAlign w:val="center"/>
          </w:tcPr>
          <w:p w14:paraId="23ADBE4E" w14:textId="6EF68A83" w:rsidR="00FF5643" w:rsidRPr="002A0EFC" w:rsidRDefault="00C373FE" w:rsidP="186F5814">
            <w:pPr>
              <w:pStyle w:val="TableTextLeft"/>
              <w:jc w:val="right"/>
            </w:pPr>
            <w:r>
              <w:rPr>
                <w:rFonts w:cs="Arial"/>
                <w:szCs w:val="16"/>
              </w:rPr>
              <w:t>12.6</w:t>
            </w:r>
          </w:p>
        </w:tc>
        <w:tc>
          <w:tcPr>
            <w:tcW w:w="487" w:type="pct"/>
            <w:tcBorders>
              <w:top w:val="nil"/>
              <w:left w:val="nil"/>
              <w:bottom w:val="nil"/>
              <w:right w:val="nil"/>
            </w:tcBorders>
            <w:vAlign w:val="center"/>
          </w:tcPr>
          <w:p w14:paraId="5B6A7C78" w14:textId="66912C30" w:rsidR="00FF5643" w:rsidRPr="002A0EFC" w:rsidRDefault="00C373FE" w:rsidP="186F5814">
            <w:pPr>
              <w:pStyle w:val="TableTextLeft"/>
              <w:jc w:val="right"/>
            </w:pPr>
            <w:r>
              <w:rPr>
                <w:rFonts w:cs="Arial"/>
                <w:szCs w:val="16"/>
              </w:rPr>
              <w:t>1.8</w:t>
            </w:r>
          </w:p>
        </w:tc>
      </w:tr>
      <w:tr w:rsidR="00505E73" w:rsidRPr="00273AA1" w14:paraId="2480A40C" w14:textId="77777777" w:rsidTr="001C380C">
        <w:trPr>
          <w:cantSplit/>
          <w:trHeight w:val="232"/>
        </w:trPr>
        <w:tc>
          <w:tcPr>
            <w:tcW w:w="435" w:type="pct"/>
            <w:tcBorders>
              <w:top w:val="nil"/>
              <w:left w:val="nil"/>
              <w:right w:val="nil"/>
            </w:tcBorders>
            <w:shd w:val="clear" w:color="auto" w:fill="auto"/>
            <w:noWrap/>
            <w:vAlign w:val="center"/>
          </w:tcPr>
          <w:p w14:paraId="79A9CF9D" w14:textId="78F403DD" w:rsidR="00FF5643" w:rsidRPr="002A0EFC" w:rsidRDefault="00FF5643" w:rsidP="186F5814">
            <w:pPr>
              <w:pStyle w:val="TableTextLeft"/>
            </w:pPr>
            <w:r>
              <w:rPr>
                <w:rFonts w:cs="Arial"/>
                <w:szCs w:val="16"/>
              </w:rPr>
              <w:t>Income</w:t>
            </w:r>
          </w:p>
        </w:tc>
        <w:tc>
          <w:tcPr>
            <w:tcW w:w="230" w:type="pct"/>
            <w:tcBorders>
              <w:top w:val="nil"/>
              <w:left w:val="nil"/>
              <w:right w:val="nil"/>
            </w:tcBorders>
            <w:shd w:val="clear" w:color="auto" w:fill="auto"/>
            <w:noWrap/>
            <w:vAlign w:val="center"/>
          </w:tcPr>
          <w:p w14:paraId="028EAFE7" w14:textId="2D80D567" w:rsidR="00FF5643" w:rsidRPr="002A0EFC" w:rsidRDefault="00054711" w:rsidP="186F5814">
            <w:pPr>
              <w:pStyle w:val="TableTextLeft"/>
            </w:pPr>
            <w:r>
              <w:rPr>
                <w:rFonts w:cs="Arial"/>
                <w:szCs w:val="16"/>
              </w:rPr>
              <w:t>B87</w:t>
            </w:r>
          </w:p>
        </w:tc>
        <w:tc>
          <w:tcPr>
            <w:tcW w:w="2274" w:type="pct"/>
            <w:tcBorders>
              <w:top w:val="nil"/>
              <w:left w:val="nil"/>
              <w:right w:val="nil"/>
            </w:tcBorders>
            <w:shd w:val="clear" w:color="auto" w:fill="auto"/>
            <w:vAlign w:val="center"/>
          </w:tcPr>
          <w:p w14:paraId="36FED9C1" w14:textId="26573D1B" w:rsidR="00FF5643" w:rsidRPr="002A0EFC" w:rsidRDefault="00C373FE" w:rsidP="186F5814">
            <w:pPr>
              <w:pStyle w:val="TableTextLeft"/>
            </w:pPr>
            <w:r>
              <w:rPr>
                <w:rFonts w:cs="Arial"/>
                <w:szCs w:val="16"/>
              </w:rPr>
              <w:t xml:space="preserve">Research and development </w:t>
            </w:r>
            <w:r w:rsidR="000A4999">
              <w:rPr>
                <w:rFonts w:cs="Arial"/>
                <w:szCs w:val="16"/>
              </w:rPr>
              <w:t>–</w:t>
            </w:r>
            <w:r>
              <w:rPr>
                <w:rFonts w:cs="Arial"/>
                <w:szCs w:val="16"/>
              </w:rPr>
              <w:t xml:space="preserve"> non-refundable tax offset</w:t>
            </w:r>
          </w:p>
        </w:tc>
        <w:tc>
          <w:tcPr>
            <w:tcW w:w="454" w:type="pct"/>
            <w:tcBorders>
              <w:top w:val="nil"/>
              <w:left w:val="nil"/>
              <w:right w:val="nil"/>
            </w:tcBorders>
            <w:vAlign w:val="center"/>
          </w:tcPr>
          <w:p w14:paraId="69F49ABA" w14:textId="2CEE7A56" w:rsidR="00FF5643" w:rsidRPr="002A0EFC" w:rsidRDefault="00C373FE" w:rsidP="186F5814">
            <w:pPr>
              <w:pStyle w:val="TableTextLeft"/>
            </w:pPr>
            <w:r>
              <w:rPr>
                <w:rFonts w:cs="Arial"/>
                <w:szCs w:val="16"/>
              </w:rPr>
              <w:t>Y</w:t>
            </w:r>
          </w:p>
        </w:tc>
        <w:tc>
          <w:tcPr>
            <w:tcW w:w="634" w:type="pct"/>
            <w:tcBorders>
              <w:top w:val="nil"/>
              <w:left w:val="nil"/>
              <w:right w:val="nil"/>
            </w:tcBorders>
            <w:shd w:val="clear" w:color="auto" w:fill="auto"/>
            <w:noWrap/>
            <w:vAlign w:val="center"/>
          </w:tcPr>
          <w:p w14:paraId="67E0CBB4" w14:textId="2248EFFE" w:rsidR="00FF5643" w:rsidRPr="002A0EFC" w:rsidRDefault="008942FA" w:rsidP="186F5814">
            <w:pPr>
              <w:pStyle w:val="TableTextLeft"/>
              <w:jc w:val="right"/>
            </w:pPr>
            <w:r>
              <w:rPr>
                <w:rFonts w:cs="Arial"/>
                <w:szCs w:val="16"/>
              </w:rPr>
              <w:t xml:space="preserve">                           780 </w:t>
            </w:r>
          </w:p>
        </w:tc>
        <w:tc>
          <w:tcPr>
            <w:tcW w:w="487" w:type="pct"/>
            <w:tcBorders>
              <w:top w:val="nil"/>
              <w:left w:val="nil"/>
              <w:right w:val="nil"/>
            </w:tcBorders>
            <w:vAlign w:val="center"/>
          </w:tcPr>
          <w:p w14:paraId="35F39514" w14:textId="1E5F2617" w:rsidR="00FF5643" w:rsidRPr="002A0EFC" w:rsidRDefault="00C373FE" w:rsidP="186F5814">
            <w:pPr>
              <w:pStyle w:val="TableTextLeft"/>
              <w:jc w:val="right"/>
            </w:pPr>
            <w:r>
              <w:rPr>
                <w:rFonts w:cs="Arial"/>
                <w:szCs w:val="16"/>
              </w:rPr>
              <w:t>21.</w:t>
            </w:r>
            <w:r w:rsidR="00FF5643">
              <w:rPr>
                <w:rFonts w:cs="Arial"/>
                <w:szCs w:val="16"/>
              </w:rPr>
              <w:t>0</w:t>
            </w:r>
          </w:p>
        </w:tc>
        <w:tc>
          <w:tcPr>
            <w:tcW w:w="487" w:type="pct"/>
            <w:tcBorders>
              <w:top w:val="nil"/>
              <w:left w:val="nil"/>
              <w:right w:val="nil"/>
            </w:tcBorders>
            <w:vAlign w:val="center"/>
          </w:tcPr>
          <w:p w14:paraId="5CAAEE31" w14:textId="4B27D790" w:rsidR="00FF5643" w:rsidRPr="002A0EFC" w:rsidRDefault="00FF5643" w:rsidP="186F5814">
            <w:pPr>
              <w:pStyle w:val="TableTextLeft"/>
              <w:jc w:val="right"/>
            </w:pPr>
            <w:r>
              <w:rPr>
                <w:rFonts w:cs="Arial"/>
                <w:szCs w:val="16"/>
              </w:rPr>
              <w:t>-</w:t>
            </w:r>
            <w:r w:rsidR="00C373FE">
              <w:rPr>
                <w:rFonts w:cs="Arial"/>
                <w:szCs w:val="16"/>
              </w:rPr>
              <w:t>0.</w:t>
            </w:r>
            <w:r>
              <w:rPr>
                <w:rFonts w:cs="Arial"/>
                <w:szCs w:val="16"/>
              </w:rPr>
              <w:t>3</w:t>
            </w:r>
          </w:p>
        </w:tc>
      </w:tr>
      <w:tr w:rsidR="00505E73" w:rsidRPr="00273AA1" w14:paraId="36C0DE75" w14:textId="77777777" w:rsidTr="001C380C">
        <w:trPr>
          <w:cantSplit/>
          <w:trHeight w:val="232"/>
        </w:trPr>
        <w:tc>
          <w:tcPr>
            <w:tcW w:w="435" w:type="pct"/>
            <w:tcBorders>
              <w:top w:val="nil"/>
              <w:left w:val="nil"/>
              <w:bottom w:val="single" w:sz="4" w:space="0" w:color="auto"/>
              <w:right w:val="nil"/>
            </w:tcBorders>
            <w:shd w:val="clear" w:color="auto" w:fill="auto"/>
            <w:noWrap/>
            <w:vAlign w:val="center"/>
          </w:tcPr>
          <w:p w14:paraId="428E1403" w14:textId="681F2C83" w:rsidR="00FF5643" w:rsidRPr="002A0EFC" w:rsidRDefault="00C373FE" w:rsidP="186F5814">
            <w:pPr>
              <w:pStyle w:val="TableTextLeft"/>
            </w:pPr>
            <w:r>
              <w:rPr>
                <w:rFonts w:cs="Arial"/>
                <w:szCs w:val="16"/>
              </w:rPr>
              <w:t>FBT</w:t>
            </w:r>
          </w:p>
        </w:tc>
        <w:tc>
          <w:tcPr>
            <w:tcW w:w="230" w:type="pct"/>
            <w:tcBorders>
              <w:top w:val="nil"/>
              <w:left w:val="nil"/>
              <w:bottom w:val="single" w:sz="4" w:space="0" w:color="auto"/>
              <w:right w:val="nil"/>
            </w:tcBorders>
            <w:shd w:val="clear" w:color="auto" w:fill="auto"/>
            <w:noWrap/>
            <w:vAlign w:val="center"/>
          </w:tcPr>
          <w:p w14:paraId="5FA29054" w14:textId="60720503" w:rsidR="00FF5643" w:rsidRPr="002A0EFC" w:rsidRDefault="00C373FE" w:rsidP="186F5814">
            <w:pPr>
              <w:pStyle w:val="TableTextLeft"/>
            </w:pPr>
            <w:r>
              <w:rPr>
                <w:rFonts w:cs="Arial"/>
                <w:szCs w:val="16"/>
              </w:rPr>
              <w:t>D9</w:t>
            </w:r>
          </w:p>
        </w:tc>
        <w:tc>
          <w:tcPr>
            <w:tcW w:w="2274" w:type="pct"/>
            <w:tcBorders>
              <w:top w:val="nil"/>
              <w:left w:val="nil"/>
              <w:bottom w:val="single" w:sz="4" w:space="0" w:color="auto"/>
              <w:right w:val="nil"/>
            </w:tcBorders>
            <w:shd w:val="clear" w:color="auto" w:fill="auto"/>
            <w:vAlign w:val="center"/>
          </w:tcPr>
          <w:p w14:paraId="7A87CD2A" w14:textId="0A67466E" w:rsidR="00FF5643" w:rsidRPr="002A0EFC" w:rsidRDefault="00C373FE" w:rsidP="186F5814">
            <w:pPr>
              <w:pStyle w:val="TableTextLeft"/>
            </w:pPr>
            <w:r>
              <w:rPr>
                <w:rFonts w:cs="Arial"/>
                <w:szCs w:val="16"/>
              </w:rPr>
              <w:t>Exemption for health care benefits provided to members of the Defence Force</w:t>
            </w:r>
          </w:p>
        </w:tc>
        <w:tc>
          <w:tcPr>
            <w:tcW w:w="454" w:type="pct"/>
            <w:tcBorders>
              <w:top w:val="nil"/>
              <w:left w:val="nil"/>
              <w:bottom w:val="single" w:sz="4" w:space="0" w:color="auto"/>
              <w:right w:val="nil"/>
            </w:tcBorders>
            <w:vAlign w:val="center"/>
          </w:tcPr>
          <w:p w14:paraId="46D6BE9E" w14:textId="2D635EDB" w:rsidR="00FF5643" w:rsidRPr="002A0EFC" w:rsidRDefault="00FF5643" w:rsidP="186F5814">
            <w:pPr>
              <w:pStyle w:val="TableTextLeft"/>
            </w:pPr>
          </w:p>
        </w:tc>
        <w:tc>
          <w:tcPr>
            <w:tcW w:w="634" w:type="pct"/>
            <w:tcBorders>
              <w:top w:val="nil"/>
              <w:left w:val="nil"/>
              <w:bottom w:val="single" w:sz="4" w:space="0" w:color="auto"/>
              <w:right w:val="nil"/>
            </w:tcBorders>
            <w:shd w:val="clear" w:color="auto" w:fill="auto"/>
            <w:noWrap/>
            <w:vAlign w:val="center"/>
          </w:tcPr>
          <w:p w14:paraId="375B7EB4" w14:textId="6DD19F38" w:rsidR="00FF5643" w:rsidRPr="002A0EFC" w:rsidRDefault="008942FA" w:rsidP="186F5814">
            <w:pPr>
              <w:pStyle w:val="TableTextLeft"/>
              <w:jc w:val="right"/>
            </w:pPr>
            <w:r>
              <w:rPr>
                <w:rFonts w:cs="Arial"/>
                <w:szCs w:val="16"/>
              </w:rPr>
              <w:t xml:space="preserve">                           730 </w:t>
            </w:r>
          </w:p>
        </w:tc>
        <w:tc>
          <w:tcPr>
            <w:tcW w:w="487" w:type="pct"/>
            <w:tcBorders>
              <w:top w:val="nil"/>
              <w:left w:val="nil"/>
              <w:bottom w:val="single" w:sz="4" w:space="0" w:color="auto"/>
              <w:right w:val="nil"/>
            </w:tcBorders>
            <w:vAlign w:val="center"/>
          </w:tcPr>
          <w:p w14:paraId="4C1887EC" w14:textId="3922D55A" w:rsidR="00FF5643" w:rsidRPr="002A0EFC" w:rsidRDefault="007E29A5" w:rsidP="186F5814">
            <w:pPr>
              <w:pStyle w:val="TableTextLeft"/>
              <w:jc w:val="right"/>
            </w:pPr>
            <w:r>
              <w:rPr>
                <w:rFonts w:cs="Arial"/>
                <w:szCs w:val="16"/>
              </w:rPr>
              <w:t>20.6</w:t>
            </w:r>
          </w:p>
        </w:tc>
        <w:tc>
          <w:tcPr>
            <w:tcW w:w="487" w:type="pct"/>
            <w:tcBorders>
              <w:top w:val="nil"/>
              <w:left w:val="nil"/>
              <w:bottom w:val="single" w:sz="4" w:space="0" w:color="auto"/>
              <w:right w:val="nil"/>
            </w:tcBorders>
            <w:vAlign w:val="center"/>
          </w:tcPr>
          <w:p w14:paraId="64233BFA" w14:textId="5A5BBC96" w:rsidR="00FF5643" w:rsidRPr="002A0EFC" w:rsidRDefault="008942FA" w:rsidP="186F5814">
            <w:pPr>
              <w:pStyle w:val="TableTextLeft"/>
              <w:jc w:val="right"/>
            </w:pPr>
            <w:r>
              <w:rPr>
                <w:rFonts w:cs="Arial"/>
                <w:szCs w:val="16"/>
              </w:rPr>
              <w:t>2.1</w:t>
            </w:r>
          </w:p>
        </w:tc>
      </w:tr>
    </w:tbl>
    <w:p w14:paraId="310653DC" w14:textId="278C0B64" w:rsidR="00BC4BAC" w:rsidRPr="002A0EFC" w:rsidRDefault="00BC4BAC" w:rsidP="186F5814">
      <w:pPr>
        <w:pStyle w:val="ChartandTableFootnote"/>
      </w:pPr>
      <w:r w:rsidRPr="002A0EFC">
        <w:t>* For deductions</w:t>
      </w:r>
      <w:r w:rsidR="00C137D3" w:rsidRPr="002A0EFC">
        <w:t xml:space="preserve">, ‘Revenue forgone’ </w:t>
      </w:r>
      <w:r w:rsidRPr="002A0EFC">
        <w:t>refers to the reduction in tax in relation to the specified income year due to the utilisation of deductions.</w:t>
      </w:r>
    </w:p>
    <w:p w14:paraId="41E42CEE" w14:textId="6E3CCC78" w:rsidR="00BC4BAC" w:rsidRPr="002A0EFC" w:rsidRDefault="00BC4BAC" w:rsidP="186F5814">
      <w:pPr>
        <w:pStyle w:val="TableHeadingcontinued"/>
      </w:pPr>
      <w:r w:rsidRPr="002A0EFC">
        <w:t>Table 1.</w:t>
      </w:r>
      <w:r w:rsidR="00EF6CDD">
        <w:t>2</w:t>
      </w:r>
      <w:r w:rsidRPr="002A0EFC">
        <w:t xml:space="preserve"> Large tax expenditures and deductions by revenue forgone 202</w:t>
      </w:r>
      <w:r w:rsidR="00531356" w:rsidRPr="002A0EFC">
        <w:t>4</w:t>
      </w:r>
      <w:r w:rsidRPr="002A0EFC">
        <w:t>–2</w:t>
      </w:r>
      <w:r w:rsidR="00531356" w:rsidRPr="002A0EFC">
        <w:t>5</w:t>
      </w:r>
      <w:r w:rsidRPr="002A0EFC">
        <w:t xml:space="preserve"> (continued)</w:t>
      </w:r>
    </w:p>
    <w:tbl>
      <w:tblPr>
        <w:tblW w:w="5000" w:type="pct"/>
        <w:tblLayout w:type="fixed"/>
        <w:tblCellMar>
          <w:left w:w="0" w:type="dxa"/>
          <w:right w:w="28" w:type="dxa"/>
        </w:tblCellMar>
        <w:tblLook w:val="04A0" w:firstRow="1" w:lastRow="0" w:firstColumn="1" w:lastColumn="0" w:noHBand="0" w:noVBand="1"/>
        <w:tblCaption w:val="Table"/>
      </w:tblPr>
      <w:tblGrid>
        <w:gridCol w:w="48"/>
        <w:gridCol w:w="1021"/>
        <w:gridCol w:w="572"/>
        <w:gridCol w:w="5290"/>
        <w:gridCol w:w="1150"/>
        <w:gridCol w:w="1510"/>
        <w:gridCol w:w="1212"/>
        <w:gridCol w:w="1105"/>
      </w:tblGrid>
      <w:tr w:rsidR="000D7B5C" w:rsidRPr="00273AA1" w14:paraId="1B8C5AF8" w14:textId="77777777" w:rsidTr="00517EF1">
        <w:trPr>
          <w:cantSplit/>
          <w:trHeight w:val="232"/>
          <w:tblHeader/>
        </w:trPr>
        <w:tc>
          <w:tcPr>
            <w:tcW w:w="449" w:type="pct"/>
            <w:gridSpan w:val="2"/>
            <w:tcBorders>
              <w:top w:val="single" w:sz="4" w:space="0" w:color="auto"/>
              <w:left w:val="nil"/>
              <w:bottom w:val="single" w:sz="4" w:space="0" w:color="auto"/>
              <w:right w:val="nil"/>
            </w:tcBorders>
            <w:shd w:val="clear" w:color="auto" w:fill="auto"/>
            <w:noWrap/>
            <w:vAlign w:val="center"/>
          </w:tcPr>
          <w:p w14:paraId="755CBD7A" w14:textId="2DB182DD" w:rsidR="0023375E" w:rsidRPr="002A0EFC" w:rsidRDefault="00EC131D" w:rsidP="186F5814">
            <w:pPr>
              <w:pStyle w:val="TableTextLeft"/>
              <w:rPr>
                <w:b/>
              </w:rPr>
            </w:pPr>
            <w:r w:rsidRPr="002A0EFC">
              <w:rPr>
                <w:b/>
              </w:rPr>
              <w:t xml:space="preserve">Tax type </w:t>
            </w:r>
            <w:r>
              <w:br/>
            </w:r>
            <w:r w:rsidRPr="002A0EFC">
              <w:rPr>
                <w:b/>
              </w:rPr>
              <w:t>affected</w:t>
            </w:r>
          </w:p>
        </w:tc>
        <w:tc>
          <w:tcPr>
            <w:tcW w:w="240" w:type="pct"/>
            <w:tcBorders>
              <w:top w:val="single" w:sz="4" w:space="0" w:color="auto"/>
              <w:left w:val="nil"/>
              <w:bottom w:val="single" w:sz="4" w:space="0" w:color="auto"/>
              <w:right w:val="nil"/>
            </w:tcBorders>
            <w:shd w:val="clear" w:color="auto" w:fill="auto"/>
            <w:noWrap/>
            <w:vAlign w:val="center"/>
          </w:tcPr>
          <w:p w14:paraId="01DDE8E9" w14:textId="0DF6131B" w:rsidR="0023375E" w:rsidRPr="002A0EFC" w:rsidRDefault="00EC131D" w:rsidP="186F5814">
            <w:pPr>
              <w:pStyle w:val="TableTextLeft"/>
              <w:rPr>
                <w:b/>
              </w:rPr>
            </w:pPr>
            <w:r w:rsidRPr="002A0EFC">
              <w:rPr>
                <w:b/>
              </w:rPr>
              <w:t>Code</w:t>
            </w:r>
          </w:p>
        </w:tc>
        <w:tc>
          <w:tcPr>
            <w:tcW w:w="2221" w:type="pct"/>
            <w:tcBorders>
              <w:top w:val="single" w:sz="4" w:space="0" w:color="auto"/>
              <w:left w:val="nil"/>
              <w:bottom w:val="single" w:sz="4" w:space="0" w:color="auto"/>
              <w:right w:val="nil"/>
            </w:tcBorders>
            <w:shd w:val="clear" w:color="auto" w:fill="auto"/>
            <w:vAlign w:val="center"/>
          </w:tcPr>
          <w:p w14:paraId="393CE23A" w14:textId="3447BCD7" w:rsidR="0023375E" w:rsidRPr="002A0EFC" w:rsidRDefault="00EC131D" w:rsidP="186F5814">
            <w:pPr>
              <w:pStyle w:val="TableTextLeft"/>
              <w:rPr>
                <w:b/>
              </w:rPr>
            </w:pPr>
            <w:r w:rsidRPr="002A0EFC">
              <w:rPr>
                <w:b/>
              </w:rPr>
              <w:t>Title</w:t>
            </w:r>
          </w:p>
        </w:tc>
        <w:tc>
          <w:tcPr>
            <w:tcW w:w="483" w:type="pct"/>
            <w:tcBorders>
              <w:top w:val="single" w:sz="4" w:space="0" w:color="auto"/>
              <w:left w:val="nil"/>
              <w:bottom w:val="single" w:sz="4" w:space="0" w:color="auto"/>
              <w:right w:val="nil"/>
            </w:tcBorders>
            <w:vAlign w:val="center"/>
          </w:tcPr>
          <w:p w14:paraId="6FBF8BA9" w14:textId="3F244944" w:rsidR="0023375E" w:rsidRPr="002A0EFC" w:rsidRDefault="00EC131D" w:rsidP="186F5814">
            <w:pPr>
              <w:pStyle w:val="TableTextLeft"/>
              <w:rPr>
                <w:b/>
              </w:rPr>
            </w:pPr>
            <w:r w:rsidRPr="002A0EFC">
              <w:rPr>
                <w:b/>
              </w:rPr>
              <w:t>Distributional analysis included</w:t>
            </w:r>
          </w:p>
        </w:tc>
        <w:tc>
          <w:tcPr>
            <w:tcW w:w="634" w:type="pct"/>
            <w:tcBorders>
              <w:top w:val="single" w:sz="4" w:space="0" w:color="auto"/>
              <w:left w:val="nil"/>
              <w:bottom w:val="single" w:sz="4" w:space="0" w:color="auto"/>
              <w:right w:val="nil"/>
            </w:tcBorders>
            <w:shd w:val="clear" w:color="auto" w:fill="auto"/>
            <w:noWrap/>
            <w:vAlign w:val="center"/>
          </w:tcPr>
          <w:p w14:paraId="23ED4460" w14:textId="77777777" w:rsidR="00D76D54" w:rsidRDefault="00EC131D" w:rsidP="186F5814">
            <w:pPr>
              <w:pStyle w:val="TableTextLeft"/>
              <w:jc w:val="right"/>
              <w:rPr>
                <w:b/>
              </w:rPr>
            </w:pPr>
            <w:r w:rsidRPr="002A0EFC">
              <w:rPr>
                <w:b/>
              </w:rPr>
              <w:t xml:space="preserve">Revenue </w:t>
            </w:r>
          </w:p>
          <w:p w14:paraId="225DB2E8" w14:textId="101C2CBF" w:rsidR="0023375E" w:rsidRPr="002A0EFC" w:rsidRDefault="00EC131D" w:rsidP="186F5814">
            <w:pPr>
              <w:pStyle w:val="TableTextLeft"/>
              <w:jc w:val="right"/>
              <w:rPr>
                <w:b/>
              </w:rPr>
            </w:pPr>
            <w:r w:rsidRPr="002A0EFC">
              <w:rPr>
                <w:b/>
              </w:rPr>
              <w:t xml:space="preserve">forgone </w:t>
            </w:r>
            <w:r>
              <w:br/>
            </w:r>
            <w:r w:rsidRPr="002A0EFC">
              <w:rPr>
                <w:b/>
              </w:rPr>
              <w:t>20</w:t>
            </w:r>
            <w:r w:rsidR="00462EDC">
              <w:rPr>
                <w:b/>
              </w:rPr>
              <w:t>24</w:t>
            </w:r>
            <w:r w:rsidRPr="002A0EFC">
              <w:rPr>
                <w:b/>
              </w:rPr>
              <w:t>-2</w:t>
            </w:r>
            <w:r w:rsidR="00462EDC">
              <w:rPr>
                <w:b/>
              </w:rPr>
              <w:t>5</w:t>
            </w:r>
            <w:r w:rsidRPr="002A0EFC">
              <w:rPr>
                <w:b/>
              </w:rPr>
              <w:t xml:space="preserve"> ($m)*</w:t>
            </w:r>
          </w:p>
        </w:tc>
        <w:tc>
          <w:tcPr>
            <w:tcW w:w="509" w:type="pct"/>
            <w:tcBorders>
              <w:top w:val="single" w:sz="4" w:space="0" w:color="auto"/>
              <w:left w:val="nil"/>
              <w:bottom w:val="single" w:sz="4" w:space="0" w:color="auto"/>
              <w:right w:val="nil"/>
            </w:tcBorders>
            <w:vAlign w:val="center"/>
          </w:tcPr>
          <w:p w14:paraId="172BF9B4" w14:textId="77777777" w:rsidR="00D76D54" w:rsidRDefault="00EC131D" w:rsidP="186F5814">
            <w:pPr>
              <w:pStyle w:val="TableTextLeft"/>
              <w:jc w:val="right"/>
              <w:rPr>
                <w:b/>
              </w:rPr>
            </w:pPr>
            <w:r w:rsidRPr="002A0EFC">
              <w:rPr>
                <w:b/>
              </w:rPr>
              <w:t xml:space="preserve">Average </w:t>
            </w:r>
          </w:p>
          <w:p w14:paraId="27835850" w14:textId="28210E3D" w:rsidR="00D502F1" w:rsidRDefault="00EC131D" w:rsidP="186F5814">
            <w:pPr>
              <w:pStyle w:val="TableTextLeft"/>
              <w:jc w:val="right"/>
              <w:rPr>
                <w:b/>
              </w:rPr>
            </w:pPr>
            <w:r w:rsidRPr="002A0EFC">
              <w:rPr>
                <w:b/>
              </w:rPr>
              <w:t xml:space="preserve">growth </w:t>
            </w:r>
          </w:p>
          <w:p w14:paraId="359C78BA" w14:textId="02FC638A" w:rsidR="00D502F1" w:rsidRDefault="00EC131D" w:rsidP="186F5814">
            <w:pPr>
              <w:pStyle w:val="TableTextLeft"/>
              <w:jc w:val="right"/>
              <w:rPr>
                <w:b/>
              </w:rPr>
            </w:pPr>
            <w:r w:rsidRPr="002A0EFC">
              <w:rPr>
                <w:b/>
              </w:rPr>
              <w:t>20</w:t>
            </w:r>
            <w:r w:rsidR="00BA4654">
              <w:rPr>
                <w:b/>
              </w:rPr>
              <w:t>20</w:t>
            </w:r>
            <w:r w:rsidRPr="002A0EFC">
              <w:rPr>
                <w:b/>
              </w:rPr>
              <w:t>-2</w:t>
            </w:r>
            <w:r w:rsidR="00BA4654">
              <w:rPr>
                <w:b/>
              </w:rPr>
              <w:t>1</w:t>
            </w:r>
            <w:r w:rsidRPr="002A0EFC">
              <w:rPr>
                <w:b/>
              </w:rPr>
              <w:t xml:space="preserve"> to </w:t>
            </w:r>
          </w:p>
          <w:p w14:paraId="7FA51FF5" w14:textId="1AA48C06" w:rsidR="0023375E" w:rsidRPr="002A0EFC" w:rsidRDefault="00EC131D" w:rsidP="186F5814">
            <w:pPr>
              <w:pStyle w:val="TableTextLeft"/>
              <w:jc w:val="right"/>
              <w:rPr>
                <w:b/>
              </w:rPr>
            </w:pPr>
            <w:r w:rsidRPr="002A0EFC">
              <w:rPr>
                <w:b/>
              </w:rPr>
              <w:t>202</w:t>
            </w:r>
            <w:r w:rsidR="00BA4654">
              <w:rPr>
                <w:b/>
              </w:rPr>
              <w:t>3</w:t>
            </w:r>
            <w:r w:rsidRPr="002A0EFC">
              <w:rPr>
                <w:b/>
              </w:rPr>
              <w:t>-2</w:t>
            </w:r>
            <w:r w:rsidR="00BA4654">
              <w:rPr>
                <w:b/>
              </w:rPr>
              <w:t>4</w:t>
            </w:r>
            <w:r w:rsidRPr="002A0EFC">
              <w:rPr>
                <w:b/>
              </w:rPr>
              <w:t xml:space="preserve"> (%)</w:t>
            </w:r>
          </w:p>
        </w:tc>
        <w:tc>
          <w:tcPr>
            <w:tcW w:w="464" w:type="pct"/>
            <w:tcBorders>
              <w:top w:val="single" w:sz="4" w:space="0" w:color="auto"/>
              <w:left w:val="nil"/>
              <w:bottom w:val="single" w:sz="4" w:space="0" w:color="auto"/>
              <w:right w:val="nil"/>
            </w:tcBorders>
            <w:vAlign w:val="center"/>
          </w:tcPr>
          <w:p w14:paraId="7CC7E440" w14:textId="3377A970" w:rsidR="0023375E" w:rsidRPr="002A0EFC" w:rsidRDefault="00EC131D" w:rsidP="186F5814">
            <w:pPr>
              <w:pStyle w:val="TableTextLeft"/>
              <w:jc w:val="right"/>
              <w:rPr>
                <w:b/>
              </w:rPr>
            </w:pPr>
            <w:r w:rsidRPr="002A0EFC">
              <w:rPr>
                <w:b/>
              </w:rPr>
              <w:t>Average projected growth over FEs (%)</w:t>
            </w:r>
          </w:p>
        </w:tc>
      </w:tr>
      <w:tr w:rsidR="00C87413" w:rsidRPr="00273AA1" w14:paraId="115364C7"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7EA79782" w14:textId="54562CC6" w:rsidR="00C87413" w:rsidRDefault="00C87413" w:rsidP="00C87413">
            <w:pPr>
              <w:pStyle w:val="TableTextLeft"/>
              <w:rPr>
                <w:rFonts w:cs="Arial"/>
                <w:szCs w:val="16"/>
              </w:rPr>
            </w:pPr>
            <w:r>
              <w:rPr>
                <w:rFonts w:cs="Arial"/>
                <w:szCs w:val="16"/>
              </w:rPr>
              <w:t>Income</w:t>
            </w:r>
          </w:p>
        </w:tc>
        <w:tc>
          <w:tcPr>
            <w:tcW w:w="240" w:type="pct"/>
            <w:tcBorders>
              <w:top w:val="nil"/>
              <w:left w:val="nil"/>
              <w:bottom w:val="nil"/>
              <w:right w:val="nil"/>
            </w:tcBorders>
            <w:shd w:val="clear" w:color="auto" w:fill="auto"/>
            <w:noWrap/>
            <w:vAlign w:val="center"/>
          </w:tcPr>
          <w:p w14:paraId="7E6C50CE" w14:textId="09008DE9" w:rsidR="00C87413" w:rsidRDefault="00C87413" w:rsidP="00C87413">
            <w:pPr>
              <w:pStyle w:val="TableTextLeft"/>
              <w:rPr>
                <w:rFonts w:cs="Arial"/>
                <w:szCs w:val="16"/>
              </w:rPr>
            </w:pPr>
            <w:r>
              <w:rPr>
                <w:rFonts w:cs="Arial"/>
                <w:szCs w:val="16"/>
              </w:rPr>
              <w:t>A58</w:t>
            </w:r>
          </w:p>
        </w:tc>
        <w:tc>
          <w:tcPr>
            <w:tcW w:w="2221" w:type="pct"/>
            <w:tcBorders>
              <w:top w:val="nil"/>
              <w:left w:val="nil"/>
              <w:bottom w:val="nil"/>
              <w:right w:val="nil"/>
            </w:tcBorders>
            <w:shd w:val="clear" w:color="auto" w:fill="auto"/>
            <w:vAlign w:val="center"/>
          </w:tcPr>
          <w:p w14:paraId="1C64F556" w14:textId="7550DF49" w:rsidR="00C87413" w:rsidRDefault="00C87413" w:rsidP="00C87413">
            <w:pPr>
              <w:pStyle w:val="TableTextLeft"/>
              <w:rPr>
                <w:rFonts w:cs="Arial"/>
                <w:szCs w:val="16"/>
              </w:rPr>
            </w:pPr>
            <w:r>
              <w:rPr>
                <w:rFonts w:cs="Arial"/>
                <w:szCs w:val="16"/>
              </w:rPr>
              <w:t>Philanthropy – deduction for gifts to private giving funds</w:t>
            </w:r>
          </w:p>
        </w:tc>
        <w:tc>
          <w:tcPr>
            <w:tcW w:w="483" w:type="pct"/>
            <w:tcBorders>
              <w:top w:val="nil"/>
              <w:left w:val="nil"/>
              <w:bottom w:val="nil"/>
              <w:right w:val="nil"/>
            </w:tcBorders>
            <w:vAlign w:val="center"/>
          </w:tcPr>
          <w:p w14:paraId="68249984" w14:textId="3A92E3D6" w:rsidR="00C87413" w:rsidRPr="002A0EFC" w:rsidRDefault="00C87413" w:rsidP="00C87413">
            <w:pPr>
              <w:pStyle w:val="TableTextLeft"/>
            </w:pPr>
            <w:r>
              <w:rPr>
                <w:rFonts w:cs="Arial"/>
                <w:szCs w:val="16"/>
              </w:rPr>
              <w:t>Y</w:t>
            </w:r>
          </w:p>
        </w:tc>
        <w:tc>
          <w:tcPr>
            <w:tcW w:w="634" w:type="pct"/>
            <w:tcBorders>
              <w:top w:val="nil"/>
              <w:left w:val="nil"/>
              <w:bottom w:val="nil"/>
              <w:right w:val="nil"/>
            </w:tcBorders>
            <w:shd w:val="clear" w:color="auto" w:fill="auto"/>
            <w:noWrap/>
            <w:vAlign w:val="center"/>
          </w:tcPr>
          <w:p w14:paraId="5F223C69" w14:textId="303B6D5F" w:rsidR="00C87413" w:rsidRDefault="00C87413" w:rsidP="00C87413">
            <w:pPr>
              <w:pStyle w:val="TableTextLeft"/>
              <w:jc w:val="right"/>
              <w:rPr>
                <w:rFonts w:cs="Arial"/>
                <w:szCs w:val="16"/>
              </w:rPr>
            </w:pPr>
            <w:r>
              <w:rPr>
                <w:rFonts w:cs="Arial"/>
                <w:szCs w:val="16"/>
              </w:rPr>
              <w:t xml:space="preserve">                           700 </w:t>
            </w:r>
          </w:p>
        </w:tc>
        <w:tc>
          <w:tcPr>
            <w:tcW w:w="509" w:type="pct"/>
            <w:tcBorders>
              <w:top w:val="nil"/>
              <w:left w:val="nil"/>
              <w:bottom w:val="nil"/>
              <w:right w:val="nil"/>
            </w:tcBorders>
            <w:vAlign w:val="center"/>
          </w:tcPr>
          <w:p w14:paraId="3F7471B8" w14:textId="72DFAD2D" w:rsidR="00C87413" w:rsidRDefault="00C87413" w:rsidP="00C87413">
            <w:pPr>
              <w:pStyle w:val="TableTextLeft"/>
              <w:jc w:val="right"/>
              <w:rPr>
                <w:rFonts w:cs="Arial"/>
                <w:szCs w:val="16"/>
              </w:rPr>
            </w:pPr>
            <w:r>
              <w:rPr>
                <w:rFonts w:cs="Arial"/>
                <w:szCs w:val="16"/>
              </w:rPr>
              <w:t>24.2</w:t>
            </w:r>
          </w:p>
        </w:tc>
        <w:tc>
          <w:tcPr>
            <w:tcW w:w="464" w:type="pct"/>
            <w:tcBorders>
              <w:top w:val="nil"/>
              <w:left w:val="nil"/>
              <w:bottom w:val="nil"/>
              <w:right w:val="nil"/>
            </w:tcBorders>
            <w:vAlign w:val="center"/>
          </w:tcPr>
          <w:p w14:paraId="713B770F" w14:textId="0A03851F" w:rsidR="00C87413" w:rsidRDefault="00C87413" w:rsidP="00C87413">
            <w:pPr>
              <w:pStyle w:val="TableTextLeft"/>
              <w:jc w:val="right"/>
              <w:rPr>
                <w:rFonts w:cs="Arial"/>
                <w:szCs w:val="16"/>
              </w:rPr>
            </w:pPr>
            <w:r>
              <w:rPr>
                <w:rFonts w:cs="Arial"/>
                <w:szCs w:val="16"/>
              </w:rPr>
              <w:t>3.0</w:t>
            </w:r>
          </w:p>
        </w:tc>
      </w:tr>
      <w:tr w:rsidR="00C87413" w:rsidRPr="00273AA1" w14:paraId="6B2BD27C"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AD377FD" w14:textId="44910345" w:rsidR="00C87413" w:rsidRDefault="00C87413" w:rsidP="00C87413">
            <w:pPr>
              <w:pStyle w:val="TableTextLeft"/>
              <w:rPr>
                <w:rFonts w:cs="Arial"/>
                <w:szCs w:val="16"/>
              </w:rPr>
            </w:pPr>
            <w:r>
              <w:rPr>
                <w:rFonts w:cs="Arial"/>
                <w:szCs w:val="16"/>
              </w:rPr>
              <w:t>GST</w:t>
            </w:r>
          </w:p>
        </w:tc>
        <w:tc>
          <w:tcPr>
            <w:tcW w:w="240" w:type="pct"/>
            <w:tcBorders>
              <w:top w:val="nil"/>
              <w:left w:val="nil"/>
              <w:bottom w:val="nil"/>
              <w:right w:val="nil"/>
            </w:tcBorders>
            <w:shd w:val="clear" w:color="auto" w:fill="auto"/>
            <w:noWrap/>
            <w:vAlign w:val="center"/>
          </w:tcPr>
          <w:p w14:paraId="4DAF100F" w14:textId="0A3757B8" w:rsidR="00C87413" w:rsidRDefault="00C87413" w:rsidP="00C87413">
            <w:pPr>
              <w:pStyle w:val="TableTextLeft"/>
              <w:rPr>
                <w:rFonts w:cs="Arial"/>
                <w:szCs w:val="16"/>
              </w:rPr>
            </w:pPr>
            <w:r>
              <w:rPr>
                <w:rFonts w:cs="Arial"/>
                <w:szCs w:val="16"/>
              </w:rPr>
              <w:t>H15</w:t>
            </w:r>
          </w:p>
        </w:tc>
        <w:tc>
          <w:tcPr>
            <w:tcW w:w="2221" w:type="pct"/>
            <w:tcBorders>
              <w:top w:val="nil"/>
              <w:left w:val="nil"/>
              <w:bottom w:val="nil"/>
              <w:right w:val="nil"/>
            </w:tcBorders>
            <w:shd w:val="clear" w:color="auto" w:fill="auto"/>
            <w:vAlign w:val="center"/>
          </w:tcPr>
          <w:p w14:paraId="5007DFB2" w14:textId="082CE5AB" w:rsidR="00C87413" w:rsidRDefault="00C87413" w:rsidP="00C87413">
            <w:pPr>
              <w:pStyle w:val="TableTextLeft"/>
              <w:rPr>
                <w:rFonts w:cs="Arial"/>
                <w:szCs w:val="16"/>
              </w:rPr>
            </w:pPr>
            <w:r>
              <w:rPr>
                <w:rFonts w:cs="Arial"/>
                <w:szCs w:val="16"/>
              </w:rPr>
              <w:t>Health – drugs and medicinal preparations</w:t>
            </w:r>
          </w:p>
        </w:tc>
        <w:tc>
          <w:tcPr>
            <w:tcW w:w="483" w:type="pct"/>
            <w:tcBorders>
              <w:top w:val="nil"/>
              <w:left w:val="nil"/>
              <w:bottom w:val="nil"/>
              <w:right w:val="nil"/>
            </w:tcBorders>
            <w:vAlign w:val="center"/>
          </w:tcPr>
          <w:p w14:paraId="591D9E1B" w14:textId="77777777" w:rsidR="00C87413" w:rsidRPr="002A0EFC" w:rsidRDefault="00C87413" w:rsidP="00C87413">
            <w:pPr>
              <w:pStyle w:val="TableTextLeft"/>
            </w:pPr>
          </w:p>
        </w:tc>
        <w:tc>
          <w:tcPr>
            <w:tcW w:w="634" w:type="pct"/>
            <w:tcBorders>
              <w:top w:val="nil"/>
              <w:left w:val="nil"/>
              <w:bottom w:val="nil"/>
              <w:right w:val="nil"/>
            </w:tcBorders>
            <w:shd w:val="clear" w:color="auto" w:fill="auto"/>
            <w:noWrap/>
            <w:vAlign w:val="center"/>
          </w:tcPr>
          <w:p w14:paraId="604767F8" w14:textId="3D7390F6" w:rsidR="00C87413" w:rsidRDefault="00C87413" w:rsidP="00C87413">
            <w:pPr>
              <w:pStyle w:val="TableTextLeft"/>
              <w:jc w:val="right"/>
              <w:rPr>
                <w:rFonts w:cs="Arial"/>
                <w:szCs w:val="16"/>
              </w:rPr>
            </w:pPr>
            <w:r>
              <w:rPr>
                <w:rFonts w:cs="Arial"/>
                <w:szCs w:val="16"/>
              </w:rPr>
              <w:t xml:space="preserve">                           700 </w:t>
            </w:r>
          </w:p>
        </w:tc>
        <w:tc>
          <w:tcPr>
            <w:tcW w:w="509" w:type="pct"/>
            <w:tcBorders>
              <w:top w:val="nil"/>
              <w:left w:val="nil"/>
              <w:bottom w:val="nil"/>
              <w:right w:val="nil"/>
            </w:tcBorders>
            <w:vAlign w:val="center"/>
          </w:tcPr>
          <w:p w14:paraId="2E6C8018" w14:textId="158CFDEB" w:rsidR="00C87413" w:rsidRDefault="00C87413" w:rsidP="00C87413">
            <w:pPr>
              <w:pStyle w:val="TableTextLeft"/>
              <w:jc w:val="right"/>
              <w:rPr>
                <w:rFonts w:cs="Arial"/>
                <w:szCs w:val="16"/>
              </w:rPr>
            </w:pPr>
            <w:r>
              <w:rPr>
                <w:rFonts w:cs="Arial"/>
                <w:szCs w:val="16"/>
              </w:rPr>
              <w:t>38.2</w:t>
            </w:r>
          </w:p>
        </w:tc>
        <w:tc>
          <w:tcPr>
            <w:tcW w:w="464" w:type="pct"/>
            <w:tcBorders>
              <w:top w:val="nil"/>
              <w:left w:val="nil"/>
              <w:bottom w:val="nil"/>
              <w:right w:val="nil"/>
            </w:tcBorders>
            <w:vAlign w:val="center"/>
          </w:tcPr>
          <w:p w14:paraId="137ADAE2" w14:textId="5CF5DDF6" w:rsidR="00C87413" w:rsidRDefault="00C87413" w:rsidP="00C87413">
            <w:pPr>
              <w:pStyle w:val="TableTextLeft"/>
              <w:jc w:val="right"/>
              <w:rPr>
                <w:rFonts w:cs="Arial"/>
                <w:szCs w:val="16"/>
              </w:rPr>
            </w:pPr>
            <w:r>
              <w:rPr>
                <w:rFonts w:cs="Arial"/>
                <w:szCs w:val="16"/>
              </w:rPr>
              <w:t>6.5</w:t>
            </w:r>
          </w:p>
        </w:tc>
      </w:tr>
      <w:tr w:rsidR="000D7B5C" w:rsidRPr="00273AA1" w14:paraId="23023805"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A35FBE4" w14:textId="6271CAAE" w:rsidR="0085746B" w:rsidRPr="002A0EFC" w:rsidRDefault="0085746B" w:rsidP="186F5814">
            <w:pPr>
              <w:pStyle w:val="TableTextLeft"/>
            </w:pPr>
            <w:r>
              <w:rPr>
                <w:rFonts w:cs="Arial"/>
                <w:szCs w:val="16"/>
              </w:rPr>
              <w:t>Income</w:t>
            </w:r>
          </w:p>
        </w:tc>
        <w:tc>
          <w:tcPr>
            <w:tcW w:w="240" w:type="pct"/>
            <w:tcBorders>
              <w:top w:val="nil"/>
              <w:left w:val="nil"/>
              <w:bottom w:val="nil"/>
              <w:right w:val="nil"/>
            </w:tcBorders>
            <w:shd w:val="clear" w:color="auto" w:fill="auto"/>
            <w:noWrap/>
            <w:vAlign w:val="center"/>
          </w:tcPr>
          <w:p w14:paraId="340D3D55" w14:textId="42EBB69E" w:rsidR="0085746B" w:rsidRPr="002A0EFC" w:rsidRDefault="00CF5C65" w:rsidP="186F5814">
            <w:pPr>
              <w:pStyle w:val="TableTextLeft"/>
            </w:pPr>
            <w:r>
              <w:rPr>
                <w:rFonts w:cs="Arial"/>
                <w:szCs w:val="16"/>
              </w:rPr>
              <w:t>A34</w:t>
            </w:r>
          </w:p>
        </w:tc>
        <w:tc>
          <w:tcPr>
            <w:tcW w:w="2221" w:type="pct"/>
            <w:tcBorders>
              <w:top w:val="nil"/>
              <w:left w:val="nil"/>
              <w:bottom w:val="nil"/>
              <w:right w:val="nil"/>
            </w:tcBorders>
            <w:shd w:val="clear" w:color="auto" w:fill="auto"/>
            <w:vAlign w:val="center"/>
          </w:tcPr>
          <w:p w14:paraId="7AF6C81B" w14:textId="3FCED012" w:rsidR="0085746B" w:rsidRPr="002A0EFC" w:rsidRDefault="00CF5C65" w:rsidP="186F5814">
            <w:pPr>
              <w:pStyle w:val="TableTextLeft"/>
            </w:pPr>
            <w:r>
              <w:rPr>
                <w:rFonts w:cs="Arial"/>
                <w:szCs w:val="16"/>
              </w:rPr>
              <w:t>Working holiday makers</w:t>
            </w:r>
          </w:p>
        </w:tc>
        <w:tc>
          <w:tcPr>
            <w:tcW w:w="483" w:type="pct"/>
            <w:tcBorders>
              <w:top w:val="nil"/>
              <w:left w:val="nil"/>
              <w:bottom w:val="nil"/>
              <w:right w:val="nil"/>
            </w:tcBorders>
            <w:vAlign w:val="center"/>
          </w:tcPr>
          <w:p w14:paraId="6867B907" w14:textId="5CB58863" w:rsidR="0085746B" w:rsidRPr="002A0EFC" w:rsidRDefault="0085746B" w:rsidP="186F5814">
            <w:pPr>
              <w:pStyle w:val="TableTextLeft"/>
            </w:pPr>
          </w:p>
        </w:tc>
        <w:tc>
          <w:tcPr>
            <w:tcW w:w="634" w:type="pct"/>
            <w:tcBorders>
              <w:top w:val="nil"/>
              <w:left w:val="nil"/>
              <w:bottom w:val="nil"/>
              <w:right w:val="nil"/>
            </w:tcBorders>
            <w:shd w:val="clear" w:color="auto" w:fill="auto"/>
            <w:noWrap/>
            <w:vAlign w:val="center"/>
          </w:tcPr>
          <w:p w14:paraId="6E32403F" w14:textId="37F3417B" w:rsidR="0085746B" w:rsidRPr="002A0EFC" w:rsidRDefault="00C8155D" w:rsidP="186F5814">
            <w:pPr>
              <w:pStyle w:val="TableTextLeft"/>
              <w:jc w:val="right"/>
            </w:pPr>
            <w:r>
              <w:rPr>
                <w:rFonts w:cs="Arial"/>
                <w:szCs w:val="16"/>
              </w:rPr>
              <w:t xml:space="preserve">                           525 </w:t>
            </w:r>
          </w:p>
        </w:tc>
        <w:tc>
          <w:tcPr>
            <w:tcW w:w="509" w:type="pct"/>
            <w:tcBorders>
              <w:top w:val="nil"/>
              <w:left w:val="nil"/>
              <w:bottom w:val="nil"/>
              <w:right w:val="nil"/>
            </w:tcBorders>
            <w:vAlign w:val="center"/>
          </w:tcPr>
          <w:p w14:paraId="18D790A6" w14:textId="1B26BA03" w:rsidR="0085746B" w:rsidRPr="002A0EFC" w:rsidRDefault="00C9455C" w:rsidP="186F5814">
            <w:pPr>
              <w:pStyle w:val="TableTextLeft"/>
              <w:jc w:val="right"/>
            </w:pPr>
            <w:r>
              <w:rPr>
                <w:rFonts w:cs="Arial"/>
                <w:szCs w:val="16"/>
              </w:rPr>
              <w:t>42.6</w:t>
            </w:r>
          </w:p>
        </w:tc>
        <w:tc>
          <w:tcPr>
            <w:tcW w:w="464" w:type="pct"/>
            <w:tcBorders>
              <w:top w:val="nil"/>
              <w:left w:val="nil"/>
              <w:bottom w:val="nil"/>
              <w:right w:val="nil"/>
            </w:tcBorders>
            <w:vAlign w:val="center"/>
          </w:tcPr>
          <w:p w14:paraId="20D4E92D" w14:textId="15BF70E1" w:rsidR="0085746B" w:rsidRPr="002A0EFC" w:rsidRDefault="005E7EDC" w:rsidP="186F5814">
            <w:pPr>
              <w:pStyle w:val="TableTextLeft"/>
              <w:jc w:val="right"/>
            </w:pPr>
            <w:r>
              <w:rPr>
                <w:rFonts w:cs="Arial"/>
                <w:szCs w:val="16"/>
              </w:rPr>
              <w:t>-1.1</w:t>
            </w:r>
          </w:p>
        </w:tc>
      </w:tr>
      <w:tr w:rsidR="000D7B5C" w:rsidRPr="00273AA1" w14:paraId="72CBD49B"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7D30FEE1" w14:textId="592BCF22" w:rsidR="0085746B" w:rsidRPr="002A0EFC" w:rsidRDefault="00CF5C65" w:rsidP="186F5814">
            <w:pPr>
              <w:pStyle w:val="TableTextLeft"/>
            </w:pPr>
            <w:r>
              <w:rPr>
                <w:rFonts w:cs="Arial"/>
                <w:szCs w:val="16"/>
              </w:rPr>
              <w:t>GST</w:t>
            </w:r>
          </w:p>
        </w:tc>
        <w:tc>
          <w:tcPr>
            <w:tcW w:w="240" w:type="pct"/>
            <w:tcBorders>
              <w:top w:val="nil"/>
              <w:left w:val="nil"/>
              <w:bottom w:val="nil"/>
              <w:right w:val="nil"/>
            </w:tcBorders>
            <w:shd w:val="clear" w:color="auto" w:fill="auto"/>
            <w:noWrap/>
            <w:vAlign w:val="center"/>
          </w:tcPr>
          <w:p w14:paraId="5BAEF4A6" w14:textId="675313BF" w:rsidR="0085746B" w:rsidRPr="002A0EFC" w:rsidRDefault="00CF5C65" w:rsidP="186F5814">
            <w:pPr>
              <w:pStyle w:val="TableTextLeft"/>
            </w:pPr>
            <w:r>
              <w:rPr>
                <w:rFonts w:cs="Arial"/>
                <w:szCs w:val="16"/>
              </w:rPr>
              <w:t>H19</w:t>
            </w:r>
          </w:p>
        </w:tc>
        <w:tc>
          <w:tcPr>
            <w:tcW w:w="2221" w:type="pct"/>
            <w:tcBorders>
              <w:top w:val="nil"/>
              <w:left w:val="nil"/>
              <w:bottom w:val="nil"/>
              <w:right w:val="nil"/>
            </w:tcBorders>
            <w:shd w:val="clear" w:color="auto" w:fill="auto"/>
            <w:vAlign w:val="center"/>
          </w:tcPr>
          <w:p w14:paraId="61EC6855" w14:textId="45AD9391" w:rsidR="0085746B" w:rsidRPr="002A0EFC" w:rsidRDefault="00CF5C65" w:rsidP="186F5814">
            <w:pPr>
              <w:pStyle w:val="TableTextLeft"/>
            </w:pPr>
            <w:r>
              <w:rPr>
                <w:rFonts w:cs="Arial"/>
                <w:szCs w:val="16"/>
              </w:rPr>
              <w:t>Private health insurance</w:t>
            </w:r>
          </w:p>
        </w:tc>
        <w:tc>
          <w:tcPr>
            <w:tcW w:w="483" w:type="pct"/>
            <w:tcBorders>
              <w:top w:val="nil"/>
              <w:left w:val="nil"/>
              <w:bottom w:val="nil"/>
              <w:right w:val="nil"/>
            </w:tcBorders>
            <w:vAlign w:val="center"/>
          </w:tcPr>
          <w:p w14:paraId="456B7186" w14:textId="77777777" w:rsidR="0085746B" w:rsidRPr="002A0EFC" w:rsidRDefault="0085746B" w:rsidP="186F5814">
            <w:pPr>
              <w:pStyle w:val="TableTextLeft"/>
            </w:pPr>
          </w:p>
        </w:tc>
        <w:tc>
          <w:tcPr>
            <w:tcW w:w="634" w:type="pct"/>
            <w:tcBorders>
              <w:top w:val="nil"/>
              <w:left w:val="nil"/>
              <w:bottom w:val="nil"/>
              <w:right w:val="nil"/>
            </w:tcBorders>
            <w:shd w:val="clear" w:color="auto" w:fill="auto"/>
            <w:noWrap/>
            <w:vAlign w:val="center"/>
          </w:tcPr>
          <w:p w14:paraId="45EF0A0E" w14:textId="1E781FA6" w:rsidR="0085746B" w:rsidRPr="002A0EFC" w:rsidRDefault="00C8155D" w:rsidP="186F5814">
            <w:pPr>
              <w:pStyle w:val="TableTextLeft"/>
              <w:jc w:val="right"/>
            </w:pPr>
            <w:r>
              <w:rPr>
                <w:rFonts w:cs="Arial"/>
                <w:szCs w:val="16"/>
              </w:rPr>
              <w:t xml:space="preserve">                           500 </w:t>
            </w:r>
          </w:p>
        </w:tc>
        <w:tc>
          <w:tcPr>
            <w:tcW w:w="509" w:type="pct"/>
            <w:tcBorders>
              <w:top w:val="nil"/>
              <w:left w:val="nil"/>
              <w:bottom w:val="nil"/>
              <w:right w:val="nil"/>
            </w:tcBorders>
            <w:vAlign w:val="center"/>
          </w:tcPr>
          <w:p w14:paraId="7E6195E5" w14:textId="48778116" w:rsidR="0085746B" w:rsidRPr="002A0EFC" w:rsidRDefault="00CF5C65" w:rsidP="186F5814">
            <w:pPr>
              <w:pStyle w:val="TableTextLeft"/>
              <w:jc w:val="right"/>
            </w:pPr>
            <w:r>
              <w:rPr>
                <w:rFonts w:cs="Arial"/>
                <w:szCs w:val="16"/>
              </w:rPr>
              <w:t>7.0</w:t>
            </w:r>
          </w:p>
        </w:tc>
        <w:tc>
          <w:tcPr>
            <w:tcW w:w="464" w:type="pct"/>
            <w:tcBorders>
              <w:top w:val="nil"/>
              <w:left w:val="nil"/>
              <w:bottom w:val="nil"/>
              <w:right w:val="nil"/>
            </w:tcBorders>
            <w:vAlign w:val="center"/>
          </w:tcPr>
          <w:p w14:paraId="00C07818" w14:textId="34714454" w:rsidR="0085746B" w:rsidRPr="002A0EFC" w:rsidRDefault="00CF5C65" w:rsidP="186F5814">
            <w:pPr>
              <w:pStyle w:val="TableTextLeft"/>
              <w:jc w:val="right"/>
            </w:pPr>
            <w:r>
              <w:rPr>
                <w:rFonts w:cs="Arial"/>
                <w:szCs w:val="16"/>
              </w:rPr>
              <w:t>2.0</w:t>
            </w:r>
          </w:p>
        </w:tc>
      </w:tr>
      <w:tr w:rsidR="00BC13E5" w:rsidRPr="00273AA1" w14:paraId="314BC204" w14:textId="77777777" w:rsidTr="00517EF1">
        <w:trPr>
          <w:cantSplit/>
          <w:trHeight w:val="71"/>
        </w:trPr>
        <w:tc>
          <w:tcPr>
            <w:tcW w:w="20" w:type="pct"/>
            <w:tcBorders>
              <w:top w:val="nil"/>
              <w:left w:val="nil"/>
              <w:bottom w:val="nil"/>
              <w:right w:val="nil"/>
            </w:tcBorders>
            <w:shd w:val="clear" w:color="auto" w:fill="auto"/>
            <w:noWrap/>
            <w:vAlign w:val="center"/>
            <w:hideMark/>
          </w:tcPr>
          <w:p w14:paraId="1C2C7208" w14:textId="77777777" w:rsidR="00913C95" w:rsidRPr="002A0EFC" w:rsidRDefault="00913C95" w:rsidP="186F5814">
            <w:pPr>
              <w:pStyle w:val="TableColumnHeadingLeft"/>
            </w:pPr>
          </w:p>
        </w:tc>
        <w:tc>
          <w:tcPr>
            <w:tcW w:w="4007" w:type="pct"/>
            <w:gridSpan w:val="5"/>
            <w:tcBorders>
              <w:top w:val="nil"/>
              <w:left w:val="nil"/>
              <w:bottom w:val="nil"/>
              <w:right w:val="nil"/>
            </w:tcBorders>
            <w:shd w:val="clear" w:color="auto" w:fill="auto"/>
            <w:noWrap/>
            <w:vAlign w:val="center"/>
            <w:hideMark/>
          </w:tcPr>
          <w:p w14:paraId="45445469" w14:textId="4876F657" w:rsidR="00913C95" w:rsidRPr="002A0EFC" w:rsidRDefault="00D76D54" w:rsidP="00D76D54">
            <w:pPr>
              <w:pStyle w:val="TableColumnHeadingLeft"/>
            </w:pPr>
            <w:r w:rsidRPr="00642C0B">
              <w:t>Negative tax expenditures</w:t>
            </w:r>
          </w:p>
        </w:tc>
        <w:tc>
          <w:tcPr>
            <w:tcW w:w="970" w:type="pct"/>
            <w:gridSpan w:val="2"/>
            <w:tcBorders>
              <w:top w:val="nil"/>
              <w:left w:val="nil"/>
              <w:bottom w:val="nil"/>
              <w:right w:val="nil"/>
            </w:tcBorders>
            <w:vAlign w:val="center"/>
          </w:tcPr>
          <w:p w14:paraId="69670C32" w14:textId="77777777" w:rsidR="00913C95" w:rsidRPr="002A0EFC" w:rsidRDefault="00913C95" w:rsidP="186F5814">
            <w:pPr>
              <w:pStyle w:val="TableColumnHeadingLeft"/>
              <w:jc w:val="right"/>
            </w:pPr>
          </w:p>
        </w:tc>
      </w:tr>
      <w:tr w:rsidR="00872635" w:rsidRPr="00273AA1" w14:paraId="6D028699"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326BE354" w14:textId="076590F5" w:rsidR="001B429F" w:rsidRPr="002A0EFC" w:rsidRDefault="00F33268" w:rsidP="186F5814">
            <w:pPr>
              <w:pStyle w:val="TableTextLeft"/>
            </w:pPr>
            <w:r w:rsidRPr="00DE7A72">
              <w:t>Income</w:t>
            </w:r>
          </w:p>
        </w:tc>
        <w:tc>
          <w:tcPr>
            <w:tcW w:w="240" w:type="pct"/>
            <w:tcBorders>
              <w:top w:val="nil"/>
              <w:left w:val="nil"/>
              <w:bottom w:val="nil"/>
              <w:right w:val="nil"/>
            </w:tcBorders>
            <w:shd w:val="clear" w:color="auto" w:fill="auto"/>
            <w:noWrap/>
            <w:vAlign w:val="center"/>
          </w:tcPr>
          <w:p w14:paraId="6FFCE6FA" w14:textId="39103611" w:rsidR="001B429F" w:rsidRPr="002A0EFC" w:rsidRDefault="00307503" w:rsidP="186F5814">
            <w:pPr>
              <w:pStyle w:val="TableTextLeft"/>
            </w:pPr>
            <w:r w:rsidRPr="00C135D9">
              <w:t>B82</w:t>
            </w:r>
          </w:p>
        </w:tc>
        <w:tc>
          <w:tcPr>
            <w:tcW w:w="2221" w:type="pct"/>
            <w:tcBorders>
              <w:top w:val="nil"/>
              <w:left w:val="nil"/>
              <w:bottom w:val="nil"/>
              <w:right w:val="nil"/>
            </w:tcBorders>
            <w:shd w:val="clear" w:color="auto" w:fill="auto"/>
            <w:vAlign w:val="center"/>
          </w:tcPr>
          <w:p w14:paraId="54360060" w14:textId="1310428D" w:rsidR="001B429F" w:rsidRPr="002A0EFC" w:rsidRDefault="00F33268" w:rsidP="186F5814">
            <w:pPr>
              <w:pStyle w:val="TableTextLeft"/>
            </w:pPr>
            <w:r w:rsidRPr="00DE7A72">
              <w:t>Accelerated depreciation for business entities</w:t>
            </w:r>
          </w:p>
        </w:tc>
        <w:tc>
          <w:tcPr>
            <w:tcW w:w="483" w:type="pct"/>
            <w:tcBorders>
              <w:top w:val="nil"/>
              <w:left w:val="nil"/>
              <w:bottom w:val="nil"/>
              <w:right w:val="nil"/>
            </w:tcBorders>
            <w:vAlign w:val="center"/>
          </w:tcPr>
          <w:p w14:paraId="36B950F2"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E63273B" w14:textId="56FB95E8" w:rsidR="001B429F" w:rsidRPr="002A0EFC" w:rsidRDefault="00307503" w:rsidP="186F5814">
            <w:pPr>
              <w:pStyle w:val="TableTextLeft"/>
              <w:jc w:val="right"/>
            </w:pPr>
            <w:r w:rsidRPr="00C135D9">
              <w:t>-3</w:t>
            </w:r>
            <w:r w:rsidR="00835D84">
              <w:t>,</w:t>
            </w:r>
            <w:r w:rsidRPr="00C135D9">
              <w:t>900</w:t>
            </w:r>
          </w:p>
        </w:tc>
        <w:tc>
          <w:tcPr>
            <w:tcW w:w="509" w:type="pct"/>
            <w:tcBorders>
              <w:top w:val="nil"/>
              <w:left w:val="nil"/>
              <w:bottom w:val="nil"/>
              <w:right w:val="nil"/>
            </w:tcBorders>
            <w:vAlign w:val="center"/>
          </w:tcPr>
          <w:p w14:paraId="3CE50209" w14:textId="6CEE4E3C" w:rsidR="001B429F" w:rsidRPr="002A0EFC" w:rsidRDefault="00F33268" w:rsidP="186F5814">
            <w:pPr>
              <w:pStyle w:val="TableTextLeft"/>
              <w:jc w:val="right"/>
            </w:pPr>
            <w:r w:rsidRPr="00DE7A72">
              <w:t>168</w:t>
            </w:r>
          </w:p>
        </w:tc>
        <w:tc>
          <w:tcPr>
            <w:tcW w:w="464" w:type="pct"/>
            <w:tcBorders>
              <w:top w:val="nil"/>
              <w:left w:val="nil"/>
              <w:bottom w:val="nil"/>
              <w:right w:val="nil"/>
            </w:tcBorders>
            <w:vAlign w:val="center"/>
          </w:tcPr>
          <w:p w14:paraId="388BF9FF" w14:textId="5E9793EF" w:rsidR="001B429F" w:rsidRPr="002A0EFC" w:rsidRDefault="00F33268" w:rsidP="186F5814">
            <w:pPr>
              <w:pStyle w:val="TableTextLeft"/>
              <w:jc w:val="right"/>
            </w:pPr>
            <w:r w:rsidRPr="00DE7A72">
              <w:t>N/A</w:t>
            </w:r>
          </w:p>
        </w:tc>
      </w:tr>
      <w:tr w:rsidR="00872635" w:rsidRPr="00273AA1" w14:paraId="0A97D241"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02602005" w14:textId="126DAC55" w:rsidR="001B429F" w:rsidRPr="002A0EFC" w:rsidRDefault="00F33268" w:rsidP="186F5814">
            <w:pPr>
              <w:pStyle w:val="TableTextLeft"/>
            </w:pPr>
            <w:r w:rsidRPr="00DE7A72">
              <w:t>Income</w:t>
            </w:r>
          </w:p>
        </w:tc>
        <w:tc>
          <w:tcPr>
            <w:tcW w:w="240" w:type="pct"/>
            <w:tcBorders>
              <w:top w:val="nil"/>
              <w:left w:val="nil"/>
              <w:bottom w:val="nil"/>
              <w:right w:val="nil"/>
            </w:tcBorders>
            <w:shd w:val="clear" w:color="auto" w:fill="auto"/>
            <w:noWrap/>
            <w:vAlign w:val="center"/>
          </w:tcPr>
          <w:p w14:paraId="3CB91BC2" w14:textId="15B183D6" w:rsidR="001B429F" w:rsidRPr="002A0EFC" w:rsidRDefault="00307503" w:rsidP="186F5814">
            <w:pPr>
              <w:pStyle w:val="TableTextLeft"/>
            </w:pPr>
            <w:r w:rsidRPr="00C135D9">
              <w:t>B88</w:t>
            </w:r>
          </w:p>
        </w:tc>
        <w:tc>
          <w:tcPr>
            <w:tcW w:w="2221" w:type="pct"/>
            <w:tcBorders>
              <w:top w:val="nil"/>
              <w:left w:val="nil"/>
              <w:bottom w:val="nil"/>
              <w:right w:val="nil"/>
            </w:tcBorders>
            <w:shd w:val="clear" w:color="auto" w:fill="auto"/>
            <w:vAlign w:val="center"/>
          </w:tcPr>
          <w:p w14:paraId="246AC74F" w14:textId="270B96B1" w:rsidR="001B429F" w:rsidRPr="002A0EFC" w:rsidRDefault="00F33268" w:rsidP="186F5814">
            <w:pPr>
              <w:pStyle w:val="TableTextLeft"/>
            </w:pPr>
            <w:r w:rsidRPr="00DE7A72">
              <w:t>Simplified depreciation rules</w:t>
            </w:r>
          </w:p>
        </w:tc>
        <w:tc>
          <w:tcPr>
            <w:tcW w:w="483" w:type="pct"/>
            <w:tcBorders>
              <w:top w:val="nil"/>
              <w:left w:val="nil"/>
              <w:bottom w:val="nil"/>
              <w:right w:val="nil"/>
            </w:tcBorders>
            <w:vAlign w:val="center"/>
          </w:tcPr>
          <w:p w14:paraId="2F6CE669"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FD01345" w14:textId="495C6A8D" w:rsidR="001B429F" w:rsidRPr="002A0EFC" w:rsidRDefault="00307503" w:rsidP="186F5814">
            <w:pPr>
              <w:pStyle w:val="TableTextLeft"/>
              <w:jc w:val="right"/>
            </w:pPr>
            <w:r w:rsidRPr="00C135D9">
              <w:t>-3</w:t>
            </w:r>
            <w:r w:rsidR="00835D84">
              <w:t>,</w:t>
            </w:r>
            <w:r w:rsidRPr="00C135D9">
              <w:t>700</w:t>
            </w:r>
          </w:p>
        </w:tc>
        <w:tc>
          <w:tcPr>
            <w:tcW w:w="509" w:type="pct"/>
            <w:tcBorders>
              <w:top w:val="nil"/>
              <w:left w:val="nil"/>
              <w:bottom w:val="nil"/>
              <w:right w:val="nil"/>
            </w:tcBorders>
            <w:vAlign w:val="center"/>
          </w:tcPr>
          <w:p w14:paraId="6C80490E" w14:textId="008AB428" w:rsidR="001B429F" w:rsidRPr="002A0EFC" w:rsidRDefault="00F33268" w:rsidP="186F5814">
            <w:pPr>
              <w:pStyle w:val="TableTextLeft"/>
              <w:jc w:val="right"/>
            </w:pPr>
            <w:r w:rsidRPr="00DE7A72">
              <w:t>9.8</w:t>
            </w:r>
          </w:p>
        </w:tc>
        <w:tc>
          <w:tcPr>
            <w:tcW w:w="464" w:type="pct"/>
            <w:tcBorders>
              <w:top w:val="nil"/>
              <w:left w:val="nil"/>
              <w:bottom w:val="nil"/>
              <w:right w:val="nil"/>
            </w:tcBorders>
            <w:vAlign w:val="center"/>
          </w:tcPr>
          <w:p w14:paraId="107F9C32" w14:textId="579BF610" w:rsidR="001B429F" w:rsidRPr="002A0EFC" w:rsidRDefault="00F33268" w:rsidP="186F5814">
            <w:pPr>
              <w:pStyle w:val="TableTextLeft"/>
              <w:jc w:val="right"/>
            </w:pPr>
            <w:r w:rsidRPr="00DE7A72">
              <w:t>N/A</w:t>
            </w:r>
          </w:p>
        </w:tc>
      </w:tr>
      <w:tr w:rsidR="00872635" w:rsidRPr="00273AA1" w14:paraId="2B73B321"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6220B972" w14:textId="2B3E5FCA" w:rsidR="001B429F" w:rsidRPr="002A0EFC" w:rsidRDefault="00F33268" w:rsidP="186F5814">
            <w:pPr>
              <w:pStyle w:val="TableTextLeft"/>
            </w:pPr>
            <w:r w:rsidRPr="00DE7A72">
              <w:t>Other</w:t>
            </w:r>
          </w:p>
        </w:tc>
        <w:tc>
          <w:tcPr>
            <w:tcW w:w="240" w:type="pct"/>
            <w:tcBorders>
              <w:top w:val="nil"/>
              <w:left w:val="nil"/>
              <w:bottom w:val="nil"/>
              <w:right w:val="nil"/>
            </w:tcBorders>
            <w:shd w:val="clear" w:color="auto" w:fill="auto"/>
            <w:noWrap/>
            <w:vAlign w:val="center"/>
          </w:tcPr>
          <w:p w14:paraId="1C77229B" w14:textId="3FBA8A4C" w:rsidR="001B429F" w:rsidRPr="002A0EFC" w:rsidRDefault="00F33268" w:rsidP="186F5814">
            <w:pPr>
              <w:pStyle w:val="TableTextLeft"/>
            </w:pPr>
            <w:r w:rsidRPr="00DE7A72">
              <w:t>F21</w:t>
            </w:r>
          </w:p>
        </w:tc>
        <w:tc>
          <w:tcPr>
            <w:tcW w:w="2221" w:type="pct"/>
            <w:tcBorders>
              <w:top w:val="nil"/>
              <w:left w:val="nil"/>
              <w:bottom w:val="nil"/>
              <w:right w:val="nil"/>
            </w:tcBorders>
            <w:shd w:val="clear" w:color="auto" w:fill="auto"/>
            <w:vAlign w:val="center"/>
          </w:tcPr>
          <w:p w14:paraId="21776622" w14:textId="40A0AF7D" w:rsidR="001B429F" w:rsidRPr="002A0EFC" w:rsidRDefault="00F33268" w:rsidP="186F5814">
            <w:pPr>
              <w:pStyle w:val="TableTextLeft"/>
            </w:pPr>
            <w:r w:rsidRPr="00DE7A72">
              <w:t>Customs duty</w:t>
            </w:r>
          </w:p>
        </w:tc>
        <w:tc>
          <w:tcPr>
            <w:tcW w:w="483" w:type="pct"/>
            <w:tcBorders>
              <w:top w:val="nil"/>
              <w:left w:val="nil"/>
              <w:bottom w:val="nil"/>
              <w:right w:val="nil"/>
            </w:tcBorders>
            <w:vAlign w:val="center"/>
          </w:tcPr>
          <w:p w14:paraId="7C95E750" w14:textId="3188C0A5"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1DD7D469" w14:textId="6007D7DB" w:rsidR="001B429F" w:rsidRPr="002A0EFC" w:rsidRDefault="00307503" w:rsidP="186F5814">
            <w:pPr>
              <w:pStyle w:val="TableTextLeft"/>
              <w:jc w:val="right"/>
            </w:pPr>
            <w:r w:rsidRPr="00C135D9">
              <w:t>-2</w:t>
            </w:r>
            <w:r w:rsidR="00835D84">
              <w:t>,</w:t>
            </w:r>
            <w:r w:rsidRPr="00C135D9">
              <w:t>1</w:t>
            </w:r>
            <w:r w:rsidR="00E747FA">
              <w:t>3</w:t>
            </w:r>
            <w:r w:rsidRPr="00C135D9">
              <w:t>0</w:t>
            </w:r>
          </w:p>
        </w:tc>
        <w:tc>
          <w:tcPr>
            <w:tcW w:w="509" w:type="pct"/>
            <w:tcBorders>
              <w:top w:val="nil"/>
              <w:left w:val="nil"/>
              <w:bottom w:val="nil"/>
              <w:right w:val="nil"/>
            </w:tcBorders>
            <w:vAlign w:val="center"/>
          </w:tcPr>
          <w:p w14:paraId="7BFC8CCB" w14:textId="1FD2FFAA" w:rsidR="001B429F" w:rsidRPr="002A0EFC" w:rsidRDefault="00F33268" w:rsidP="186F5814">
            <w:pPr>
              <w:pStyle w:val="TableTextLeft"/>
              <w:jc w:val="right"/>
            </w:pPr>
            <w:r w:rsidRPr="00DE7A72">
              <w:t>5.</w:t>
            </w:r>
            <w:r w:rsidR="00AC5368">
              <w:t>4</w:t>
            </w:r>
          </w:p>
        </w:tc>
        <w:tc>
          <w:tcPr>
            <w:tcW w:w="464" w:type="pct"/>
            <w:tcBorders>
              <w:top w:val="nil"/>
              <w:left w:val="nil"/>
              <w:bottom w:val="nil"/>
              <w:right w:val="nil"/>
            </w:tcBorders>
            <w:vAlign w:val="center"/>
          </w:tcPr>
          <w:p w14:paraId="22B240FB" w14:textId="22FC694D" w:rsidR="001B429F" w:rsidRPr="002A0EFC" w:rsidRDefault="00F33268" w:rsidP="186F5814">
            <w:pPr>
              <w:pStyle w:val="TableTextLeft"/>
              <w:jc w:val="right"/>
            </w:pPr>
            <w:r w:rsidRPr="00DE7A72">
              <w:t>-1</w:t>
            </w:r>
            <w:r w:rsidR="00AC5368">
              <w:t>3.</w:t>
            </w:r>
            <w:r w:rsidRPr="00DE7A72">
              <w:t>1</w:t>
            </w:r>
          </w:p>
        </w:tc>
      </w:tr>
      <w:tr w:rsidR="00872635" w:rsidRPr="00273AA1" w14:paraId="27A1C746"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0C602D4E" w14:textId="33B2E0CF" w:rsidR="001B429F" w:rsidRPr="002A0EFC" w:rsidRDefault="001B429F" w:rsidP="186F5814">
            <w:pPr>
              <w:pStyle w:val="TableTextLeft"/>
            </w:pPr>
            <w:r w:rsidRPr="00B82E55">
              <w:t>Other</w:t>
            </w:r>
          </w:p>
        </w:tc>
        <w:tc>
          <w:tcPr>
            <w:tcW w:w="240" w:type="pct"/>
            <w:tcBorders>
              <w:top w:val="nil"/>
              <w:left w:val="nil"/>
              <w:bottom w:val="nil"/>
              <w:right w:val="nil"/>
            </w:tcBorders>
            <w:shd w:val="clear" w:color="auto" w:fill="auto"/>
            <w:noWrap/>
            <w:vAlign w:val="center"/>
          </w:tcPr>
          <w:p w14:paraId="60B6C37B" w14:textId="7067294E" w:rsidR="001B429F" w:rsidRPr="002A0EFC" w:rsidRDefault="004524C9" w:rsidP="186F5814">
            <w:pPr>
              <w:pStyle w:val="TableTextLeft"/>
            </w:pPr>
            <w:r w:rsidRPr="00B82E55">
              <w:t>F5</w:t>
            </w:r>
          </w:p>
        </w:tc>
        <w:tc>
          <w:tcPr>
            <w:tcW w:w="2221" w:type="pct"/>
            <w:tcBorders>
              <w:top w:val="nil"/>
              <w:left w:val="nil"/>
              <w:bottom w:val="nil"/>
              <w:right w:val="nil"/>
            </w:tcBorders>
            <w:shd w:val="clear" w:color="auto" w:fill="auto"/>
            <w:vAlign w:val="center"/>
          </w:tcPr>
          <w:p w14:paraId="5E761DB9" w14:textId="40A899CF" w:rsidR="001B429F" w:rsidRPr="002A0EFC" w:rsidRDefault="004524C9" w:rsidP="186F5814">
            <w:pPr>
              <w:pStyle w:val="TableTextLeft"/>
            </w:pPr>
            <w:r w:rsidRPr="00B82E55">
              <w:t>Luxury car tax</w:t>
            </w:r>
          </w:p>
        </w:tc>
        <w:tc>
          <w:tcPr>
            <w:tcW w:w="483" w:type="pct"/>
            <w:tcBorders>
              <w:top w:val="nil"/>
              <w:left w:val="nil"/>
              <w:bottom w:val="nil"/>
              <w:right w:val="nil"/>
            </w:tcBorders>
            <w:vAlign w:val="center"/>
          </w:tcPr>
          <w:p w14:paraId="745F2C74"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02394DB7" w14:textId="0C71189C" w:rsidR="001B429F" w:rsidRPr="002A0EFC" w:rsidRDefault="009D40FF" w:rsidP="186F5814">
            <w:pPr>
              <w:pStyle w:val="TableTextLeft"/>
              <w:jc w:val="right"/>
            </w:pPr>
            <w:r w:rsidRPr="00136AB8">
              <w:t xml:space="preserve"> -1</w:t>
            </w:r>
            <w:r>
              <w:t>,</w:t>
            </w:r>
            <w:r w:rsidRPr="00136AB8">
              <w:t>1</w:t>
            </w:r>
            <w:r w:rsidR="0056150E">
              <w:t>7</w:t>
            </w:r>
            <w:r w:rsidRPr="00136AB8">
              <w:t xml:space="preserve">0 </w:t>
            </w:r>
          </w:p>
        </w:tc>
        <w:tc>
          <w:tcPr>
            <w:tcW w:w="509" w:type="pct"/>
            <w:tcBorders>
              <w:top w:val="nil"/>
              <w:left w:val="nil"/>
              <w:bottom w:val="nil"/>
              <w:right w:val="nil"/>
            </w:tcBorders>
            <w:vAlign w:val="center"/>
          </w:tcPr>
          <w:p w14:paraId="6B67046C" w14:textId="7DF74B49" w:rsidR="001B429F" w:rsidRPr="002A0EFC" w:rsidRDefault="004524C9" w:rsidP="186F5814">
            <w:pPr>
              <w:pStyle w:val="TableTextLeft"/>
              <w:jc w:val="right"/>
            </w:pPr>
            <w:r w:rsidRPr="00B82E55">
              <w:t>11.</w:t>
            </w:r>
            <w:r w:rsidR="0056150E">
              <w:t>0</w:t>
            </w:r>
          </w:p>
        </w:tc>
        <w:tc>
          <w:tcPr>
            <w:tcW w:w="464" w:type="pct"/>
            <w:tcBorders>
              <w:top w:val="nil"/>
              <w:left w:val="nil"/>
              <w:bottom w:val="nil"/>
              <w:right w:val="nil"/>
            </w:tcBorders>
            <w:vAlign w:val="center"/>
          </w:tcPr>
          <w:p w14:paraId="6A21A41C" w14:textId="77E088A8" w:rsidR="001B429F" w:rsidRPr="002A0EFC" w:rsidRDefault="0056150E" w:rsidP="186F5814">
            <w:pPr>
              <w:pStyle w:val="TableTextLeft"/>
              <w:jc w:val="right"/>
            </w:pPr>
            <w:r>
              <w:t>2.0</w:t>
            </w:r>
          </w:p>
        </w:tc>
      </w:tr>
      <w:tr w:rsidR="00872635" w:rsidRPr="00273AA1" w14:paraId="4393F8F2"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15AB8161" w14:textId="3EBAE5EB" w:rsidR="001B429F" w:rsidRPr="002A0EFC" w:rsidRDefault="001B429F" w:rsidP="186F5814">
            <w:pPr>
              <w:pStyle w:val="TableTextLeft"/>
            </w:pPr>
            <w:r w:rsidRPr="00DF3163">
              <w:t>Income</w:t>
            </w:r>
          </w:p>
        </w:tc>
        <w:tc>
          <w:tcPr>
            <w:tcW w:w="240" w:type="pct"/>
            <w:tcBorders>
              <w:top w:val="nil"/>
              <w:left w:val="nil"/>
              <w:bottom w:val="nil"/>
              <w:right w:val="nil"/>
            </w:tcBorders>
            <w:shd w:val="clear" w:color="auto" w:fill="auto"/>
            <w:noWrap/>
            <w:vAlign w:val="center"/>
          </w:tcPr>
          <w:p w14:paraId="6F8F2C5E" w14:textId="3627948C" w:rsidR="001B429F" w:rsidRPr="002A0EFC" w:rsidRDefault="00B62EDE" w:rsidP="186F5814">
            <w:pPr>
              <w:pStyle w:val="TableTextLeft"/>
            </w:pPr>
            <w:r w:rsidRPr="00DF3163">
              <w:t>A21</w:t>
            </w:r>
          </w:p>
        </w:tc>
        <w:tc>
          <w:tcPr>
            <w:tcW w:w="2221" w:type="pct"/>
            <w:tcBorders>
              <w:top w:val="nil"/>
              <w:left w:val="nil"/>
              <w:bottom w:val="nil"/>
              <w:right w:val="nil"/>
            </w:tcBorders>
            <w:shd w:val="clear" w:color="auto" w:fill="auto"/>
            <w:vAlign w:val="center"/>
          </w:tcPr>
          <w:p w14:paraId="62A612F3" w14:textId="23C56DC6" w:rsidR="001B429F" w:rsidRPr="002A0EFC" w:rsidRDefault="00B62EDE" w:rsidP="186F5814">
            <w:pPr>
              <w:pStyle w:val="TableTextLeft"/>
            </w:pPr>
            <w:r w:rsidRPr="00DF3163">
              <w:t>Medicare levy surcharge</w:t>
            </w:r>
          </w:p>
        </w:tc>
        <w:tc>
          <w:tcPr>
            <w:tcW w:w="483" w:type="pct"/>
            <w:tcBorders>
              <w:top w:val="nil"/>
              <w:left w:val="nil"/>
              <w:bottom w:val="nil"/>
              <w:right w:val="nil"/>
            </w:tcBorders>
            <w:vAlign w:val="center"/>
          </w:tcPr>
          <w:p w14:paraId="1831D769" w14:textId="6F0DB454" w:rsidR="001B429F" w:rsidRPr="002A0EFC" w:rsidRDefault="00B62EDE" w:rsidP="186F5814">
            <w:pPr>
              <w:pStyle w:val="TableTextLeft"/>
            </w:pPr>
            <w:r w:rsidRPr="00DF3163">
              <w:t>Y</w:t>
            </w:r>
          </w:p>
        </w:tc>
        <w:tc>
          <w:tcPr>
            <w:tcW w:w="634" w:type="pct"/>
            <w:tcBorders>
              <w:top w:val="nil"/>
              <w:left w:val="nil"/>
              <w:bottom w:val="nil"/>
              <w:right w:val="nil"/>
            </w:tcBorders>
            <w:shd w:val="clear" w:color="auto" w:fill="auto"/>
            <w:noWrap/>
            <w:vAlign w:val="center"/>
          </w:tcPr>
          <w:p w14:paraId="4B219689" w14:textId="288B8459" w:rsidR="001B429F" w:rsidRPr="002A0EFC" w:rsidRDefault="00B62EDE" w:rsidP="186F5814">
            <w:pPr>
              <w:pStyle w:val="TableTextLeft"/>
              <w:jc w:val="right"/>
            </w:pPr>
            <w:r w:rsidRPr="002A0EFC">
              <w:t>-1</w:t>
            </w:r>
            <w:r w:rsidR="00641C09">
              <w:t>,</w:t>
            </w:r>
            <w:r w:rsidRPr="002A0EFC">
              <w:t>100</w:t>
            </w:r>
          </w:p>
        </w:tc>
        <w:tc>
          <w:tcPr>
            <w:tcW w:w="509" w:type="pct"/>
            <w:tcBorders>
              <w:top w:val="nil"/>
              <w:left w:val="nil"/>
              <w:bottom w:val="nil"/>
              <w:right w:val="nil"/>
            </w:tcBorders>
            <w:vAlign w:val="center"/>
          </w:tcPr>
          <w:p w14:paraId="6298D2DE" w14:textId="2AD21101" w:rsidR="001B429F" w:rsidRPr="002A0EFC" w:rsidRDefault="00B62EDE" w:rsidP="186F5814">
            <w:pPr>
              <w:pStyle w:val="TableTextLeft"/>
              <w:jc w:val="right"/>
            </w:pPr>
            <w:r w:rsidRPr="00DF3163">
              <w:t>24.</w:t>
            </w:r>
            <w:r w:rsidR="001B429F" w:rsidRPr="00DF3163">
              <w:t>8</w:t>
            </w:r>
          </w:p>
        </w:tc>
        <w:tc>
          <w:tcPr>
            <w:tcW w:w="464" w:type="pct"/>
            <w:tcBorders>
              <w:top w:val="nil"/>
              <w:left w:val="nil"/>
              <w:bottom w:val="nil"/>
              <w:right w:val="nil"/>
            </w:tcBorders>
            <w:vAlign w:val="center"/>
          </w:tcPr>
          <w:p w14:paraId="1BDE8B55" w14:textId="3D2DE4E5" w:rsidR="001B429F" w:rsidRPr="002A0EFC" w:rsidRDefault="001B429F" w:rsidP="186F5814">
            <w:pPr>
              <w:pStyle w:val="TableTextLeft"/>
              <w:jc w:val="right"/>
            </w:pPr>
            <w:r w:rsidRPr="00DF3163">
              <w:t>4</w:t>
            </w:r>
            <w:r w:rsidR="00B62EDE" w:rsidRPr="00DF3163">
              <w:t>.5</w:t>
            </w:r>
          </w:p>
        </w:tc>
      </w:tr>
      <w:tr w:rsidR="00872635" w:rsidRPr="00273AA1" w14:paraId="498C1A9B" w14:textId="77777777" w:rsidTr="00517EF1">
        <w:trPr>
          <w:cantSplit/>
          <w:trHeight w:val="232"/>
        </w:trPr>
        <w:tc>
          <w:tcPr>
            <w:tcW w:w="449" w:type="pct"/>
            <w:gridSpan w:val="2"/>
            <w:tcBorders>
              <w:top w:val="nil"/>
              <w:left w:val="nil"/>
              <w:bottom w:val="nil"/>
              <w:right w:val="nil"/>
            </w:tcBorders>
            <w:shd w:val="clear" w:color="auto" w:fill="auto"/>
            <w:noWrap/>
            <w:vAlign w:val="center"/>
          </w:tcPr>
          <w:p w14:paraId="3C48F1D4" w14:textId="03AF1368" w:rsidR="001B429F" w:rsidRPr="002A0EFC" w:rsidRDefault="001B429F" w:rsidP="186F5814">
            <w:pPr>
              <w:pStyle w:val="TableTextLeft"/>
            </w:pPr>
            <w:r w:rsidRPr="00054362">
              <w:t>Super</w:t>
            </w:r>
          </w:p>
        </w:tc>
        <w:tc>
          <w:tcPr>
            <w:tcW w:w="240" w:type="pct"/>
            <w:tcBorders>
              <w:top w:val="nil"/>
              <w:left w:val="nil"/>
              <w:bottom w:val="nil"/>
              <w:right w:val="nil"/>
            </w:tcBorders>
            <w:shd w:val="clear" w:color="auto" w:fill="auto"/>
            <w:noWrap/>
            <w:vAlign w:val="center"/>
          </w:tcPr>
          <w:p w14:paraId="5572197F" w14:textId="7B035662" w:rsidR="001B429F" w:rsidRPr="002A0EFC" w:rsidRDefault="001B429F" w:rsidP="186F5814">
            <w:pPr>
              <w:pStyle w:val="TableTextLeft"/>
            </w:pPr>
            <w:r w:rsidRPr="00054362">
              <w:t>C11</w:t>
            </w:r>
          </w:p>
        </w:tc>
        <w:tc>
          <w:tcPr>
            <w:tcW w:w="2221" w:type="pct"/>
            <w:tcBorders>
              <w:top w:val="nil"/>
              <w:left w:val="nil"/>
              <w:bottom w:val="nil"/>
              <w:right w:val="nil"/>
            </w:tcBorders>
            <w:shd w:val="clear" w:color="auto" w:fill="auto"/>
            <w:vAlign w:val="center"/>
          </w:tcPr>
          <w:p w14:paraId="154901EB" w14:textId="481CB4E4" w:rsidR="001B429F" w:rsidRPr="002A0EFC" w:rsidRDefault="001B429F" w:rsidP="186F5814">
            <w:pPr>
              <w:pStyle w:val="TableTextLeft"/>
            </w:pPr>
            <w:r w:rsidRPr="00054362">
              <w:t>Tax on funded superannuation lump sums</w:t>
            </w:r>
          </w:p>
        </w:tc>
        <w:tc>
          <w:tcPr>
            <w:tcW w:w="483" w:type="pct"/>
            <w:tcBorders>
              <w:top w:val="nil"/>
              <w:left w:val="nil"/>
              <w:bottom w:val="nil"/>
              <w:right w:val="nil"/>
            </w:tcBorders>
            <w:vAlign w:val="center"/>
          </w:tcPr>
          <w:p w14:paraId="2CDB539D" w14:textId="77777777" w:rsidR="001B429F" w:rsidRPr="002A0EFC" w:rsidRDefault="001B429F" w:rsidP="186F5814">
            <w:pPr>
              <w:pStyle w:val="TableTextLeft"/>
            </w:pPr>
          </w:p>
        </w:tc>
        <w:tc>
          <w:tcPr>
            <w:tcW w:w="634" w:type="pct"/>
            <w:tcBorders>
              <w:top w:val="nil"/>
              <w:left w:val="nil"/>
              <w:bottom w:val="nil"/>
              <w:right w:val="nil"/>
            </w:tcBorders>
            <w:shd w:val="clear" w:color="auto" w:fill="auto"/>
            <w:noWrap/>
            <w:vAlign w:val="center"/>
          </w:tcPr>
          <w:p w14:paraId="75236D32" w14:textId="11265AF6" w:rsidR="001B429F" w:rsidRPr="002A0EFC" w:rsidRDefault="001B429F" w:rsidP="186F5814">
            <w:pPr>
              <w:pStyle w:val="TableTextLeft"/>
              <w:jc w:val="right"/>
            </w:pPr>
            <w:r w:rsidRPr="00054362">
              <w:t>-</w:t>
            </w:r>
            <w:r w:rsidR="00C811CF" w:rsidRPr="00054362">
              <w:t>690</w:t>
            </w:r>
          </w:p>
        </w:tc>
        <w:tc>
          <w:tcPr>
            <w:tcW w:w="509" w:type="pct"/>
            <w:tcBorders>
              <w:top w:val="nil"/>
              <w:left w:val="nil"/>
              <w:bottom w:val="nil"/>
              <w:right w:val="nil"/>
            </w:tcBorders>
            <w:vAlign w:val="center"/>
          </w:tcPr>
          <w:p w14:paraId="6B211C16" w14:textId="44DB0D1D" w:rsidR="001B429F" w:rsidRPr="002A0EFC" w:rsidRDefault="00C811CF" w:rsidP="186F5814">
            <w:pPr>
              <w:pStyle w:val="TableTextLeft"/>
              <w:jc w:val="right"/>
            </w:pPr>
            <w:r w:rsidRPr="00054362">
              <w:t>8.3</w:t>
            </w:r>
          </w:p>
        </w:tc>
        <w:tc>
          <w:tcPr>
            <w:tcW w:w="464" w:type="pct"/>
            <w:tcBorders>
              <w:top w:val="nil"/>
              <w:left w:val="nil"/>
              <w:bottom w:val="nil"/>
              <w:right w:val="nil"/>
            </w:tcBorders>
            <w:vAlign w:val="center"/>
          </w:tcPr>
          <w:p w14:paraId="703F5AD2" w14:textId="7C001527" w:rsidR="001B429F" w:rsidRPr="002A0EFC" w:rsidRDefault="00C811CF" w:rsidP="186F5814">
            <w:pPr>
              <w:pStyle w:val="TableTextLeft"/>
              <w:jc w:val="right"/>
            </w:pPr>
            <w:r w:rsidRPr="00054362">
              <w:t>1.5</w:t>
            </w:r>
          </w:p>
        </w:tc>
      </w:tr>
      <w:tr w:rsidR="000D7B5C" w:rsidRPr="00273AA1" w14:paraId="31B93DDB" w14:textId="77777777" w:rsidTr="00517EF1">
        <w:trPr>
          <w:cantSplit/>
          <w:trHeight w:val="232"/>
        </w:trPr>
        <w:tc>
          <w:tcPr>
            <w:tcW w:w="449" w:type="pct"/>
            <w:gridSpan w:val="2"/>
            <w:tcBorders>
              <w:top w:val="nil"/>
              <w:left w:val="nil"/>
              <w:bottom w:val="single" w:sz="4" w:space="0" w:color="auto"/>
              <w:right w:val="nil"/>
            </w:tcBorders>
            <w:shd w:val="clear" w:color="auto" w:fill="auto"/>
            <w:noWrap/>
            <w:vAlign w:val="center"/>
          </w:tcPr>
          <w:p w14:paraId="49F48F9E" w14:textId="521C7420" w:rsidR="001B429F" w:rsidRPr="002A0EFC" w:rsidRDefault="00C811CF" w:rsidP="186F5814">
            <w:pPr>
              <w:pStyle w:val="TableTextLeft"/>
            </w:pPr>
            <w:r w:rsidRPr="00054362">
              <w:t>Income</w:t>
            </w:r>
          </w:p>
        </w:tc>
        <w:tc>
          <w:tcPr>
            <w:tcW w:w="240" w:type="pct"/>
            <w:tcBorders>
              <w:top w:val="nil"/>
              <w:left w:val="nil"/>
              <w:bottom w:val="single" w:sz="4" w:space="0" w:color="auto"/>
              <w:right w:val="nil"/>
            </w:tcBorders>
            <w:shd w:val="clear" w:color="auto" w:fill="auto"/>
            <w:noWrap/>
            <w:vAlign w:val="center"/>
          </w:tcPr>
          <w:p w14:paraId="46367538" w14:textId="78C34495" w:rsidR="001B429F" w:rsidRPr="002A0EFC" w:rsidRDefault="00D9383E" w:rsidP="186F5814">
            <w:pPr>
              <w:pStyle w:val="TableTextLeft"/>
            </w:pPr>
            <w:r w:rsidRPr="00200CFD">
              <w:t>B86</w:t>
            </w:r>
          </w:p>
        </w:tc>
        <w:tc>
          <w:tcPr>
            <w:tcW w:w="2221" w:type="pct"/>
            <w:tcBorders>
              <w:top w:val="nil"/>
              <w:left w:val="nil"/>
              <w:bottom w:val="single" w:sz="4" w:space="0" w:color="auto"/>
              <w:right w:val="nil"/>
            </w:tcBorders>
            <w:shd w:val="clear" w:color="auto" w:fill="auto"/>
            <w:vAlign w:val="center"/>
          </w:tcPr>
          <w:p w14:paraId="323BB07F" w14:textId="006CBEAF" w:rsidR="001B429F" w:rsidRPr="002A0EFC" w:rsidRDefault="00C811CF" w:rsidP="186F5814">
            <w:pPr>
              <w:pStyle w:val="TableTextLeft"/>
            </w:pPr>
            <w:r w:rsidRPr="00054362">
              <w:t xml:space="preserve">Research and development </w:t>
            </w:r>
            <w:r w:rsidR="000A4999">
              <w:t>–</w:t>
            </w:r>
            <w:r w:rsidRPr="00054362">
              <w:t xml:space="preserve"> exemption of refundable tax offset</w:t>
            </w:r>
          </w:p>
        </w:tc>
        <w:tc>
          <w:tcPr>
            <w:tcW w:w="483" w:type="pct"/>
            <w:tcBorders>
              <w:top w:val="nil"/>
              <w:left w:val="nil"/>
              <w:bottom w:val="single" w:sz="4" w:space="0" w:color="auto"/>
              <w:right w:val="nil"/>
            </w:tcBorders>
            <w:vAlign w:val="center"/>
          </w:tcPr>
          <w:p w14:paraId="36EED918" w14:textId="048661C9" w:rsidR="001B429F" w:rsidRPr="002A0EFC" w:rsidRDefault="00D9383E" w:rsidP="186F5814">
            <w:pPr>
              <w:pStyle w:val="TableTextLeft"/>
            </w:pPr>
            <w:r w:rsidRPr="00200CFD">
              <w:t>Y</w:t>
            </w:r>
          </w:p>
        </w:tc>
        <w:tc>
          <w:tcPr>
            <w:tcW w:w="634" w:type="pct"/>
            <w:tcBorders>
              <w:top w:val="nil"/>
              <w:left w:val="nil"/>
              <w:bottom w:val="single" w:sz="4" w:space="0" w:color="auto"/>
              <w:right w:val="nil"/>
            </w:tcBorders>
            <w:shd w:val="clear" w:color="auto" w:fill="auto"/>
            <w:noWrap/>
            <w:vAlign w:val="center"/>
          </w:tcPr>
          <w:p w14:paraId="040B4936" w14:textId="3B80F66C" w:rsidR="001B429F" w:rsidRPr="002A0EFC" w:rsidRDefault="001B429F" w:rsidP="186F5814">
            <w:pPr>
              <w:pStyle w:val="TableTextLeft"/>
              <w:jc w:val="right"/>
            </w:pPr>
            <w:r w:rsidRPr="00054362">
              <w:t>-</w:t>
            </w:r>
            <w:r w:rsidR="00C811CF" w:rsidRPr="00054362">
              <w:t>650</w:t>
            </w:r>
          </w:p>
        </w:tc>
        <w:tc>
          <w:tcPr>
            <w:tcW w:w="509" w:type="pct"/>
            <w:tcBorders>
              <w:top w:val="nil"/>
              <w:left w:val="nil"/>
              <w:bottom w:val="single" w:sz="4" w:space="0" w:color="auto"/>
              <w:right w:val="nil"/>
            </w:tcBorders>
            <w:vAlign w:val="center"/>
          </w:tcPr>
          <w:p w14:paraId="400447C7" w14:textId="3C2D1170" w:rsidR="001B429F" w:rsidRPr="002A0EFC" w:rsidRDefault="00C811CF" w:rsidP="186F5814">
            <w:pPr>
              <w:pStyle w:val="TableTextLeft"/>
              <w:jc w:val="right"/>
            </w:pPr>
            <w:r w:rsidRPr="00054362">
              <w:t>12.3</w:t>
            </w:r>
          </w:p>
        </w:tc>
        <w:tc>
          <w:tcPr>
            <w:tcW w:w="464" w:type="pct"/>
            <w:tcBorders>
              <w:top w:val="nil"/>
              <w:left w:val="nil"/>
              <w:bottom w:val="single" w:sz="4" w:space="0" w:color="auto"/>
              <w:right w:val="nil"/>
            </w:tcBorders>
            <w:vAlign w:val="center"/>
          </w:tcPr>
          <w:p w14:paraId="7F4268BE" w14:textId="0C4B1D77" w:rsidR="001B429F" w:rsidRPr="002A0EFC" w:rsidRDefault="00C811CF" w:rsidP="186F5814">
            <w:pPr>
              <w:pStyle w:val="TableTextLeft"/>
              <w:jc w:val="right"/>
            </w:pPr>
            <w:r w:rsidRPr="00054362">
              <w:t>6.6</w:t>
            </w:r>
          </w:p>
        </w:tc>
      </w:tr>
    </w:tbl>
    <w:p w14:paraId="43853B32" w14:textId="4E328F63" w:rsidR="00372237" w:rsidRDefault="00F955C3" w:rsidP="001C380C">
      <w:pPr>
        <w:pStyle w:val="ChartandTableFootnote"/>
        <w:sectPr w:rsidR="00372237" w:rsidSect="001C380C">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2098" w:right="2466" w:bottom="2098" w:left="2466" w:header="1899" w:footer="1899" w:gutter="0"/>
          <w:cols w:space="720"/>
          <w:titlePg/>
          <w:docGrid w:linePitch="360"/>
        </w:sectPr>
      </w:pPr>
      <w:r w:rsidRPr="002A0EFC">
        <w:t>* For deductions,</w:t>
      </w:r>
      <w:r w:rsidR="00C137D3" w:rsidRPr="002A0EFC">
        <w:t xml:space="preserve"> ‘Revenue forgone’ </w:t>
      </w:r>
      <w:r w:rsidRPr="002A0EFC">
        <w:t>refers to the reduction in tax in relation to the specified income year due to the utilisation of deductions</w:t>
      </w:r>
      <w:bookmarkStart w:id="29" w:name="_Toc123900395"/>
      <w:bookmarkStart w:id="30" w:name="_Toc123744397"/>
      <w:bookmarkStart w:id="31" w:name="_Toc123744939"/>
      <w:bookmarkStart w:id="32" w:name="_Toc123808000"/>
      <w:bookmarkStart w:id="33" w:name="_Toc124941273"/>
      <w:bookmarkStart w:id="34" w:name="_Toc1592050598"/>
      <w:bookmarkStart w:id="35" w:name="_Toc1763527749"/>
      <w:bookmarkStart w:id="36" w:name="_Toc1332082822"/>
      <w:bookmarkEnd w:id="24"/>
      <w:bookmarkEnd w:id="25"/>
      <w:bookmarkEnd w:id="29"/>
      <w:bookmarkEnd w:id="30"/>
      <w:bookmarkEnd w:id="31"/>
      <w:bookmarkEnd w:id="32"/>
      <w:bookmarkEnd w:id="33"/>
    </w:p>
    <w:p w14:paraId="4CB54DBB" w14:textId="10499EDF" w:rsidR="00546AD5" w:rsidRPr="00273AA1" w:rsidRDefault="00546AD5" w:rsidP="00546AD5">
      <w:pPr>
        <w:pStyle w:val="Heading1"/>
        <w:ind w:left="357" w:hanging="357"/>
      </w:pPr>
      <w:bookmarkStart w:id="37" w:name="_Toc184287646"/>
      <w:r w:rsidRPr="00273AA1">
        <w:t xml:space="preserve">Chapter </w:t>
      </w:r>
      <w:r w:rsidR="004A7EFC">
        <w:t>2</w:t>
      </w:r>
      <w:r w:rsidRPr="00273AA1">
        <w:t>: Distributional analysis</w:t>
      </w:r>
      <w:bookmarkEnd w:id="34"/>
      <w:bookmarkEnd w:id="35"/>
      <w:bookmarkEnd w:id="36"/>
      <w:bookmarkEnd w:id="37"/>
    </w:p>
    <w:p w14:paraId="6273EEF3" w14:textId="327A655E" w:rsidR="00546AD5" w:rsidRPr="00273AA1" w:rsidRDefault="00546AD5" w:rsidP="007B0674">
      <w:pPr>
        <w:pStyle w:val="Heading2"/>
        <w:numPr>
          <w:ilvl w:val="1"/>
          <w:numId w:val="51"/>
        </w:numPr>
      </w:pPr>
      <w:bookmarkStart w:id="38" w:name="_Toc184287647"/>
      <w:bookmarkStart w:id="39" w:name="_Hlk155793674"/>
      <w:r w:rsidRPr="00273AA1">
        <w:t>Guide to interpreting distributional analysis</w:t>
      </w:r>
      <w:bookmarkEnd w:id="38"/>
    </w:p>
    <w:p w14:paraId="21F26D0A" w14:textId="35F0DC8E" w:rsidR="0045356D" w:rsidRPr="00FC7B3F" w:rsidRDefault="0045356D" w:rsidP="00FC7B3F">
      <w:pPr>
        <w:spacing w:before="120" w:after="120" w:line="240" w:lineRule="auto"/>
      </w:pPr>
      <w:r w:rsidRPr="00FC7B3F">
        <w:t xml:space="preserve">This chapter presents the distributional impact of large tax expenditures, showing which individuals, households or businesses benefit from tax expenditures, across characteristics including level of income, age, gender and industry where relevant and where reliable information is available. </w:t>
      </w:r>
    </w:p>
    <w:p w14:paraId="6C4DD4A6" w14:textId="20B8ACE6" w:rsidR="0045356D" w:rsidRPr="00FC7B3F" w:rsidRDefault="0045356D" w:rsidP="00FC7B3F">
      <w:pPr>
        <w:spacing w:before="120" w:after="120" w:line="240" w:lineRule="auto"/>
      </w:pPr>
      <w:r w:rsidRPr="00FC7B3F">
        <w:t>The subsections of this chapter have been ordered by size of tax expenditure as shown in Table 1.1 (descending), followed by the additional analysis of some other features of the tax system.</w:t>
      </w:r>
      <w:r w:rsidRPr="00FC7B3F">
        <w:rPr>
          <w:rStyle w:val="FootnoteReference"/>
        </w:rPr>
        <w:footnoteReference w:id="4"/>
      </w:r>
    </w:p>
    <w:p w14:paraId="00E3DF7E" w14:textId="77777777" w:rsidR="0045356D" w:rsidRPr="00FC7B3F" w:rsidRDefault="0045356D" w:rsidP="00FC7B3F">
      <w:pPr>
        <w:spacing w:before="120" w:after="120" w:line="240" w:lineRule="auto"/>
      </w:pPr>
      <w:r w:rsidRPr="00FC7B3F">
        <w:t>The distributional analysis of tax expenditures follows the same structure and provides the following information:</w:t>
      </w:r>
    </w:p>
    <w:p w14:paraId="41018990" w14:textId="77777777" w:rsidR="0045356D" w:rsidRPr="00273AA1" w:rsidRDefault="0045356D" w:rsidP="0045356D">
      <w:pPr>
        <w:pStyle w:val="OutlineNumbered1"/>
      </w:pPr>
      <w:r w:rsidRPr="00273AA1">
        <w:t>A shaded description of the tax expenditure and estimates of its value.</w:t>
      </w:r>
    </w:p>
    <w:p w14:paraId="73073A45" w14:textId="74550EAB" w:rsidR="0045356D" w:rsidRPr="00273AA1" w:rsidRDefault="0045356D" w:rsidP="0045356D">
      <w:pPr>
        <w:pStyle w:val="OutlineNumbered1"/>
      </w:pPr>
      <w:r w:rsidRPr="00273AA1">
        <w:t xml:space="preserve">Analysis of the number of people or businesses that benefit from the tax expenditure. The recipients are grouped based on their income decile or business turnover. </w:t>
      </w:r>
    </w:p>
    <w:p w14:paraId="77535004" w14:textId="77777777" w:rsidR="0045356D" w:rsidRPr="00273AA1" w:rsidRDefault="0045356D" w:rsidP="0045356D">
      <w:pPr>
        <w:pStyle w:val="OutlineNumbered1"/>
      </w:pPr>
      <w:r w:rsidRPr="00273AA1">
        <w:t>For tax expenditures that affect individuals, additional information is presented showing the average benefit, number of recipients and share of total benefit by gender.</w:t>
      </w:r>
    </w:p>
    <w:p w14:paraId="52319978" w14:textId="6FD2FBAA" w:rsidR="0045356D" w:rsidRPr="00273AA1" w:rsidRDefault="0045356D" w:rsidP="0045356D">
      <w:pPr>
        <w:pStyle w:val="OutlineNumbered1"/>
      </w:pPr>
      <w:r w:rsidRPr="00273AA1">
        <w:t xml:space="preserve">Additional analysis showing the number of recipients and share of total benefit by other characteristics, such as age or industry. </w:t>
      </w:r>
    </w:p>
    <w:p w14:paraId="53D97FB6" w14:textId="77777777" w:rsidR="0045356D" w:rsidRPr="00FC7B3F" w:rsidRDefault="0045356D" w:rsidP="00FC7B3F">
      <w:pPr>
        <w:spacing w:before="120" w:after="120" w:line="240" w:lineRule="auto"/>
      </w:pPr>
      <w:r w:rsidRPr="00FC7B3F">
        <w:t xml:space="preserve">Where relevant, and where reliable information is available, the analysis also includes additional data and observations on the distributional impact of the tax expenditure in the body of the text. </w:t>
      </w:r>
    </w:p>
    <w:p w14:paraId="5A055144" w14:textId="77777777" w:rsidR="0045356D" w:rsidRPr="00FC7B3F" w:rsidRDefault="0045356D" w:rsidP="00FC7B3F">
      <w:pPr>
        <w:spacing w:before="120" w:after="120" w:line="240" w:lineRule="auto"/>
      </w:pPr>
      <w:r w:rsidRPr="00FC7B3F">
        <w:t xml:space="preserve">The analysis of personal income deductions is structured similarly using the concept of total tax reduction from utilising the deduction. The distributional analysis of trust distributions to individuals and franking credits received by individuals differs in that they focus on the population using these features of the system, rather than the distribution of forgone revenue. </w:t>
      </w:r>
    </w:p>
    <w:p w14:paraId="190B89FA" w14:textId="77777777" w:rsidR="0045356D" w:rsidRPr="00273AA1" w:rsidRDefault="0045356D" w:rsidP="0045356D">
      <w:r w:rsidRPr="00273AA1">
        <w:t xml:space="preserve">It is important to consider the distributional analysis of tax expenditures in the context of the broader operation of the Australian tax and transfer system. </w:t>
      </w:r>
    </w:p>
    <w:p w14:paraId="6AB9015A" w14:textId="77777777" w:rsidR="0045356D" w:rsidRPr="00273AA1" w:rsidRDefault="0045356D" w:rsidP="0045356D">
      <w:pPr>
        <w:pStyle w:val="Bullet"/>
      </w:pPr>
      <w:r w:rsidRPr="00273AA1">
        <w:t>The distribution of many personal income tax expenditures by income, gender and age reflects the underlying distribution of taxable income and tax paid.</w:t>
      </w:r>
    </w:p>
    <w:p w14:paraId="5675C91D" w14:textId="560882DE" w:rsidR="0045356D" w:rsidRPr="00273AA1" w:rsidRDefault="0045356D" w:rsidP="0045356D">
      <w:pPr>
        <w:pStyle w:val="Bullet"/>
        <w:numPr>
          <w:ilvl w:val="1"/>
          <w:numId w:val="1"/>
        </w:numPr>
      </w:pPr>
      <w:r w:rsidRPr="00273AA1">
        <w:t xml:space="preserve">Taxable income is defined as tax-assessable income less deductions. Under Australia’s tax system, higher taxable income earners have higher average tax rates than lower taxable income earners. Some taxpayers have high tax-assessable incomes, but after claiming deductions have low taxable incomes. </w:t>
      </w:r>
    </w:p>
    <w:p w14:paraId="7FB13B31" w14:textId="79A3D462" w:rsidR="0045356D" w:rsidRPr="00273AA1" w:rsidRDefault="0045356D" w:rsidP="5528A154">
      <w:pPr>
        <w:pStyle w:val="Dash"/>
      </w:pPr>
      <w:r w:rsidRPr="00273AA1">
        <w:t>In 202</w:t>
      </w:r>
      <w:r w:rsidR="00007E8B">
        <w:t>1</w:t>
      </w:r>
      <w:r w:rsidRPr="00273AA1">
        <w:t>–2</w:t>
      </w:r>
      <w:r w:rsidR="00007E8B">
        <w:t>2</w:t>
      </w:r>
      <w:r w:rsidRPr="00273AA1">
        <w:t xml:space="preserve">, the average taxable income of those in the highest income decile was </w:t>
      </w:r>
      <w:r w:rsidRPr="00D62CCC">
        <w:t>$</w:t>
      </w:r>
      <w:r w:rsidR="00F70140">
        <w:t>258</w:t>
      </w:r>
      <w:r w:rsidR="00745B09">
        <w:t>,200</w:t>
      </w:r>
      <w:r w:rsidRPr="00273AA1">
        <w:t xml:space="preserve">, compared to </w:t>
      </w:r>
      <w:r w:rsidRPr="00D62CCC">
        <w:t>$</w:t>
      </w:r>
      <w:r w:rsidR="00745B09">
        <w:t>4,100</w:t>
      </w:r>
      <w:r w:rsidR="00750D11">
        <w:t xml:space="preserve"> </w:t>
      </w:r>
      <w:r w:rsidRPr="00273AA1">
        <w:t xml:space="preserve">for the lowest income decile (excluding those with negative income). In </w:t>
      </w:r>
      <w:r w:rsidR="009C546D">
        <w:t>2021-22</w:t>
      </w:r>
      <w:r w:rsidRPr="00273AA1">
        <w:t>, the average taxable income of men was $</w:t>
      </w:r>
      <w:r w:rsidR="00982996">
        <w:t>84</w:t>
      </w:r>
      <w:r w:rsidR="00551728">
        <w:t>,</w:t>
      </w:r>
      <w:r w:rsidR="009C546D">
        <w:t>400</w:t>
      </w:r>
      <w:r w:rsidRPr="00273AA1">
        <w:t xml:space="preserve">, while the average for women was </w:t>
      </w:r>
      <w:r>
        <w:t>$</w:t>
      </w:r>
      <w:r w:rsidR="00901871" w:rsidRPr="00642C0B">
        <w:t>6</w:t>
      </w:r>
      <w:r w:rsidR="009177B1">
        <w:t>0</w:t>
      </w:r>
      <w:r w:rsidR="00217C0E" w:rsidRPr="00642C0B">
        <w:t>,</w:t>
      </w:r>
      <w:r w:rsidR="009177B1">
        <w:t>1</w:t>
      </w:r>
      <w:r w:rsidR="009C546D" w:rsidRPr="00642C0B">
        <w:t>00</w:t>
      </w:r>
      <w:r w:rsidRPr="00273AA1">
        <w:t>.</w:t>
      </w:r>
    </w:p>
    <w:p w14:paraId="4D38C8F3" w14:textId="77777777" w:rsidR="0045356D" w:rsidRPr="00273AA1" w:rsidRDefault="0045356D" w:rsidP="0DCE4A26">
      <w:pPr>
        <w:pStyle w:val="Bullet"/>
      </w:pPr>
      <w:r w:rsidRPr="00273AA1">
        <w:t xml:space="preserve">Looking at the distribution of tax expenditures in a single year creates a partial picture of government support. </w:t>
      </w:r>
    </w:p>
    <w:p w14:paraId="6BFC6F48" w14:textId="63516D6F" w:rsidR="00433A34" w:rsidRPr="00433A34" w:rsidRDefault="00433A34">
      <w:pPr>
        <w:pStyle w:val="Bullet"/>
        <w:rPr>
          <w:rStyle w:val="ui-provider"/>
        </w:rPr>
      </w:pPr>
      <w:r w:rsidRPr="00433A34">
        <w:rPr>
          <w:rStyle w:val="ui-provider"/>
        </w:rPr>
        <w:t>Many households also benefit from assistance provided through the transfer system. For example, most individuals with private (all non-government) income less than $20,000 pay no tax, and the majority receive transfer payments (</w:t>
      </w:r>
      <w:r w:rsidR="003D3223">
        <w:rPr>
          <w:rStyle w:val="ui-provider"/>
        </w:rPr>
        <w:t>Chart 2</w:t>
      </w:r>
      <w:r w:rsidRPr="00433A34">
        <w:rPr>
          <w:rStyle w:val="ui-provider"/>
        </w:rPr>
        <w:t xml:space="preserve">.1). Support provided through the transfer system may be delivered more efficiently and effectively than support through the tax system for certain cohorts. </w:t>
      </w:r>
    </w:p>
    <w:p w14:paraId="143D2AB1" w14:textId="3A12E03D" w:rsidR="0045356D" w:rsidRPr="00273AA1" w:rsidRDefault="0045356D" w:rsidP="0045356D">
      <w:pPr>
        <w:pStyle w:val="Bullet"/>
      </w:pPr>
      <w:r w:rsidRPr="00273AA1">
        <w:t>A more complete picture would also consider the lifetime profile of support rather than focusing on a single-year snapshot, as incomes and circumstances are strongly correlated with certain life stages (for example, the Age Pension and Family Tax Benefit).</w:t>
      </w:r>
    </w:p>
    <w:p w14:paraId="099B75C9" w14:textId="6C27A6FE" w:rsidR="0045356D" w:rsidRPr="00273AA1" w:rsidRDefault="0045356D" w:rsidP="0045356D">
      <w:pPr>
        <w:pStyle w:val="Bullet"/>
      </w:pPr>
      <w:r w:rsidRPr="00273AA1">
        <w:t xml:space="preserve">Distributional analysis of large tax expenditures affecting companies is presented from the point of view of the recipient company. While the owners of these companies may be the ultimate beneficiaries of any tax expenditures affecting those companies, sufficient data </w:t>
      </w:r>
      <w:r w:rsidR="00C13E85">
        <w:t>is</w:t>
      </w:r>
      <w:r w:rsidR="00C13E85" w:rsidRPr="00273AA1">
        <w:t xml:space="preserve"> </w:t>
      </w:r>
      <w:r w:rsidRPr="00273AA1">
        <w:t>not available on company ownership to carry out the analysis from the perspective of the owners.</w:t>
      </w:r>
    </w:p>
    <w:p w14:paraId="5AB1AF7F" w14:textId="43C91934" w:rsidR="00546AD5" w:rsidRPr="00796C9D" w:rsidRDefault="003D3223" w:rsidP="00990886">
      <w:pPr>
        <w:pStyle w:val="ChartHeading"/>
      </w:pPr>
      <w:r>
        <w:t>Chart 2</w:t>
      </w:r>
      <w:r w:rsidR="00546AD5" w:rsidRPr="005825CF">
        <w:t xml:space="preserve">.1 </w:t>
      </w:r>
      <w:r w:rsidR="00E24391" w:rsidRPr="00E24391">
        <w:t>Estimated number of individuals aged 15 and over by individual private income, split by whether receiving any transfer payments* and whether paying any tax (2024-25)</w:t>
      </w:r>
      <w:r w:rsidR="00546AD5" w:rsidRPr="007F5662">
        <w:rPr>
          <w:b w:val="0"/>
        </w:rPr>
        <w:t xml:space="preserve"> </w:t>
      </w:r>
    </w:p>
    <w:p w14:paraId="78325933" w14:textId="1FEC59C5" w:rsidR="007A5C27" w:rsidRDefault="00651244" w:rsidP="007F5662">
      <w:pPr>
        <w:pStyle w:val="ChartGraphic"/>
      </w:pPr>
      <w:r>
        <w:object w:dxaOrig="7366" w:dyaOrig="4531" w14:anchorId="40553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chart shows that the number of people not receiving transfers and not paying tax, as well as those receiving transfers and not paying tax, mostly have private incomes below $30,000. Those receiving transfers and paying tax are a small proportion of the total population and have private income mostly between $20,000 and $100,000. The population paying tax and not receiving transfer payments have private income above $20,000, peaks in the $50,000 to $70,000 private income range, and declines as private income increases." style="width:370.5pt;height:225.75pt" o:ole="">
            <v:imagedata r:id="rId29" o:title=""/>
          </v:shape>
          <o:OLEObject Type="Link" ProgID="Excel.Sheet.12" ShapeID="_x0000_i1025" DrawAspect="Content" r:id="rId30" UpdateMode="Always">
            <o:LinkType>EnhancedMetaFile</o:LinkType>
            <o:LockedField/>
          </o:OLEObject>
        </w:object>
      </w:r>
    </w:p>
    <w:p w14:paraId="1A715BA8" w14:textId="77777777" w:rsidR="00B334E9" w:rsidRDefault="00B334E9" w:rsidP="00B334E9">
      <w:pPr>
        <w:pStyle w:val="ChartandTableFootnote"/>
      </w:pPr>
    </w:p>
    <w:p w14:paraId="3675CD6D" w14:textId="77777777" w:rsidR="00B334E9" w:rsidRDefault="007F3A99" w:rsidP="00B334E9">
      <w:pPr>
        <w:pStyle w:val="ChartandTableFootnote"/>
        <w:rPr>
          <w:b/>
        </w:rPr>
      </w:pPr>
      <w:r w:rsidRPr="75B4C897">
        <w:t xml:space="preserve">* Recipients of transfer payments here include individuals eligible for income support payments, Family Tax Benefit and the Commonwealth Seniors Health Card, but do not include other payments, such as Child Care Subsidy or Paid Parental Leave. </w:t>
      </w:r>
    </w:p>
    <w:p w14:paraId="32AB022D" w14:textId="5EA68CD6" w:rsidR="002D13FE" w:rsidRPr="00B334E9" w:rsidRDefault="007F3A99" w:rsidP="00B334E9">
      <w:pPr>
        <w:pStyle w:val="ChartandTableFootnote"/>
        <w:rPr>
          <w:b/>
        </w:rPr>
      </w:pPr>
      <w:r w:rsidRPr="009F2678">
        <w:t>Source: Treasury’s CAPITA microsimulation model</w:t>
      </w:r>
      <w:bookmarkEnd w:id="39"/>
      <w:r w:rsidRPr="009F2678">
        <w:t>.</w:t>
      </w:r>
      <w:r w:rsidR="00A76890" w:rsidRPr="009F2678">
        <w:t xml:space="preserve"> </w:t>
      </w:r>
    </w:p>
    <w:p w14:paraId="10BC2471" w14:textId="235E0603" w:rsidR="002D13FE" w:rsidRDefault="0045356D" w:rsidP="009F2678">
      <w:pPr>
        <w:spacing w:before="240"/>
      </w:pPr>
      <w:r w:rsidRPr="00273AA1">
        <w:t>Some further information on the distributional analysis follows below.</w:t>
      </w:r>
      <w:r w:rsidR="00A76890">
        <w:t xml:space="preserve"> </w:t>
      </w:r>
    </w:p>
    <w:p w14:paraId="633BCBB7" w14:textId="060BE0CF" w:rsidR="00A32BD5" w:rsidRPr="00273AA1" w:rsidRDefault="0045356D" w:rsidP="00A07166">
      <w:pPr>
        <w:pStyle w:val="Bullet"/>
      </w:pPr>
      <w:r w:rsidRPr="00273AA1">
        <w:t xml:space="preserve">Distributional analysis requires more data than aggregate estimates, and so analysis is only presented for tax expenditures where there is comprehensive data of suitable quality. As tax expenditures reflect revenue not collected, some large tax expenditures do not currently have suitable disaggregated data to conduct distributional analysis. </w:t>
      </w:r>
    </w:p>
    <w:p w14:paraId="6C7A6BC4" w14:textId="77777777" w:rsidR="0045356D" w:rsidRPr="00273AA1" w:rsidRDefault="0045356D" w:rsidP="0045356D">
      <w:pPr>
        <w:pStyle w:val="Bullet"/>
        <w:keepNext/>
      </w:pPr>
      <w:r w:rsidRPr="00273AA1">
        <w:t>Distributional analysis was conducted consistent with the latest published data:</w:t>
      </w:r>
    </w:p>
    <w:p w14:paraId="2F8522AF" w14:textId="14CB31B0" w:rsidR="0045356D" w:rsidRPr="00273AA1" w:rsidRDefault="0045356D" w:rsidP="0045356D">
      <w:pPr>
        <w:pStyle w:val="Dash"/>
      </w:pPr>
      <w:r w:rsidRPr="00273AA1">
        <w:t>Tax expenditures and aspects of the tax system relating to individuals are based on tax data for 16 million personal tax filers in 20</w:t>
      </w:r>
      <w:r w:rsidR="00716B93">
        <w:t>21</w:t>
      </w:r>
      <w:r w:rsidR="00716B93" w:rsidRPr="00273AA1">
        <w:t>–</w:t>
      </w:r>
      <w:r w:rsidR="00716B93">
        <w:t>22</w:t>
      </w:r>
      <w:r w:rsidRPr="00273AA1">
        <w:t xml:space="preserve"> (the most recent year where the </w:t>
      </w:r>
      <w:r w:rsidR="00B243FF">
        <w:t>Australian Taxation Office’s (ATO)</w:t>
      </w:r>
      <w:r w:rsidRPr="00273AA1">
        <w:t xml:space="preserve"> comprehensive </w:t>
      </w:r>
      <w:r w:rsidRPr="00273AA1">
        <w:rPr>
          <w:i/>
        </w:rPr>
        <w:t>Taxation Statistics</w:t>
      </w:r>
      <w:r w:rsidRPr="00273AA1">
        <w:t xml:space="preserve"> is available). The total tax filer population is benchmarked to meet Treasury’s estimate for </w:t>
      </w:r>
      <w:r w:rsidR="00680EA2">
        <w:t>2021</w:t>
      </w:r>
      <w:r w:rsidR="00C244EC">
        <w:t>–</w:t>
      </w:r>
      <w:r w:rsidR="00613DAB">
        <w:t>22</w:t>
      </w:r>
      <w:r w:rsidRPr="00273AA1">
        <w:t>, which incorporates late lodgers.</w:t>
      </w:r>
    </w:p>
    <w:p w14:paraId="21905D61" w14:textId="1899B882" w:rsidR="0045356D" w:rsidRPr="00273AA1" w:rsidRDefault="0045356D" w:rsidP="0045356D">
      <w:pPr>
        <w:pStyle w:val="Dash"/>
      </w:pPr>
      <w:r w:rsidRPr="00273AA1">
        <w:t>Tax expenditures relating to businesses are based on tax data for 1.</w:t>
      </w:r>
      <w:r w:rsidR="00AB256D">
        <w:t>6</w:t>
      </w:r>
      <w:r w:rsidR="00AB256D" w:rsidRPr="00273AA1">
        <w:t> </w:t>
      </w:r>
      <w:r w:rsidRPr="00273AA1">
        <w:t xml:space="preserve">million </w:t>
      </w:r>
      <w:r w:rsidR="00953A18">
        <w:t>individual</w:t>
      </w:r>
      <w:r w:rsidR="00953A18" w:rsidRPr="00273AA1">
        <w:t xml:space="preserve"> </w:t>
      </w:r>
      <w:r w:rsidRPr="00273AA1">
        <w:t>and 1.</w:t>
      </w:r>
      <w:r w:rsidR="00716B93">
        <w:t>2</w:t>
      </w:r>
      <w:r w:rsidRPr="00273AA1">
        <w:t xml:space="preserve"> million company tax filers in 202</w:t>
      </w:r>
      <w:r w:rsidR="00716B93">
        <w:t>1</w:t>
      </w:r>
      <w:r w:rsidRPr="00273AA1">
        <w:t>–2</w:t>
      </w:r>
      <w:r w:rsidR="00716B93">
        <w:t>2</w:t>
      </w:r>
      <w:r w:rsidRPr="00273AA1">
        <w:t>.</w:t>
      </w:r>
    </w:p>
    <w:p w14:paraId="563B327F" w14:textId="67E62B06" w:rsidR="0045356D" w:rsidRPr="00273AA1" w:rsidRDefault="0045356D" w:rsidP="0045356D">
      <w:pPr>
        <w:pStyle w:val="Bullet"/>
      </w:pPr>
      <w:r w:rsidRPr="00273AA1">
        <w:t xml:space="preserve">Some closely related tax expenditures have been combined for brevity, but the estimates remain separate in Appendix A.1. </w:t>
      </w:r>
    </w:p>
    <w:p w14:paraId="380D2347" w14:textId="77777777" w:rsidR="0045356D" w:rsidRPr="00273AA1" w:rsidRDefault="0045356D" w:rsidP="0045356D">
      <w:pPr>
        <w:pStyle w:val="Bullet"/>
      </w:pPr>
      <w:r w:rsidRPr="00273AA1">
        <w:t xml:space="preserve">The total of revenue forgone implicit in the distributional analysis does not equal the estimates of aggregate revenue forgone for some tax expenditures. This is due to differences in the data used, including data from aggregate sources, and different timing of tax revenue, with distributional analysis showing benefits when tax expenditures are used, rather than when tax would have been paid. </w:t>
      </w:r>
    </w:p>
    <w:p w14:paraId="6B0F3F45" w14:textId="77777777" w:rsidR="0045356D" w:rsidRPr="00273AA1" w:rsidRDefault="0045356D" w:rsidP="0045356D">
      <w:pPr>
        <w:pStyle w:val="Dash"/>
      </w:pPr>
      <w:r w:rsidRPr="00273AA1">
        <w:t xml:space="preserve">For example, in the distributional analysis, the cost of expenditures for income taxes is reported in the year when the income is earned, and not when a taxpayer would lodge a tax return. </w:t>
      </w:r>
    </w:p>
    <w:p w14:paraId="42FB2A29" w14:textId="6B1F1408" w:rsidR="0045356D" w:rsidRPr="00273AA1" w:rsidRDefault="0045356D" w:rsidP="0045356D">
      <w:pPr>
        <w:pStyle w:val="Bullet"/>
      </w:pPr>
      <w:r w:rsidRPr="00273AA1">
        <w:t>Due to data limitations, individuals who have incomes below the tax</w:t>
      </w:r>
      <w:r w:rsidRPr="00273AA1">
        <w:noBreakHyphen/>
        <w:t xml:space="preserve">free threshold and who do not lodge tax returns have been excluded from distributional analysis which </w:t>
      </w:r>
      <w:r>
        <w:t>relates to</w:t>
      </w:r>
      <w:r w:rsidRPr="00273AA1">
        <w:t xml:space="preserve"> personal income tax. There is one exception to this:</w:t>
      </w:r>
    </w:p>
    <w:p w14:paraId="388D368B" w14:textId="01D517B3" w:rsidR="0045356D" w:rsidRDefault="0045356D" w:rsidP="0045356D">
      <w:pPr>
        <w:pStyle w:val="Bullet"/>
        <w:numPr>
          <w:ilvl w:val="1"/>
          <w:numId w:val="1"/>
        </w:numPr>
      </w:pPr>
      <w:r w:rsidRPr="00273AA1">
        <w:t>Non-lodgers are included for the distributional analysis of the concessional taxation of superannuation earnings, as non</w:t>
      </w:r>
      <w:r w:rsidR="008108C9">
        <w:t>-</w:t>
      </w:r>
      <w:r w:rsidRPr="00273AA1">
        <w:t xml:space="preserve">lodgers are observable in superannuation account data. </w:t>
      </w:r>
    </w:p>
    <w:p w14:paraId="1713D4BF" w14:textId="4171752C" w:rsidR="00924209" w:rsidRPr="00273AA1" w:rsidRDefault="00A32BD5" w:rsidP="002E0CC3">
      <w:pPr>
        <w:pStyle w:val="Bullet"/>
      </w:pPr>
      <w:r>
        <w:t>T</w:t>
      </w:r>
      <w:r w:rsidR="008A04A4">
        <w:t xml:space="preserve">ax expenditures affecting Goods and Services Tax (GST) paid </w:t>
      </w:r>
      <w:r w:rsidR="008A3FEF">
        <w:t xml:space="preserve">were published in the </w:t>
      </w:r>
      <w:r w:rsidR="008A3FEF" w:rsidRPr="004760A5">
        <w:rPr>
          <w:rStyle w:val="Emphasis"/>
        </w:rPr>
        <w:t>2022</w:t>
      </w:r>
      <w:r w:rsidR="00C31B52" w:rsidRPr="004760A5">
        <w:rPr>
          <w:rStyle w:val="Emphasis"/>
        </w:rPr>
        <w:t>–</w:t>
      </w:r>
      <w:r w:rsidR="008A3FEF" w:rsidRPr="004760A5">
        <w:rPr>
          <w:rStyle w:val="Emphasis"/>
        </w:rPr>
        <w:t>23</w:t>
      </w:r>
      <w:r w:rsidR="00353058" w:rsidRPr="004760A5">
        <w:rPr>
          <w:rStyle w:val="Emphasis"/>
        </w:rPr>
        <w:t xml:space="preserve"> Tax Expenditures and Insights Statement</w:t>
      </w:r>
      <w:r w:rsidR="00E714D7">
        <w:t xml:space="preserve">, and </w:t>
      </w:r>
      <w:r w:rsidR="002B166E">
        <w:t>do not appear in this Statement a</w:t>
      </w:r>
      <w:r w:rsidR="00C32A7D">
        <w:t>s the</w:t>
      </w:r>
      <w:r w:rsidR="002B166E">
        <w:t>re has been no update to the</w:t>
      </w:r>
      <w:r w:rsidR="00553019">
        <w:t xml:space="preserve"> data </w:t>
      </w:r>
      <w:r w:rsidR="00DE2284">
        <w:t xml:space="preserve">on which this </w:t>
      </w:r>
      <w:r w:rsidR="00553019">
        <w:t>analysis</w:t>
      </w:r>
      <w:r w:rsidR="00DE2284">
        <w:t xml:space="preserve"> was based</w:t>
      </w:r>
      <w:r w:rsidR="00553019">
        <w:t xml:space="preserve">, the </w:t>
      </w:r>
      <w:r w:rsidR="00655074">
        <w:t>Australian Bureau of Statistics’ Household Expenditure Survey</w:t>
      </w:r>
      <w:r w:rsidR="002B166E">
        <w:t>.</w:t>
      </w:r>
    </w:p>
    <w:p w14:paraId="1C724F8F" w14:textId="05642AD4" w:rsidR="0045356D" w:rsidRDefault="0045356D" w:rsidP="0045356D">
      <w:pPr>
        <w:pStyle w:val="Bullet"/>
      </w:pPr>
      <w:r w:rsidRPr="00273AA1">
        <w:t>Appendix A.</w:t>
      </w:r>
      <w:r w:rsidR="00627B58">
        <w:t>4</w:t>
      </w:r>
      <w:r w:rsidRPr="00273AA1">
        <w:t xml:space="preserve"> provides additional information on the data sources and methodology used for the distributional analysis, including summary statistics on tax filers by income, age, gender and industry.</w:t>
      </w:r>
    </w:p>
    <w:p w14:paraId="7DDE82B9" w14:textId="1C2A413E" w:rsidR="00FD10EC" w:rsidRDefault="0045356D">
      <w:pPr>
        <w:spacing w:after="0" w:line="240" w:lineRule="auto"/>
        <w:jc w:val="left"/>
      </w:pPr>
      <w:r>
        <w:br w:type="page"/>
      </w:r>
    </w:p>
    <w:p w14:paraId="4A8A0307" w14:textId="1DCDDC49" w:rsidR="008529DC" w:rsidRDefault="008529DC" w:rsidP="00FA7A7A">
      <w:pPr>
        <w:pStyle w:val="Heading2"/>
        <w:numPr>
          <w:ilvl w:val="1"/>
          <w:numId w:val="51"/>
        </w:numPr>
      </w:pPr>
      <w:bookmarkStart w:id="40" w:name="_Toc184287648"/>
      <w:r>
        <w:t xml:space="preserve">Concessional taxation of superannuation </w:t>
      </w:r>
      <w:r w:rsidR="000C1192">
        <w:t>contributions</w:t>
      </w:r>
      <w:bookmarkEnd w:id="40"/>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blLook w:val="04A0" w:firstRow="1" w:lastRow="0" w:firstColumn="1" w:lastColumn="0" w:noHBand="0" w:noVBand="1"/>
      </w:tblPr>
      <w:tblGrid>
        <w:gridCol w:w="7711"/>
      </w:tblGrid>
      <w:tr w:rsidR="008529DC" w:rsidRPr="008529DC" w14:paraId="7087FA34" w14:textId="77777777">
        <w:trPr>
          <w:trHeight w:val="3322"/>
        </w:trPr>
        <w:tc>
          <w:tcPr>
            <w:tcW w:w="7711" w:type="dxa"/>
            <w:shd w:val="clear" w:color="auto" w:fill="DEEAF6"/>
          </w:tcPr>
          <w:p w14:paraId="17EC607B" w14:textId="77777777" w:rsidR="008529DC" w:rsidRDefault="008529DC" w:rsidP="00B334E9">
            <w:pPr>
              <w:rPr>
                <w:rFonts w:eastAsiaTheme="minorHAnsi"/>
              </w:rPr>
            </w:pPr>
            <w:r w:rsidRPr="00FC7B3F">
              <w:rPr>
                <w:rFonts w:eastAsiaTheme="minorHAnsi"/>
              </w:rPr>
              <w:t>Under the benchmark, superannuation contributions are included in personal taxable income and taxed at marginal rates. Under these tax expenditures (C2 and C3 combined), employer contributions and personal contributions to superannuation funds are generally taxed at a concessional rate of 15 per cent. For individuals whose combined income and concessional contributions exceed $250,000, the effective rate on contributions above the threshold is 30 per cent.</w:t>
            </w:r>
          </w:p>
          <w:p w14:paraId="623DFEF0" w14:textId="49E802CA" w:rsidR="008529DC" w:rsidRPr="008529DC" w:rsidRDefault="003D3223" w:rsidP="00B334E9">
            <w:pPr>
              <w:pStyle w:val="TableHeading"/>
            </w:pPr>
            <w:r>
              <w:t>Table 2</w:t>
            </w:r>
            <w:r w:rsidR="00E849CC">
              <w:t>.1</w:t>
            </w:r>
            <w:r w:rsidR="008529DC" w:rsidRPr="008529DC">
              <w:t xml:space="preserve"> Combined estimate of aggregate revenue forgone ($m)</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36"/>
              <w:gridCol w:w="937"/>
              <w:gridCol w:w="937"/>
              <w:gridCol w:w="937"/>
              <w:gridCol w:w="937"/>
              <w:gridCol w:w="937"/>
              <w:gridCol w:w="937"/>
              <w:gridCol w:w="937"/>
            </w:tblGrid>
            <w:tr w:rsidR="008529DC" w:rsidRPr="008529DC" w14:paraId="3F6EE290" w14:textId="77777777" w:rsidTr="00DC7B7D">
              <w:trPr>
                <w:trHeight w:val="255"/>
                <w:jc w:val="center"/>
              </w:trPr>
              <w:tc>
                <w:tcPr>
                  <w:tcW w:w="936" w:type="dxa"/>
                  <w:tcBorders>
                    <w:top w:val="single" w:sz="4" w:space="0" w:color="auto"/>
                    <w:left w:val="nil"/>
                    <w:bottom w:val="single" w:sz="4" w:space="0" w:color="auto"/>
                    <w:right w:val="nil"/>
                  </w:tcBorders>
                  <w:vAlign w:val="center"/>
                  <w:hideMark/>
                </w:tcPr>
                <w:p w14:paraId="7F6A1620"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2020-21</w:t>
                  </w:r>
                </w:p>
              </w:tc>
              <w:tc>
                <w:tcPr>
                  <w:tcW w:w="937" w:type="dxa"/>
                  <w:tcBorders>
                    <w:top w:val="single" w:sz="4" w:space="0" w:color="auto"/>
                    <w:left w:val="nil"/>
                    <w:bottom w:val="single" w:sz="4" w:space="0" w:color="auto"/>
                    <w:right w:val="nil"/>
                  </w:tcBorders>
                  <w:vAlign w:val="center"/>
                  <w:hideMark/>
                </w:tcPr>
                <w:p w14:paraId="23DFBAC5"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2021-22</w:t>
                  </w:r>
                </w:p>
              </w:tc>
              <w:tc>
                <w:tcPr>
                  <w:tcW w:w="937" w:type="dxa"/>
                  <w:tcBorders>
                    <w:top w:val="single" w:sz="4" w:space="0" w:color="auto"/>
                    <w:left w:val="nil"/>
                    <w:bottom w:val="single" w:sz="4" w:space="0" w:color="auto"/>
                    <w:right w:val="nil"/>
                  </w:tcBorders>
                  <w:vAlign w:val="center"/>
                  <w:hideMark/>
                </w:tcPr>
                <w:p w14:paraId="590CD5D5"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2022-23</w:t>
                  </w:r>
                </w:p>
              </w:tc>
              <w:tc>
                <w:tcPr>
                  <w:tcW w:w="937" w:type="dxa"/>
                  <w:tcBorders>
                    <w:top w:val="single" w:sz="4" w:space="0" w:color="auto"/>
                    <w:left w:val="nil"/>
                    <w:bottom w:val="single" w:sz="4" w:space="0" w:color="auto"/>
                    <w:right w:val="nil"/>
                  </w:tcBorders>
                  <w:vAlign w:val="center"/>
                  <w:hideMark/>
                </w:tcPr>
                <w:p w14:paraId="5C74240B"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2023-24</w:t>
                  </w:r>
                </w:p>
              </w:tc>
              <w:tc>
                <w:tcPr>
                  <w:tcW w:w="937" w:type="dxa"/>
                  <w:tcBorders>
                    <w:top w:val="single" w:sz="4" w:space="0" w:color="auto"/>
                    <w:left w:val="nil"/>
                    <w:bottom w:val="single" w:sz="4" w:space="0" w:color="auto"/>
                    <w:right w:val="nil"/>
                  </w:tcBorders>
                  <w:vAlign w:val="center"/>
                  <w:hideMark/>
                </w:tcPr>
                <w:p w14:paraId="6E97A7C3"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2024-25</w:t>
                  </w:r>
                </w:p>
              </w:tc>
              <w:tc>
                <w:tcPr>
                  <w:tcW w:w="937" w:type="dxa"/>
                  <w:tcBorders>
                    <w:top w:val="single" w:sz="4" w:space="0" w:color="auto"/>
                    <w:left w:val="nil"/>
                    <w:bottom w:val="single" w:sz="4" w:space="0" w:color="auto"/>
                    <w:right w:val="nil"/>
                  </w:tcBorders>
                  <w:vAlign w:val="center"/>
                  <w:hideMark/>
                </w:tcPr>
                <w:p w14:paraId="4B0BE803"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2025-26</w:t>
                  </w:r>
                </w:p>
              </w:tc>
              <w:tc>
                <w:tcPr>
                  <w:tcW w:w="937" w:type="dxa"/>
                  <w:tcBorders>
                    <w:top w:val="single" w:sz="4" w:space="0" w:color="auto"/>
                    <w:left w:val="nil"/>
                    <w:bottom w:val="single" w:sz="4" w:space="0" w:color="auto"/>
                    <w:right w:val="nil"/>
                  </w:tcBorders>
                  <w:vAlign w:val="center"/>
                  <w:hideMark/>
                </w:tcPr>
                <w:p w14:paraId="22D0A4D1"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2026-27</w:t>
                  </w:r>
                </w:p>
              </w:tc>
              <w:tc>
                <w:tcPr>
                  <w:tcW w:w="937" w:type="dxa"/>
                  <w:tcBorders>
                    <w:top w:val="single" w:sz="4" w:space="0" w:color="auto"/>
                    <w:left w:val="nil"/>
                    <w:bottom w:val="single" w:sz="4" w:space="0" w:color="auto"/>
                    <w:right w:val="nil"/>
                  </w:tcBorders>
                  <w:vAlign w:val="center"/>
                  <w:hideMark/>
                </w:tcPr>
                <w:p w14:paraId="394FA4B7"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2027-28</w:t>
                  </w:r>
                </w:p>
              </w:tc>
            </w:tr>
            <w:tr w:rsidR="008529DC" w:rsidRPr="008529DC" w14:paraId="2866C31D" w14:textId="77777777" w:rsidTr="00DC7B7D">
              <w:trPr>
                <w:trHeight w:val="255"/>
                <w:jc w:val="center"/>
              </w:trPr>
              <w:tc>
                <w:tcPr>
                  <w:tcW w:w="936" w:type="dxa"/>
                  <w:tcBorders>
                    <w:top w:val="single" w:sz="4" w:space="0" w:color="EEECE1" w:themeColor="background2"/>
                    <w:left w:val="nil"/>
                    <w:bottom w:val="single" w:sz="4" w:space="0" w:color="auto"/>
                    <w:right w:val="nil"/>
                  </w:tcBorders>
                  <w:vAlign w:val="center"/>
                  <w:hideMark/>
                </w:tcPr>
                <w:p w14:paraId="1BF67F3D"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20,900</w:t>
                  </w:r>
                </w:p>
              </w:tc>
              <w:tc>
                <w:tcPr>
                  <w:tcW w:w="937" w:type="dxa"/>
                  <w:tcBorders>
                    <w:top w:val="single" w:sz="4" w:space="0" w:color="EEECE1" w:themeColor="background2"/>
                    <w:left w:val="nil"/>
                    <w:bottom w:val="single" w:sz="4" w:space="0" w:color="auto"/>
                    <w:right w:val="nil"/>
                  </w:tcBorders>
                  <w:vAlign w:val="center"/>
                  <w:hideMark/>
                </w:tcPr>
                <w:p w14:paraId="5A7C013A"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24,550</w:t>
                  </w:r>
                </w:p>
              </w:tc>
              <w:tc>
                <w:tcPr>
                  <w:tcW w:w="937" w:type="dxa"/>
                  <w:tcBorders>
                    <w:top w:val="single" w:sz="4" w:space="0" w:color="EEECE1" w:themeColor="background2"/>
                    <w:left w:val="nil"/>
                    <w:bottom w:val="single" w:sz="4" w:space="0" w:color="auto"/>
                    <w:right w:val="nil"/>
                  </w:tcBorders>
                  <w:vAlign w:val="center"/>
                  <w:hideMark/>
                </w:tcPr>
                <w:p w14:paraId="62480581"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28,250</w:t>
                  </w:r>
                </w:p>
              </w:tc>
              <w:tc>
                <w:tcPr>
                  <w:tcW w:w="937" w:type="dxa"/>
                  <w:tcBorders>
                    <w:top w:val="single" w:sz="4" w:space="0" w:color="EEECE1" w:themeColor="background2"/>
                    <w:left w:val="nil"/>
                    <w:bottom w:val="single" w:sz="4" w:space="0" w:color="auto"/>
                    <w:right w:val="nil"/>
                  </w:tcBorders>
                  <w:vAlign w:val="center"/>
                  <w:hideMark/>
                </w:tcPr>
                <w:p w14:paraId="0008143D"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31,400</w:t>
                  </w:r>
                </w:p>
              </w:tc>
              <w:tc>
                <w:tcPr>
                  <w:tcW w:w="937" w:type="dxa"/>
                  <w:tcBorders>
                    <w:top w:val="single" w:sz="4" w:space="0" w:color="EEECE1" w:themeColor="background2"/>
                    <w:left w:val="nil"/>
                    <w:bottom w:val="single" w:sz="4" w:space="0" w:color="auto"/>
                    <w:right w:val="nil"/>
                  </w:tcBorders>
                  <w:vAlign w:val="center"/>
                  <w:hideMark/>
                </w:tcPr>
                <w:p w14:paraId="50FD0AA0"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30,950</w:t>
                  </w:r>
                </w:p>
              </w:tc>
              <w:tc>
                <w:tcPr>
                  <w:tcW w:w="937" w:type="dxa"/>
                  <w:tcBorders>
                    <w:top w:val="single" w:sz="4" w:space="0" w:color="EEECE1" w:themeColor="background2"/>
                    <w:left w:val="nil"/>
                    <w:bottom w:val="single" w:sz="4" w:space="0" w:color="auto"/>
                    <w:right w:val="nil"/>
                  </w:tcBorders>
                  <w:vAlign w:val="center"/>
                  <w:hideMark/>
                </w:tcPr>
                <w:p w14:paraId="168D8B3F"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32,600</w:t>
                  </w:r>
                </w:p>
              </w:tc>
              <w:tc>
                <w:tcPr>
                  <w:tcW w:w="937" w:type="dxa"/>
                  <w:tcBorders>
                    <w:top w:val="single" w:sz="4" w:space="0" w:color="EEECE1" w:themeColor="background2"/>
                    <w:left w:val="nil"/>
                    <w:bottom w:val="single" w:sz="4" w:space="0" w:color="auto"/>
                    <w:right w:val="nil"/>
                  </w:tcBorders>
                  <w:vAlign w:val="center"/>
                  <w:hideMark/>
                </w:tcPr>
                <w:p w14:paraId="4F23BF4F" w14:textId="77777777"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34,850</w:t>
                  </w:r>
                </w:p>
              </w:tc>
              <w:tc>
                <w:tcPr>
                  <w:tcW w:w="937" w:type="dxa"/>
                  <w:tcBorders>
                    <w:top w:val="single" w:sz="4" w:space="0" w:color="EEECE1" w:themeColor="background2"/>
                    <w:left w:val="nil"/>
                    <w:bottom w:val="single" w:sz="4" w:space="0" w:color="auto"/>
                    <w:right w:val="nil"/>
                  </w:tcBorders>
                  <w:vAlign w:val="center"/>
                  <w:hideMark/>
                </w:tcPr>
                <w:p w14:paraId="296F2838" w14:textId="6DD6CE65" w:rsidR="008529DC" w:rsidRPr="008529DC" w:rsidRDefault="008529DC" w:rsidP="008529DC">
                  <w:pPr>
                    <w:spacing w:before="20" w:after="20" w:line="240" w:lineRule="auto"/>
                    <w:jc w:val="right"/>
                    <w:rPr>
                      <w:rFonts w:ascii="Arial" w:hAnsi="Arial" w:cs="Arial"/>
                      <w:color w:val="000000"/>
                      <w:sz w:val="16"/>
                      <w:szCs w:val="16"/>
                    </w:rPr>
                  </w:pPr>
                  <w:r w:rsidRPr="008529DC">
                    <w:rPr>
                      <w:rFonts w:ascii="Arial" w:hAnsi="Arial" w:cs="Arial"/>
                      <w:color w:val="000000"/>
                      <w:sz w:val="16"/>
                      <w:szCs w:val="16"/>
                    </w:rPr>
                    <w:t>36,750</w:t>
                  </w:r>
                </w:p>
              </w:tc>
            </w:tr>
          </w:tbl>
          <w:p w14:paraId="0DA0E543" w14:textId="6D317546" w:rsidR="008529DC" w:rsidRPr="008529DC" w:rsidRDefault="008529DC" w:rsidP="00E1619F">
            <w:pPr>
              <w:spacing w:before="120" w:after="120" w:line="240" w:lineRule="auto"/>
              <w:rPr>
                <w:rFonts w:eastAsiaTheme="minorHAnsi" w:cstheme="minorBidi"/>
                <w:lang w:eastAsia="en-US"/>
              </w:rPr>
            </w:pPr>
            <w:r w:rsidRPr="00E1619F">
              <w:rPr>
                <w:rFonts w:eastAsiaTheme="minorHAnsi" w:cstheme="minorBidi"/>
                <w:lang w:eastAsia="en-US"/>
              </w:rPr>
              <w:t xml:space="preserve">In 2021-22, around 13 million people were impacted by these tax expenditures. Most people, but not all, </w:t>
            </w:r>
            <w:r w:rsidR="00CA6242" w:rsidRPr="00E1619F">
              <w:rPr>
                <w:rFonts w:eastAsiaTheme="minorHAnsi" w:cstheme="minorBidi"/>
                <w:lang w:eastAsia="en-US"/>
              </w:rPr>
              <w:t>benefitted</w:t>
            </w:r>
            <w:r w:rsidRPr="00E1619F">
              <w:rPr>
                <w:rFonts w:eastAsiaTheme="minorHAnsi" w:cstheme="minorBidi"/>
                <w:lang w:eastAsia="en-US"/>
              </w:rPr>
              <w:t xml:space="preserve"> from them.</w:t>
            </w:r>
          </w:p>
        </w:tc>
      </w:tr>
    </w:tbl>
    <w:p w14:paraId="489D3B80" w14:textId="565D6F01"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In 2021-22, 91 per cent of the benefit went to people with above median income, and 32 per cent of the benefit went to people in the top income decile. There were fewer recipients in lower income brackets because government payments, for which compulsory superannuation contributions are not required, were the main source of income for a large proportion of individuals in these deciles (</w:t>
      </w:r>
      <w:r w:rsidR="003D3223">
        <w:rPr>
          <w:rFonts w:eastAsiaTheme="minorHAnsi" w:cstheme="minorBidi"/>
          <w:szCs w:val="22"/>
          <w:lang w:eastAsia="en-US"/>
        </w:rPr>
        <w:t>Chart 2</w:t>
      </w:r>
      <w:r w:rsidR="00E849CC" w:rsidRPr="00E1619F">
        <w:rPr>
          <w:rFonts w:eastAsiaTheme="minorHAnsi" w:cstheme="minorBidi"/>
          <w:szCs w:val="22"/>
          <w:lang w:eastAsia="en-US"/>
        </w:rPr>
        <w:t>.</w:t>
      </w:r>
      <w:r w:rsidRPr="00E1619F">
        <w:rPr>
          <w:rFonts w:eastAsiaTheme="minorHAnsi" w:cstheme="minorBidi"/>
          <w:szCs w:val="22"/>
          <w:lang w:eastAsia="en-US"/>
        </w:rPr>
        <w:t xml:space="preserve">2). </w:t>
      </w:r>
    </w:p>
    <w:p w14:paraId="57111232" w14:textId="7B589E50" w:rsidR="008529DC" w:rsidRPr="008529DC" w:rsidRDefault="003D3223" w:rsidP="00B334E9">
      <w:pPr>
        <w:pStyle w:val="ChartHeading"/>
        <w:rPr>
          <w:rFonts w:eastAsiaTheme="minorHAnsi" w:cstheme="minorBidi"/>
          <w:noProof/>
          <w:lang w:eastAsia="en-US"/>
        </w:rPr>
      </w:pPr>
      <w:r>
        <w:rPr>
          <w:rFonts w:eastAsiaTheme="minorHAnsi"/>
          <w:lang w:eastAsia="en-US"/>
        </w:rPr>
        <w:t>Chart 2</w:t>
      </w:r>
      <w:r w:rsidR="00E849CC" w:rsidRPr="00796C9D">
        <w:rPr>
          <w:rFonts w:eastAsiaTheme="minorHAnsi"/>
          <w:lang w:eastAsia="en-US"/>
        </w:rPr>
        <w:t>.</w:t>
      </w:r>
      <w:r w:rsidR="008529DC" w:rsidRPr="00796C9D">
        <w:rPr>
          <w:rFonts w:eastAsiaTheme="minorHAnsi"/>
          <w:lang w:eastAsia="en-US"/>
        </w:rPr>
        <w:t>2</w:t>
      </w:r>
      <w:r w:rsidR="008529DC" w:rsidRPr="008529DC">
        <w:rPr>
          <w:rFonts w:eastAsiaTheme="minorHAnsi"/>
          <w:lang w:eastAsia="en-US"/>
        </w:rPr>
        <w:t xml:space="preserve"> Share of benefit and recipients by taxable income decile, 2021-22</w:t>
      </w:r>
    </w:p>
    <w:p w14:paraId="1194F636" w14:textId="352813F9" w:rsidR="00680BD0" w:rsidRDefault="00651244" w:rsidP="00520611">
      <w:pPr>
        <w:pStyle w:val="ChartGraphic"/>
        <w:rPr>
          <w:rFonts w:eastAsiaTheme="minorHAnsi"/>
          <w:lang w:eastAsia="en-US"/>
        </w:rPr>
      </w:pPr>
      <w:r>
        <w:rPr>
          <w:rFonts w:eastAsiaTheme="minorHAnsi"/>
          <w:lang w:eastAsia="en-US"/>
        </w:rPr>
        <w:object w:dxaOrig="7381" w:dyaOrig="4546" w14:anchorId="7A205D53">
          <v:shape id="_x0000_i1026" type="#_x0000_t75" alt="Bar chart showing the share of benefits from superannuation contribution concessions for different income deciles. The chart shows a higher benefit for high income earners" style="width:371.25pt;height:226.5pt" o:ole="">
            <v:imagedata r:id="rId31" o:title=""/>
          </v:shape>
          <o:OLEObject Type="Link" ProgID="Excel.Sheet.12" ShapeID="_x0000_i1026" DrawAspect="Content" r:id="rId32" UpdateMode="Always">
            <o:LinkType>EnhancedMetaFile</o:LinkType>
            <o:LockedField/>
          </o:OLEObject>
        </w:object>
      </w:r>
    </w:p>
    <w:p w14:paraId="5B4BF0DF" w14:textId="56623B97" w:rsidR="008529DC" w:rsidRPr="009F2678" w:rsidRDefault="008529DC" w:rsidP="00520611">
      <w:pPr>
        <w:pStyle w:val="ChartGraphic"/>
        <w:jc w:val="both"/>
        <w:rPr>
          <w:rFonts w:eastAsiaTheme="minorHAnsi"/>
          <w:b w:val="0"/>
          <w:bCs w:val="0"/>
          <w:lang w:eastAsia="en-US"/>
        </w:rPr>
      </w:pPr>
      <w:r w:rsidRPr="009F2678">
        <w:rPr>
          <w:rFonts w:ascii="Arial" w:eastAsiaTheme="minorHAnsi" w:hAnsi="Arial" w:cs="Arial"/>
          <w:b w:val="0"/>
          <w:bCs w:val="0"/>
          <w:sz w:val="16"/>
          <w:szCs w:val="16"/>
          <w:lang w:eastAsia="en-US"/>
        </w:rPr>
        <w:t>Source: Treasury</w:t>
      </w:r>
    </w:p>
    <w:p w14:paraId="3D375D22" w14:textId="77777777" w:rsidR="00C41363" w:rsidRDefault="00C41363">
      <w:pPr>
        <w:spacing w:after="0" w:line="240" w:lineRule="auto"/>
        <w:jc w:val="left"/>
        <w:rPr>
          <w:rFonts w:eastAsiaTheme="minorHAnsi" w:cstheme="minorBidi"/>
          <w:szCs w:val="22"/>
          <w:lang w:eastAsia="en-US"/>
        </w:rPr>
      </w:pPr>
      <w:r>
        <w:rPr>
          <w:rFonts w:eastAsiaTheme="minorHAnsi" w:cstheme="minorBidi"/>
          <w:szCs w:val="22"/>
          <w:lang w:eastAsia="en-US"/>
        </w:rPr>
        <w:br w:type="page"/>
      </w:r>
    </w:p>
    <w:p w14:paraId="0B6475AE" w14:textId="52D129A4" w:rsidR="008529DC" w:rsidRPr="00E1619F" w:rsidRDefault="008529DC" w:rsidP="00E1619F">
      <w:pPr>
        <w:keepNext/>
        <w:spacing w:before="120" w:after="120" w:line="240" w:lineRule="auto"/>
        <w:rPr>
          <w:rFonts w:eastAsiaTheme="minorHAnsi" w:cstheme="minorBidi"/>
          <w:szCs w:val="22"/>
          <w:lang w:eastAsia="en-US"/>
        </w:rPr>
      </w:pPr>
      <w:r w:rsidRPr="00E1619F">
        <w:rPr>
          <w:rFonts w:eastAsiaTheme="minorHAnsi" w:cstheme="minorBidi"/>
          <w:szCs w:val="22"/>
          <w:lang w:eastAsia="en-US"/>
        </w:rPr>
        <w:t xml:space="preserve">The share of the benefit for people in the lowest deciles was negative because on average they faced a personal income tax rate that was lower than 15 per cent. This impact may be offset by the low-income super tax offset (LISTO), which is not included because it is a direct government expenditure. </w:t>
      </w:r>
    </w:p>
    <w:p w14:paraId="28033F72" w14:textId="77777777" w:rsidR="008529DC" w:rsidRPr="008529DC" w:rsidRDefault="008529DC" w:rsidP="00E1619F">
      <w:pPr>
        <w:keepNext/>
        <w:spacing w:before="120" w:after="120" w:line="240" w:lineRule="auto"/>
        <w:rPr>
          <w:rFonts w:ascii="Arial" w:eastAsiaTheme="minorHAnsi" w:hAnsi="Arial" w:cstheme="minorBidi"/>
          <w:b/>
          <w:bCs/>
          <w:szCs w:val="22"/>
          <w:lang w:eastAsia="en-US"/>
        </w:rPr>
      </w:pPr>
      <w:r w:rsidRPr="00E1619F">
        <w:rPr>
          <w:rFonts w:eastAsiaTheme="minorHAnsi" w:cstheme="minorBidi"/>
          <w:szCs w:val="22"/>
          <w:lang w:eastAsia="en-US"/>
        </w:rPr>
        <w:t>People in higher taxable income deciles received a larger share of the benefit due to making larger contributions and paying higher marginal rates of tax, which makes the flat 15 per cent rate of tax on superannuation contributions more concessional.</w:t>
      </w:r>
    </w:p>
    <w:p w14:paraId="1FA5CAD6" w14:textId="2E95B609" w:rsidR="008529DC" w:rsidRPr="008529DC" w:rsidRDefault="003D3223" w:rsidP="00B334E9">
      <w:pPr>
        <w:pStyle w:val="TableHeading"/>
        <w:rPr>
          <w:rFonts w:eastAsiaTheme="minorHAnsi"/>
          <w:lang w:eastAsia="en-US"/>
        </w:rPr>
      </w:pPr>
      <w:r>
        <w:rPr>
          <w:rFonts w:eastAsiaTheme="minorHAnsi"/>
          <w:lang w:eastAsia="en-US"/>
        </w:rPr>
        <w:t>Table 2</w:t>
      </w:r>
      <w:r w:rsidR="00360921">
        <w:rPr>
          <w:rFonts w:eastAsiaTheme="minorHAnsi"/>
          <w:lang w:eastAsia="en-US"/>
        </w:rPr>
        <w:t>.</w:t>
      </w:r>
      <w:r w:rsidR="008529DC">
        <w:rPr>
          <w:rFonts w:eastAsiaTheme="minorHAnsi"/>
          <w:lang w:eastAsia="en-US"/>
        </w:rPr>
        <w:t>2</w:t>
      </w:r>
      <w:r w:rsidR="008529DC" w:rsidRPr="008529DC">
        <w:rPr>
          <w:rFonts w:eastAsiaTheme="minorHAnsi"/>
          <w:lang w:eastAsia="en-US"/>
        </w:rPr>
        <w:t xml:space="preserve"> Distributional effect by gender, 2021-22*</w:t>
      </w:r>
    </w:p>
    <w:tbl>
      <w:tblPr>
        <w:tblW w:w="5018" w:type="pct"/>
        <w:jc w:val="center"/>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304"/>
        <w:gridCol w:w="1701"/>
        <w:gridCol w:w="2552"/>
        <w:gridCol w:w="2182"/>
      </w:tblGrid>
      <w:tr w:rsidR="008529DC" w:rsidRPr="008529DC" w14:paraId="59E97771" w14:textId="77777777" w:rsidTr="00E31419">
        <w:trPr>
          <w:jc w:val="center"/>
        </w:trPr>
        <w:tc>
          <w:tcPr>
            <w:tcW w:w="1304" w:type="dxa"/>
            <w:tcBorders>
              <w:top w:val="single" w:sz="4" w:space="0" w:color="auto"/>
              <w:left w:val="nil"/>
              <w:bottom w:val="single" w:sz="4" w:space="0" w:color="auto"/>
              <w:right w:val="nil"/>
            </w:tcBorders>
            <w:vAlign w:val="center"/>
            <w:hideMark/>
          </w:tcPr>
          <w:p w14:paraId="36634617" w14:textId="77777777" w:rsidR="008529DC" w:rsidRPr="008529DC" w:rsidRDefault="008529DC" w:rsidP="008529DC">
            <w:pPr>
              <w:spacing w:before="20" w:after="20" w:line="240" w:lineRule="auto"/>
              <w:jc w:val="left"/>
              <w:rPr>
                <w:rFonts w:ascii="Arial" w:hAnsi="Arial"/>
                <w:b/>
                <w:color w:val="000000"/>
                <w:sz w:val="16"/>
              </w:rPr>
            </w:pPr>
            <w:r w:rsidRPr="008529DC">
              <w:rPr>
                <w:rFonts w:ascii="Arial" w:hAnsi="Arial"/>
                <w:b/>
                <w:color w:val="000000"/>
                <w:sz w:val="16"/>
              </w:rPr>
              <w:t>Gender</w:t>
            </w:r>
          </w:p>
        </w:tc>
        <w:tc>
          <w:tcPr>
            <w:tcW w:w="1701" w:type="dxa"/>
            <w:tcBorders>
              <w:top w:val="single" w:sz="4" w:space="0" w:color="auto"/>
              <w:left w:val="nil"/>
              <w:bottom w:val="single" w:sz="4" w:space="0" w:color="auto"/>
              <w:right w:val="nil"/>
            </w:tcBorders>
            <w:vAlign w:val="center"/>
            <w:hideMark/>
          </w:tcPr>
          <w:p w14:paraId="1984ABBC"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Average benefit ($)</w:t>
            </w:r>
          </w:p>
        </w:tc>
        <w:tc>
          <w:tcPr>
            <w:tcW w:w="2552" w:type="dxa"/>
            <w:tcBorders>
              <w:top w:val="single" w:sz="4" w:space="0" w:color="auto"/>
              <w:left w:val="nil"/>
              <w:bottom w:val="single" w:sz="4" w:space="0" w:color="auto"/>
              <w:right w:val="nil"/>
            </w:tcBorders>
            <w:vAlign w:val="center"/>
            <w:hideMark/>
          </w:tcPr>
          <w:p w14:paraId="11BD1ACD"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Recipients (million)</w:t>
            </w:r>
          </w:p>
        </w:tc>
        <w:tc>
          <w:tcPr>
            <w:tcW w:w="2182" w:type="dxa"/>
            <w:tcBorders>
              <w:top w:val="single" w:sz="4" w:space="0" w:color="auto"/>
              <w:left w:val="nil"/>
              <w:bottom w:val="single" w:sz="4" w:space="0" w:color="auto"/>
              <w:right w:val="nil"/>
            </w:tcBorders>
            <w:vAlign w:val="center"/>
            <w:hideMark/>
          </w:tcPr>
          <w:p w14:paraId="1EB9D33C" w14:textId="77777777" w:rsidR="008529DC" w:rsidRPr="008529DC" w:rsidRDefault="008529DC" w:rsidP="008529DC">
            <w:pPr>
              <w:spacing w:before="20" w:after="20" w:line="240" w:lineRule="auto"/>
              <w:jc w:val="right"/>
              <w:rPr>
                <w:rFonts w:ascii="Arial" w:hAnsi="Arial"/>
                <w:b/>
                <w:color w:val="000000"/>
                <w:sz w:val="16"/>
              </w:rPr>
            </w:pPr>
            <w:r w:rsidRPr="008529DC">
              <w:rPr>
                <w:rFonts w:ascii="Arial" w:hAnsi="Arial"/>
                <w:b/>
                <w:color w:val="000000"/>
                <w:sz w:val="16"/>
              </w:rPr>
              <w:t>Share of total benefit (%)</w:t>
            </w:r>
          </w:p>
        </w:tc>
      </w:tr>
      <w:tr w:rsidR="008529DC" w:rsidRPr="008529DC" w14:paraId="513D38C7" w14:textId="77777777" w:rsidTr="00741441">
        <w:trPr>
          <w:trHeight w:val="227"/>
          <w:jc w:val="center"/>
        </w:trPr>
        <w:tc>
          <w:tcPr>
            <w:tcW w:w="1304" w:type="dxa"/>
            <w:tcBorders>
              <w:top w:val="single" w:sz="4" w:space="0" w:color="auto"/>
              <w:left w:val="nil"/>
              <w:bottom w:val="nil"/>
              <w:right w:val="nil"/>
            </w:tcBorders>
            <w:hideMark/>
          </w:tcPr>
          <w:p w14:paraId="6C98114D"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Men</w:t>
            </w:r>
          </w:p>
        </w:tc>
        <w:tc>
          <w:tcPr>
            <w:tcW w:w="1701" w:type="dxa"/>
            <w:tcBorders>
              <w:top w:val="single" w:sz="4" w:space="0" w:color="auto"/>
              <w:left w:val="nil"/>
              <w:bottom w:val="nil"/>
              <w:right w:val="nil"/>
            </w:tcBorders>
            <w:vAlign w:val="center"/>
            <w:hideMark/>
          </w:tcPr>
          <w:p w14:paraId="20DC9C5A" w14:textId="77777777" w:rsidR="008529DC" w:rsidRPr="008529DC" w:rsidRDefault="008529DC" w:rsidP="008529DC">
            <w:pPr>
              <w:spacing w:before="20" w:after="20" w:line="240" w:lineRule="auto"/>
              <w:jc w:val="right"/>
              <w:rPr>
                <w:rFonts w:ascii="Arial" w:hAnsi="Arial"/>
                <w:color w:val="000000"/>
                <w:sz w:val="16"/>
              </w:rPr>
            </w:pPr>
            <w:bookmarkStart w:id="41" w:name="_Hlk155277590"/>
            <w:r w:rsidRPr="008529DC">
              <w:rPr>
                <w:rFonts w:ascii="Arial" w:hAnsi="Arial"/>
                <w:color w:val="000000"/>
                <w:sz w:val="16"/>
              </w:rPr>
              <w:t xml:space="preserve"> 2,220 </w:t>
            </w:r>
            <w:bookmarkEnd w:id="41"/>
          </w:p>
        </w:tc>
        <w:tc>
          <w:tcPr>
            <w:tcW w:w="2552" w:type="dxa"/>
            <w:tcBorders>
              <w:top w:val="single" w:sz="4" w:space="0" w:color="auto"/>
              <w:left w:val="nil"/>
              <w:bottom w:val="nil"/>
              <w:right w:val="nil"/>
            </w:tcBorders>
            <w:vAlign w:val="center"/>
            <w:hideMark/>
          </w:tcPr>
          <w:p w14:paraId="4A66F965"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6.4</w:t>
            </w:r>
          </w:p>
        </w:tc>
        <w:tc>
          <w:tcPr>
            <w:tcW w:w="2182" w:type="dxa"/>
            <w:tcBorders>
              <w:top w:val="single" w:sz="4" w:space="0" w:color="auto"/>
              <w:left w:val="nil"/>
              <w:bottom w:val="nil"/>
              <w:right w:val="nil"/>
            </w:tcBorders>
            <w:vAlign w:val="center"/>
            <w:hideMark/>
          </w:tcPr>
          <w:p w14:paraId="6B7A6338"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58</w:t>
            </w:r>
          </w:p>
        </w:tc>
      </w:tr>
      <w:tr w:rsidR="008529DC" w:rsidRPr="008529DC" w14:paraId="34D41865" w14:textId="77777777" w:rsidTr="00741441">
        <w:trPr>
          <w:trHeight w:val="227"/>
          <w:jc w:val="center"/>
        </w:trPr>
        <w:tc>
          <w:tcPr>
            <w:tcW w:w="1304" w:type="dxa"/>
            <w:tcBorders>
              <w:top w:val="nil"/>
              <w:left w:val="nil"/>
              <w:bottom w:val="single" w:sz="4" w:space="0" w:color="auto"/>
              <w:right w:val="nil"/>
            </w:tcBorders>
            <w:hideMark/>
          </w:tcPr>
          <w:p w14:paraId="34B8179D"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Women</w:t>
            </w:r>
          </w:p>
        </w:tc>
        <w:tc>
          <w:tcPr>
            <w:tcW w:w="1701" w:type="dxa"/>
            <w:tcBorders>
              <w:top w:val="nil"/>
              <w:left w:val="nil"/>
              <w:bottom w:val="single" w:sz="4" w:space="0" w:color="auto"/>
              <w:right w:val="nil"/>
            </w:tcBorders>
            <w:vAlign w:val="center"/>
            <w:hideMark/>
          </w:tcPr>
          <w:p w14:paraId="156EBC67"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 xml:space="preserve"> 1,610 </w:t>
            </w:r>
          </w:p>
        </w:tc>
        <w:tc>
          <w:tcPr>
            <w:tcW w:w="2552" w:type="dxa"/>
            <w:tcBorders>
              <w:top w:val="nil"/>
              <w:left w:val="nil"/>
              <w:bottom w:val="single" w:sz="4" w:space="0" w:color="auto"/>
              <w:right w:val="nil"/>
            </w:tcBorders>
            <w:vAlign w:val="center"/>
            <w:hideMark/>
          </w:tcPr>
          <w:p w14:paraId="543E7124"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6.3</w:t>
            </w:r>
          </w:p>
        </w:tc>
        <w:tc>
          <w:tcPr>
            <w:tcW w:w="2182" w:type="dxa"/>
            <w:tcBorders>
              <w:top w:val="nil"/>
              <w:left w:val="nil"/>
              <w:bottom w:val="single" w:sz="4" w:space="0" w:color="auto"/>
              <w:right w:val="nil"/>
            </w:tcBorders>
            <w:vAlign w:val="center"/>
            <w:hideMark/>
          </w:tcPr>
          <w:p w14:paraId="7A8754FB"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42</w:t>
            </w:r>
          </w:p>
        </w:tc>
      </w:tr>
      <w:tr w:rsidR="008529DC" w:rsidRPr="008529DC" w14:paraId="793F0C40" w14:textId="77777777" w:rsidTr="00DC7E1C">
        <w:trPr>
          <w:trHeight w:val="227"/>
          <w:jc w:val="center"/>
        </w:trPr>
        <w:tc>
          <w:tcPr>
            <w:tcW w:w="1304" w:type="dxa"/>
            <w:tcBorders>
              <w:top w:val="single" w:sz="4" w:space="0" w:color="auto"/>
              <w:left w:val="nil"/>
              <w:bottom w:val="single" w:sz="4" w:space="0" w:color="auto"/>
              <w:right w:val="nil"/>
            </w:tcBorders>
            <w:hideMark/>
          </w:tcPr>
          <w:p w14:paraId="47B8B43B" w14:textId="77777777" w:rsidR="008529DC" w:rsidRPr="008529DC" w:rsidRDefault="008529DC" w:rsidP="008529DC">
            <w:pPr>
              <w:spacing w:before="20" w:after="20" w:line="240" w:lineRule="auto"/>
              <w:jc w:val="left"/>
              <w:rPr>
                <w:rFonts w:ascii="Arial" w:hAnsi="Arial"/>
                <w:color w:val="000000"/>
                <w:sz w:val="16"/>
              </w:rPr>
            </w:pPr>
            <w:r w:rsidRPr="008529DC">
              <w:rPr>
                <w:rFonts w:ascii="Arial" w:hAnsi="Arial"/>
                <w:color w:val="000000"/>
                <w:sz w:val="16"/>
              </w:rPr>
              <w:t>Total</w:t>
            </w:r>
          </w:p>
        </w:tc>
        <w:tc>
          <w:tcPr>
            <w:tcW w:w="1701" w:type="dxa"/>
            <w:tcBorders>
              <w:top w:val="single" w:sz="4" w:space="0" w:color="auto"/>
              <w:left w:val="nil"/>
              <w:bottom w:val="single" w:sz="4" w:space="0" w:color="auto"/>
              <w:right w:val="nil"/>
            </w:tcBorders>
            <w:vAlign w:val="center"/>
            <w:hideMark/>
          </w:tcPr>
          <w:p w14:paraId="13E71799"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 xml:space="preserve"> 1,920 </w:t>
            </w:r>
          </w:p>
        </w:tc>
        <w:tc>
          <w:tcPr>
            <w:tcW w:w="2552" w:type="dxa"/>
            <w:tcBorders>
              <w:top w:val="single" w:sz="4" w:space="0" w:color="auto"/>
              <w:left w:val="nil"/>
              <w:bottom w:val="single" w:sz="4" w:space="0" w:color="auto"/>
              <w:right w:val="nil"/>
            </w:tcBorders>
            <w:vAlign w:val="center"/>
            <w:hideMark/>
          </w:tcPr>
          <w:p w14:paraId="23810C18"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12.8</w:t>
            </w:r>
          </w:p>
        </w:tc>
        <w:tc>
          <w:tcPr>
            <w:tcW w:w="2182" w:type="dxa"/>
            <w:tcBorders>
              <w:top w:val="single" w:sz="4" w:space="0" w:color="auto"/>
              <w:left w:val="nil"/>
              <w:bottom w:val="single" w:sz="4" w:space="0" w:color="auto"/>
              <w:right w:val="nil"/>
            </w:tcBorders>
            <w:vAlign w:val="center"/>
            <w:hideMark/>
          </w:tcPr>
          <w:p w14:paraId="28B9C172" w14:textId="77777777" w:rsidR="008529DC" w:rsidRPr="008529DC" w:rsidRDefault="008529DC" w:rsidP="008529DC">
            <w:pPr>
              <w:spacing w:before="20" w:after="20" w:line="240" w:lineRule="auto"/>
              <w:jc w:val="right"/>
              <w:rPr>
                <w:rFonts w:ascii="Arial" w:hAnsi="Arial"/>
                <w:color w:val="000000"/>
                <w:sz w:val="16"/>
              </w:rPr>
            </w:pPr>
            <w:r w:rsidRPr="008529DC">
              <w:rPr>
                <w:rFonts w:ascii="Arial" w:hAnsi="Arial"/>
                <w:color w:val="000000"/>
                <w:sz w:val="16"/>
              </w:rPr>
              <w:t>100</w:t>
            </w:r>
          </w:p>
        </w:tc>
      </w:tr>
    </w:tbl>
    <w:p w14:paraId="02C5EB4A" w14:textId="77777777" w:rsidR="008529DC" w:rsidRPr="008529DC" w:rsidRDefault="008529DC" w:rsidP="008529DC">
      <w:pPr>
        <w:spacing w:after="0" w:line="240" w:lineRule="auto"/>
        <w:rPr>
          <w:rFonts w:ascii="Arial" w:hAnsi="Arial"/>
          <w:color w:val="000000"/>
          <w:sz w:val="16"/>
        </w:rPr>
      </w:pPr>
      <w:r w:rsidRPr="008529DC">
        <w:rPr>
          <w:rFonts w:ascii="Arial" w:hAnsi="Arial"/>
          <w:color w:val="000000"/>
          <w:sz w:val="16"/>
        </w:rPr>
        <w:t>* Totals may not sum due to rounding.</w:t>
      </w:r>
    </w:p>
    <w:p w14:paraId="7DE0290E" w14:textId="6EE0BA69"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Men received an average benefit of $2,220 compared to $1,610 for women (</w:t>
      </w:r>
      <w:r w:rsidR="003D3223">
        <w:rPr>
          <w:rFonts w:eastAsiaTheme="minorHAnsi" w:cstheme="minorBidi"/>
          <w:szCs w:val="22"/>
          <w:lang w:eastAsia="en-US"/>
        </w:rPr>
        <w:t>Table 2</w:t>
      </w:r>
      <w:r w:rsidR="00360921" w:rsidRPr="00E1619F">
        <w:rPr>
          <w:rFonts w:eastAsiaTheme="minorHAnsi" w:cstheme="minorBidi"/>
          <w:szCs w:val="22"/>
          <w:lang w:eastAsia="en-US"/>
        </w:rPr>
        <w:t>.</w:t>
      </w:r>
      <w:r w:rsidRPr="00E1619F">
        <w:rPr>
          <w:rFonts w:eastAsiaTheme="minorHAnsi" w:cstheme="minorBidi"/>
          <w:szCs w:val="22"/>
          <w:lang w:eastAsia="en-US"/>
        </w:rPr>
        <w:t>2). This reflects men, on average, having higher incomes and making larger superannuation contributions, and facing higher personal income tax rates.</w:t>
      </w:r>
    </w:p>
    <w:p w14:paraId="1B94009E" w14:textId="503DB616" w:rsidR="008529DC" w:rsidRPr="00E1619F" w:rsidRDefault="008529DC" w:rsidP="00E1619F">
      <w:pPr>
        <w:spacing w:before="120" w:after="120" w:line="240" w:lineRule="auto"/>
        <w:rPr>
          <w:rFonts w:eastAsiaTheme="minorHAnsi" w:cstheme="minorBidi"/>
          <w:szCs w:val="22"/>
          <w:lang w:eastAsia="en-US"/>
        </w:rPr>
      </w:pPr>
      <w:r w:rsidRPr="00E1619F">
        <w:rPr>
          <w:rFonts w:eastAsiaTheme="minorHAnsi" w:cstheme="minorBidi"/>
          <w:szCs w:val="22"/>
          <w:lang w:eastAsia="en-US"/>
        </w:rPr>
        <w:t>The number of people receiving a benefit from concessional taxation of contributions was much lower at older ages as Australians generally cease making concessional contributions when they reach retirement (</w:t>
      </w:r>
      <w:r w:rsidR="003D3223">
        <w:rPr>
          <w:rFonts w:eastAsiaTheme="minorHAnsi" w:cstheme="minorBidi"/>
          <w:szCs w:val="22"/>
          <w:lang w:eastAsia="en-US"/>
        </w:rPr>
        <w:t>Chart 2</w:t>
      </w:r>
      <w:r w:rsidR="00367119" w:rsidRPr="00E1619F">
        <w:rPr>
          <w:rFonts w:eastAsiaTheme="minorHAnsi" w:cstheme="minorBidi"/>
          <w:szCs w:val="22"/>
          <w:lang w:eastAsia="en-US"/>
        </w:rPr>
        <w:t>.3</w:t>
      </w:r>
      <w:r w:rsidRPr="00E1619F">
        <w:rPr>
          <w:rFonts w:eastAsiaTheme="minorHAnsi" w:cstheme="minorBidi"/>
          <w:szCs w:val="22"/>
          <w:lang w:eastAsia="en-US"/>
        </w:rPr>
        <w:t>). The share of the benefit was broadly constant for working-age individuals, except for younger individuals (particularly those aged 24 and under) whose concessional contributions are lower.</w:t>
      </w:r>
    </w:p>
    <w:p w14:paraId="48F601C1" w14:textId="3184DB18" w:rsidR="008529DC" w:rsidRPr="008529DC" w:rsidRDefault="003D3223" w:rsidP="00B334E9">
      <w:pPr>
        <w:pStyle w:val="ChartHeading"/>
        <w:rPr>
          <w:rFonts w:eastAsiaTheme="minorHAnsi"/>
          <w:lang w:eastAsia="en-US"/>
        </w:rPr>
      </w:pPr>
      <w:r>
        <w:rPr>
          <w:rFonts w:eastAsiaTheme="minorHAnsi"/>
          <w:lang w:eastAsia="en-US"/>
        </w:rPr>
        <w:t>Chart 2</w:t>
      </w:r>
      <w:r w:rsidR="00367119">
        <w:rPr>
          <w:rFonts w:eastAsiaTheme="minorHAnsi"/>
          <w:lang w:eastAsia="en-US"/>
        </w:rPr>
        <w:t>.3</w:t>
      </w:r>
      <w:r w:rsidR="008529DC" w:rsidRPr="008529DC">
        <w:rPr>
          <w:rFonts w:eastAsiaTheme="minorHAnsi"/>
          <w:lang w:eastAsia="en-US"/>
        </w:rPr>
        <w:t xml:space="preserve"> Share of benefit and recipients by age, 2021</w:t>
      </w:r>
      <w:r w:rsidR="00130689">
        <w:rPr>
          <w:rFonts w:eastAsiaTheme="minorHAnsi" w:cs="Arial"/>
          <w:lang w:eastAsia="en-US"/>
        </w:rPr>
        <w:t>–</w:t>
      </w:r>
      <w:r w:rsidR="008529DC" w:rsidRPr="008529DC">
        <w:rPr>
          <w:rFonts w:eastAsiaTheme="minorHAnsi"/>
          <w:lang w:eastAsia="en-US"/>
        </w:rPr>
        <w:t>22</w:t>
      </w:r>
    </w:p>
    <w:p w14:paraId="2BF7FC33" w14:textId="45CD44DF" w:rsidR="00C202DC" w:rsidRDefault="00C018EA" w:rsidP="00C45745">
      <w:pPr>
        <w:pStyle w:val="ChartGraphic"/>
        <w:rPr>
          <w:rFonts w:eastAsiaTheme="minorHAnsi"/>
          <w:lang w:eastAsia="en-US"/>
        </w:rPr>
      </w:pPr>
      <w:r>
        <w:rPr>
          <w:rFonts w:eastAsiaTheme="minorHAnsi"/>
          <w:lang w:eastAsia="en-US"/>
        </w:rPr>
        <w:object w:dxaOrig="7366" w:dyaOrig="4546" w14:anchorId="6E30E098">
          <v:shape id="_x0000_i1027" type="#_x0000_t75" alt="Bar chart showing the share of benefits from superannuation contribution concessions for different age groups. The chart shows a lower benefit for older individuals as they stop making concessional contributions once they reach retirement age." style="width:370.5pt;height:226.5pt" o:ole="">
            <v:imagedata r:id="rId33" o:title=""/>
          </v:shape>
          <o:OLEObject Type="Link" ProgID="Excel.Sheet.12" ShapeID="_x0000_i1027" DrawAspect="Content" r:id="rId34" UpdateMode="Always">
            <o:LinkType>EnhancedMetaFile</o:LinkType>
            <o:LockedField/>
          </o:OLEObject>
        </w:object>
      </w:r>
    </w:p>
    <w:p w14:paraId="26801ECC" w14:textId="711C002F" w:rsidR="00A96D8C" w:rsidRPr="00520611" w:rsidRDefault="008529DC" w:rsidP="00B334E9">
      <w:pPr>
        <w:pStyle w:val="ChartandTableFootnote"/>
        <w:rPr>
          <w:rFonts w:eastAsiaTheme="minorHAnsi"/>
          <w:lang w:eastAsia="en-US"/>
        </w:rPr>
      </w:pPr>
      <w:r w:rsidRPr="008529DC">
        <w:rPr>
          <w:rFonts w:eastAsiaTheme="minorHAnsi"/>
          <w:lang w:eastAsia="en-US"/>
        </w:rPr>
        <w:t>Source: Treasury</w:t>
      </w:r>
      <w:r w:rsidR="00FD1F5D">
        <w:br w:type="page"/>
      </w:r>
    </w:p>
    <w:p w14:paraId="32D03680" w14:textId="46E74487" w:rsidR="007A021D" w:rsidRDefault="00936281" w:rsidP="00FA7A7A">
      <w:pPr>
        <w:pStyle w:val="Heading2"/>
        <w:numPr>
          <w:ilvl w:val="1"/>
          <w:numId w:val="51"/>
        </w:numPr>
      </w:pPr>
      <w:bookmarkStart w:id="42" w:name="_Toc184287649"/>
      <w:r>
        <w:t>Concessional taxation of superannuation earnings</w:t>
      </w:r>
      <w:bookmarkEnd w:id="42"/>
    </w:p>
    <w:tbl>
      <w:tblPr>
        <w:tblStyle w:val="TableGrid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blLayout w:type="fixed"/>
        <w:tblLook w:val="04A0" w:firstRow="1" w:lastRow="0" w:firstColumn="1" w:lastColumn="0" w:noHBand="0" w:noVBand="1"/>
      </w:tblPr>
      <w:tblGrid>
        <w:gridCol w:w="7711"/>
      </w:tblGrid>
      <w:tr w:rsidR="00C127BA" w:rsidRPr="00C127BA" w14:paraId="53950534" w14:textId="77777777">
        <w:trPr>
          <w:trHeight w:val="3322"/>
        </w:trPr>
        <w:tc>
          <w:tcPr>
            <w:tcW w:w="7711" w:type="dxa"/>
            <w:shd w:val="clear" w:color="auto" w:fill="DEEAF6"/>
          </w:tcPr>
          <w:p w14:paraId="2D22DA8A" w14:textId="47DA5DB6"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Under the benchmark, superannuation fund earnings are included in personal taxable income and taxed at marginal rates. Under these tax expenditures (C1 and C4 combined), income earned by a superannuation fund is generally taxed at 15</w:t>
            </w:r>
            <w:r w:rsidR="003D7CDF">
              <w:rPr>
                <w:rFonts w:eastAsiaTheme="minorHAnsi" w:cstheme="minorBidi"/>
                <w:szCs w:val="22"/>
                <w:lang w:eastAsia="en-US"/>
              </w:rPr>
              <w:t> </w:t>
            </w:r>
            <w:r w:rsidRPr="00E1619F">
              <w:rPr>
                <w:rFonts w:eastAsiaTheme="minorHAnsi" w:cstheme="minorBidi"/>
                <w:szCs w:val="22"/>
                <w:lang w:eastAsia="en-US"/>
              </w:rPr>
              <w:t>per</w:t>
            </w:r>
            <w:r w:rsidR="003D7CDF">
              <w:rPr>
                <w:rFonts w:eastAsiaTheme="minorHAnsi" w:cstheme="minorBidi"/>
                <w:szCs w:val="22"/>
                <w:lang w:eastAsia="en-US"/>
              </w:rPr>
              <w:t> </w:t>
            </w:r>
            <w:r w:rsidRPr="00E1619F">
              <w:rPr>
                <w:rFonts w:eastAsiaTheme="minorHAnsi" w:cstheme="minorBidi"/>
                <w:szCs w:val="22"/>
                <w:lang w:eastAsia="en-US"/>
              </w:rPr>
              <w:t xml:space="preserve">cent for balances in the accumulation phase, or at an effective 10 per cent rate for nominal capital gains. Income earned in the retirement phase is generally taxed at zero per cent. </w:t>
            </w:r>
          </w:p>
          <w:p w14:paraId="2D26A239" w14:textId="75DA8237" w:rsidR="00C127BA" w:rsidRPr="00C127BA" w:rsidRDefault="003D3223" w:rsidP="00B334E9">
            <w:pPr>
              <w:pStyle w:val="TableHeading"/>
              <w:rPr>
                <w:rFonts w:eastAsiaTheme="minorHAnsi" w:cstheme="minorBidi"/>
                <w:lang w:eastAsia="en-US"/>
              </w:rPr>
            </w:pPr>
            <w:r>
              <w:rPr>
                <w:rFonts w:eastAsiaTheme="minorHAnsi"/>
                <w:lang w:eastAsia="en-US"/>
              </w:rPr>
              <w:t>Table 2</w:t>
            </w:r>
            <w:r w:rsidR="00360921">
              <w:rPr>
                <w:rFonts w:eastAsiaTheme="minorHAnsi"/>
                <w:lang w:eastAsia="en-US"/>
              </w:rPr>
              <w:t>.3</w:t>
            </w:r>
            <w:r w:rsidR="00C127BA" w:rsidRPr="00C127BA">
              <w:rPr>
                <w:rFonts w:eastAsiaTheme="minorHAnsi"/>
                <w:lang w:eastAsia="en-US"/>
              </w:rPr>
              <w:t xml:space="preserve"> Combined estimate of aggregate revenue forgone ($m)</w:t>
            </w:r>
          </w:p>
          <w:tbl>
            <w:tblPr>
              <w:tblStyle w:val="TableGrid17"/>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35"/>
              <w:gridCol w:w="935"/>
              <w:gridCol w:w="935"/>
              <w:gridCol w:w="935"/>
              <w:gridCol w:w="935"/>
              <w:gridCol w:w="935"/>
              <w:gridCol w:w="935"/>
              <w:gridCol w:w="935"/>
            </w:tblGrid>
            <w:tr w:rsidR="00AD06CA" w:rsidRPr="001E1ADE" w14:paraId="47A7B2A7" w14:textId="77777777" w:rsidTr="00DC7B7D">
              <w:trPr>
                <w:trHeight w:val="255"/>
                <w:jc w:val="center"/>
              </w:trPr>
              <w:tc>
                <w:tcPr>
                  <w:tcW w:w="935" w:type="dxa"/>
                  <w:tcBorders>
                    <w:bottom w:val="single" w:sz="4" w:space="0" w:color="auto"/>
                  </w:tcBorders>
                </w:tcPr>
                <w:p w14:paraId="478844D2"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2020-21</w:t>
                  </w:r>
                </w:p>
              </w:tc>
              <w:tc>
                <w:tcPr>
                  <w:tcW w:w="935" w:type="dxa"/>
                  <w:tcBorders>
                    <w:bottom w:val="single" w:sz="4" w:space="0" w:color="auto"/>
                  </w:tcBorders>
                </w:tcPr>
                <w:p w14:paraId="51C5078D"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2021-22</w:t>
                  </w:r>
                </w:p>
              </w:tc>
              <w:tc>
                <w:tcPr>
                  <w:tcW w:w="935" w:type="dxa"/>
                  <w:tcBorders>
                    <w:bottom w:val="single" w:sz="4" w:space="0" w:color="auto"/>
                  </w:tcBorders>
                </w:tcPr>
                <w:p w14:paraId="0EBF8F35"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2022-23</w:t>
                  </w:r>
                </w:p>
              </w:tc>
              <w:tc>
                <w:tcPr>
                  <w:tcW w:w="935" w:type="dxa"/>
                  <w:tcBorders>
                    <w:bottom w:val="single" w:sz="4" w:space="0" w:color="auto"/>
                  </w:tcBorders>
                </w:tcPr>
                <w:p w14:paraId="65E595B4"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2023-24</w:t>
                  </w:r>
                </w:p>
              </w:tc>
              <w:tc>
                <w:tcPr>
                  <w:tcW w:w="935" w:type="dxa"/>
                  <w:tcBorders>
                    <w:bottom w:val="single" w:sz="4" w:space="0" w:color="auto"/>
                  </w:tcBorders>
                </w:tcPr>
                <w:p w14:paraId="33AD1619"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2024-25</w:t>
                  </w:r>
                </w:p>
              </w:tc>
              <w:tc>
                <w:tcPr>
                  <w:tcW w:w="935" w:type="dxa"/>
                  <w:tcBorders>
                    <w:bottom w:val="single" w:sz="4" w:space="0" w:color="auto"/>
                  </w:tcBorders>
                </w:tcPr>
                <w:p w14:paraId="123592A7"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2025-26</w:t>
                  </w:r>
                </w:p>
              </w:tc>
              <w:tc>
                <w:tcPr>
                  <w:tcW w:w="935" w:type="dxa"/>
                  <w:tcBorders>
                    <w:bottom w:val="single" w:sz="4" w:space="0" w:color="auto"/>
                  </w:tcBorders>
                </w:tcPr>
                <w:p w14:paraId="2C47D4C8" w14:textId="06DA8D63"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2026-27</w:t>
                  </w:r>
                </w:p>
              </w:tc>
              <w:tc>
                <w:tcPr>
                  <w:tcW w:w="935" w:type="dxa"/>
                  <w:tcBorders>
                    <w:bottom w:val="single" w:sz="4" w:space="0" w:color="auto"/>
                  </w:tcBorders>
                </w:tcPr>
                <w:p w14:paraId="5ABAB467" w14:textId="77777777" w:rsidR="00AD06CA" w:rsidRPr="001E1ADE" w:rsidRDefault="00AD06CA" w:rsidP="001B3FFD">
                  <w:pPr>
                    <w:spacing w:before="20" w:after="20" w:line="240" w:lineRule="auto"/>
                    <w:jc w:val="right"/>
                    <w:rPr>
                      <w:rFonts w:ascii="Arial" w:hAnsi="Arial"/>
                      <w:b/>
                      <w:color w:val="000000"/>
                      <w:sz w:val="16"/>
                    </w:rPr>
                  </w:pPr>
                  <w:r w:rsidRPr="001E1ADE">
                    <w:rPr>
                      <w:rFonts w:ascii="Arial" w:hAnsi="Arial"/>
                      <w:b/>
                      <w:color w:val="000000"/>
                      <w:sz w:val="16"/>
                    </w:rPr>
                    <w:t>2027-28</w:t>
                  </w:r>
                </w:p>
              </w:tc>
            </w:tr>
            <w:tr w:rsidR="00AD06CA" w:rsidRPr="001E1ADE" w14:paraId="6B9D4089" w14:textId="77777777" w:rsidTr="00DC7B7D">
              <w:trPr>
                <w:trHeight w:val="255"/>
                <w:jc w:val="center"/>
              </w:trPr>
              <w:tc>
                <w:tcPr>
                  <w:tcW w:w="935" w:type="dxa"/>
                  <w:tcBorders>
                    <w:top w:val="single" w:sz="4" w:space="0" w:color="EEECE1"/>
                  </w:tcBorders>
                </w:tcPr>
                <w:p w14:paraId="077D8557"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15,750</w:t>
                  </w:r>
                </w:p>
              </w:tc>
              <w:tc>
                <w:tcPr>
                  <w:tcW w:w="935" w:type="dxa"/>
                  <w:tcBorders>
                    <w:top w:val="single" w:sz="4" w:space="0" w:color="EEECE1"/>
                  </w:tcBorders>
                </w:tcPr>
                <w:p w14:paraId="757117D2"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24,300</w:t>
                  </w:r>
                </w:p>
              </w:tc>
              <w:tc>
                <w:tcPr>
                  <w:tcW w:w="935" w:type="dxa"/>
                  <w:tcBorders>
                    <w:top w:val="single" w:sz="4" w:space="0" w:color="EEECE1"/>
                  </w:tcBorders>
                </w:tcPr>
                <w:p w14:paraId="0EABBC7E"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25,320</w:t>
                  </w:r>
                </w:p>
              </w:tc>
              <w:tc>
                <w:tcPr>
                  <w:tcW w:w="935" w:type="dxa"/>
                  <w:tcBorders>
                    <w:top w:val="single" w:sz="4" w:space="0" w:color="EEECE1"/>
                  </w:tcBorders>
                </w:tcPr>
                <w:p w14:paraId="6D6AE225"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17,450</w:t>
                  </w:r>
                </w:p>
              </w:tc>
              <w:tc>
                <w:tcPr>
                  <w:tcW w:w="935" w:type="dxa"/>
                  <w:tcBorders>
                    <w:top w:val="single" w:sz="4" w:space="0" w:color="EEECE1"/>
                  </w:tcBorders>
                </w:tcPr>
                <w:p w14:paraId="3872A45F"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24,200</w:t>
                  </w:r>
                </w:p>
              </w:tc>
              <w:tc>
                <w:tcPr>
                  <w:tcW w:w="935" w:type="dxa"/>
                  <w:tcBorders>
                    <w:top w:val="single" w:sz="4" w:space="0" w:color="EEECE1"/>
                  </w:tcBorders>
                </w:tcPr>
                <w:p w14:paraId="21189EF7"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26,850</w:t>
                  </w:r>
                </w:p>
              </w:tc>
              <w:tc>
                <w:tcPr>
                  <w:tcW w:w="935" w:type="dxa"/>
                  <w:tcBorders>
                    <w:top w:val="single" w:sz="4" w:space="0" w:color="EEECE1"/>
                  </w:tcBorders>
                </w:tcPr>
                <w:p w14:paraId="48972406"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27,900</w:t>
                  </w:r>
                </w:p>
              </w:tc>
              <w:tc>
                <w:tcPr>
                  <w:tcW w:w="935" w:type="dxa"/>
                  <w:tcBorders>
                    <w:top w:val="single" w:sz="4" w:space="0" w:color="EEECE1"/>
                  </w:tcBorders>
                </w:tcPr>
                <w:p w14:paraId="694DE028" w14:textId="77777777" w:rsidR="00AD06CA" w:rsidRPr="001E1ADE" w:rsidRDefault="00AD06CA" w:rsidP="001B3FFD">
                  <w:pPr>
                    <w:spacing w:before="20" w:after="20" w:line="240" w:lineRule="auto"/>
                    <w:jc w:val="right"/>
                    <w:rPr>
                      <w:rFonts w:ascii="Arial" w:hAnsi="Arial"/>
                      <w:color w:val="000000"/>
                      <w:sz w:val="16"/>
                    </w:rPr>
                  </w:pPr>
                  <w:r w:rsidRPr="001E1ADE">
                    <w:rPr>
                      <w:rFonts w:ascii="Arial" w:hAnsi="Arial" w:cs="Arial"/>
                      <w:sz w:val="16"/>
                      <w:szCs w:val="16"/>
                    </w:rPr>
                    <w:t>28,250</w:t>
                  </w:r>
                </w:p>
              </w:tc>
            </w:tr>
          </w:tbl>
          <w:p w14:paraId="597BB168" w14:textId="50379BBE" w:rsidR="00C127BA" w:rsidRPr="00E1619F" w:rsidRDefault="00C127BA" w:rsidP="00E1619F">
            <w:pPr>
              <w:spacing w:before="120" w:after="120" w:line="240" w:lineRule="auto"/>
              <w:jc w:val="left"/>
              <w:rPr>
                <w:rFonts w:eastAsiaTheme="minorHAnsi" w:cstheme="minorBidi"/>
                <w:lang w:eastAsia="en-US"/>
              </w:rPr>
            </w:pPr>
            <w:r w:rsidRPr="00E1619F">
              <w:rPr>
                <w:rFonts w:eastAsiaTheme="minorHAnsi" w:cstheme="minorBidi"/>
                <w:lang w:eastAsia="en-US"/>
              </w:rPr>
              <w:t xml:space="preserve">In 2021-22, around 17 million people were impacted by these tax expenditures. Most people, but not all, </w:t>
            </w:r>
            <w:r w:rsidR="00CA6242" w:rsidRPr="00E1619F">
              <w:rPr>
                <w:rFonts w:eastAsiaTheme="minorHAnsi" w:cstheme="minorBidi"/>
                <w:lang w:eastAsia="en-US"/>
              </w:rPr>
              <w:t>benefitted</w:t>
            </w:r>
            <w:r w:rsidRPr="00E1619F">
              <w:rPr>
                <w:rFonts w:eastAsiaTheme="minorHAnsi" w:cstheme="minorBidi"/>
                <w:lang w:eastAsia="en-US"/>
              </w:rPr>
              <w:t xml:space="preserve"> from them.</w:t>
            </w:r>
          </w:p>
          <w:p w14:paraId="7951D63E" w14:textId="2C7C4085" w:rsidR="00C127BA" w:rsidRPr="00C127BA" w:rsidRDefault="00C127BA" w:rsidP="00E1619F">
            <w:pPr>
              <w:spacing w:before="120" w:after="120" w:line="240" w:lineRule="auto"/>
              <w:jc w:val="left"/>
              <w:rPr>
                <w:rFonts w:eastAsiaTheme="minorHAnsi" w:cstheme="minorBidi"/>
                <w:sz w:val="22"/>
                <w:szCs w:val="22"/>
                <w:lang w:eastAsia="en-US"/>
              </w:rPr>
            </w:pPr>
            <w:r w:rsidRPr="00E1619F">
              <w:rPr>
                <w:rFonts w:eastAsiaTheme="minorHAnsi" w:cstheme="minorBidi"/>
                <w:szCs w:val="22"/>
                <w:lang w:eastAsia="en-US"/>
              </w:rPr>
              <w:t xml:space="preserve">Following the 2023-24 Budget measure </w:t>
            </w:r>
            <w:r w:rsidRPr="00C77FAC">
              <w:rPr>
                <w:rStyle w:val="Emphasis"/>
                <w:rFonts w:eastAsiaTheme="minorHAnsi"/>
              </w:rPr>
              <w:t>Better Targeted Superannuation Concessions</w:t>
            </w:r>
            <w:r w:rsidRPr="00E1619F">
              <w:rPr>
                <w:rFonts w:eastAsiaTheme="minorHAnsi" w:cstheme="minorBidi"/>
                <w:i/>
                <w:iCs/>
                <w:szCs w:val="22"/>
                <w:lang w:eastAsia="en-US"/>
              </w:rPr>
              <w:t xml:space="preserve">, </w:t>
            </w:r>
            <w:r w:rsidRPr="00E1619F">
              <w:rPr>
                <w:rFonts w:eastAsiaTheme="minorHAnsi" w:cstheme="minorBidi"/>
                <w:szCs w:val="22"/>
                <w:lang w:eastAsia="en-US"/>
              </w:rPr>
              <w:t>the concessional headline tax rate on earnings corresponding to an individual’s superannuation balance over the $3 million threshold will be 30 per cent from 1</w:t>
            </w:r>
            <w:r w:rsidR="00715FAC" w:rsidRPr="00E1619F">
              <w:rPr>
                <w:rFonts w:eastAsiaTheme="minorHAnsi" w:cstheme="minorBidi"/>
                <w:szCs w:val="22"/>
                <w:lang w:eastAsia="en-US"/>
              </w:rPr>
              <w:t> </w:t>
            </w:r>
            <w:r w:rsidRPr="00E1619F">
              <w:rPr>
                <w:rFonts w:eastAsiaTheme="minorHAnsi" w:cstheme="minorBidi"/>
                <w:szCs w:val="22"/>
                <w:lang w:eastAsia="en-US"/>
              </w:rPr>
              <w:t>July</w:t>
            </w:r>
            <w:r w:rsidR="00715FAC" w:rsidRPr="00E1619F">
              <w:rPr>
                <w:rFonts w:eastAsiaTheme="minorHAnsi" w:cstheme="minorBidi"/>
                <w:szCs w:val="22"/>
                <w:lang w:eastAsia="en-US"/>
              </w:rPr>
              <w:t> </w:t>
            </w:r>
            <w:r w:rsidRPr="00E1619F">
              <w:rPr>
                <w:rFonts w:eastAsiaTheme="minorHAnsi" w:cstheme="minorBidi"/>
                <w:szCs w:val="22"/>
                <w:lang w:eastAsia="en-US"/>
              </w:rPr>
              <w:t>2025. Earnings relating to assets below the $3 million threshold will continue to be taxed at 15 per cent in the accumulation phase, or zero per cent if held in a retirement pension account.</w:t>
            </w:r>
          </w:p>
        </w:tc>
      </w:tr>
    </w:tbl>
    <w:p w14:paraId="16F57F53" w14:textId="38BF6DE5" w:rsidR="00C127BA" w:rsidRPr="00E1619F" w:rsidRDefault="00647064" w:rsidP="00E1619F">
      <w:pPr>
        <w:spacing w:before="120" w:after="120" w:line="240" w:lineRule="auto"/>
        <w:jc w:val="left"/>
        <w:rPr>
          <w:rFonts w:eastAsiaTheme="minorHAnsi" w:cstheme="minorBidi"/>
          <w:szCs w:val="22"/>
          <w:lang w:eastAsia="en-US"/>
        </w:rPr>
      </w:pPr>
      <w:bookmarkStart w:id="43" w:name="_Hlk124511296"/>
      <w:r w:rsidRPr="00E1619F">
        <w:rPr>
          <w:rFonts w:eastAsiaTheme="minorHAnsi" w:cstheme="minorBidi"/>
          <w:szCs w:val="22"/>
          <w:lang w:eastAsia="en-US"/>
        </w:rPr>
        <w:t>In 2021</w:t>
      </w:r>
      <w:r w:rsidR="00130689">
        <w:rPr>
          <w:rFonts w:eastAsiaTheme="minorHAnsi" w:cstheme="minorBidi"/>
          <w:szCs w:val="22"/>
          <w:lang w:eastAsia="en-US"/>
        </w:rPr>
        <w:t>–</w:t>
      </w:r>
      <w:r w:rsidRPr="00E1619F">
        <w:rPr>
          <w:rFonts w:eastAsiaTheme="minorHAnsi" w:cstheme="minorBidi"/>
          <w:szCs w:val="22"/>
          <w:lang w:eastAsia="en-US"/>
        </w:rPr>
        <w:t>22, p</w:t>
      </w:r>
      <w:r w:rsidR="00C127BA" w:rsidRPr="00E1619F">
        <w:rPr>
          <w:rFonts w:eastAsiaTheme="minorHAnsi" w:cstheme="minorBidi"/>
          <w:szCs w:val="22"/>
          <w:lang w:eastAsia="en-US"/>
        </w:rPr>
        <w:t>eople with above median income receive</w:t>
      </w:r>
      <w:r w:rsidRPr="00E1619F">
        <w:rPr>
          <w:rFonts w:eastAsiaTheme="minorHAnsi" w:cstheme="minorBidi"/>
          <w:szCs w:val="22"/>
          <w:lang w:eastAsia="en-US"/>
        </w:rPr>
        <w:t>d</w:t>
      </w:r>
      <w:r w:rsidR="00C127BA" w:rsidRPr="00E1619F">
        <w:rPr>
          <w:rFonts w:eastAsiaTheme="minorHAnsi" w:cstheme="minorBidi"/>
          <w:szCs w:val="22"/>
          <w:lang w:eastAsia="en-US"/>
        </w:rPr>
        <w:t xml:space="preserve"> 83 per cent of the benefit from the concessional taxation of superannuation earnings, with those in the top </w:t>
      </w:r>
      <w:r w:rsidR="00B46338" w:rsidRPr="00E1619F">
        <w:rPr>
          <w:rFonts w:eastAsiaTheme="minorHAnsi" w:cstheme="minorBidi"/>
          <w:szCs w:val="22"/>
          <w:lang w:eastAsia="en-US"/>
        </w:rPr>
        <w:t xml:space="preserve">taxable </w:t>
      </w:r>
      <w:r w:rsidR="00C127BA" w:rsidRPr="00E1619F">
        <w:rPr>
          <w:rFonts w:eastAsiaTheme="minorHAnsi" w:cstheme="minorBidi"/>
          <w:szCs w:val="22"/>
          <w:lang w:eastAsia="en-US"/>
        </w:rPr>
        <w:t xml:space="preserve">income decile </w:t>
      </w:r>
      <w:r w:rsidR="00244199">
        <w:rPr>
          <w:rFonts w:eastAsiaTheme="minorHAnsi" w:cstheme="minorBidi"/>
          <w:szCs w:val="22"/>
          <w:lang w:eastAsia="en-US"/>
        </w:rPr>
        <w:t>received</w:t>
      </w:r>
      <w:r w:rsidR="00C127BA" w:rsidRPr="00E1619F">
        <w:rPr>
          <w:rFonts w:eastAsiaTheme="minorHAnsi" w:cstheme="minorBidi"/>
          <w:szCs w:val="22"/>
          <w:lang w:eastAsia="en-US"/>
        </w:rPr>
        <w:t xml:space="preserve"> 43 per cent of the benefit (</w:t>
      </w:r>
      <w:r w:rsidR="003D3223">
        <w:rPr>
          <w:rFonts w:eastAsiaTheme="minorHAnsi" w:cstheme="minorBidi"/>
          <w:szCs w:val="22"/>
          <w:lang w:eastAsia="en-US"/>
        </w:rPr>
        <w:t>Chart 2</w:t>
      </w:r>
      <w:r w:rsidR="00367119" w:rsidRPr="00642C0B">
        <w:rPr>
          <w:rFonts w:eastAsiaTheme="minorHAnsi" w:cstheme="minorBidi"/>
          <w:szCs w:val="22"/>
          <w:lang w:eastAsia="en-US"/>
        </w:rPr>
        <w:t>.4</w:t>
      </w:r>
      <w:r w:rsidR="00C127BA" w:rsidRPr="00E1619F">
        <w:rPr>
          <w:rFonts w:eastAsiaTheme="minorHAnsi" w:cstheme="minorBidi"/>
          <w:szCs w:val="22"/>
          <w:lang w:eastAsia="en-US"/>
        </w:rPr>
        <w:t>).</w:t>
      </w:r>
    </w:p>
    <w:bookmarkEnd w:id="43"/>
    <w:p w14:paraId="6BE457DB" w14:textId="53C553EC" w:rsidR="0039418D" w:rsidRPr="00E1619F" w:rsidRDefault="0039418D"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 xml:space="preserve">People in higher taxable income deciles </w:t>
      </w:r>
      <w:r w:rsidR="00CD2102" w:rsidRPr="00E1619F">
        <w:rPr>
          <w:rFonts w:eastAsiaTheme="minorHAnsi" w:cstheme="minorBidi"/>
          <w:szCs w:val="22"/>
          <w:lang w:eastAsia="en-US"/>
        </w:rPr>
        <w:t>received</w:t>
      </w:r>
      <w:r w:rsidRPr="00E1619F">
        <w:rPr>
          <w:rFonts w:eastAsiaTheme="minorHAnsi" w:cstheme="minorBidi"/>
          <w:szCs w:val="22"/>
          <w:lang w:eastAsia="en-US"/>
        </w:rPr>
        <w:t xml:space="preserve"> a larger share of the benefit due to having larger superannuation balances and paying higher marginal tax rates, which </w:t>
      </w:r>
      <w:r w:rsidR="00AB73BD">
        <w:rPr>
          <w:rFonts w:eastAsiaTheme="minorHAnsi" w:cstheme="minorBidi"/>
          <w:szCs w:val="22"/>
          <w:lang w:eastAsia="en-US"/>
        </w:rPr>
        <w:t>made</w:t>
      </w:r>
      <w:r w:rsidRPr="00E1619F">
        <w:rPr>
          <w:rFonts w:eastAsiaTheme="minorHAnsi" w:cstheme="minorBidi"/>
          <w:szCs w:val="22"/>
          <w:lang w:eastAsia="en-US"/>
        </w:rPr>
        <w:t xml:space="preserve"> the flat rate of tax on superannuation earnings more concessional. The share of the benefit for people in the lowest </w:t>
      </w:r>
      <w:r w:rsidR="00B46338" w:rsidRPr="00E1619F">
        <w:rPr>
          <w:rFonts w:eastAsiaTheme="minorHAnsi" w:cstheme="minorBidi"/>
          <w:szCs w:val="22"/>
          <w:lang w:eastAsia="en-US"/>
        </w:rPr>
        <w:t xml:space="preserve">taxable </w:t>
      </w:r>
      <w:r w:rsidRPr="00E1619F">
        <w:rPr>
          <w:rFonts w:eastAsiaTheme="minorHAnsi" w:cstheme="minorBidi"/>
          <w:szCs w:val="22"/>
          <w:lang w:eastAsia="en-US"/>
        </w:rPr>
        <w:t xml:space="preserve">income decile was close to zero because on average they </w:t>
      </w:r>
      <w:r w:rsidR="00941CE0" w:rsidRPr="00E1619F">
        <w:rPr>
          <w:rFonts w:eastAsiaTheme="minorHAnsi" w:cstheme="minorBidi"/>
          <w:szCs w:val="22"/>
          <w:lang w:eastAsia="en-US"/>
        </w:rPr>
        <w:t>faced</w:t>
      </w:r>
      <w:r w:rsidRPr="00E1619F">
        <w:rPr>
          <w:rFonts w:eastAsiaTheme="minorHAnsi" w:cstheme="minorBidi"/>
          <w:szCs w:val="22"/>
          <w:lang w:eastAsia="en-US"/>
        </w:rPr>
        <w:t xml:space="preserve"> a marginal personal income tax rate that </w:t>
      </w:r>
      <w:r w:rsidR="00941CE0" w:rsidRPr="00E1619F">
        <w:rPr>
          <w:rFonts w:eastAsiaTheme="minorHAnsi" w:cstheme="minorBidi"/>
          <w:szCs w:val="22"/>
          <w:lang w:eastAsia="en-US"/>
        </w:rPr>
        <w:t>was</w:t>
      </w:r>
      <w:r w:rsidRPr="00E1619F">
        <w:rPr>
          <w:rFonts w:eastAsiaTheme="minorHAnsi" w:cstheme="minorBidi"/>
          <w:szCs w:val="22"/>
          <w:lang w:eastAsia="en-US"/>
        </w:rPr>
        <w:t xml:space="preserve"> close to 15 per cent. However, the benefit for non-lodgers was negative as, on average, the earnings tax they paid was higher than what they would have paid if their superannuation earnings were subject to personal income tax rates.</w:t>
      </w:r>
    </w:p>
    <w:p w14:paraId="407D35CF" w14:textId="77777777" w:rsidR="00B334E9" w:rsidRDefault="00B334E9">
      <w:pPr>
        <w:spacing w:after="0" w:line="240" w:lineRule="auto"/>
        <w:jc w:val="left"/>
        <w:rPr>
          <w:rFonts w:ascii="Arial" w:eastAsiaTheme="minorHAnsi" w:hAnsi="Arial" w:cs="Arial"/>
          <w:b/>
          <w:bCs/>
          <w:szCs w:val="22"/>
          <w:lang w:eastAsia="en-US"/>
        </w:rPr>
      </w:pPr>
      <w:r>
        <w:rPr>
          <w:rFonts w:ascii="Arial" w:eastAsiaTheme="minorHAnsi" w:hAnsi="Arial" w:cs="Arial"/>
          <w:b/>
          <w:bCs/>
          <w:szCs w:val="22"/>
          <w:lang w:eastAsia="en-US"/>
        </w:rPr>
        <w:br w:type="page"/>
      </w:r>
    </w:p>
    <w:p w14:paraId="3532FDB4" w14:textId="2FDC9E24" w:rsidR="00C127BA" w:rsidRPr="00C127BA" w:rsidRDefault="003D3223" w:rsidP="00B334E9">
      <w:pPr>
        <w:pStyle w:val="ChartHeading"/>
        <w:rPr>
          <w:rFonts w:eastAsiaTheme="minorHAnsi"/>
          <w:lang w:eastAsia="en-US"/>
        </w:rPr>
      </w:pPr>
      <w:r>
        <w:rPr>
          <w:rFonts w:eastAsiaTheme="minorHAnsi"/>
          <w:lang w:eastAsia="en-US"/>
        </w:rPr>
        <w:t>Chart 2</w:t>
      </w:r>
      <w:r w:rsidR="00367119">
        <w:rPr>
          <w:rFonts w:eastAsiaTheme="minorHAnsi"/>
          <w:lang w:eastAsia="en-US"/>
        </w:rPr>
        <w:t>.4</w:t>
      </w:r>
      <w:r w:rsidR="00C127BA" w:rsidRPr="00C127BA">
        <w:rPr>
          <w:rFonts w:eastAsiaTheme="minorHAnsi"/>
          <w:lang w:eastAsia="en-US"/>
        </w:rPr>
        <w:t xml:space="preserve"> </w:t>
      </w:r>
      <w:bookmarkStart w:id="44" w:name="_Hlk154067436"/>
      <w:r w:rsidR="00C127BA" w:rsidRPr="00C127BA">
        <w:rPr>
          <w:rFonts w:eastAsiaTheme="minorHAnsi"/>
          <w:lang w:eastAsia="en-US"/>
        </w:rPr>
        <w:t xml:space="preserve">Share of benefit and recipients by </w:t>
      </w:r>
      <w:bookmarkEnd w:id="44"/>
      <w:r w:rsidR="00C127BA" w:rsidRPr="00C127BA">
        <w:rPr>
          <w:rFonts w:eastAsiaTheme="minorHAnsi"/>
          <w:lang w:eastAsia="en-US"/>
        </w:rPr>
        <w:t>taxable income decile, 2021</w:t>
      </w:r>
      <w:r w:rsidR="00130689">
        <w:rPr>
          <w:rFonts w:eastAsiaTheme="minorHAnsi" w:cs="Arial"/>
          <w:lang w:eastAsia="en-US"/>
        </w:rPr>
        <w:t>–</w:t>
      </w:r>
      <w:r w:rsidR="00C127BA" w:rsidRPr="00C127BA">
        <w:rPr>
          <w:rFonts w:eastAsiaTheme="minorHAnsi"/>
          <w:lang w:eastAsia="en-US"/>
        </w:rPr>
        <w:t>22</w:t>
      </w:r>
    </w:p>
    <w:p w14:paraId="586CF3EF" w14:textId="695A81ED" w:rsidR="00470C7F" w:rsidRDefault="007A1E82" w:rsidP="00117C40">
      <w:pPr>
        <w:pStyle w:val="ChartGraphic"/>
        <w:rPr>
          <w:rFonts w:eastAsiaTheme="minorHAnsi"/>
          <w:lang w:eastAsia="en-US"/>
        </w:rPr>
      </w:pPr>
      <w:r>
        <w:rPr>
          <w:rFonts w:eastAsiaTheme="minorHAnsi"/>
          <w:lang w:eastAsia="en-US"/>
        </w:rPr>
        <w:object w:dxaOrig="7531" w:dyaOrig="4531" w14:anchorId="22657AF6">
          <v:shape id="_x0000_i1028" type="#_x0000_t75" alt="Bar chart showing the share of benefits from superannuation earnings concessions for different income levels. The chart shows a higher benefit for high income earners" style="width:377.25pt;height:226.5pt" o:ole="">
            <v:imagedata r:id="rId35" o:title=""/>
          </v:shape>
          <o:OLEObject Type="Link" ProgID="Excel.Sheet.12" ShapeID="_x0000_i1028" DrawAspect="Content" r:id="rId36" UpdateMode="Always">
            <o:LinkType>EnhancedMetaFile</o:LinkType>
            <o:LockedField/>
          </o:OLEObject>
        </w:object>
      </w:r>
    </w:p>
    <w:p w14:paraId="003BBA36" w14:textId="77777777" w:rsidR="00C127BA" w:rsidRPr="00C127BA" w:rsidRDefault="00C127BA" w:rsidP="00B334E9">
      <w:pPr>
        <w:pStyle w:val="ChartandTableFootnote"/>
        <w:rPr>
          <w:rFonts w:eastAsiaTheme="minorHAnsi"/>
          <w:lang w:eastAsia="en-US"/>
        </w:rPr>
      </w:pPr>
      <w:r w:rsidRPr="00C127BA">
        <w:rPr>
          <w:rFonts w:eastAsiaTheme="minorHAnsi"/>
          <w:lang w:eastAsia="en-US"/>
        </w:rPr>
        <w:t>Source: Treasury</w:t>
      </w:r>
    </w:p>
    <w:p w14:paraId="144ABB28" w14:textId="6F47AEE3"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Men received an average benefit of $1,720 compared to $1,160 for women (</w:t>
      </w:r>
      <w:r w:rsidR="003D3223">
        <w:rPr>
          <w:rFonts w:eastAsiaTheme="minorHAnsi" w:cstheme="minorBidi"/>
          <w:szCs w:val="22"/>
          <w:lang w:eastAsia="en-US"/>
        </w:rPr>
        <w:t>Table 2</w:t>
      </w:r>
      <w:r w:rsidR="00661122" w:rsidRPr="00E1619F">
        <w:rPr>
          <w:rFonts w:eastAsiaTheme="minorHAnsi" w:cstheme="minorBidi"/>
          <w:szCs w:val="22"/>
          <w:lang w:eastAsia="en-US"/>
        </w:rPr>
        <w:t>.4</w:t>
      </w:r>
      <w:r w:rsidRPr="00E1619F">
        <w:rPr>
          <w:rFonts w:eastAsiaTheme="minorHAnsi" w:cstheme="minorBidi"/>
          <w:szCs w:val="22"/>
          <w:lang w:eastAsia="en-US"/>
        </w:rPr>
        <w:t>). This reflects men, on average, having larger superannuation balances and facing higher marginal personal income tax rates.</w:t>
      </w:r>
    </w:p>
    <w:p w14:paraId="11FA99A6" w14:textId="123D27B2" w:rsidR="00C127BA" w:rsidRPr="00C127BA" w:rsidRDefault="003D3223" w:rsidP="00B334E9">
      <w:pPr>
        <w:pStyle w:val="TableHeading"/>
        <w:rPr>
          <w:rFonts w:cs="Arial"/>
        </w:rPr>
      </w:pPr>
      <w:r>
        <w:t>Table 2</w:t>
      </w:r>
      <w:r w:rsidR="00661122">
        <w:t>.4</w:t>
      </w:r>
      <w:r w:rsidR="00C127BA" w:rsidRPr="00C127BA">
        <w:t xml:space="preserve"> Distributional effect by gender, 2021–22</w:t>
      </w:r>
      <w:r w:rsidR="00105C22">
        <w:t>*</w:t>
      </w:r>
    </w:p>
    <w:tbl>
      <w:tblPr>
        <w:tblW w:w="5000" w:type="pct"/>
        <w:jc w:val="right"/>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134"/>
        <w:gridCol w:w="2268"/>
        <w:gridCol w:w="1985"/>
        <w:gridCol w:w="2324"/>
      </w:tblGrid>
      <w:tr w:rsidR="00C127BA" w:rsidRPr="00C127BA" w14:paraId="144EE8C6" w14:textId="77777777" w:rsidTr="00F90891">
        <w:trPr>
          <w:jc w:val="right"/>
        </w:trPr>
        <w:tc>
          <w:tcPr>
            <w:tcW w:w="1134" w:type="dxa"/>
            <w:tcBorders>
              <w:bottom w:val="single" w:sz="4" w:space="0" w:color="auto"/>
            </w:tcBorders>
            <w:vAlign w:val="center"/>
          </w:tcPr>
          <w:p w14:paraId="55E5301B" w14:textId="77777777" w:rsidR="00C127BA" w:rsidRPr="00C127BA" w:rsidRDefault="00C127BA" w:rsidP="00C127BA">
            <w:pPr>
              <w:spacing w:before="20" w:after="20" w:line="240" w:lineRule="auto"/>
              <w:jc w:val="left"/>
              <w:rPr>
                <w:rFonts w:ascii="Arial" w:hAnsi="Arial"/>
                <w:b/>
                <w:color w:val="000000"/>
                <w:sz w:val="16"/>
              </w:rPr>
            </w:pPr>
            <w:r w:rsidRPr="00C127BA">
              <w:rPr>
                <w:rFonts w:ascii="Arial" w:hAnsi="Arial"/>
                <w:b/>
                <w:color w:val="000000"/>
                <w:sz w:val="16"/>
              </w:rPr>
              <w:t>Gender</w:t>
            </w:r>
          </w:p>
        </w:tc>
        <w:tc>
          <w:tcPr>
            <w:tcW w:w="2268" w:type="dxa"/>
            <w:tcBorders>
              <w:bottom w:val="single" w:sz="4" w:space="0" w:color="auto"/>
            </w:tcBorders>
            <w:vAlign w:val="center"/>
          </w:tcPr>
          <w:p w14:paraId="54734DB0"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Average benefit ($)</w:t>
            </w:r>
          </w:p>
        </w:tc>
        <w:tc>
          <w:tcPr>
            <w:tcW w:w="1985" w:type="dxa"/>
            <w:tcBorders>
              <w:bottom w:val="single" w:sz="4" w:space="0" w:color="auto"/>
            </w:tcBorders>
            <w:vAlign w:val="center"/>
          </w:tcPr>
          <w:p w14:paraId="667828BC"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Recipients (million)</w:t>
            </w:r>
          </w:p>
        </w:tc>
        <w:tc>
          <w:tcPr>
            <w:tcW w:w="2324" w:type="dxa"/>
            <w:tcBorders>
              <w:bottom w:val="single" w:sz="4" w:space="0" w:color="auto"/>
            </w:tcBorders>
            <w:vAlign w:val="center"/>
          </w:tcPr>
          <w:p w14:paraId="2ABF9F4C" w14:textId="77777777" w:rsidR="00C127BA" w:rsidRPr="00C127BA" w:rsidRDefault="00C127BA" w:rsidP="00C127BA">
            <w:pPr>
              <w:spacing w:before="20" w:after="20" w:line="240" w:lineRule="auto"/>
              <w:jc w:val="right"/>
              <w:rPr>
                <w:rFonts w:ascii="Arial" w:hAnsi="Arial"/>
                <w:b/>
                <w:color w:val="000000"/>
                <w:sz w:val="16"/>
              </w:rPr>
            </w:pPr>
            <w:r w:rsidRPr="00C127BA">
              <w:rPr>
                <w:rFonts w:ascii="Arial" w:hAnsi="Arial"/>
                <w:b/>
                <w:color w:val="000000"/>
                <w:sz w:val="16"/>
              </w:rPr>
              <w:t>Share of total benefit (%)</w:t>
            </w:r>
          </w:p>
        </w:tc>
      </w:tr>
      <w:tr w:rsidR="00C127BA" w:rsidRPr="00C127BA" w14:paraId="51C33D09" w14:textId="77777777" w:rsidTr="00741441">
        <w:trPr>
          <w:trHeight w:val="227"/>
          <w:jc w:val="right"/>
        </w:trPr>
        <w:tc>
          <w:tcPr>
            <w:tcW w:w="1134" w:type="dxa"/>
            <w:tcBorders>
              <w:bottom w:val="nil"/>
            </w:tcBorders>
          </w:tcPr>
          <w:p w14:paraId="3244B651"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Men</w:t>
            </w:r>
          </w:p>
        </w:tc>
        <w:tc>
          <w:tcPr>
            <w:tcW w:w="2268" w:type="dxa"/>
            <w:tcBorders>
              <w:bottom w:val="nil"/>
            </w:tcBorders>
          </w:tcPr>
          <w:p w14:paraId="111318B8"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1,720</w:t>
            </w:r>
          </w:p>
        </w:tc>
        <w:tc>
          <w:tcPr>
            <w:tcW w:w="1985" w:type="dxa"/>
            <w:tcBorders>
              <w:bottom w:val="nil"/>
            </w:tcBorders>
          </w:tcPr>
          <w:p w14:paraId="24A815C6"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8.6</w:t>
            </w:r>
          </w:p>
        </w:tc>
        <w:tc>
          <w:tcPr>
            <w:tcW w:w="2324" w:type="dxa"/>
            <w:tcBorders>
              <w:bottom w:val="nil"/>
            </w:tcBorders>
          </w:tcPr>
          <w:p w14:paraId="5F5818FB" w14:textId="7A7F2B33"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61</w:t>
            </w:r>
          </w:p>
        </w:tc>
      </w:tr>
      <w:tr w:rsidR="00C127BA" w:rsidRPr="00C127BA" w14:paraId="445DC510" w14:textId="77777777" w:rsidTr="00741441">
        <w:trPr>
          <w:trHeight w:val="227"/>
          <w:jc w:val="right"/>
        </w:trPr>
        <w:tc>
          <w:tcPr>
            <w:tcW w:w="1134" w:type="dxa"/>
            <w:tcBorders>
              <w:top w:val="nil"/>
              <w:bottom w:val="single" w:sz="4" w:space="0" w:color="auto"/>
            </w:tcBorders>
          </w:tcPr>
          <w:p w14:paraId="4A0952AB"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Women</w:t>
            </w:r>
          </w:p>
        </w:tc>
        <w:tc>
          <w:tcPr>
            <w:tcW w:w="2268" w:type="dxa"/>
            <w:tcBorders>
              <w:top w:val="nil"/>
              <w:bottom w:val="single" w:sz="4" w:space="0" w:color="auto"/>
            </w:tcBorders>
          </w:tcPr>
          <w:p w14:paraId="62B54023"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1,160</w:t>
            </w:r>
          </w:p>
        </w:tc>
        <w:tc>
          <w:tcPr>
            <w:tcW w:w="1985" w:type="dxa"/>
            <w:tcBorders>
              <w:top w:val="nil"/>
              <w:bottom w:val="single" w:sz="4" w:space="0" w:color="auto"/>
            </w:tcBorders>
          </w:tcPr>
          <w:p w14:paraId="5E6A6CA2"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8.2</w:t>
            </w:r>
          </w:p>
        </w:tc>
        <w:tc>
          <w:tcPr>
            <w:tcW w:w="2324" w:type="dxa"/>
            <w:tcBorders>
              <w:top w:val="nil"/>
              <w:bottom w:val="single" w:sz="4" w:space="0" w:color="auto"/>
            </w:tcBorders>
          </w:tcPr>
          <w:p w14:paraId="33D66E99"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39</w:t>
            </w:r>
          </w:p>
        </w:tc>
      </w:tr>
      <w:tr w:rsidR="00C127BA" w:rsidRPr="00C127BA" w14:paraId="03664A73" w14:textId="77777777" w:rsidTr="00DC7E1C">
        <w:trPr>
          <w:trHeight w:val="227"/>
          <w:jc w:val="right"/>
        </w:trPr>
        <w:tc>
          <w:tcPr>
            <w:tcW w:w="1134" w:type="dxa"/>
            <w:tcBorders>
              <w:top w:val="single" w:sz="4" w:space="0" w:color="auto"/>
            </w:tcBorders>
          </w:tcPr>
          <w:p w14:paraId="5C5DDCB7" w14:textId="77777777" w:rsidR="00C127BA" w:rsidRPr="00C127BA" w:rsidRDefault="00C127BA" w:rsidP="00C127BA">
            <w:pPr>
              <w:spacing w:before="20" w:after="20" w:line="240" w:lineRule="auto"/>
              <w:jc w:val="left"/>
              <w:rPr>
                <w:rFonts w:ascii="Arial" w:hAnsi="Arial"/>
                <w:color w:val="000000"/>
                <w:sz w:val="16"/>
              </w:rPr>
            </w:pPr>
            <w:r w:rsidRPr="00C127BA">
              <w:rPr>
                <w:rFonts w:ascii="Arial" w:hAnsi="Arial"/>
                <w:color w:val="000000"/>
                <w:sz w:val="16"/>
              </w:rPr>
              <w:t>Total</w:t>
            </w:r>
          </w:p>
        </w:tc>
        <w:tc>
          <w:tcPr>
            <w:tcW w:w="2268" w:type="dxa"/>
            <w:tcBorders>
              <w:top w:val="single" w:sz="4" w:space="0" w:color="auto"/>
            </w:tcBorders>
          </w:tcPr>
          <w:p w14:paraId="17E93385"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 xml:space="preserve"> 1,440 </w:t>
            </w:r>
          </w:p>
        </w:tc>
        <w:tc>
          <w:tcPr>
            <w:tcW w:w="1985" w:type="dxa"/>
            <w:tcBorders>
              <w:top w:val="single" w:sz="4" w:space="0" w:color="auto"/>
            </w:tcBorders>
          </w:tcPr>
          <w:p w14:paraId="686A4364"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16.8</w:t>
            </w:r>
          </w:p>
        </w:tc>
        <w:tc>
          <w:tcPr>
            <w:tcW w:w="2324" w:type="dxa"/>
            <w:tcBorders>
              <w:top w:val="single" w:sz="4" w:space="0" w:color="auto"/>
            </w:tcBorders>
          </w:tcPr>
          <w:p w14:paraId="4FA83782" w14:textId="77777777" w:rsidR="00C127BA" w:rsidRPr="00C127BA" w:rsidRDefault="00C127BA" w:rsidP="00C127BA">
            <w:pPr>
              <w:spacing w:before="20" w:after="20" w:line="240" w:lineRule="auto"/>
              <w:jc w:val="right"/>
              <w:rPr>
                <w:rFonts w:ascii="Arial" w:hAnsi="Arial"/>
                <w:color w:val="000000"/>
                <w:sz w:val="16"/>
              </w:rPr>
            </w:pPr>
            <w:r w:rsidRPr="00C127BA">
              <w:rPr>
                <w:rFonts w:ascii="Arial" w:hAnsi="Arial"/>
                <w:color w:val="000000"/>
                <w:sz w:val="16"/>
              </w:rPr>
              <w:t>100</w:t>
            </w:r>
          </w:p>
        </w:tc>
      </w:tr>
    </w:tbl>
    <w:p w14:paraId="22E65B5A" w14:textId="307450B1" w:rsidR="00105C22" w:rsidRPr="00B334E9" w:rsidRDefault="00105C22" w:rsidP="00B334E9">
      <w:pPr>
        <w:pStyle w:val="ChartandTableFootnote"/>
      </w:pPr>
      <w:r w:rsidRPr="00B334E9">
        <w:t>* Totals may not sum due to rounding.</w:t>
      </w:r>
    </w:p>
    <w:p w14:paraId="4D53F16C" w14:textId="7AA0D709" w:rsidR="00C127BA" w:rsidRPr="00E1619F" w:rsidRDefault="00C127BA" w:rsidP="00E1619F">
      <w:pPr>
        <w:spacing w:before="120" w:after="120" w:line="240" w:lineRule="auto"/>
        <w:jc w:val="left"/>
        <w:rPr>
          <w:rFonts w:eastAsiaTheme="minorHAnsi" w:cstheme="minorBidi"/>
          <w:szCs w:val="22"/>
          <w:lang w:eastAsia="en-US"/>
        </w:rPr>
      </w:pPr>
      <w:r w:rsidRPr="00E1619F">
        <w:rPr>
          <w:rFonts w:eastAsiaTheme="minorHAnsi" w:cstheme="minorBidi"/>
          <w:szCs w:val="22"/>
          <w:lang w:eastAsia="en-US"/>
        </w:rPr>
        <w:t>The share of the benefit from superannuation earnings tax concessions is highest for people aged 55 to 69, reflecting that Australians in these cohorts are generally in higher income deciles and have had longer to accumulate superannuation balances (</w:t>
      </w:r>
      <w:r w:rsidR="003D3223">
        <w:rPr>
          <w:rFonts w:eastAsiaTheme="minorHAnsi" w:cstheme="minorBidi"/>
          <w:szCs w:val="22"/>
          <w:lang w:eastAsia="en-US"/>
        </w:rPr>
        <w:t>Chart 2</w:t>
      </w:r>
      <w:r w:rsidR="00367119" w:rsidRPr="00E1619F">
        <w:rPr>
          <w:rFonts w:eastAsiaTheme="minorHAnsi" w:cstheme="minorBidi"/>
          <w:szCs w:val="22"/>
          <w:lang w:eastAsia="en-US"/>
        </w:rPr>
        <w:t>.5</w:t>
      </w:r>
      <w:r w:rsidRPr="00E1619F">
        <w:rPr>
          <w:rFonts w:eastAsiaTheme="minorHAnsi" w:cstheme="minorBidi"/>
          <w:szCs w:val="22"/>
          <w:lang w:eastAsia="en-US"/>
        </w:rPr>
        <w:t xml:space="preserve">). 51 per cent of the benefit of earnings concessions </w:t>
      </w:r>
      <w:r w:rsidR="00C34D42" w:rsidRPr="00E1619F">
        <w:rPr>
          <w:rFonts w:eastAsiaTheme="minorHAnsi" w:cstheme="minorBidi"/>
          <w:szCs w:val="22"/>
          <w:lang w:eastAsia="en-US"/>
        </w:rPr>
        <w:t>went</w:t>
      </w:r>
      <w:r w:rsidRPr="00E1619F">
        <w:rPr>
          <w:rFonts w:eastAsiaTheme="minorHAnsi" w:cstheme="minorBidi"/>
          <w:szCs w:val="22"/>
          <w:lang w:eastAsia="en-US"/>
        </w:rPr>
        <w:t xml:space="preserve"> to people aged 60 or older. The average benefit </w:t>
      </w:r>
      <w:r w:rsidRPr="009F2678">
        <w:rPr>
          <w:rFonts w:eastAsiaTheme="minorHAnsi" w:cstheme="minorBidi"/>
          <w:szCs w:val="22"/>
          <w:lang w:eastAsia="en-US"/>
        </w:rPr>
        <w:t>for those</w:t>
      </w:r>
      <w:r w:rsidRPr="00E1619F">
        <w:rPr>
          <w:rFonts w:eastAsiaTheme="minorHAnsi" w:cstheme="minorBidi"/>
          <w:szCs w:val="22"/>
          <w:lang w:eastAsia="en-US"/>
        </w:rPr>
        <w:t xml:space="preserve"> aged over 55 who have superannuation was also higher because of the zero per cent tax rate applied to earnings in the retirement phase.</w:t>
      </w:r>
    </w:p>
    <w:p w14:paraId="704F37BD" w14:textId="77777777" w:rsidR="00B334E9" w:rsidRDefault="00B334E9">
      <w:pPr>
        <w:spacing w:after="0" w:line="240" w:lineRule="auto"/>
        <w:jc w:val="left"/>
        <w:rPr>
          <w:rFonts w:eastAsiaTheme="minorHAnsi" w:cstheme="minorBidi"/>
          <w:szCs w:val="22"/>
          <w:lang w:eastAsia="en-US"/>
        </w:rPr>
      </w:pPr>
      <w:r>
        <w:rPr>
          <w:rFonts w:eastAsiaTheme="minorHAnsi" w:cstheme="minorBidi"/>
          <w:szCs w:val="22"/>
          <w:lang w:eastAsia="en-US"/>
        </w:rPr>
        <w:br w:type="page"/>
      </w:r>
    </w:p>
    <w:p w14:paraId="0164F334" w14:textId="7E25136E" w:rsidR="00E11DFD" w:rsidRDefault="003D3223" w:rsidP="00B334E9">
      <w:pPr>
        <w:pStyle w:val="ChartHeading"/>
        <w:rPr>
          <w:rFonts w:eastAsiaTheme="minorHAnsi"/>
          <w:lang w:eastAsia="en-US"/>
        </w:rPr>
      </w:pPr>
      <w:r>
        <w:rPr>
          <w:rFonts w:eastAsiaTheme="minorHAnsi"/>
          <w:lang w:eastAsia="en-US"/>
        </w:rPr>
        <w:t>Chart 2</w:t>
      </w:r>
      <w:r w:rsidR="00367119">
        <w:rPr>
          <w:rFonts w:eastAsiaTheme="minorHAnsi"/>
          <w:lang w:eastAsia="en-US"/>
        </w:rPr>
        <w:t>.5</w:t>
      </w:r>
      <w:r w:rsidR="00C127BA" w:rsidRPr="00C127BA">
        <w:rPr>
          <w:rFonts w:eastAsiaTheme="minorHAnsi"/>
          <w:lang w:eastAsia="en-US"/>
        </w:rPr>
        <w:t xml:space="preserve"> Share of benefit and recipients by age, 2021</w:t>
      </w:r>
      <w:r w:rsidR="003C3D89" w:rsidRPr="002A0EFC">
        <w:t>–</w:t>
      </w:r>
      <w:r w:rsidR="00C127BA" w:rsidRPr="00C127BA">
        <w:rPr>
          <w:rFonts w:eastAsiaTheme="minorHAnsi"/>
          <w:lang w:eastAsia="en-US"/>
        </w:rPr>
        <w:t>22</w:t>
      </w:r>
    </w:p>
    <w:p w14:paraId="0F562A3E" w14:textId="271AA5CD" w:rsidR="002C7442" w:rsidRDefault="007A1E82" w:rsidP="002E7DC9">
      <w:pPr>
        <w:pStyle w:val="ChartGraphic"/>
        <w:rPr>
          <w:rFonts w:eastAsiaTheme="minorHAnsi"/>
          <w:lang w:eastAsia="en-US"/>
        </w:rPr>
      </w:pPr>
      <w:r>
        <w:rPr>
          <w:rFonts w:eastAsiaTheme="minorHAnsi"/>
          <w:lang w:eastAsia="en-US"/>
        </w:rPr>
        <w:object w:dxaOrig="7381" w:dyaOrig="4546" w14:anchorId="70644F5E">
          <v:shape id="_x0000_i1029" type="#_x0000_t75" alt="Bar chart showing the share of benefits from superannuation earnings concessions for different age groups. The chart shows a higher benefit for older individuals, particularly aged 55 to 69." style="width:369pt;height:227.25pt;mso-position-horizontal:absolute" o:ole="">
            <v:imagedata r:id="rId37" o:title=""/>
          </v:shape>
          <o:OLEObject Type="Link" ProgID="Excel.Sheet.12" ShapeID="_x0000_i1029" DrawAspect="Content" r:id="rId38" UpdateMode="Always">
            <o:LinkType>EnhancedMetaFile</o:LinkType>
            <o:LockedField/>
          </o:OLEObject>
        </w:object>
      </w:r>
    </w:p>
    <w:p w14:paraId="5FF4DC81" w14:textId="724FFB34" w:rsidR="00A96D8C" w:rsidRPr="00A072A5" w:rsidRDefault="00C127BA" w:rsidP="00A072A5">
      <w:pPr>
        <w:spacing w:before="200" w:after="160" w:line="259" w:lineRule="auto"/>
        <w:jc w:val="left"/>
        <w:rPr>
          <w:rFonts w:eastAsiaTheme="minorHAnsi" w:cstheme="minorBidi"/>
          <w:szCs w:val="22"/>
          <w:lang w:eastAsia="en-US"/>
        </w:rPr>
      </w:pPr>
      <w:r w:rsidRPr="00C127BA">
        <w:rPr>
          <w:rFonts w:ascii="Arial" w:eastAsiaTheme="minorHAnsi" w:hAnsi="Arial" w:cs="Arial"/>
          <w:sz w:val="16"/>
          <w:szCs w:val="16"/>
          <w:lang w:eastAsia="en-US"/>
        </w:rPr>
        <w:t>Source: Treasury</w:t>
      </w:r>
    </w:p>
    <w:p w14:paraId="594D9A1B" w14:textId="77E67A75" w:rsidR="006E0A3F" w:rsidRDefault="00A96D8C">
      <w:pPr>
        <w:spacing w:after="0" w:line="240" w:lineRule="auto"/>
        <w:jc w:val="left"/>
      </w:pPr>
      <w:r>
        <w:br w:type="page"/>
      </w:r>
    </w:p>
    <w:p w14:paraId="43BB55BC" w14:textId="638F48D6" w:rsidR="00ED77AD" w:rsidRDefault="00ED77AD" w:rsidP="00FA7A7A">
      <w:pPr>
        <w:pStyle w:val="Heading2"/>
        <w:numPr>
          <w:ilvl w:val="1"/>
          <w:numId w:val="51"/>
        </w:numPr>
      </w:pPr>
      <w:bookmarkStart w:id="45" w:name="_Toc184287650"/>
      <w:r w:rsidRPr="00AD619F">
        <w:t>Capital gains tax discount for individuals and trusts</w:t>
      </w:r>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ED77AD" w14:paraId="36160EBE" w14:textId="77777777">
        <w:trPr>
          <w:trHeight w:val="3322"/>
        </w:trPr>
        <w:tc>
          <w:tcPr>
            <w:tcW w:w="7711" w:type="dxa"/>
            <w:shd w:val="clear" w:color="auto" w:fill="DEEAF6"/>
          </w:tcPr>
          <w:p w14:paraId="0D0E49FA" w14:textId="23049019" w:rsidR="00ED77AD" w:rsidRPr="00E1619F" w:rsidRDefault="00ED77AD" w:rsidP="00796C9D">
            <w:pPr>
              <w:spacing w:before="120" w:after="120" w:line="240" w:lineRule="auto"/>
            </w:pPr>
            <w:r w:rsidRPr="00E1619F">
              <w:t>Under the benchmark, realised capital gains are generally assessable to taxpayers at their applicable tax rate in the year they arise. Under this tax expenditure (E15), a capital gains tax exemption applies to 50 per cent of any nominal capital gain made</w:t>
            </w:r>
            <w:r w:rsidR="00E1619F" w:rsidRPr="00E1619F">
              <w:t xml:space="preserve"> </w:t>
            </w:r>
            <w:r w:rsidRPr="00E1619F">
              <w:t>by a resident individual or trust where the asset has been owned for at least 12</w:t>
            </w:r>
            <w:r w:rsidR="003D7CDF">
              <w:t> </w:t>
            </w:r>
            <w:r w:rsidRPr="00E1619F">
              <w:t>months.</w:t>
            </w:r>
          </w:p>
          <w:p w14:paraId="7838A135" w14:textId="641DB6D7" w:rsidR="00ED77AD" w:rsidRPr="00674001" w:rsidRDefault="003D3223" w:rsidP="00B334E9">
            <w:pPr>
              <w:pStyle w:val="TableHeading"/>
            </w:pPr>
            <w:r>
              <w:t>Table 2</w:t>
            </w:r>
            <w:r w:rsidR="00661122">
              <w:t>.5</w:t>
            </w:r>
            <w:r w:rsidR="00ED77AD">
              <w:t xml:space="preserve"> </w:t>
            </w:r>
            <w:r w:rsidR="00ED77AD" w:rsidRPr="003E6969">
              <w:t xml:space="preserve">Estimates of aggregate revenue </w:t>
            </w:r>
            <w:r w:rsidR="00965A7B" w:rsidRPr="003E6969">
              <w:t>forgone</w:t>
            </w:r>
            <w:r w:rsidR="00ED77AD">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ED77AD" w14:paraId="37DA3D54" w14:textId="77777777" w:rsidTr="00DC7B7D">
              <w:trPr>
                <w:trHeight w:val="255"/>
                <w:jc w:val="center"/>
              </w:trPr>
              <w:tc>
                <w:tcPr>
                  <w:tcW w:w="935" w:type="dxa"/>
                  <w:tcBorders>
                    <w:bottom w:val="single" w:sz="4" w:space="0" w:color="auto"/>
                  </w:tcBorders>
                  <w:vAlign w:val="center"/>
                </w:tcPr>
                <w:p w14:paraId="2F8D6099"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5DBF8840"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17DAE1B5"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4311AA28"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7B98C5D"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444A785E"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77F88AE8"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4F5E18B" w14:textId="77777777" w:rsidR="00ED77AD" w:rsidRPr="00301F8A" w:rsidRDefault="00ED77AD" w:rsidP="00346081">
                  <w:pPr>
                    <w:spacing w:after="0"/>
                    <w:jc w:val="right"/>
                    <w:rPr>
                      <w:rFonts w:ascii="Arial" w:hAnsi="Arial" w:cs="Arial"/>
                      <w:b/>
                      <w:sz w:val="16"/>
                      <w:szCs w:val="16"/>
                    </w:rPr>
                  </w:pPr>
                  <w:r w:rsidRPr="00301F8A">
                    <w:rPr>
                      <w:rFonts w:ascii="Arial" w:hAnsi="Arial" w:cs="Arial"/>
                      <w:b/>
                      <w:sz w:val="16"/>
                      <w:szCs w:val="16"/>
                    </w:rPr>
                    <w:t>2027-28</w:t>
                  </w:r>
                </w:p>
              </w:tc>
            </w:tr>
            <w:tr w:rsidR="00ED77AD" w14:paraId="658561C4" w14:textId="77777777" w:rsidTr="00DC7B7D">
              <w:trPr>
                <w:trHeight w:val="255"/>
                <w:jc w:val="center"/>
              </w:trPr>
              <w:tc>
                <w:tcPr>
                  <w:tcW w:w="935" w:type="dxa"/>
                  <w:tcBorders>
                    <w:top w:val="single" w:sz="4" w:space="0" w:color="EEECE1" w:themeColor="background2"/>
                  </w:tcBorders>
                  <w:vAlign w:val="center"/>
                </w:tcPr>
                <w:p w14:paraId="4A6FA352"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9,270</w:t>
                  </w:r>
                </w:p>
              </w:tc>
              <w:tc>
                <w:tcPr>
                  <w:tcW w:w="935" w:type="dxa"/>
                  <w:tcBorders>
                    <w:top w:val="single" w:sz="4" w:space="0" w:color="EEECE1" w:themeColor="background2"/>
                  </w:tcBorders>
                  <w:vAlign w:val="center"/>
                </w:tcPr>
                <w:p w14:paraId="37D9588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15,590</w:t>
                  </w:r>
                </w:p>
              </w:tc>
              <w:tc>
                <w:tcPr>
                  <w:tcW w:w="935" w:type="dxa"/>
                  <w:tcBorders>
                    <w:top w:val="single" w:sz="4" w:space="0" w:color="EEECE1" w:themeColor="background2"/>
                  </w:tcBorders>
                  <w:vAlign w:val="center"/>
                </w:tcPr>
                <w:p w14:paraId="282627C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23,460</w:t>
                  </w:r>
                </w:p>
              </w:tc>
              <w:tc>
                <w:tcPr>
                  <w:tcW w:w="935" w:type="dxa"/>
                  <w:tcBorders>
                    <w:top w:val="single" w:sz="4" w:space="0" w:color="EEECE1" w:themeColor="background2"/>
                  </w:tcBorders>
                  <w:vAlign w:val="center"/>
                </w:tcPr>
                <w:p w14:paraId="5AD0FD58"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19,000</w:t>
                  </w:r>
                </w:p>
              </w:tc>
              <w:tc>
                <w:tcPr>
                  <w:tcW w:w="935" w:type="dxa"/>
                  <w:tcBorders>
                    <w:top w:val="single" w:sz="4" w:space="0" w:color="EEECE1" w:themeColor="background2"/>
                  </w:tcBorders>
                  <w:vAlign w:val="center"/>
                </w:tcPr>
                <w:p w14:paraId="1E940312"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22,730</w:t>
                  </w:r>
                </w:p>
              </w:tc>
              <w:tc>
                <w:tcPr>
                  <w:tcW w:w="935" w:type="dxa"/>
                  <w:tcBorders>
                    <w:top w:val="single" w:sz="4" w:space="0" w:color="EEECE1" w:themeColor="background2"/>
                  </w:tcBorders>
                  <w:vAlign w:val="center"/>
                </w:tcPr>
                <w:p w14:paraId="2F4684CF"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14,310</w:t>
                  </w:r>
                </w:p>
              </w:tc>
              <w:tc>
                <w:tcPr>
                  <w:tcW w:w="935" w:type="dxa"/>
                  <w:tcBorders>
                    <w:top w:val="single" w:sz="4" w:space="0" w:color="EEECE1" w:themeColor="background2"/>
                  </w:tcBorders>
                  <w:vAlign w:val="center"/>
                </w:tcPr>
                <w:p w14:paraId="3F61C6AD"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15,490</w:t>
                  </w:r>
                </w:p>
              </w:tc>
              <w:tc>
                <w:tcPr>
                  <w:tcW w:w="935" w:type="dxa"/>
                  <w:tcBorders>
                    <w:top w:val="single" w:sz="4" w:space="0" w:color="EEECE1" w:themeColor="background2"/>
                  </w:tcBorders>
                  <w:vAlign w:val="center"/>
                </w:tcPr>
                <w:p w14:paraId="250FADA5" w14:textId="77777777" w:rsidR="00ED77AD" w:rsidRPr="00301F8A" w:rsidRDefault="213987E2" w:rsidP="00346081">
                  <w:pPr>
                    <w:spacing w:after="0"/>
                    <w:jc w:val="right"/>
                    <w:rPr>
                      <w:rFonts w:ascii="Arial" w:hAnsi="Arial" w:cs="Arial"/>
                      <w:sz w:val="16"/>
                      <w:szCs w:val="16"/>
                    </w:rPr>
                  </w:pPr>
                  <w:r w:rsidRPr="00301F8A">
                    <w:rPr>
                      <w:rFonts w:ascii="Arial" w:hAnsi="Arial" w:cs="Arial"/>
                      <w:sz w:val="16"/>
                      <w:szCs w:val="16"/>
                    </w:rPr>
                    <w:t>16,520</w:t>
                  </w:r>
                </w:p>
              </w:tc>
            </w:tr>
          </w:tbl>
          <w:p w14:paraId="75B183B1" w14:textId="68C75B5C" w:rsidR="00ED77AD" w:rsidRDefault="00ED77AD" w:rsidP="00796C9D">
            <w:pPr>
              <w:spacing w:before="120" w:after="120" w:line="240" w:lineRule="auto"/>
            </w:pPr>
            <w:r w:rsidRPr="00E1619F">
              <w:t>In 2021</w:t>
            </w:r>
            <w:r w:rsidR="003C3D89">
              <w:t>–2</w:t>
            </w:r>
            <w:r w:rsidRPr="00E1619F">
              <w:t xml:space="preserve">2 around 990,000 people were impacted by this tax expenditure. Revenue forgone is elevated </w:t>
            </w:r>
            <w:r w:rsidR="003F176B" w:rsidRPr="00E1619F">
              <w:t>from</w:t>
            </w:r>
            <w:r w:rsidRPr="00E1619F">
              <w:t xml:space="preserve"> 2022</w:t>
            </w:r>
            <w:r w:rsidR="003C3D89">
              <w:t>–2</w:t>
            </w:r>
            <w:r w:rsidRPr="00E1619F">
              <w:t xml:space="preserve">3 </w:t>
            </w:r>
            <w:r w:rsidR="003F176B" w:rsidRPr="00E1619F">
              <w:t>to 2024</w:t>
            </w:r>
            <w:r w:rsidR="003C3D89">
              <w:t>–2</w:t>
            </w:r>
            <w:r w:rsidR="003F176B" w:rsidRPr="00E1619F">
              <w:t>5</w:t>
            </w:r>
            <w:r w:rsidRPr="00E1619F">
              <w:t xml:space="preserve"> due to higher capital gains realisations for</w:t>
            </w:r>
            <w:r w:rsidR="00E1619F" w:rsidRPr="00E1619F">
              <w:t xml:space="preserve"> </w:t>
            </w:r>
            <w:r w:rsidRPr="00E1619F">
              <w:t>individuals.</w:t>
            </w:r>
          </w:p>
        </w:tc>
      </w:tr>
    </w:tbl>
    <w:p w14:paraId="0740692A" w14:textId="6CCFAE84" w:rsidR="00ED77AD" w:rsidRPr="00E1619F" w:rsidRDefault="00ED77AD" w:rsidP="00E1619F">
      <w:pPr>
        <w:spacing w:before="120" w:after="120" w:line="240" w:lineRule="auto"/>
      </w:pPr>
      <w:r w:rsidRPr="00E1619F">
        <w:t>Over 1.5 million individual tax filers realised a net capital gain in 2021–22; of those, around two-thirds benefitted from the capital gains discount for individuals and trusts. Around 95 per cent of the benefit was received by people with above median income, and about 82 per</w:t>
      </w:r>
      <w:r w:rsidR="00EA0D33" w:rsidRPr="00E1619F">
        <w:t xml:space="preserve"> </w:t>
      </w:r>
      <w:r w:rsidRPr="00E1619F">
        <w:t>cent of the benefit was received by people in the top income decile (</w:t>
      </w:r>
      <w:r w:rsidR="003D3223">
        <w:t>Chart 2</w:t>
      </w:r>
      <w:r w:rsidR="00367119" w:rsidRPr="00E1619F">
        <w:t>.6</w:t>
      </w:r>
      <w:r w:rsidRPr="00E1619F">
        <w:t xml:space="preserve">). </w:t>
      </w:r>
    </w:p>
    <w:p w14:paraId="4D0F3770" w14:textId="66AA27DD" w:rsidR="00ED77AD" w:rsidRPr="00614E32" w:rsidRDefault="003D3223" w:rsidP="00B334E9">
      <w:pPr>
        <w:pStyle w:val="ChartHeading"/>
      </w:pPr>
      <w:r>
        <w:t>Chart 2</w:t>
      </w:r>
      <w:r w:rsidR="00367119">
        <w:t>.6</w:t>
      </w:r>
      <w:r w:rsidR="00ED77AD" w:rsidRPr="005C22A4">
        <w:t xml:space="preserve"> </w:t>
      </w:r>
      <w:r w:rsidR="00ED77AD" w:rsidRPr="00461615">
        <w:t>Share of benefit and recipients by taxable income decile</w:t>
      </w:r>
      <w:r w:rsidR="00ED77AD">
        <w:t xml:space="preserve">, </w:t>
      </w:r>
      <w:r w:rsidR="00ED77AD" w:rsidRPr="005C22A4">
        <w:t>20</w:t>
      </w:r>
      <w:r w:rsidR="00ED77AD">
        <w:t>21</w:t>
      </w:r>
      <w:r w:rsidR="003C3D89">
        <w:t>–2</w:t>
      </w:r>
      <w:r w:rsidR="00ED77AD">
        <w:t>2</w:t>
      </w:r>
    </w:p>
    <w:p w14:paraId="415FCF3D" w14:textId="7F0DC889" w:rsidR="00FA27A2" w:rsidRDefault="00A41B33" w:rsidP="00A072A5">
      <w:pPr>
        <w:pStyle w:val="ChartGraphic"/>
      </w:pPr>
      <w:r>
        <w:object w:dxaOrig="7366" w:dyaOrig="4531" w14:anchorId="1E1DB1DD">
          <v:shape id="_x0000_i1030" type="#_x0000_t75" alt="Bar chart showing the share of benefits and number of recipients benefitting from the capital gains discount. Most of the benefit was received by people in the highest income decile." style="width:370.5pt;height:225.75pt" o:ole="">
            <v:imagedata r:id="rId39" o:title=""/>
          </v:shape>
          <o:OLEObject Type="Link" ProgID="Excel.Sheet.12" ShapeID="_x0000_i1030" DrawAspect="Content" r:id="rId40" UpdateMode="Always">
            <o:LinkType>EnhancedMetaFile</o:LinkType>
            <o:LockedField/>
          </o:OLEObject>
        </w:object>
      </w:r>
    </w:p>
    <w:p w14:paraId="5BCEB2F4" w14:textId="02097F28" w:rsidR="00ED77AD" w:rsidRDefault="00ED77AD" w:rsidP="00B334E9">
      <w:pPr>
        <w:pStyle w:val="ChartandTableFootnote"/>
      </w:pPr>
      <w:r w:rsidRPr="00CB34A6">
        <w:t>Source: Treasury</w:t>
      </w:r>
    </w:p>
    <w:p w14:paraId="61D00384" w14:textId="77777777" w:rsidR="00C41363" w:rsidRDefault="00C41363">
      <w:pPr>
        <w:spacing w:after="0" w:line="240" w:lineRule="auto"/>
        <w:jc w:val="left"/>
      </w:pPr>
      <w:r>
        <w:br w:type="page"/>
      </w:r>
    </w:p>
    <w:p w14:paraId="23B430BB" w14:textId="2677ED1C" w:rsidR="00ED77AD" w:rsidRDefault="00ED77AD" w:rsidP="00E1619F">
      <w:pPr>
        <w:spacing w:before="120" w:after="120" w:line="240" w:lineRule="auto"/>
        <w:rPr>
          <w:rFonts w:ascii="Arial" w:hAnsi="Arial" w:cs="Arial"/>
          <w:sz w:val="16"/>
          <w:szCs w:val="16"/>
        </w:rPr>
      </w:pPr>
      <w:r w:rsidRPr="00E1619F">
        <w:t>The substantial share of the benefit that went to the top decile is due to relatively more individuals receiving capital gains income, higher average capital gains, and a higher marginal tax rate increasing the benefit of the discount. Realising a capital gain contributes to many individuals being captured in the highest decile when they otherwise would not. This effect is moderated by the discount excluding 50 per cent of income from eligible gains from the individuals’ total taxable income.</w:t>
      </w:r>
    </w:p>
    <w:p w14:paraId="52BE3399" w14:textId="0196F3C5" w:rsidR="00ED77AD" w:rsidRDefault="003D3223" w:rsidP="00B334E9">
      <w:pPr>
        <w:pStyle w:val="TableHeading"/>
      </w:pPr>
      <w:r>
        <w:t>Table 2</w:t>
      </w:r>
      <w:r w:rsidR="00661122">
        <w:t>.</w:t>
      </w:r>
      <w:r w:rsidR="00DF7E9D">
        <w:t>6</w:t>
      </w:r>
      <w:r w:rsidR="00ED77AD" w:rsidRPr="00674001">
        <w:t xml:space="preserve"> Distributional effect by gender</w:t>
      </w:r>
      <w:r w:rsidR="00ED77AD">
        <w:t>,</w:t>
      </w:r>
      <w:r w:rsidR="00ED77AD" w:rsidRPr="00674001">
        <w:t xml:space="preserve"> 20</w:t>
      </w:r>
      <w:r w:rsidR="00ED77AD">
        <w:t>21</w:t>
      </w:r>
      <w:r w:rsidR="003C3D89">
        <w:t>–2</w:t>
      </w:r>
      <w:r w:rsidR="00ED77AD">
        <w:t>2</w:t>
      </w:r>
      <w:r w:rsidR="00105C22">
        <w:t>*</w:t>
      </w:r>
    </w:p>
    <w:tbl>
      <w:tblPr>
        <w:tblW w:w="7785" w:type="dxa"/>
        <w:jc w:val="center"/>
        <w:tblLook w:val="04A0" w:firstRow="1" w:lastRow="0" w:firstColumn="1" w:lastColumn="0" w:noHBand="0" w:noVBand="1"/>
      </w:tblPr>
      <w:tblGrid>
        <w:gridCol w:w="1191"/>
        <w:gridCol w:w="2442"/>
        <w:gridCol w:w="1701"/>
        <w:gridCol w:w="2451"/>
      </w:tblGrid>
      <w:tr w:rsidR="00ED77AD" w:rsidRPr="00347B22" w14:paraId="6282F27C" w14:textId="77777777" w:rsidTr="00346081">
        <w:trPr>
          <w:trHeight w:val="285"/>
          <w:jc w:val="center"/>
        </w:trPr>
        <w:tc>
          <w:tcPr>
            <w:tcW w:w="1191" w:type="dxa"/>
            <w:tcBorders>
              <w:top w:val="single" w:sz="4" w:space="0" w:color="auto"/>
              <w:left w:val="nil"/>
              <w:bottom w:val="single" w:sz="4" w:space="0" w:color="auto"/>
              <w:right w:val="nil"/>
            </w:tcBorders>
            <w:shd w:val="clear" w:color="auto" w:fill="auto"/>
            <w:vAlign w:val="center"/>
            <w:hideMark/>
          </w:tcPr>
          <w:p w14:paraId="65CE613A" w14:textId="77777777" w:rsidR="00ED77AD" w:rsidRPr="00301F8A" w:rsidRDefault="00ED77AD" w:rsidP="00E21986">
            <w:pPr>
              <w:spacing w:after="0" w:line="240"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2442" w:type="dxa"/>
            <w:tcBorders>
              <w:top w:val="single" w:sz="4" w:space="0" w:color="auto"/>
              <w:left w:val="nil"/>
              <w:bottom w:val="single" w:sz="4" w:space="0" w:color="auto"/>
              <w:right w:val="nil"/>
            </w:tcBorders>
            <w:shd w:val="clear" w:color="auto" w:fill="auto"/>
            <w:vAlign w:val="center"/>
            <w:hideMark/>
          </w:tcPr>
          <w:p w14:paraId="3974D672"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1701" w:type="dxa"/>
            <w:tcBorders>
              <w:top w:val="single" w:sz="4" w:space="0" w:color="auto"/>
              <w:left w:val="nil"/>
              <w:bottom w:val="single" w:sz="4" w:space="0" w:color="auto"/>
              <w:right w:val="nil"/>
            </w:tcBorders>
            <w:shd w:val="clear" w:color="auto" w:fill="auto"/>
            <w:vAlign w:val="center"/>
            <w:hideMark/>
          </w:tcPr>
          <w:p w14:paraId="5253AE3A"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451" w:type="dxa"/>
            <w:tcBorders>
              <w:top w:val="single" w:sz="4" w:space="0" w:color="auto"/>
              <w:left w:val="nil"/>
              <w:bottom w:val="single" w:sz="4" w:space="0" w:color="auto"/>
              <w:right w:val="nil"/>
            </w:tcBorders>
            <w:shd w:val="clear" w:color="auto" w:fill="auto"/>
            <w:vAlign w:val="center"/>
            <w:hideMark/>
          </w:tcPr>
          <w:p w14:paraId="6F4FC69A" w14:textId="77777777" w:rsidR="00ED77AD" w:rsidRPr="00301F8A" w:rsidRDefault="00ED77AD" w:rsidP="006775C3">
            <w:pPr>
              <w:spacing w:after="0" w:line="240"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ED77AD" w:rsidRPr="00347B22" w14:paraId="53D1E97A" w14:textId="77777777" w:rsidTr="00346081">
        <w:trPr>
          <w:trHeight w:val="227"/>
          <w:jc w:val="center"/>
        </w:trPr>
        <w:tc>
          <w:tcPr>
            <w:tcW w:w="1191" w:type="dxa"/>
            <w:tcBorders>
              <w:top w:val="single" w:sz="4" w:space="0" w:color="auto"/>
              <w:left w:val="nil"/>
              <w:right w:val="nil"/>
            </w:tcBorders>
            <w:shd w:val="clear" w:color="auto" w:fill="auto"/>
            <w:vAlign w:val="center"/>
            <w:hideMark/>
          </w:tcPr>
          <w:p w14:paraId="549D78A8" w14:textId="77777777" w:rsidR="00ED77AD" w:rsidRPr="00301F8A" w:rsidRDefault="00ED77AD"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Men</w:t>
            </w:r>
          </w:p>
        </w:tc>
        <w:tc>
          <w:tcPr>
            <w:tcW w:w="2442" w:type="dxa"/>
            <w:tcBorders>
              <w:top w:val="single" w:sz="4" w:space="0" w:color="auto"/>
              <w:left w:val="nil"/>
              <w:right w:val="nil"/>
            </w:tcBorders>
            <w:shd w:val="clear" w:color="auto" w:fill="auto"/>
            <w:vAlign w:val="center"/>
            <w:hideMark/>
          </w:tcPr>
          <w:p w14:paraId="382A974E"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23,890</w:t>
            </w:r>
          </w:p>
        </w:tc>
        <w:tc>
          <w:tcPr>
            <w:tcW w:w="1701" w:type="dxa"/>
            <w:tcBorders>
              <w:top w:val="single" w:sz="4" w:space="0" w:color="auto"/>
              <w:left w:val="nil"/>
              <w:right w:val="nil"/>
            </w:tcBorders>
            <w:shd w:val="clear" w:color="auto" w:fill="auto"/>
            <w:vAlign w:val="center"/>
            <w:hideMark/>
          </w:tcPr>
          <w:p w14:paraId="54FB4FBF"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0.5</w:t>
            </w:r>
          </w:p>
        </w:tc>
        <w:tc>
          <w:tcPr>
            <w:tcW w:w="2451" w:type="dxa"/>
            <w:tcBorders>
              <w:top w:val="single" w:sz="4" w:space="0" w:color="auto"/>
              <w:left w:val="nil"/>
              <w:right w:val="nil"/>
            </w:tcBorders>
            <w:shd w:val="clear" w:color="auto" w:fill="auto"/>
            <w:vAlign w:val="center"/>
            <w:hideMark/>
          </w:tcPr>
          <w:p w14:paraId="482F2602"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58</w:t>
            </w:r>
          </w:p>
        </w:tc>
      </w:tr>
      <w:tr w:rsidR="00ED77AD" w:rsidRPr="00347B22" w14:paraId="56C52D2A" w14:textId="77777777" w:rsidTr="00741441">
        <w:trPr>
          <w:trHeight w:val="227"/>
          <w:jc w:val="center"/>
        </w:trPr>
        <w:tc>
          <w:tcPr>
            <w:tcW w:w="1191" w:type="dxa"/>
            <w:tcBorders>
              <w:left w:val="nil"/>
              <w:bottom w:val="single" w:sz="4" w:space="0" w:color="auto"/>
              <w:right w:val="nil"/>
            </w:tcBorders>
            <w:shd w:val="clear" w:color="auto" w:fill="auto"/>
            <w:vAlign w:val="center"/>
            <w:hideMark/>
          </w:tcPr>
          <w:p w14:paraId="36F6C37D" w14:textId="77777777" w:rsidR="00ED77AD" w:rsidRPr="00301F8A" w:rsidRDefault="00ED77AD"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Women</w:t>
            </w:r>
          </w:p>
        </w:tc>
        <w:tc>
          <w:tcPr>
            <w:tcW w:w="2442" w:type="dxa"/>
            <w:tcBorders>
              <w:left w:val="nil"/>
              <w:bottom w:val="single" w:sz="4" w:space="0" w:color="auto"/>
              <w:right w:val="nil"/>
            </w:tcBorders>
            <w:shd w:val="clear" w:color="auto" w:fill="auto"/>
            <w:vAlign w:val="center"/>
            <w:hideMark/>
          </w:tcPr>
          <w:p w14:paraId="33B667E8"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18,750</w:t>
            </w:r>
          </w:p>
        </w:tc>
        <w:tc>
          <w:tcPr>
            <w:tcW w:w="1701" w:type="dxa"/>
            <w:tcBorders>
              <w:left w:val="nil"/>
              <w:bottom w:val="single" w:sz="4" w:space="0" w:color="auto"/>
              <w:right w:val="nil"/>
            </w:tcBorders>
            <w:shd w:val="clear" w:color="auto" w:fill="auto"/>
            <w:vAlign w:val="center"/>
            <w:hideMark/>
          </w:tcPr>
          <w:p w14:paraId="77BCEC6B"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0.5</w:t>
            </w:r>
          </w:p>
        </w:tc>
        <w:tc>
          <w:tcPr>
            <w:tcW w:w="2451" w:type="dxa"/>
            <w:tcBorders>
              <w:left w:val="nil"/>
              <w:bottom w:val="single" w:sz="4" w:space="0" w:color="auto"/>
              <w:right w:val="nil"/>
            </w:tcBorders>
            <w:shd w:val="clear" w:color="auto" w:fill="auto"/>
            <w:vAlign w:val="center"/>
            <w:hideMark/>
          </w:tcPr>
          <w:p w14:paraId="25C6CD78"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42</w:t>
            </w:r>
          </w:p>
        </w:tc>
      </w:tr>
      <w:tr w:rsidR="00ED77AD" w:rsidRPr="00347B22" w14:paraId="04B50B50" w14:textId="77777777" w:rsidTr="002D1356">
        <w:trPr>
          <w:trHeight w:val="227"/>
          <w:jc w:val="center"/>
        </w:trPr>
        <w:tc>
          <w:tcPr>
            <w:tcW w:w="1191" w:type="dxa"/>
            <w:tcBorders>
              <w:top w:val="single" w:sz="4" w:space="0" w:color="auto"/>
              <w:left w:val="nil"/>
              <w:bottom w:val="single" w:sz="4" w:space="0" w:color="auto"/>
              <w:right w:val="nil"/>
            </w:tcBorders>
            <w:shd w:val="clear" w:color="auto" w:fill="auto"/>
            <w:vAlign w:val="center"/>
            <w:hideMark/>
          </w:tcPr>
          <w:p w14:paraId="6562836A" w14:textId="61E24478" w:rsidR="00ED77AD" w:rsidRPr="00301F8A" w:rsidRDefault="00DA7685" w:rsidP="00E21986">
            <w:pPr>
              <w:spacing w:after="0" w:line="240" w:lineRule="auto"/>
              <w:jc w:val="left"/>
              <w:rPr>
                <w:rFonts w:ascii="Arial" w:hAnsi="Arial" w:cs="Arial"/>
                <w:color w:val="000000"/>
                <w:sz w:val="16"/>
                <w:szCs w:val="16"/>
              </w:rPr>
            </w:pPr>
            <w:r w:rsidRPr="00301F8A">
              <w:rPr>
                <w:rFonts w:ascii="Arial" w:hAnsi="Arial" w:cs="Arial"/>
                <w:color w:val="000000"/>
                <w:sz w:val="16"/>
                <w:szCs w:val="16"/>
              </w:rPr>
              <w:t>Total</w:t>
            </w:r>
          </w:p>
        </w:tc>
        <w:tc>
          <w:tcPr>
            <w:tcW w:w="2442" w:type="dxa"/>
            <w:tcBorders>
              <w:top w:val="single" w:sz="4" w:space="0" w:color="auto"/>
              <w:left w:val="nil"/>
              <w:bottom w:val="single" w:sz="4" w:space="0" w:color="auto"/>
              <w:right w:val="nil"/>
            </w:tcBorders>
            <w:shd w:val="clear" w:color="auto" w:fill="auto"/>
            <w:vAlign w:val="center"/>
            <w:hideMark/>
          </w:tcPr>
          <w:p w14:paraId="0F586D93"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21,430</w:t>
            </w:r>
          </w:p>
        </w:tc>
        <w:tc>
          <w:tcPr>
            <w:tcW w:w="1701" w:type="dxa"/>
            <w:tcBorders>
              <w:top w:val="single" w:sz="4" w:space="0" w:color="auto"/>
              <w:left w:val="nil"/>
              <w:bottom w:val="single" w:sz="4" w:space="0" w:color="auto"/>
              <w:right w:val="nil"/>
            </w:tcBorders>
            <w:shd w:val="clear" w:color="auto" w:fill="auto"/>
            <w:vAlign w:val="center"/>
            <w:hideMark/>
          </w:tcPr>
          <w:p w14:paraId="4E7061BD"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1.0</w:t>
            </w:r>
          </w:p>
        </w:tc>
        <w:tc>
          <w:tcPr>
            <w:tcW w:w="2451" w:type="dxa"/>
            <w:tcBorders>
              <w:top w:val="single" w:sz="4" w:space="0" w:color="auto"/>
              <w:left w:val="nil"/>
              <w:bottom w:val="single" w:sz="4" w:space="0" w:color="auto"/>
              <w:right w:val="nil"/>
            </w:tcBorders>
            <w:shd w:val="clear" w:color="auto" w:fill="auto"/>
            <w:vAlign w:val="center"/>
            <w:hideMark/>
          </w:tcPr>
          <w:p w14:paraId="4862787C" w14:textId="77777777" w:rsidR="00ED77AD" w:rsidRPr="00301F8A" w:rsidRDefault="00ED77AD" w:rsidP="006775C3">
            <w:pPr>
              <w:spacing w:after="0" w:line="240" w:lineRule="auto"/>
              <w:jc w:val="right"/>
              <w:rPr>
                <w:rFonts w:ascii="Arial" w:hAnsi="Arial" w:cs="Arial"/>
                <w:color w:val="000000"/>
                <w:sz w:val="16"/>
                <w:szCs w:val="16"/>
              </w:rPr>
            </w:pPr>
            <w:r w:rsidRPr="00301F8A">
              <w:rPr>
                <w:rFonts w:ascii="Arial" w:hAnsi="Arial" w:cs="Arial"/>
                <w:color w:val="000000"/>
                <w:sz w:val="16"/>
                <w:szCs w:val="16"/>
              </w:rPr>
              <w:t>100</w:t>
            </w:r>
          </w:p>
        </w:tc>
      </w:tr>
    </w:tbl>
    <w:p w14:paraId="131E019B" w14:textId="087666B3" w:rsidR="00105C22" w:rsidRDefault="00105C22" w:rsidP="00105C22">
      <w:pPr>
        <w:pStyle w:val="ChartandTableFootnote"/>
        <w:spacing w:line="276" w:lineRule="auto"/>
      </w:pPr>
      <w:r w:rsidRPr="00173B4F">
        <w:t>* Totals may not sum due to rounding.</w:t>
      </w:r>
    </w:p>
    <w:p w14:paraId="6AD5E5CA" w14:textId="3A03ABF9" w:rsidR="00ED77AD" w:rsidRPr="00E1619F" w:rsidRDefault="00ED77AD" w:rsidP="00E1619F">
      <w:pPr>
        <w:spacing w:before="120" w:after="120" w:line="240" w:lineRule="auto"/>
      </w:pPr>
      <w:r w:rsidRPr="00E1619F">
        <w:t>In 2021</w:t>
      </w:r>
      <w:r w:rsidR="003C3D89">
        <w:t>–2</w:t>
      </w:r>
      <w:r w:rsidRPr="00E1619F">
        <w:t>2, 520,000 men and 470,000 women used the capital gains discount (</w:t>
      </w:r>
      <w:r w:rsidR="003D3223">
        <w:t>Table 2</w:t>
      </w:r>
      <w:r w:rsidR="00661122" w:rsidRPr="00E1619F">
        <w:t>.</w:t>
      </w:r>
      <w:r w:rsidR="00DF7E9D" w:rsidRPr="00E1619F">
        <w:t>6</w:t>
      </w:r>
      <w:r w:rsidRPr="00E1619F">
        <w:t>). Men receive</w:t>
      </w:r>
      <w:r w:rsidR="007C170B">
        <w:t>d</w:t>
      </w:r>
      <w:r w:rsidRPr="00E1619F">
        <w:t xml:space="preserve"> around 58 per cent of the benefit from the discount. </w:t>
      </w:r>
    </w:p>
    <w:p w14:paraId="5C1EBF89" w14:textId="25762092" w:rsidR="003609BC" w:rsidRPr="00E1619F" w:rsidRDefault="00ED77AD" w:rsidP="00E1619F">
      <w:pPr>
        <w:spacing w:before="120" w:after="120" w:line="240" w:lineRule="auto"/>
      </w:pPr>
      <w:r w:rsidRPr="00E1619F">
        <w:t xml:space="preserve">Those aged 50 to 64 received the </w:t>
      </w:r>
      <w:r w:rsidR="00942024" w:rsidRPr="00E1619F">
        <w:t>greatest share of the benefit</w:t>
      </w:r>
      <w:r w:rsidRPr="00E1619F">
        <w:t xml:space="preserve"> (</w:t>
      </w:r>
      <w:r w:rsidR="003D3223">
        <w:t>Chart 2</w:t>
      </w:r>
      <w:r w:rsidR="00367119" w:rsidRPr="00E1619F">
        <w:t>.7</w:t>
      </w:r>
      <w:r w:rsidRPr="00E1619F">
        <w:t>). The largest share of the benefit, 13.6 per cent, went to those aged 60 to 64.</w:t>
      </w:r>
    </w:p>
    <w:p w14:paraId="3A3275A3" w14:textId="77777777" w:rsidR="00420D00" w:rsidRPr="00E1619F" w:rsidRDefault="00420D00" w:rsidP="00E1619F">
      <w:pPr>
        <w:spacing w:before="120" w:after="120" w:line="240" w:lineRule="auto"/>
      </w:pPr>
    </w:p>
    <w:p w14:paraId="779C348B" w14:textId="18243C56" w:rsidR="002115F8" w:rsidRPr="00CD4DED" w:rsidRDefault="003D3223" w:rsidP="00B334E9">
      <w:pPr>
        <w:pStyle w:val="ChartHeading"/>
      </w:pPr>
      <w:r>
        <w:t>Chart 2</w:t>
      </w:r>
      <w:r w:rsidR="00367119">
        <w:t>.7</w:t>
      </w:r>
      <w:r w:rsidR="00ED77AD">
        <w:t xml:space="preserve"> </w:t>
      </w:r>
      <w:r w:rsidR="00ED77AD" w:rsidRPr="001F1AE4">
        <w:t>Share of benefit and recipients by age, 2021</w:t>
      </w:r>
      <w:r w:rsidR="003C3D89">
        <w:t>–2</w:t>
      </w:r>
      <w:r w:rsidR="00ED77AD" w:rsidRPr="001F1AE4">
        <w:t>2</w:t>
      </w:r>
    </w:p>
    <w:p w14:paraId="3A9B5594" w14:textId="037FD601" w:rsidR="002115F8" w:rsidRDefault="00A41B33" w:rsidP="00A072A5">
      <w:pPr>
        <w:pStyle w:val="ChartGraphic"/>
      </w:pPr>
      <w:r>
        <w:object w:dxaOrig="7366" w:dyaOrig="4531" w14:anchorId="3285ED7E">
          <v:shape id="_x0000_i1031" type="#_x0000_t75" alt="Bar chart showing the share of benefits and number of recipients for different age groups benefitting from the capital gains discount. The share of benefit is highest between the 50 to 64 age brackets." style="width:370.5pt;height:225.75pt" o:ole="">
            <v:imagedata r:id="rId41" o:title=""/>
          </v:shape>
          <o:OLEObject Type="Link" ProgID="Excel.Sheet.12" ShapeID="_x0000_i1031" DrawAspect="Content" r:id="rId42" UpdateMode="Always">
            <o:LinkType>EnhancedMetaFile</o:LinkType>
            <o:LockedField/>
          </o:OLEObject>
        </w:object>
      </w:r>
    </w:p>
    <w:p w14:paraId="4F5BA36F" w14:textId="6DA6FF41" w:rsidR="006E0A3F" w:rsidRDefault="00ED77AD" w:rsidP="00B334E9">
      <w:pPr>
        <w:pStyle w:val="ChartandTableFootnote"/>
      </w:pPr>
      <w:r w:rsidRPr="00CB34A6">
        <w:t>Source: Treasury</w:t>
      </w:r>
    </w:p>
    <w:p w14:paraId="6330F46C" w14:textId="28DA076D" w:rsidR="00B4726D" w:rsidRDefault="006E0A3F">
      <w:pPr>
        <w:spacing w:after="0" w:line="240" w:lineRule="auto"/>
        <w:jc w:val="left"/>
      </w:pPr>
      <w:r>
        <w:br w:type="page"/>
      </w:r>
    </w:p>
    <w:p w14:paraId="4C2DF4FE" w14:textId="77777777" w:rsidR="00F121DB" w:rsidRDefault="00F121DB" w:rsidP="00F121DB">
      <w:pPr>
        <w:pStyle w:val="Heading2"/>
        <w:numPr>
          <w:ilvl w:val="1"/>
          <w:numId w:val="51"/>
        </w:numPr>
      </w:pPr>
      <w:bookmarkStart w:id="46" w:name="_Toc184287651"/>
      <w:r>
        <w:t>Lower tax rate for small companies</w:t>
      </w:r>
      <w:bookmarkEnd w:id="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F121DB" w14:paraId="4DB978D3" w14:textId="77777777" w:rsidTr="00F121DB">
        <w:trPr>
          <w:trHeight w:val="3322"/>
        </w:trPr>
        <w:tc>
          <w:tcPr>
            <w:tcW w:w="8755" w:type="dxa"/>
            <w:shd w:val="clear" w:color="auto" w:fill="DEEAF6"/>
          </w:tcPr>
          <w:p w14:paraId="1A1C9F93" w14:textId="0B315C50" w:rsidR="00F121DB" w:rsidRPr="00E1619F" w:rsidRDefault="00F121DB" w:rsidP="00E1619F">
            <w:pPr>
              <w:spacing w:before="120" w:after="120" w:line="240" w:lineRule="auto"/>
              <w:jc w:val="left"/>
            </w:pPr>
            <w:r w:rsidRPr="00E1619F">
              <w:t>Under the benchmark, company income tax is paid at the headline corporate tax rate of 30 per cent. Under this tax expenditure (B6</w:t>
            </w:r>
            <w:r w:rsidR="00404C88" w:rsidRPr="00E1619F">
              <w:t>3</w:t>
            </w:r>
            <w:r w:rsidRPr="00E1619F">
              <w:t xml:space="preserve">), companies with aggregated annual turnover below $50 million and with 80 per cent or less of assessable income that is passive in nature, faced a company tax rate of 25 per cent </w:t>
            </w:r>
            <w:r w:rsidR="00AF4528" w:rsidRPr="00E1619F">
              <w:t xml:space="preserve">from </w:t>
            </w:r>
            <w:r w:rsidRPr="00E1619F">
              <w:t xml:space="preserve">the 2021–22 income year. </w:t>
            </w:r>
          </w:p>
          <w:p w14:paraId="57228213" w14:textId="468F6017" w:rsidR="00F121DB" w:rsidRPr="009B4779" w:rsidRDefault="003D3223" w:rsidP="00B334E9">
            <w:pPr>
              <w:pStyle w:val="TableHeading"/>
            </w:pPr>
            <w:r>
              <w:t>Table 2</w:t>
            </w:r>
            <w:r w:rsidR="00DF7E9D">
              <w:t>.7</w:t>
            </w:r>
            <w:r w:rsidR="00F121DB" w:rsidRPr="009B4779">
              <w:t xml:space="preserve"> Estimates of aggregate revenue </w:t>
            </w:r>
            <w:r w:rsidR="00965A7B">
              <w:t>forgone</w:t>
            </w:r>
            <w:r w:rsidR="00F121DB" w:rsidRPr="009B4779">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F121DB" w:rsidRPr="00B53A89" w14:paraId="6FCF0D2F" w14:textId="77777777" w:rsidTr="00DC7B7D">
              <w:trPr>
                <w:trHeight w:val="255"/>
                <w:jc w:val="center"/>
              </w:trPr>
              <w:tc>
                <w:tcPr>
                  <w:tcW w:w="935" w:type="dxa"/>
                  <w:tcBorders>
                    <w:bottom w:val="single" w:sz="4" w:space="0" w:color="auto"/>
                  </w:tcBorders>
                  <w:vAlign w:val="center"/>
                </w:tcPr>
                <w:p w14:paraId="61E4EB2B"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261EA96A"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0156045B"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5BF1B70D"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63085D11"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2E73755"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0B428FC6"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39254E2" w14:textId="77777777" w:rsidR="00F121DB" w:rsidRPr="00301F8A" w:rsidRDefault="00F121DB" w:rsidP="00CE5E11">
                  <w:pPr>
                    <w:spacing w:before="20" w:after="20" w:line="240" w:lineRule="auto"/>
                    <w:jc w:val="right"/>
                    <w:rPr>
                      <w:rFonts w:ascii="Arial" w:hAnsi="Arial" w:cs="Arial"/>
                      <w:b/>
                      <w:sz w:val="16"/>
                      <w:szCs w:val="16"/>
                    </w:rPr>
                  </w:pPr>
                  <w:r w:rsidRPr="00301F8A">
                    <w:rPr>
                      <w:rFonts w:ascii="Arial" w:hAnsi="Arial" w:cs="Arial"/>
                      <w:b/>
                      <w:sz w:val="16"/>
                      <w:szCs w:val="16"/>
                    </w:rPr>
                    <w:t>2027-28</w:t>
                  </w:r>
                </w:p>
              </w:tc>
            </w:tr>
            <w:tr w:rsidR="00F121DB" w:rsidRPr="00B53A89" w14:paraId="2C7262B3" w14:textId="77777777" w:rsidTr="00DC7B7D">
              <w:trPr>
                <w:trHeight w:val="255"/>
                <w:jc w:val="center"/>
              </w:trPr>
              <w:tc>
                <w:tcPr>
                  <w:tcW w:w="935" w:type="dxa"/>
                  <w:tcBorders>
                    <w:top w:val="single" w:sz="4" w:space="0" w:color="EEECE1" w:themeColor="background2"/>
                  </w:tcBorders>
                </w:tcPr>
                <w:p w14:paraId="7539AEEB"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2,7</w:t>
                  </w:r>
                  <w:r w:rsidRPr="00772244">
                    <w:rPr>
                      <w:rFonts w:ascii="Arial" w:hAnsi="Arial" w:cs="Arial"/>
                      <w:sz w:val="16"/>
                      <w:szCs w:val="16"/>
                    </w:rPr>
                    <w:t>00</w:t>
                  </w:r>
                </w:p>
              </w:tc>
              <w:tc>
                <w:tcPr>
                  <w:tcW w:w="935" w:type="dxa"/>
                  <w:tcBorders>
                    <w:top w:val="single" w:sz="4" w:space="0" w:color="EEECE1" w:themeColor="background2"/>
                  </w:tcBorders>
                </w:tcPr>
                <w:p w14:paraId="40F86E79"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3,5</w:t>
                  </w:r>
                  <w:r w:rsidRPr="00772244">
                    <w:rPr>
                      <w:rFonts w:ascii="Arial" w:hAnsi="Arial" w:cs="Arial"/>
                      <w:sz w:val="16"/>
                      <w:szCs w:val="16"/>
                    </w:rPr>
                    <w:t>00</w:t>
                  </w:r>
                </w:p>
              </w:tc>
              <w:tc>
                <w:tcPr>
                  <w:tcW w:w="935" w:type="dxa"/>
                  <w:tcBorders>
                    <w:top w:val="single" w:sz="4" w:space="0" w:color="EEECE1" w:themeColor="background2"/>
                  </w:tcBorders>
                </w:tcPr>
                <w:p w14:paraId="15B2F09A"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4,3</w:t>
                  </w:r>
                  <w:r w:rsidRPr="00772244">
                    <w:rPr>
                      <w:rFonts w:ascii="Arial" w:hAnsi="Arial" w:cs="Arial"/>
                      <w:sz w:val="16"/>
                      <w:szCs w:val="16"/>
                    </w:rPr>
                    <w:t>00</w:t>
                  </w:r>
                </w:p>
              </w:tc>
              <w:tc>
                <w:tcPr>
                  <w:tcW w:w="935" w:type="dxa"/>
                  <w:tcBorders>
                    <w:top w:val="single" w:sz="4" w:space="0" w:color="EEECE1" w:themeColor="background2"/>
                  </w:tcBorders>
                </w:tcPr>
                <w:p w14:paraId="0CC4F2DB"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3,7</w:t>
                  </w:r>
                  <w:r w:rsidRPr="00772244">
                    <w:rPr>
                      <w:rFonts w:ascii="Arial" w:hAnsi="Arial" w:cs="Arial"/>
                      <w:sz w:val="16"/>
                      <w:szCs w:val="16"/>
                    </w:rPr>
                    <w:t>00</w:t>
                  </w:r>
                </w:p>
              </w:tc>
              <w:tc>
                <w:tcPr>
                  <w:tcW w:w="935" w:type="dxa"/>
                  <w:tcBorders>
                    <w:top w:val="single" w:sz="4" w:space="0" w:color="EEECE1" w:themeColor="background2"/>
                  </w:tcBorders>
                </w:tcPr>
                <w:p w14:paraId="7AA563CB" w14:textId="77777777" w:rsidR="00F121DB" w:rsidRPr="00766916" w:rsidRDefault="00F121DB" w:rsidP="00CE5E11">
                  <w:pPr>
                    <w:spacing w:before="20" w:after="20" w:line="240" w:lineRule="auto"/>
                    <w:jc w:val="right"/>
                    <w:rPr>
                      <w:rFonts w:ascii="Arial" w:hAnsi="Arial" w:cs="Arial"/>
                      <w:sz w:val="16"/>
                      <w:szCs w:val="16"/>
                    </w:rPr>
                  </w:pPr>
                  <w:r w:rsidRPr="00772244">
                    <w:rPr>
                      <w:rFonts w:ascii="Arial" w:hAnsi="Arial" w:cs="Arial"/>
                      <w:sz w:val="16"/>
                      <w:szCs w:val="16"/>
                    </w:rPr>
                    <w:t>3</w:t>
                  </w:r>
                  <w:r>
                    <w:rPr>
                      <w:rFonts w:ascii="Arial" w:hAnsi="Arial" w:cs="Arial"/>
                      <w:sz w:val="16"/>
                      <w:szCs w:val="16"/>
                    </w:rPr>
                    <w:t>,5</w:t>
                  </w:r>
                  <w:r w:rsidRPr="00772244">
                    <w:rPr>
                      <w:rFonts w:ascii="Arial" w:hAnsi="Arial" w:cs="Arial"/>
                      <w:sz w:val="16"/>
                      <w:szCs w:val="16"/>
                    </w:rPr>
                    <w:t>00</w:t>
                  </w:r>
                </w:p>
              </w:tc>
              <w:tc>
                <w:tcPr>
                  <w:tcW w:w="935" w:type="dxa"/>
                  <w:tcBorders>
                    <w:top w:val="single" w:sz="4" w:space="0" w:color="EEECE1" w:themeColor="background2"/>
                  </w:tcBorders>
                </w:tcPr>
                <w:p w14:paraId="35F25157" w14:textId="77777777" w:rsidR="00F121DB" w:rsidRPr="00766916" w:rsidRDefault="00F121DB" w:rsidP="00CE5E11">
                  <w:pPr>
                    <w:spacing w:before="20" w:after="20" w:line="240" w:lineRule="auto"/>
                    <w:jc w:val="right"/>
                    <w:rPr>
                      <w:rFonts w:ascii="Arial" w:hAnsi="Arial" w:cs="Arial"/>
                      <w:sz w:val="16"/>
                      <w:szCs w:val="16"/>
                    </w:rPr>
                  </w:pPr>
                  <w:r w:rsidRPr="00772244">
                    <w:rPr>
                      <w:rFonts w:ascii="Arial" w:hAnsi="Arial" w:cs="Arial"/>
                      <w:sz w:val="16"/>
                      <w:szCs w:val="16"/>
                    </w:rPr>
                    <w:t>3</w:t>
                  </w:r>
                  <w:r>
                    <w:rPr>
                      <w:rFonts w:ascii="Arial" w:hAnsi="Arial" w:cs="Arial"/>
                      <w:sz w:val="16"/>
                      <w:szCs w:val="16"/>
                    </w:rPr>
                    <w:t>,7</w:t>
                  </w:r>
                  <w:r w:rsidRPr="00772244">
                    <w:rPr>
                      <w:rFonts w:ascii="Arial" w:hAnsi="Arial" w:cs="Arial"/>
                      <w:sz w:val="16"/>
                      <w:szCs w:val="16"/>
                    </w:rPr>
                    <w:t>00</w:t>
                  </w:r>
                </w:p>
              </w:tc>
              <w:tc>
                <w:tcPr>
                  <w:tcW w:w="935" w:type="dxa"/>
                  <w:tcBorders>
                    <w:top w:val="single" w:sz="4" w:space="0" w:color="EEECE1" w:themeColor="background2"/>
                  </w:tcBorders>
                </w:tcPr>
                <w:p w14:paraId="2C275458"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4,1</w:t>
                  </w:r>
                  <w:r w:rsidRPr="00772244">
                    <w:rPr>
                      <w:rFonts w:ascii="Arial" w:hAnsi="Arial" w:cs="Arial"/>
                      <w:sz w:val="16"/>
                      <w:szCs w:val="16"/>
                    </w:rPr>
                    <w:t>00</w:t>
                  </w:r>
                </w:p>
              </w:tc>
              <w:tc>
                <w:tcPr>
                  <w:tcW w:w="935" w:type="dxa"/>
                  <w:tcBorders>
                    <w:top w:val="single" w:sz="4" w:space="0" w:color="EEECE1" w:themeColor="background2"/>
                  </w:tcBorders>
                </w:tcPr>
                <w:p w14:paraId="7BDB705C" w14:textId="77777777" w:rsidR="00F121DB" w:rsidRPr="00766916" w:rsidRDefault="00F121DB" w:rsidP="00CE5E11">
                  <w:pPr>
                    <w:spacing w:before="20" w:after="20" w:line="240" w:lineRule="auto"/>
                    <w:jc w:val="right"/>
                    <w:rPr>
                      <w:rFonts w:ascii="Arial" w:hAnsi="Arial" w:cs="Arial"/>
                      <w:sz w:val="16"/>
                      <w:szCs w:val="16"/>
                    </w:rPr>
                  </w:pPr>
                  <w:r>
                    <w:rPr>
                      <w:rFonts w:ascii="Arial" w:hAnsi="Arial" w:cs="Arial"/>
                      <w:sz w:val="16"/>
                      <w:szCs w:val="16"/>
                    </w:rPr>
                    <w:t>4,1</w:t>
                  </w:r>
                  <w:r w:rsidRPr="00772244">
                    <w:rPr>
                      <w:rFonts w:ascii="Arial" w:hAnsi="Arial" w:cs="Arial"/>
                      <w:sz w:val="16"/>
                      <w:szCs w:val="16"/>
                    </w:rPr>
                    <w:t>00</w:t>
                  </w:r>
                </w:p>
              </w:tc>
            </w:tr>
          </w:tbl>
          <w:p w14:paraId="3B412872" w14:textId="7924101E" w:rsidR="00F121DB" w:rsidRDefault="00F121DB" w:rsidP="00E1619F">
            <w:pPr>
              <w:spacing w:before="120" w:after="120" w:line="240" w:lineRule="auto"/>
            </w:pPr>
            <w:r w:rsidRPr="00E1619F">
              <w:t>In 2021</w:t>
            </w:r>
            <w:r w:rsidR="003C3D89">
              <w:t>–2</w:t>
            </w:r>
            <w:r w:rsidRPr="00E1619F">
              <w:t xml:space="preserve">2, approximately 369,000 companies received a lower company tax rate. </w:t>
            </w:r>
            <w:r w:rsidR="000E1DD4">
              <w:br/>
            </w:r>
            <w:r w:rsidRPr="00E1619F">
              <w:t>The value of the tax expenditure shown in the table above captures the direct effect of the lower company tax rate on the tax payable by eligible companies, as well as the indirect effect on tax payable by the shareholders of those companies. In contrast, the analysis below focuses solely on the distributional effects of the direct impact of the lower company tax rate.</w:t>
            </w:r>
          </w:p>
        </w:tc>
      </w:tr>
    </w:tbl>
    <w:p w14:paraId="5F5D2791" w14:textId="37F88435" w:rsidR="00F121DB" w:rsidRPr="00E1619F" w:rsidRDefault="00F121DB" w:rsidP="00E1619F">
      <w:pPr>
        <w:spacing w:before="120" w:after="120" w:line="240" w:lineRule="auto"/>
      </w:pPr>
      <w:r w:rsidRPr="00E1619F">
        <w:t xml:space="preserve">Of the companies that </w:t>
      </w:r>
      <w:r w:rsidR="00CA6242" w:rsidRPr="00E1619F">
        <w:t>benefitted</w:t>
      </w:r>
      <w:r w:rsidRPr="00E1619F">
        <w:t>, 82 per cent had an annual company turnover of less than $2 million in 202</w:t>
      </w:r>
      <w:r w:rsidR="00F2744C" w:rsidRPr="00E1619F">
        <w:t>1</w:t>
      </w:r>
      <w:r w:rsidR="003C3D89">
        <w:t>–2</w:t>
      </w:r>
      <w:r w:rsidR="00F2744C" w:rsidRPr="00E1619F">
        <w:t>2</w:t>
      </w:r>
      <w:r w:rsidRPr="00E1619F">
        <w:t>. The share of the benefit accruing to these companies was 37</w:t>
      </w:r>
      <w:r w:rsidR="00EA117B">
        <w:t> </w:t>
      </w:r>
      <w:r w:rsidRPr="00E1619F">
        <w:t>per cent</w:t>
      </w:r>
      <w:r w:rsidR="00EA117B">
        <w:t xml:space="preserve"> </w:t>
      </w:r>
      <w:r w:rsidR="00EA117B" w:rsidRPr="00E1619F">
        <w:t>(</w:t>
      </w:r>
      <w:r w:rsidR="003D3223">
        <w:t>Chart 2</w:t>
      </w:r>
      <w:r w:rsidR="00EA117B" w:rsidRPr="00E1619F">
        <w:t>.8)</w:t>
      </w:r>
      <w:r w:rsidRPr="00E1619F">
        <w:t xml:space="preserve">. In contrast, 1 per cent of companies that </w:t>
      </w:r>
      <w:r w:rsidR="00CA6242" w:rsidRPr="00E1619F">
        <w:t>benefitted</w:t>
      </w:r>
      <w:r w:rsidRPr="00E1619F">
        <w:t xml:space="preserve"> had incomes between $25 million and $50 million and their share of the benefit was 9 per cent.</w:t>
      </w:r>
    </w:p>
    <w:p w14:paraId="1162BCDE" w14:textId="6DB02045" w:rsidR="00F121DB" w:rsidRPr="00A420FF" w:rsidRDefault="003D3223" w:rsidP="00B334E9">
      <w:pPr>
        <w:pStyle w:val="ChartHeading"/>
      </w:pPr>
      <w:r>
        <w:t>Chart 2</w:t>
      </w:r>
      <w:r w:rsidR="00367119">
        <w:t>.8</w:t>
      </w:r>
      <w:r w:rsidR="00F121DB" w:rsidRPr="005C22A4">
        <w:t xml:space="preserve"> </w:t>
      </w:r>
      <w:r w:rsidR="00F121DB">
        <w:t>Share of benefit and recipients by turnover, 2021</w:t>
      </w:r>
      <w:r w:rsidR="003C3D89">
        <w:t>–2</w:t>
      </w:r>
      <w:r w:rsidR="00F121DB">
        <w:t>2</w:t>
      </w:r>
    </w:p>
    <w:p w14:paraId="13F43A3D" w14:textId="0A4E2C76" w:rsidR="00F121DB" w:rsidRDefault="003F4B69" w:rsidP="00F121DB">
      <w:pPr>
        <w:pStyle w:val="ChartGraphic"/>
      </w:pPr>
      <w:r>
        <w:object w:dxaOrig="7366" w:dyaOrig="4531" w14:anchorId="382C4562">
          <v:shape id="_x0000_i1032" type="#_x0000_t75" alt="This bar chart shows the lower company tax rate benefit for tax paying companies in 2021-22 by their total turnover.  The share of the benefit accruing to companies with annual turnover of less than $2 million was 37 per cent." style="width:370.5pt;height:225.75pt" o:ole="">
            <v:imagedata r:id="rId43" o:title=""/>
          </v:shape>
          <o:OLEObject Type="Link" ProgID="Excel.Sheet.12" ShapeID="_x0000_i1032" DrawAspect="Content" r:id="rId44" UpdateMode="Always">
            <o:LinkType>EnhancedMetaFile</o:LinkType>
            <o:LockedField/>
          </o:OLEObject>
        </w:object>
      </w:r>
    </w:p>
    <w:p w14:paraId="1B6AE25F" w14:textId="77777777" w:rsidR="00F121DB" w:rsidRPr="0082380C" w:rsidRDefault="00F121DB" w:rsidP="00B334E9">
      <w:pPr>
        <w:pStyle w:val="ChartandTableFootnote"/>
      </w:pPr>
      <w:r w:rsidRPr="00CB34A6">
        <w:t>Source: Treasury</w:t>
      </w:r>
    </w:p>
    <w:p w14:paraId="57ECBBDF" w14:textId="77777777" w:rsidR="00C41363" w:rsidRDefault="00C41363">
      <w:pPr>
        <w:spacing w:after="0" w:line="240" w:lineRule="auto"/>
        <w:jc w:val="left"/>
      </w:pPr>
      <w:r>
        <w:br w:type="page"/>
      </w:r>
    </w:p>
    <w:p w14:paraId="752866E4" w14:textId="6E81F98A" w:rsidR="00C91B0E" w:rsidRPr="00E1619F" w:rsidRDefault="00C91B0E" w:rsidP="00E1619F">
      <w:pPr>
        <w:spacing w:before="120" w:after="120" w:line="240" w:lineRule="auto"/>
      </w:pPr>
      <w:r w:rsidRPr="00E1619F">
        <w:t>By number of companies that benefitted from the lower tax rate for small companies, the most significant industries were Professional, Scientific and Technical Services (20 per cent), Construction Services (16 per cent) and Other Services (13 per cent) (</w:t>
      </w:r>
      <w:r w:rsidR="003D3223">
        <w:t>Chart 2</w:t>
      </w:r>
      <w:r w:rsidRPr="00E1619F">
        <w:t xml:space="preserve">.9). </w:t>
      </w:r>
    </w:p>
    <w:p w14:paraId="5B39C01D" w14:textId="718ABFEC" w:rsidR="00F121DB" w:rsidRDefault="003D3223" w:rsidP="00B334E9">
      <w:pPr>
        <w:pStyle w:val="ChartHeading"/>
      </w:pPr>
      <w:r>
        <w:t>Chart 2</w:t>
      </w:r>
      <w:r w:rsidR="00367119">
        <w:t>.9</w:t>
      </w:r>
      <w:r w:rsidR="00F121DB" w:rsidRPr="00CB34A6">
        <w:t xml:space="preserve"> </w:t>
      </w:r>
      <w:r w:rsidR="00F121DB">
        <w:t>Share of benefit and recipients by industry, 2021</w:t>
      </w:r>
      <w:r w:rsidR="003C3D89">
        <w:t>–2</w:t>
      </w:r>
      <w:r w:rsidR="00F121DB">
        <w:t>2</w:t>
      </w:r>
    </w:p>
    <w:p w14:paraId="50B3EC47" w14:textId="6492B2BE" w:rsidR="0056398E" w:rsidRDefault="003F4B69" w:rsidP="0056398E">
      <w:pPr>
        <w:pStyle w:val="ChartGraphic"/>
      </w:pPr>
      <w:r>
        <w:object w:dxaOrig="7366" w:dyaOrig="4531" w14:anchorId="48DF6E23">
          <v:shape id="_x0000_i1033" type="#_x0000_t75" alt="This bar chart shows the lower company tax rate benefit for tax paying companies in 2021-22 by primary industry classification. The industries that receive the largest share of the benefit by value are Finance &amp; Insurance and Professional, Scientific and Technical Services. By number of companies that benefitted from the lower company tax rate, the top two industries were Professional, Scientific and Technical Services, and Construction. " style="width:370.5pt;height:225.75pt" o:ole="">
            <v:imagedata r:id="rId45" o:title=""/>
          </v:shape>
          <o:OLEObject Type="Link" ProgID="Excel.Sheet.12" ShapeID="_x0000_i1033" DrawAspect="Content" r:id="rId46" UpdateMode="Always">
            <o:LinkType>EnhancedMetaFile</o:LinkType>
            <o:LockedField/>
          </o:OLEObject>
        </w:object>
      </w:r>
    </w:p>
    <w:p w14:paraId="518C06FB" w14:textId="279D1824" w:rsidR="00F121DB" w:rsidRPr="00F702DE" w:rsidRDefault="00F121DB" w:rsidP="00B334E9">
      <w:pPr>
        <w:pStyle w:val="ChartandTableFootnote"/>
      </w:pPr>
      <w:r w:rsidRPr="00CB34A6">
        <w:t>Source: Treasury</w:t>
      </w:r>
    </w:p>
    <w:p w14:paraId="5D5CF27A" w14:textId="77777777" w:rsidR="00F121DB" w:rsidRPr="00E1619F" w:rsidRDefault="00F121DB" w:rsidP="00E1619F">
      <w:pPr>
        <w:spacing w:before="120" w:after="120" w:line="240" w:lineRule="auto"/>
      </w:pPr>
      <w:r w:rsidRPr="00E1619F">
        <w:t>The largest share of the benefit was realised by the Finance industry (20 per cent) due to its relatively high profitability when compared to other similarly sized companies in different industries. Specifically, 17 per cent of the benefit went to companies involved in:</w:t>
      </w:r>
    </w:p>
    <w:p w14:paraId="51CF1BAB" w14:textId="6ACC5FB6" w:rsidR="00F121DB" w:rsidRDefault="00F121DB" w:rsidP="00F121DB">
      <w:pPr>
        <w:pStyle w:val="Bullet"/>
      </w:pPr>
      <w:r>
        <w:t xml:space="preserve">‘Financial Asset Investing’, which includes companies investing in money on their own account </w:t>
      </w:r>
    </w:p>
    <w:p w14:paraId="116557CD" w14:textId="77777777" w:rsidR="00F121DB" w:rsidRDefault="00F121DB" w:rsidP="00F121DB">
      <w:pPr>
        <w:pStyle w:val="Bullet"/>
      </w:pPr>
      <w:r>
        <w:t>‘Other Auxiliary Finance and Investment Services’, which includes companies engaged in providing nominee, trustee, investment management or advisory services, or arranging home loans for others.</w:t>
      </w:r>
    </w:p>
    <w:p w14:paraId="77E5FD6E" w14:textId="77777777" w:rsidR="00F121DB" w:rsidRDefault="00F121DB" w:rsidP="00F121DB">
      <w:pPr>
        <w:spacing w:after="0" w:line="240" w:lineRule="auto"/>
        <w:jc w:val="left"/>
      </w:pPr>
      <w:r>
        <w:br w:type="page"/>
      </w:r>
    </w:p>
    <w:p w14:paraId="550DE849" w14:textId="6496C575" w:rsidR="00482DB5" w:rsidRDefault="00482DB5" w:rsidP="00482DB5">
      <w:pPr>
        <w:pStyle w:val="Heading2"/>
        <w:numPr>
          <w:ilvl w:val="1"/>
          <w:numId w:val="51"/>
        </w:numPr>
      </w:pPr>
      <w:bookmarkStart w:id="47" w:name="_Toc184287652"/>
      <w:r>
        <w:t>Medicare levy low-income thresholds</w:t>
      </w: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82DB5" w14:paraId="2D9EFDC1" w14:textId="77777777" w:rsidTr="00301F8A">
        <w:trPr>
          <w:trHeight w:val="2626"/>
        </w:trPr>
        <w:tc>
          <w:tcPr>
            <w:tcW w:w="7711" w:type="dxa"/>
            <w:shd w:val="clear" w:color="auto" w:fill="DEEAF6"/>
          </w:tcPr>
          <w:p w14:paraId="119520F9" w14:textId="77777777" w:rsidR="00482DB5" w:rsidRPr="00E1619F" w:rsidRDefault="00482DB5" w:rsidP="00B334E9">
            <w:r w:rsidRPr="00E1619F">
              <w:t xml:space="preserve">Under the benchmark, Medicare levy is paid on the taxable income of all residents. Under this tax expenditure (A20), residents whose taxable income falls below prescribed thresholds are exempt from the Medicare levy, with the levy phased in once their income exceeds these thresholds. Different thresholds apply for individuals, families and seniors and pensioners. </w:t>
            </w:r>
          </w:p>
          <w:p w14:paraId="211EABE1" w14:textId="3E666D0F" w:rsidR="00482DB5" w:rsidRPr="00674001" w:rsidRDefault="003D3223" w:rsidP="00B334E9">
            <w:pPr>
              <w:pStyle w:val="TableHeading"/>
            </w:pPr>
            <w:r>
              <w:t>Table 2</w:t>
            </w:r>
            <w:r w:rsidR="00DF7E9D">
              <w:t>.8</w:t>
            </w:r>
            <w:r w:rsidR="00482DB5" w:rsidRPr="00674001">
              <w:t xml:space="preserve"> </w:t>
            </w:r>
            <w:r w:rsidR="00482DB5">
              <w:t xml:space="preserve">Estimates of aggregate revenue </w:t>
            </w:r>
            <w:r w:rsidR="00965A7B">
              <w:t>forgone</w:t>
            </w:r>
            <w:r w:rsidR="00482DB5">
              <w:t xml:space="preserve"> ($m)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82DB5" w14:paraId="19F1F2C5" w14:textId="77777777" w:rsidTr="00DC7B7D">
              <w:trPr>
                <w:trHeight w:val="255"/>
              </w:trPr>
              <w:tc>
                <w:tcPr>
                  <w:tcW w:w="935" w:type="dxa"/>
                  <w:tcBorders>
                    <w:bottom w:val="single" w:sz="4" w:space="0" w:color="auto"/>
                  </w:tcBorders>
                  <w:vAlign w:val="center"/>
                </w:tcPr>
                <w:p w14:paraId="30B48BCA"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19638EF0"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1B6F5CC4"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1A467AEF"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CE6F15A"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w:t>
                  </w:r>
                  <w:r>
                    <w:rPr>
                      <w:rFonts w:ascii="Arial" w:hAnsi="Arial" w:cs="Arial"/>
                      <w:b/>
                      <w:sz w:val="16"/>
                      <w:szCs w:val="16"/>
                    </w:rPr>
                    <w:t>4</w:t>
                  </w:r>
                  <w:r w:rsidRPr="00301F8A">
                    <w:rPr>
                      <w:rFonts w:ascii="Arial" w:hAnsi="Arial" w:cs="Arial"/>
                      <w:b/>
                      <w:sz w:val="16"/>
                      <w:szCs w:val="16"/>
                    </w:rPr>
                    <w:t>-25</w:t>
                  </w:r>
                </w:p>
              </w:tc>
              <w:tc>
                <w:tcPr>
                  <w:tcW w:w="935" w:type="dxa"/>
                  <w:tcBorders>
                    <w:bottom w:val="single" w:sz="4" w:space="0" w:color="auto"/>
                  </w:tcBorders>
                  <w:vAlign w:val="center"/>
                </w:tcPr>
                <w:p w14:paraId="62C5CAF5"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5907FADC"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222FAC4E" w14:textId="77777777" w:rsidR="00482DB5" w:rsidRPr="00301F8A" w:rsidRDefault="00482DB5" w:rsidP="00B96729">
                  <w:pPr>
                    <w:spacing w:after="0"/>
                    <w:jc w:val="right"/>
                    <w:rPr>
                      <w:rFonts w:ascii="Arial" w:hAnsi="Arial" w:cs="Arial"/>
                      <w:b/>
                      <w:sz w:val="16"/>
                      <w:szCs w:val="16"/>
                    </w:rPr>
                  </w:pPr>
                  <w:r w:rsidRPr="00301F8A">
                    <w:rPr>
                      <w:rFonts w:ascii="Arial" w:hAnsi="Arial" w:cs="Arial"/>
                      <w:b/>
                      <w:sz w:val="16"/>
                      <w:szCs w:val="16"/>
                    </w:rPr>
                    <w:t>2027-28</w:t>
                  </w:r>
                </w:p>
              </w:tc>
            </w:tr>
            <w:tr w:rsidR="00482DB5" w14:paraId="267191B3" w14:textId="77777777" w:rsidTr="00DC7B7D">
              <w:trPr>
                <w:trHeight w:val="255"/>
              </w:trPr>
              <w:tc>
                <w:tcPr>
                  <w:tcW w:w="935" w:type="dxa"/>
                  <w:tcBorders>
                    <w:top w:val="single" w:sz="4" w:space="0" w:color="auto"/>
                    <w:bottom w:val="single" w:sz="4" w:space="0" w:color="auto"/>
                  </w:tcBorders>
                  <w:vAlign w:val="bottom"/>
                </w:tcPr>
                <w:p w14:paraId="71FB3F83"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2,600</w:t>
                  </w:r>
                </w:p>
              </w:tc>
              <w:tc>
                <w:tcPr>
                  <w:tcW w:w="935" w:type="dxa"/>
                  <w:tcBorders>
                    <w:top w:val="single" w:sz="4" w:space="0" w:color="auto"/>
                    <w:bottom w:val="single" w:sz="4" w:space="0" w:color="auto"/>
                  </w:tcBorders>
                  <w:vAlign w:val="bottom"/>
                </w:tcPr>
                <w:p w14:paraId="4EC07D86"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2,550</w:t>
                  </w:r>
                </w:p>
              </w:tc>
              <w:tc>
                <w:tcPr>
                  <w:tcW w:w="935" w:type="dxa"/>
                  <w:tcBorders>
                    <w:top w:val="single" w:sz="4" w:space="0" w:color="auto"/>
                    <w:bottom w:val="single" w:sz="4" w:space="0" w:color="auto"/>
                  </w:tcBorders>
                  <w:vAlign w:val="bottom"/>
                </w:tcPr>
                <w:p w14:paraId="499C5E1D"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2,650</w:t>
                  </w:r>
                </w:p>
              </w:tc>
              <w:tc>
                <w:tcPr>
                  <w:tcW w:w="935" w:type="dxa"/>
                  <w:tcBorders>
                    <w:top w:val="single" w:sz="4" w:space="0" w:color="auto"/>
                    <w:bottom w:val="single" w:sz="4" w:space="0" w:color="auto"/>
                  </w:tcBorders>
                  <w:vAlign w:val="bottom"/>
                </w:tcPr>
                <w:p w14:paraId="0ED34F9C"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2,750</w:t>
                  </w:r>
                </w:p>
              </w:tc>
              <w:tc>
                <w:tcPr>
                  <w:tcW w:w="935" w:type="dxa"/>
                  <w:tcBorders>
                    <w:top w:val="single" w:sz="4" w:space="0" w:color="auto"/>
                    <w:bottom w:val="single" w:sz="4" w:space="0" w:color="auto"/>
                  </w:tcBorders>
                  <w:vAlign w:val="bottom"/>
                </w:tcPr>
                <w:p w14:paraId="5BA1DBAD"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2,750</w:t>
                  </w:r>
                </w:p>
              </w:tc>
              <w:tc>
                <w:tcPr>
                  <w:tcW w:w="935" w:type="dxa"/>
                  <w:tcBorders>
                    <w:top w:val="single" w:sz="4" w:space="0" w:color="auto"/>
                    <w:bottom w:val="single" w:sz="4" w:space="0" w:color="auto"/>
                  </w:tcBorders>
                  <w:vAlign w:val="bottom"/>
                </w:tcPr>
                <w:p w14:paraId="6B756B0A"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c>
                <w:tcPr>
                  <w:tcW w:w="935" w:type="dxa"/>
                  <w:tcBorders>
                    <w:top w:val="single" w:sz="4" w:space="0" w:color="auto"/>
                    <w:bottom w:val="single" w:sz="4" w:space="0" w:color="auto"/>
                  </w:tcBorders>
                  <w:vAlign w:val="bottom"/>
                </w:tcPr>
                <w:p w14:paraId="12984DC1"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c>
                <w:tcPr>
                  <w:tcW w:w="935" w:type="dxa"/>
                  <w:tcBorders>
                    <w:top w:val="single" w:sz="4" w:space="0" w:color="auto"/>
                    <w:bottom w:val="single" w:sz="4" w:space="0" w:color="auto"/>
                  </w:tcBorders>
                  <w:vAlign w:val="bottom"/>
                </w:tcPr>
                <w:p w14:paraId="77EBA6F9" w14:textId="77777777" w:rsidR="00482DB5" w:rsidRPr="00796C9D" w:rsidRDefault="00482DB5" w:rsidP="00B96729">
                  <w:pPr>
                    <w:spacing w:after="0"/>
                    <w:jc w:val="right"/>
                    <w:rPr>
                      <w:rFonts w:ascii="Arial" w:hAnsi="Arial" w:cs="Arial"/>
                      <w:sz w:val="16"/>
                      <w:szCs w:val="16"/>
                    </w:rPr>
                  </w:pPr>
                  <w:r w:rsidRPr="00301F8A">
                    <w:rPr>
                      <w:rFonts w:ascii="Arial" w:hAnsi="Arial" w:cs="Arial"/>
                      <w:sz w:val="16"/>
                      <w:szCs w:val="16"/>
                    </w:rPr>
                    <w:t>2,800</w:t>
                  </w:r>
                </w:p>
              </w:tc>
            </w:tr>
          </w:tbl>
          <w:p w14:paraId="0EB4153A" w14:textId="5B7F1BDE" w:rsidR="00482DB5" w:rsidRDefault="00482DB5" w:rsidP="00E1619F">
            <w:pPr>
              <w:spacing w:before="120" w:after="120" w:line="240" w:lineRule="auto"/>
            </w:pPr>
            <w:r w:rsidRPr="00E1619F">
              <w:t>In 2021</w:t>
            </w:r>
            <w:r w:rsidR="003C3D89">
              <w:t>–2</w:t>
            </w:r>
            <w:r w:rsidRPr="00E1619F">
              <w:t xml:space="preserve">2 around 4.7 million people </w:t>
            </w:r>
            <w:r w:rsidR="00CA6242" w:rsidRPr="00E1619F">
              <w:t>benefitted</w:t>
            </w:r>
            <w:r w:rsidRPr="00E1619F">
              <w:t xml:space="preserve"> from the expenditure.</w:t>
            </w:r>
            <w:r w:rsidRPr="00E1619F">
              <w:rPr>
                <w:rStyle w:val="FootnoteReference"/>
              </w:rPr>
              <w:footnoteReference w:id="5"/>
            </w:r>
            <w:r w:rsidRPr="00E1619F">
              <w:t xml:space="preserve"> </w:t>
            </w:r>
          </w:p>
        </w:tc>
      </w:tr>
    </w:tbl>
    <w:p w14:paraId="4779AAFB" w14:textId="3C394EE7" w:rsidR="00482DB5" w:rsidRPr="00E1619F" w:rsidRDefault="00482DB5" w:rsidP="00E1619F">
      <w:pPr>
        <w:spacing w:before="120" w:after="120" w:line="240" w:lineRule="auto"/>
      </w:pPr>
      <w:r w:rsidRPr="00E1619F">
        <w:t xml:space="preserve">In 2021–22, nearly all the tax filers </w:t>
      </w:r>
      <w:r w:rsidR="008D5A6A" w:rsidRPr="00E1619F">
        <w:t>who benefitted</w:t>
      </w:r>
      <w:r w:rsidRPr="00E1619F">
        <w:t xml:space="preserve"> from paying a reduced Medicare levy amount </w:t>
      </w:r>
      <w:r w:rsidR="00FD0E65" w:rsidRPr="00E1619F">
        <w:t>were</w:t>
      </w:r>
      <w:r w:rsidRPr="00E1619F">
        <w:t xml:space="preserve"> on low taxable incomes, consistent with the policy intent of the phase-in arrangements (</w:t>
      </w:r>
      <w:r w:rsidR="003D3223">
        <w:t>Chart 2</w:t>
      </w:r>
      <w:r w:rsidR="00C91B0E" w:rsidRPr="00E1619F">
        <w:t>.10</w:t>
      </w:r>
      <w:r w:rsidRPr="00E1619F">
        <w:t>). The average benefit ranged from around $85 per year in the lowest decile to $665 per year in the fourth decile. Tax filers below the median taxable income received 98 per cent of the benefit.</w:t>
      </w:r>
    </w:p>
    <w:p w14:paraId="7B8C096B" w14:textId="4FA96887" w:rsidR="00482DB5" w:rsidRPr="005C22A4" w:rsidRDefault="003D3223" w:rsidP="00B334E9">
      <w:pPr>
        <w:pStyle w:val="ChartHeading"/>
      </w:pPr>
      <w:r>
        <w:t>Chart 2</w:t>
      </w:r>
      <w:r w:rsidR="00C91B0E">
        <w:t>.10</w:t>
      </w:r>
      <w:r w:rsidR="00482DB5" w:rsidRPr="005C22A4">
        <w:t xml:space="preserve"> </w:t>
      </w:r>
      <w:r w:rsidR="00482DB5" w:rsidRPr="00A577BC">
        <w:t>Share of benefit and recipients by taxable income decile</w:t>
      </w:r>
      <w:r w:rsidR="00482DB5">
        <w:t xml:space="preserve">, </w:t>
      </w:r>
      <w:r w:rsidR="00482DB5" w:rsidRPr="005C22A4">
        <w:t>20</w:t>
      </w:r>
      <w:r w:rsidR="00482DB5">
        <w:t>21</w:t>
      </w:r>
      <w:r w:rsidR="003C3D89">
        <w:t>–2</w:t>
      </w:r>
      <w:r w:rsidR="00482DB5">
        <w:t>2</w:t>
      </w:r>
    </w:p>
    <w:p w14:paraId="46525112" w14:textId="37CC1232" w:rsidR="00482DB5" w:rsidRDefault="007A1E82" w:rsidP="002E7DC9">
      <w:pPr>
        <w:pStyle w:val="ChartGraphic"/>
      </w:pPr>
      <w:r>
        <w:object w:dxaOrig="7366" w:dyaOrig="4531" w14:anchorId="283728D0">
          <v:shape id="_x0000_i1034" type="#_x0000_t75" alt="This chart shows that the benefit is only received by taxfilers in the 6th taxable income decile and below, peaking in the 2nd and 3rd decile. " style="width:368.25pt;height:226.5pt" o:ole="">
            <v:imagedata r:id="rId47" o:title=""/>
          </v:shape>
          <o:OLEObject Type="Link" ProgID="Excel.Sheet.12" ShapeID="_x0000_i1034" DrawAspect="Content" r:id="rId48" UpdateMode="Always">
            <o:LinkType>EnhancedMetaFile</o:LinkType>
            <o:LockedField/>
          </o:OLEObject>
        </w:object>
      </w:r>
    </w:p>
    <w:p w14:paraId="5EFCFB79" w14:textId="77777777" w:rsidR="00482DB5" w:rsidRDefault="00482DB5" w:rsidP="00B334E9">
      <w:pPr>
        <w:pStyle w:val="ChartandTableFootnote"/>
      </w:pPr>
      <w:r w:rsidRPr="00CB34A6">
        <w:t>Source: Treasury</w:t>
      </w:r>
    </w:p>
    <w:p w14:paraId="1021445D" w14:textId="77777777" w:rsidR="009F5E3D" w:rsidRDefault="009F5E3D">
      <w:pPr>
        <w:spacing w:after="0" w:line="240" w:lineRule="auto"/>
        <w:jc w:val="left"/>
      </w:pPr>
      <w:r>
        <w:br w:type="page"/>
      </w:r>
    </w:p>
    <w:p w14:paraId="2A484C4A" w14:textId="0C1B5890" w:rsidR="00482DB5" w:rsidRPr="00E1619F" w:rsidRDefault="00482DB5" w:rsidP="00E1619F">
      <w:pPr>
        <w:spacing w:before="120" w:after="120" w:line="240" w:lineRule="auto"/>
      </w:pPr>
      <w:r w:rsidRPr="00E1619F">
        <w:t>Some taxpayers above the upper individual low-income threshold (which was $29,206 in 2021</w:t>
      </w:r>
      <w:r w:rsidR="003C3D89">
        <w:t>–2</w:t>
      </w:r>
      <w:r w:rsidRPr="00E1619F">
        <w:t>2 and is currently $32,500 in 2024</w:t>
      </w:r>
      <w:r w:rsidR="003C3D89">
        <w:t>–2</w:t>
      </w:r>
      <w:r w:rsidRPr="00E1619F">
        <w:t>5) may receive a benefit if their family income is in the family income Medicare levy reduction range, and their spouse earns below the individual low-income threshold.</w:t>
      </w:r>
    </w:p>
    <w:p w14:paraId="32A38BF9" w14:textId="58A6B846" w:rsidR="00482DB5" w:rsidRDefault="00482DB5" w:rsidP="00E1619F">
      <w:pPr>
        <w:spacing w:before="120" w:after="120" w:line="240" w:lineRule="auto"/>
        <w:rPr>
          <w:rFonts w:ascii="Arial" w:hAnsi="Arial" w:cs="Arial"/>
          <w:sz w:val="16"/>
          <w:szCs w:val="16"/>
        </w:rPr>
      </w:pPr>
      <w:r w:rsidRPr="00E1619F">
        <w:t xml:space="preserve">The average benefit received is $310 for men and $320 for women. Women </w:t>
      </w:r>
      <w:r w:rsidR="003F7348" w:rsidRPr="00E1619F">
        <w:t>receive</w:t>
      </w:r>
      <w:r w:rsidR="000D063B" w:rsidRPr="00E1619F">
        <w:t>d</w:t>
      </w:r>
      <w:r w:rsidRPr="00E1619F">
        <w:t xml:space="preserve"> 58 per cent of the benefit, reflecting that a larger share of low-income tax filers are women.</w:t>
      </w:r>
    </w:p>
    <w:p w14:paraId="473DA82C" w14:textId="19DBB8D6" w:rsidR="00482DB5" w:rsidRPr="00674001" w:rsidRDefault="003D3223" w:rsidP="00B334E9">
      <w:pPr>
        <w:pStyle w:val="TableHeading"/>
      </w:pPr>
      <w:r>
        <w:t>Table 2</w:t>
      </w:r>
      <w:r w:rsidR="00DF7E9D">
        <w:t>.9</w:t>
      </w:r>
      <w:r w:rsidR="00482DB5" w:rsidRPr="00674001">
        <w:t xml:space="preserve"> Distributional effect by gender</w:t>
      </w:r>
      <w:r w:rsidR="00482DB5">
        <w:t>,</w:t>
      </w:r>
      <w:r w:rsidR="00482DB5" w:rsidRPr="00674001">
        <w:t xml:space="preserve"> 20</w:t>
      </w:r>
      <w:r w:rsidR="00482DB5">
        <w:t>21</w:t>
      </w:r>
      <w:r w:rsidR="003C3D89">
        <w:t>–2</w:t>
      </w:r>
      <w:r w:rsidR="00482DB5">
        <w:t>2</w:t>
      </w:r>
      <w:r w:rsidR="00105C22">
        <w:t>*</w:t>
      </w:r>
    </w:p>
    <w:tbl>
      <w:tblPr>
        <w:tblW w:w="7706" w:type="dxa"/>
        <w:tblLook w:val="04A0" w:firstRow="1" w:lastRow="0" w:firstColumn="1" w:lastColumn="0" w:noHBand="0" w:noVBand="1"/>
      </w:tblPr>
      <w:tblGrid>
        <w:gridCol w:w="960"/>
        <w:gridCol w:w="1984"/>
        <w:gridCol w:w="2154"/>
        <w:gridCol w:w="2608"/>
      </w:tblGrid>
      <w:tr w:rsidR="00482DB5" w:rsidRPr="00F851B0" w14:paraId="396F94C5" w14:textId="77777777" w:rsidTr="00AF61FD">
        <w:trPr>
          <w:trHeight w:val="227"/>
        </w:trPr>
        <w:tc>
          <w:tcPr>
            <w:tcW w:w="960" w:type="dxa"/>
            <w:tcBorders>
              <w:top w:val="single" w:sz="4" w:space="0" w:color="auto"/>
              <w:left w:val="nil"/>
              <w:bottom w:val="single" w:sz="4" w:space="0" w:color="auto"/>
              <w:right w:val="nil"/>
            </w:tcBorders>
            <w:shd w:val="clear" w:color="auto" w:fill="auto"/>
            <w:vAlign w:val="center"/>
            <w:hideMark/>
          </w:tcPr>
          <w:p w14:paraId="23697C39" w14:textId="77777777" w:rsidR="00482DB5" w:rsidRPr="00301F8A" w:rsidRDefault="00482DB5"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84" w:type="dxa"/>
            <w:tcBorders>
              <w:top w:val="single" w:sz="4" w:space="0" w:color="auto"/>
              <w:left w:val="nil"/>
              <w:bottom w:val="single" w:sz="4" w:space="0" w:color="auto"/>
              <w:right w:val="nil"/>
            </w:tcBorders>
            <w:shd w:val="clear" w:color="auto" w:fill="auto"/>
            <w:vAlign w:val="center"/>
            <w:hideMark/>
          </w:tcPr>
          <w:p w14:paraId="20CF6130"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2154" w:type="dxa"/>
            <w:tcBorders>
              <w:top w:val="single" w:sz="4" w:space="0" w:color="auto"/>
              <w:left w:val="nil"/>
              <w:bottom w:val="single" w:sz="4" w:space="0" w:color="auto"/>
              <w:right w:val="nil"/>
            </w:tcBorders>
            <w:shd w:val="clear" w:color="auto" w:fill="auto"/>
            <w:vAlign w:val="center"/>
            <w:hideMark/>
          </w:tcPr>
          <w:p w14:paraId="4ED0370B"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608" w:type="dxa"/>
            <w:tcBorders>
              <w:top w:val="single" w:sz="4" w:space="0" w:color="auto"/>
              <w:left w:val="nil"/>
              <w:bottom w:val="single" w:sz="4" w:space="0" w:color="auto"/>
              <w:right w:val="nil"/>
            </w:tcBorders>
            <w:shd w:val="clear" w:color="auto" w:fill="auto"/>
            <w:vAlign w:val="center"/>
            <w:hideMark/>
          </w:tcPr>
          <w:p w14:paraId="24DC7B36" w14:textId="77777777" w:rsidR="00482DB5" w:rsidRPr="00301F8A" w:rsidRDefault="00482DB5"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482DB5" w:rsidRPr="00F851B0" w14:paraId="29BEA7EB" w14:textId="77777777" w:rsidTr="00AF61FD">
        <w:trPr>
          <w:trHeight w:val="227"/>
        </w:trPr>
        <w:tc>
          <w:tcPr>
            <w:tcW w:w="960" w:type="dxa"/>
            <w:tcBorders>
              <w:top w:val="single" w:sz="4" w:space="0" w:color="auto"/>
              <w:left w:val="nil"/>
              <w:right w:val="nil"/>
            </w:tcBorders>
            <w:shd w:val="clear" w:color="auto" w:fill="auto"/>
            <w:vAlign w:val="center"/>
            <w:hideMark/>
          </w:tcPr>
          <w:p w14:paraId="08AB0E5B"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Men</w:t>
            </w:r>
          </w:p>
        </w:tc>
        <w:tc>
          <w:tcPr>
            <w:tcW w:w="1984" w:type="dxa"/>
            <w:tcBorders>
              <w:top w:val="single" w:sz="4" w:space="0" w:color="auto"/>
              <w:left w:val="nil"/>
              <w:right w:val="nil"/>
            </w:tcBorders>
            <w:shd w:val="clear" w:color="auto" w:fill="auto"/>
            <w:vAlign w:val="center"/>
            <w:hideMark/>
          </w:tcPr>
          <w:p w14:paraId="255262CC"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310</w:t>
            </w:r>
          </w:p>
        </w:tc>
        <w:tc>
          <w:tcPr>
            <w:tcW w:w="2154" w:type="dxa"/>
            <w:tcBorders>
              <w:top w:val="single" w:sz="4" w:space="0" w:color="auto"/>
              <w:left w:val="nil"/>
              <w:right w:val="nil"/>
            </w:tcBorders>
            <w:shd w:val="clear" w:color="auto" w:fill="auto"/>
            <w:vAlign w:val="center"/>
            <w:hideMark/>
          </w:tcPr>
          <w:p w14:paraId="64A4E640"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2.0</w:t>
            </w:r>
          </w:p>
        </w:tc>
        <w:tc>
          <w:tcPr>
            <w:tcW w:w="2608" w:type="dxa"/>
            <w:tcBorders>
              <w:top w:val="single" w:sz="4" w:space="0" w:color="auto"/>
              <w:left w:val="nil"/>
              <w:right w:val="nil"/>
            </w:tcBorders>
            <w:shd w:val="clear" w:color="auto" w:fill="auto"/>
            <w:vAlign w:val="center"/>
            <w:hideMark/>
          </w:tcPr>
          <w:p w14:paraId="252223A8"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42</w:t>
            </w:r>
          </w:p>
        </w:tc>
      </w:tr>
      <w:tr w:rsidR="00482DB5" w:rsidRPr="00F851B0" w14:paraId="65E8ECDD" w14:textId="77777777" w:rsidTr="00741441">
        <w:trPr>
          <w:trHeight w:val="227"/>
        </w:trPr>
        <w:tc>
          <w:tcPr>
            <w:tcW w:w="960" w:type="dxa"/>
            <w:tcBorders>
              <w:left w:val="nil"/>
              <w:bottom w:val="single" w:sz="4" w:space="0" w:color="auto"/>
              <w:right w:val="nil"/>
            </w:tcBorders>
            <w:shd w:val="clear" w:color="auto" w:fill="auto"/>
            <w:vAlign w:val="center"/>
            <w:hideMark/>
          </w:tcPr>
          <w:p w14:paraId="123CAB94"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Women</w:t>
            </w:r>
          </w:p>
        </w:tc>
        <w:tc>
          <w:tcPr>
            <w:tcW w:w="1984" w:type="dxa"/>
            <w:tcBorders>
              <w:left w:val="nil"/>
              <w:bottom w:val="single" w:sz="4" w:space="0" w:color="auto"/>
              <w:right w:val="nil"/>
            </w:tcBorders>
            <w:shd w:val="clear" w:color="auto" w:fill="auto"/>
            <w:vAlign w:val="center"/>
            <w:hideMark/>
          </w:tcPr>
          <w:p w14:paraId="3C8F1200"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320</w:t>
            </w:r>
          </w:p>
        </w:tc>
        <w:tc>
          <w:tcPr>
            <w:tcW w:w="2154" w:type="dxa"/>
            <w:tcBorders>
              <w:left w:val="nil"/>
              <w:bottom w:val="single" w:sz="4" w:space="0" w:color="auto"/>
              <w:right w:val="nil"/>
            </w:tcBorders>
            <w:shd w:val="clear" w:color="auto" w:fill="auto"/>
            <w:vAlign w:val="center"/>
            <w:hideMark/>
          </w:tcPr>
          <w:p w14:paraId="57B25D8B"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2.7</w:t>
            </w:r>
          </w:p>
        </w:tc>
        <w:tc>
          <w:tcPr>
            <w:tcW w:w="2608" w:type="dxa"/>
            <w:tcBorders>
              <w:left w:val="nil"/>
              <w:bottom w:val="single" w:sz="4" w:space="0" w:color="auto"/>
              <w:right w:val="nil"/>
            </w:tcBorders>
            <w:shd w:val="clear" w:color="auto" w:fill="auto"/>
            <w:vAlign w:val="center"/>
            <w:hideMark/>
          </w:tcPr>
          <w:p w14:paraId="70BB8BA3"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58</w:t>
            </w:r>
          </w:p>
        </w:tc>
      </w:tr>
      <w:tr w:rsidR="00482DB5" w:rsidRPr="00F851B0" w14:paraId="585DD0DF" w14:textId="77777777" w:rsidTr="002D1356">
        <w:trPr>
          <w:trHeight w:val="227"/>
        </w:trPr>
        <w:tc>
          <w:tcPr>
            <w:tcW w:w="960" w:type="dxa"/>
            <w:tcBorders>
              <w:top w:val="nil"/>
              <w:left w:val="nil"/>
              <w:bottom w:val="single" w:sz="8" w:space="0" w:color="auto"/>
              <w:right w:val="nil"/>
            </w:tcBorders>
            <w:shd w:val="clear" w:color="auto" w:fill="auto"/>
            <w:vAlign w:val="center"/>
            <w:hideMark/>
          </w:tcPr>
          <w:p w14:paraId="33D3D5D8" w14:textId="77777777" w:rsidR="00482DB5" w:rsidRPr="00301F8A" w:rsidRDefault="00482DB5" w:rsidP="00661050">
            <w:pPr>
              <w:spacing w:after="0" w:line="276" w:lineRule="auto"/>
              <w:jc w:val="left"/>
              <w:rPr>
                <w:rFonts w:ascii="Arial" w:hAnsi="Arial" w:cs="Arial"/>
                <w:sz w:val="16"/>
                <w:szCs w:val="16"/>
              </w:rPr>
            </w:pPr>
            <w:r w:rsidRPr="00301F8A">
              <w:rPr>
                <w:rFonts w:ascii="Arial" w:hAnsi="Arial" w:cs="Arial"/>
                <w:sz w:val="16"/>
                <w:szCs w:val="16"/>
              </w:rPr>
              <w:t>Total</w:t>
            </w:r>
          </w:p>
        </w:tc>
        <w:tc>
          <w:tcPr>
            <w:tcW w:w="1984" w:type="dxa"/>
            <w:tcBorders>
              <w:top w:val="nil"/>
              <w:left w:val="nil"/>
              <w:bottom w:val="single" w:sz="8" w:space="0" w:color="auto"/>
              <w:right w:val="nil"/>
            </w:tcBorders>
            <w:shd w:val="clear" w:color="auto" w:fill="auto"/>
            <w:vAlign w:val="center"/>
            <w:hideMark/>
          </w:tcPr>
          <w:p w14:paraId="60BF8719"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310</w:t>
            </w:r>
          </w:p>
        </w:tc>
        <w:tc>
          <w:tcPr>
            <w:tcW w:w="2154" w:type="dxa"/>
            <w:tcBorders>
              <w:top w:val="nil"/>
              <w:left w:val="nil"/>
              <w:bottom w:val="single" w:sz="8" w:space="0" w:color="auto"/>
              <w:right w:val="nil"/>
            </w:tcBorders>
            <w:shd w:val="clear" w:color="auto" w:fill="auto"/>
            <w:vAlign w:val="center"/>
            <w:hideMark/>
          </w:tcPr>
          <w:p w14:paraId="2EAEBCCC"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4.7</w:t>
            </w:r>
          </w:p>
        </w:tc>
        <w:tc>
          <w:tcPr>
            <w:tcW w:w="2608" w:type="dxa"/>
            <w:tcBorders>
              <w:top w:val="nil"/>
              <w:left w:val="nil"/>
              <w:bottom w:val="single" w:sz="8" w:space="0" w:color="auto"/>
              <w:right w:val="nil"/>
            </w:tcBorders>
            <w:shd w:val="clear" w:color="auto" w:fill="auto"/>
            <w:vAlign w:val="center"/>
            <w:hideMark/>
          </w:tcPr>
          <w:p w14:paraId="008DBB79" w14:textId="77777777" w:rsidR="00482DB5" w:rsidRPr="00301F8A" w:rsidRDefault="00482DB5" w:rsidP="00661050">
            <w:pPr>
              <w:spacing w:after="0" w:line="276" w:lineRule="auto"/>
              <w:jc w:val="right"/>
              <w:rPr>
                <w:rFonts w:ascii="Arial" w:hAnsi="Arial" w:cs="Arial"/>
                <w:sz w:val="16"/>
                <w:szCs w:val="16"/>
              </w:rPr>
            </w:pPr>
            <w:r w:rsidRPr="00301F8A">
              <w:rPr>
                <w:rFonts w:ascii="Arial" w:hAnsi="Arial" w:cs="Arial"/>
                <w:sz w:val="16"/>
                <w:szCs w:val="16"/>
              </w:rPr>
              <w:t>100</w:t>
            </w:r>
          </w:p>
        </w:tc>
      </w:tr>
    </w:tbl>
    <w:p w14:paraId="5D12ACC5" w14:textId="2B483985" w:rsidR="00105C22" w:rsidRDefault="00105C22" w:rsidP="00105C22">
      <w:pPr>
        <w:pStyle w:val="ChartandTableFootnote"/>
        <w:spacing w:line="276" w:lineRule="auto"/>
      </w:pPr>
      <w:r w:rsidRPr="00173B4F">
        <w:t>* Totals may not sum due to rounding.</w:t>
      </w:r>
    </w:p>
    <w:p w14:paraId="60AB46D8" w14:textId="1784FE4A" w:rsidR="00482DB5" w:rsidRDefault="00482DB5" w:rsidP="00E1619F">
      <w:pPr>
        <w:spacing w:before="120" w:after="120" w:line="240" w:lineRule="auto"/>
        <w:rPr>
          <w:rFonts w:ascii="Arial" w:hAnsi="Arial" w:cs="Arial"/>
          <w:b/>
          <w:bCs/>
        </w:rPr>
      </w:pPr>
      <w:r w:rsidRPr="00E1619F">
        <w:t xml:space="preserve">By age, the largest share of the benefit </w:t>
      </w:r>
      <w:r w:rsidR="002653A2" w:rsidRPr="00E1619F">
        <w:t>was</w:t>
      </w:r>
      <w:r w:rsidRPr="00E1619F">
        <w:t xml:space="preserve"> distributed to those aged 18 to 24 years old, because younger people are more likely to be on low incomes and benefit from the low</w:t>
      </w:r>
      <w:r w:rsidR="00856D09">
        <w:noBreakHyphen/>
      </w:r>
      <w:r w:rsidRPr="00E1619F">
        <w:t>income threshold (</w:t>
      </w:r>
      <w:r w:rsidR="003D3223">
        <w:t>Chart 2</w:t>
      </w:r>
      <w:r w:rsidR="00131D9E" w:rsidRPr="00E1619F">
        <w:t>.11</w:t>
      </w:r>
      <w:r w:rsidRPr="00E1619F">
        <w:t>). There was a small increase in the share of</w:t>
      </w:r>
      <w:r w:rsidR="00856D09">
        <w:t xml:space="preserve"> those</w:t>
      </w:r>
      <w:r w:rsidRPr="00E1619F">
        <w:t xml:space="preserve"> 30</w:t>
      </w:r>
      <w:r w:rsidR="000E1DD4">
        <w:t> </w:t>
      </w:r>
      <w:r w:rsidRPr="00E1619F">
        <w:t>to</w:t>
      </w:r>
      <w:r w:rsidR="000E1DD4">
        <w:t> </w:t>
      </w:r>
      <w:r w:rsidRPr="00E1619F">
        <w:t>39 years old receiving the benefit as they are more likely to be eligible for the higher income thresholds for families with dependent children. There was also a slight increase in the share of those aged 65 and over benefiting because they are more likely to be eligible for the higher Seniors and Pensioners thresholds.</w:t>
      </w:r>
    </w:p>
    <w:p w14:paraId="25C9A543" w14:textId="26868A3F" w:rsidR="00482DB5" w:rsidRPr="00EC1587" w:rsidRDefault="003D3223" w:rsidP="00B334E9">
      <w:pPr>
        <w:pStyle w:val="ChartHeading"/>
      </w:pPr>
      <w:r>
        <w:t>Chart 2</w:t>
      </w:r>
      <w:r w:rsidR="00131D9E">
        <w:t>.11</w:t>
      </w:r>
      <w:r w:rsidR="00482DB5" w:rsidRPr="00CB34A6">
        <w:t xml:space="preserve"> </w:t>
      </w:r>
      <w:r w:rsidR="00482DB5" w:rsidRPr="00A577BC">
        <w:t>Share of benefit and recipients by age</w:t>
      </w:r>
      <w:r w:rsidR="00482DB5">
        <w:t xml:space="preserve">, </w:t>
      </w:r>
      <w:r w:rsidR="00482DB5" w:rsidRPr="005C22A4">
        <w:t>20</w:t>
      </w:r>
      <w:r w:rsidR="00482DB5">
        <w:t>21</w:t>
      </w:r>
      <w:r w:rsidR="003C3D89">
        <w:t>–2</w:t>
      </w:r>
      <w:r w:rsidR="00482DB5">
        <w:t>2</w:t>
      </w:r>
    </w:p>
    <w:p w14:paraId="43D5B82F" w14:textId="1F1EA98B" w:rsidR="00482DB5" w:rsidRDefault="007A1E82" w:rsidP="00FA287A">
      <w:pPr>
        <w:pStyle w:val="ChartGraphic"/>
      </w:pPr>
      <w:r>
        <w:object w:dxaOrig="7366" w:dyaOrig="4531" w14:anchorId="3D104B74">
          <v:shape id="_x0000_i1035" type="#_x0000_t75" alt="The greatest share of the benefit goes to those aged 18 to 24. The rest of the benefit is distributed evenly across the remaining age cohorts." style="width:368.25pt;height:226.5pt" o:ole="">
            <v:imagedata r:id="rId49" o:title=""/>
          </v:shape>
          <o:OLEObject Type="Link" ProgID="Excel.Sheet.12" ShapeID="_x0000_i1035" DrawAspect="Content" r:id="rId50" UpdateMode="Always">
            <o:LinkType>EnhancedMetaFile</o:LinkType>
            <o:LockedField/>
          </o:OLEObject>
        </w:object>
      </w:r>
    </w:p>
    <w:p w14:paraId="7907A96E" w14:textId="77777777" w:rsidR="00482DB5" w:rsidRDefault="00482DB5" w:rsidP="00B334E9">
      <w:pPr>
        <w:pStyle w:val="ChartandTableFootnote"/>
      </w:pPr>
      <w:r w:rsidRPr="00CB34A6">
        <w:t>Source: Treasury</w:t>
      </w:r>
    </w:p>
    <w:p w14:paraId="35FBD04E" w14:textId="77777777" w:rsidR="00482DB5" w:rsidRDefault="00482DB5" w:rsidP="00482DB5">
      <w:pPr>
        <w:spacing w:after="0" w:line="240" w:lineRule="auto"/>
        <w:jc w:val="left"/>
      </w:pPr>
      <w:r>
        <w:br w:type="page"/>
      </w:r>
    </w:p>
    <w:p w14:paraId="721D5474" w14:textId="7A382E8B" w:rsidR="00003309" w:rsidRDefault="00003309" w:rsidP="00003309">
      <w:pPr>
        <w:pStyle w:val="Heading2"/>
        <w:numPr>
          <w:ilvl w:val="1"/>
          <w:numId w:val="51"/>
        </w:numPr>
      </w:pPr>
      <w:bookmarkStart w:id="48" w:name="_Toc184287653"/>
      <w:r>
        <w:t>Individuals deductions for gifts and donations</w:t>
      </w:r>
      <w:bookmarkEnd w:id="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003309" w:rsidRPr="00B3100D" w14:paraId="6863F3C8" w14:textId="77777777" w:rsidTr="00796C9D">
        <w:trPr>
          <w:trHeight w:val="2626"/>
        </w:trPr>
        <w:tc>
          <w:tcPr>
            <w:tcW w:w="7711" w:type="dxa"/>
            <w:shd w:val="clear" w:color="auto" w:fill="DEEAF6"/>
          </w:tcPr>
          <w:p w14:paraId="6A3DE5F7" w14:textId="14CA0CC0" w:rsidR="00003309" w:rsidRPr="00E1619F" w:rsidRDefault="00003309" w:rsidP="00E1619F">
            <w:pPr>
              <w:spacing w:before="120" w:after="120" w:line="240" w:lineRule="auto"/>
            </w:pPr>
            <w:r w:rsidRPr="00E1619F">
              <w:t>Under the benchmark, expenses are only deductible if they are connected to income earning activity. Under this tax expenditure (A57 and A58 combined), gifts of cash and property (subject to certain conditions)</w:t>
            </w:r>
            <w:r w:rsidR="00B452C5">
              <w:t xml:space="preserve"> to deductible gift recipients are </w:t>
            </w:r>
            <w:r w:rsidR="00405FB0">
              <w:t>tax deductible</w:t>
            </w:r>
            <w:r w:rsidRPr="00E1619F">
              <w:t xml:space="preserve">. The revenue forgone in 2023–24 is significantly higher due to the impacts of a few very large donors. </w:t>
            </w:r>
          </w:p>
          <w:p w14:paraId="63AC306F" w14:textId="707B8AC4" w:rsidR="00003309" w:rsidRPr="00B3100D" w:rsidRDefault="003D3223" w:rsidP="00B334E9">
            <w:pPr>
              <w:pStyle w:val="TableHeading"/>
            </w:pPr>
            <w:r>
              <w:t>Table 2</w:t>
            </w:r>
            <w:r w:rsidR="00DF7E9D">
              <w:t>.10</w:t>
            </w:r>
            <w:r w:rsidR="00003309" w:rsidRPr="00B3100D">
              <w:t xml:space="preserve"> Estimates of aggregate revenue </w:t>
            </w:r>
            <w:r w:rsidR="00965A7B">
              <w:t>forgone</w:t>
            </w:r>
            <w:r w:rsidR="00003309" w:rsidRPr="00B3100D">
              <w:t xml:space="preserve"> ($m)</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003309" w:rsidRPr="00B3100D" w14:paraId="61A328D9" w14:textId="77777777" w:rsidTr="00DC7B7D">
              <w:trPr>
                <w:trHeight w:val="255"/>
              </w:trPr>
              <w:tc>
                <w:tcPr>
                  <w:tcW w:w="935" w:type="dxa"/>
                  <w:tcBorders>
                    <w:bottom w:val="single" w:sz="4" w:space="0" w:color="auto"/>
                  </w:tcBorders>
                  <w:vAlign w:val="center"/>
                </w:tcPr>
                <w:p w14:paraId="5FCB0E4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2020-21</w:t>
                  </w:r>
                </w:p>
              </w:tc>
              <w:tc>
                <w:tcPr>
                  <w:tcW w:w="935" w:type="dxa"/>
                  <w:tcBorders>
                    <w:bottom w:val="single" w:sz="4" w:space="0" w:color="auto"/>
                  </w:tcBorders>
                  <w:vAlign w:val="center"/>
                </w:tcPr>
                <w:p w14:paraId="0BEEBE17"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2021-22</w:t>
                  </w:r>
                </w:p>
              </w:tc>
              <w:tc>
                <w:tcPr>
                  <w:tcW w:w="935" w:type="dxa"/>
                  <w:tcBorders>
                    <w:bottom w:val="single" w:sz="4" w:space="0" w:color="auto"/>
                  </w:tcBorders>
                  <w:vAlign w:val="center"/>
                </w:tcPr>
                <w:p w14:paraId="60FF301A"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2022-23</w:t>
                  </w:r>
                </w:p>
              </w:tc>
              <w:tc>
                <w:tcPr>
                  <w:tcW w:w="935" w:type="dxa"/>
                  <w:tcBorders>
                    <w:bottom w:val="single" w:sz="4" w:space="0" w:color="auto"/>
                  </w:tcBorders>
                  <w:vAlign w:val="center"/>
                </w:tcPr>
                <w:p w14:paraId="38E534AE"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2023-24</w:t>
                  </w:r>
                </w:p>
              </w:tc>
              <w:tc>
                <w:tcPr>
                  <w:tcW w:w="935" w:type="dxa"/>
                  <w:tcBorders>
                    <w:bottom w:val="single" w:sz="4" w:space="0" w:color="auto"/>
                  </w:tcBorders>
                  <w:vAlign w:val="center"/>
                </w:tcPr>
                <w:p w14:paraId="4C22CBE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2024-25</w:t>
                  </w:r>
                </w:p>
              </w:tc>
              <w:tc>
                <w:tcPr>
                  <w:tcW w:w="935" w:type="dxa"/>
                  <w:tcBorders>
                    <w:bottom w:val="single" w:sz="4" w:space="0" w:color="auto"/>
                  </w:tcBorders>
                  <w:vAlign w:val="center"/>
                </w:tcPr>
                <w:p w14:paraId="6DF45A51"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2026-27</w:t>
                  </w:r>
                </w:p>
              </w:tc>
              <w:tc>
                <w:tcPr>
                  <w:tcW w:w="935" w:type="dxa"/>
                  <w:tcBorders>
                    <w:bottom w:val="single" w:sz="4" w:space="0" w:color="auto"/>
                  </w:tcBorders>
                  <w:vAlign w:val="center"/>
                </w:tcPr>
                <w:p w14:paraId="5239BEA0"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2026-27</w:t>
                  </w:r>
                </w:p>
              </w:tc>
              <w:tc>
                <w:tcPr>
                  <w:tcW w:w="935" w:type="dxa"/>
                  <w:tcBorders>
                    <w:bottom w:val="single" w:sz="4" w:space="0" w:color="auto"/>
                  </w:tcBorders>
                  <w:vAlign w:val="center"/>
                </w:tcPr>
                <w:p w14:paraId="0C52DADE" w14:textId="77777777" w:rsidR="00003309" w:rsidRPr="00DF7E9D" w:rsidRDefault="00003309" w:rsidP="003B3E65">
                  <w:pPr>
                    <w:spacing w:after="0"/>
                    <w:jc w:val="right"/>
                    <w:rPr>
                      <w:rFonts w:ascii="Arial" w:hAnsi="Arial" w:cs="Arial"/>
                      <w:b/>
                      <w:sz w:val="16"/>
                      <w:szCs w:val="16"/>
                    </w:rPr>
                  </w:pPr>
                  <w:r w:rsidRPr="00DF7E9D">
                    <w:rPr>
                      <w:rFonts w:ascii="Arial" w:hAnsi="Arial" w:cs="Arial"/>
                      <w:b/>
                      <w:sz w:val="16"/>
                      <w:szCs w:val="16"/>
                    </w:rPr>
                    <w:t>2027-28</w:t>
                  </w:r>
                </w:p>
              </w:tc>
            </w:tr>
            <w:tr w:rsidR="00003309" w:rsidRPr="00B3100D" w14:paraId="61973216" w14:textId="77777777" w:rsidTr="00DC7B7D">
              <w:trPr>
                <w:trHeight w:val="255"/>
              </w:trPr>
              <w:tc>
                <w:tcPr>
                  <w:tcW w:w="935" w:type="dxa"/>
                  <w:tcBorders>
                    <w:top w:val="single" w:sz="4" w:space="0" w:color="auto"/>
                    <w:bottom w:val="single" w:sz="4" w:space="0" w:color="auto"/>
                  </w:tcBorders>
                  <w:vAlign w:val="bottom"/>
                </w:tcPr>
                <w:p w14:paraId="4B63017F"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1,970</w:t>
                  </w:r>
                </w:p>
              </w:tc>
              <w:tc>
                <w:tcPr>
                  <w:tcW w:w="935" w:type="dxa"/>
                  <w:tcBorders>
                    <w:top w:val="single" w:sz="4" w:space="0" w:color="auto"/>
                    <w:bottom w:val="single" w:sz="4" w:space="0" w:color="auto"/>
                  </w:tcBorders>
                  <w:vAlign w:val="bottom"/>
                </w:tcPr>
                <w:p w14:paraId="303D37DC"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2,160</w:t>
                  </w:r>
                </w:p>
              </w:tc>
              <w:tc>
                <w:tcPr>
                  <w:tcW w:w="935" w:type="dxa"/>
                  <w:tcBorders>
                    <w:top w:val="single" w:sz="4" w:space="0" w:color="auto"/>
                    <w:bottom w:val="single" w:sz="4" w:space="0" w:color="auto"/>
                  </w:tcBorders>
                  <w:vAlign w:val="bottom"/>
                </w:tcPr>
                <w:p w14:paraId="3794BAC7"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2,245</w:t>
                  </w:r>
                </w:p>
              </w:tc>
              <w:tc>
                <w:tcPr>
                  <w:tcW w:w="935" w:type="dxa"/>
                  <w:tcBorders>
                    <w:top w:val="single" w:sz="4" w:space="0" w:color="auto"/>
                    <w:bottom w:val="single" w:sz="4" w:space="0" w:color="auto"/>
                  </w:tcBorders>
                  <w:vAlign w:val="bottom"/>
                </w:tcPr>
                <w:p w14:paraId="5FCE458C"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4,705</w:t>
                  </w:r>
                </w:p>
              </w:tc>
              <w:tc>
                <w:tcPr>
                  <w:tcW w:w="935" w:type="dxa"/>
                  <w:tcBorders>
                    <w:top w:val="single" w:sz="4" w:space="0" w:color="auto"/>
                    <w:bottom w:val="single" w:sz="4" w:space="0" w:color="auto"/>
                  </w:tcBorders>
                  <w:vAlign w:val="bottom"/>
                </w:tcPr>
                <w:p w14:paraId="074F0339"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2,215</w:t>
                  </w:r>
                </w:p>
              </w:tc>
              <w:tc>
                <w:tcPr>
                  <w:tcW w:w="935" w:type="dxa"/>
                  <w:tcBorders>
                    <w:top w:val="single" w:sz="4" w:space="0" w:color="auto"/>
                    <w:bottom w:val="single" w:sz="4" w:space="0" w:color="auto"/>
                  </w:tcBorders>
                  <w:vAlign w:val="bottom"/>
                </w:tcPr>
                <w:p w14:paraId="7D3B62BE"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2,140</w:t>
                  </w:r>
                </w:p>
              </w:tc>
              <w:tc>
                <w:tcPr>
                  <w:tcW w:w="935" w:type="dxa"/>
                  <w:tcBorders>
                    <w:top w:val="single" w:sz="4" w:space="0" w:color="auto"/>
                    <w:bottom w:val="single" w:sz="4" w:space="0" w:color="auto"/>
                  </w:tcBorders>
                  <w:vAlign w:val="bottom"/>
                </w:tcPr>
                <w:p w14:paraId="6A480656"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2,210</w:t>
                  </w:r>
                </w:p>
              </w:tc>
              <w:tc>
                <w:tcPr>
                  <w:tcW w:w="935" w:type="dxa"/>
                  <w:tcBorders>
                    <w:top w:val="single" w:sz="4" w:space="0" w:color="auto"/>
                    <w:bottom w:val="single" w:sz="4" w:space="0" w:color="auto"/>
                  </w:tcBorders>
                  <w:vAlign w:val="bottom"/>
                </w:tcPr>
                <w:p w14:paraId="6828000F" w14:textId="77777777" w:rsidR="00003309" w:rsidRPr="00DF7E9D" w:rsidRDefault="00003309" w:rsidP="003B3E65">
                  <w:pPr>
                    <w:spacing w:after="0"/>
                    <w:jc w:val="right"/>
                    <w:rPr>
                      <w:rFonts w:ascii="Arial" w:hAnsi="Arial" w:cs="Arial"/>
                      <w:sz w:val="16"/>
                      <w:szCs w:val="16"/>
                    </w:rPr>
                  </w:pPr>
                  <w:r w:rsidRPr="00DF7E9D">
                    <w:rPr>
                      <w:rFonts w:ascii="Arial" w:hAnsi="Arial" w:cs="Arial"/>
                      <w:color w:val="000000"/>
                      <w:sz w:val="16"/>
                      <w:szCs w:val="16"/>
                    </w:rPr>
                    <w:t>2,285</w:t>
                  </w:r>
                </w:p>
              </w:tc>
            </w:tr>
          </w:tbl>
          <w:p w14:paraId="006972C1" w14:textId="15F8DCB8" w:rsidR="00003309" w:rsidRPr="00B3100D" w:rsidRDefault="00003309" w:rsidP="00E1619F">
            <w:pPr>
              <w:spacing w:before="120" w:after="120" w:line="240" w:lineRule="auto"/>
            </w:pPr>
            <w:r w:rsidRPr="00E1619F">
              <w:t>In 2021</w:t>
            </w:r>
            <w:r w:rsidR="003C3D89">
              <w:t>–2</w:t>
            </w:r>
            <w:r w:rsidRPr="00E1619F">
              <w:t xml:space="preserve">2 around 4.2 million people </w:t>
            </w:r>
            <w:r w:rsidR="00CA6242" w:rsidRPr="00E1619F">
              <w:t>benefitted</w:t>
            </w:r>
            <w:r w:rsidRPr="00E1619F">
              <w:t xml:space="preserve"> from this tax expenditure</w:t>
            </w:r>
            <w:r w:rsidR="00E1619F">
              <w:t>.</w:t>
            </w:r>
            <w:r w:rsidRPr="00E1619F">
              <w:t xml:space="preserve"> </w:t>
            </w:r>
          </w:p>
        </w:tc>
      </w:tr>
    </w:tbl>
    <w:p w14:paraId="5D8C3D29" w14:textId="490D00E6" w:rsidR="00003309" w:rsidRPr="00E1619F" w:rsidRDefault="00003309" w:rsidP="00E1619F">
      <w:pPr>
        <w:spacing w:before="120" w:after="120" w:line="240" w:lineRule="auto"/>
      </w:pPr>
      <w:r w:rsidRPr="00E1619F">
        <w:t>In 2021–22, 84 per cent of the benefit of this expenditure went to individuals with above median income, and 59 per cent of the benefit went to individuals in the top income decile (</w:t>
      </w:r>
      <w:r w:rsidR="003D3223">
        <w:t>Chart 2</w:t>
      </w:r>
      <w:r w:rsidR="00131D9E" w:rsidRPr="00E1619F">
        <w:t>.12</w:t>
      </w:r>
      <w:r w:rsidRPr="00E1619F">
        <w:t>). Consistent with this, a substantial share of the benefit went to taxpayers making large donations and with high taxable income. In 2021</w:t>
      </w:r>
      <w:r w:rsidR="007701C3" w:rsidRPr="00E1619F">
        <w:t>–</w:t>
      </w:r>
      <w:r w:rsidRPr="00E1619F">
        <w:t>22, 38 per cent of the benefit went to individuals donating more than $1 million in one year. Around 29</w:t>
      </w:r>
      <w:r w:rsidR="00131D9E" w:rsidRPr="00E1619F">
        <w:t> </w:t>
      </w:r>
      <w:r w:rsidRPr="00E1619F">
        <w:t xml:space="preserve">per cent of the benefit went to individuals earning more than $1 million of taxable income. </w:t>
      </w:r>
    </w:p>
    <w:p w14:paraId="1AB19019" w14:textId="77590C69" w:rsidR="00003309" w:rsidRPr="005C22A4" w:rsidRDefault="003D3223" w:rsidP="00B334E9">
      <w:pPr>
        <w:pStyle w:val="ChartHeading"/>
      </w:pPr>
      <w:r>
        <w:t>Chart 2</w:t>
      </w:r>
      <w:r w:rsidR="00131D9E">
        <w:t>.12</w:t>
      </w:r>
      <w:r w:rsidR="00003309" w:rsidRPr="005C22A4">
        <w:t xml:space="preserve"> </w:t>
      </w:r>
      <w:r w:rsidR="00003309" w:rsidRPr="00905B6D">
        <w:t>Share of benefit and recipients by taxable income decile</w:t>
      </w:r>
      <w:r w:rsidR="00003309">
        <w:t xml:space="preserve">, </w:t>
      </w:r>
      <w:r w:rsidR="00003309" w:rsidRPr="005C22A4">
        <w:t>20</w:t>
      </w:r>
      <w:r w:rsidR="00003309">
        <w:t>21</w:t>
      </w:r>
      <w:r w:rsidR="003C3D89">
        <w:t>–2</w:t>
      </w:r>
      <w:r w:rsidR="00003309">
        <w:t>2</w:t>
      </w:r>
    </w:p>
    <w:p w14:paraId="28F1BD3D" w14:textId="5C7EB27A" w:rsidR="00003309" w:rsidRDefault="003F4B69" w:rsidP="00003309">
      <w:pPr>
        <w:pStyle w:val="ChartGraphic"/>
      </w:pPr>
      <w:r>
        <w:object w:dxaOrig="7366" w:dyaOrig="4531" w14:anchorId="58DA94B4">
          <v:shape id="_x0000_i1036" type="#_x0000_t75" alt="This bar chart shows the number of claimants and share of total benefit both rise from the second income decile to the highest decile, but the benefit is highly concentrated in the highest decile. The number of claimants in the lowest and second income deciles is very small.&#10;" style="width:370.5pt;height:225.75pt" o:ole="">
            <v:imagedata r:id="rId51" o:title=""/>
          </v:shape>
          <o:OLEObject Type="Link" ProgID="Excel.Sheet.12" ShapeID="_x0000_i1036" DrawAspect="Content" r:id="rId52" UpdateMode="Always">
            <o:LinkType>EnhancedMetaFile</o:LinkType>
            <o:LockedField/>
          </o:OLEObject>
        </w:object>
      </w:r>
    </w:p>
    <w:p w14:paraId="5CF5A2CD" w14:textId="77777777" w:rsidR="00003309" w:rsidRDefault="00003309" w:rsidP="00B334E9">
      <w:pPr>
        <w:pStyle w:val="ChartandTableFootnote"/>
      </w:pPr>
      <w:r w:rsidRPr="00CB34A6">
        <w:t>Source: Treasury</w:t>
      </w:r>
    </w:p>
    <w:p w14:paraId="6FCFB793" w14:textId="77777777" w:rsidR="009F5E3D" w:rsidRDefault="009F5E3D">
      <w:pPr>
        <w:spacing w:after="0" w:line="240" w:lineRule="auto"/>
        <w:jc w:val="left"/>
      </w:pPr>
      <w:r>
        <w:br w:type="page"/>
      </w:r>
    </w:p>
    <w:p w14:paraId="567383EA" w14:textId="10503361" w:rsidR="00003309" w:rsidRPr="00E1619F" w:rsidRDefault="00003309" w:rsidP="00E1619F">
      <w:pPr>
        <w:spacing w:before="120" w:after="120" w:line="240" w:lineRule="auto"/>
      </w:pPr>
      <w:r w:rsidRPr="00E1619F">
        <w:t xml:space="preserve">The decisions of a few very large donors, about the timing and size of donations can significantly affect the estimate of revenue forgone. </w:t>
      </w:r>
    </w:p>
    <w:p w14:paraId="497CB32A" w14:textId="3D209FB0" w:rsidR="00B334E9" w:rsidRDefault="00003309" w:rsidP="00B334E9">
      <w:pPr>
        <w:spacing w:before="120" w:after="120" w:line="240" w:lineRule="auto"/>
      </w:pPr>
      <w:r w:rsidRPr="00E1619F">
        <w:t>In 2021</w:t>
      </w:r>
      <w:r w:rsidR="003C3D89">
        <w:t>–2</w:t>
      </w:r>
      <w:r w:rsidRPr="00E1619F">
        <w:t>2, around 2.0 million men and 2.2 million women claimed deductions for gifts and donations (</w:t>
      </w:r>
      <w:r w:rsidR="003D3223">
        <w:t>Table 2</w:t>
      </w:r>
      <w:r w:rsidR="002B46B9" w:rsidRPr="00E1619F">
        <w:t>.11</w:t>
      </w:r>
      <w:r w:rsidRPr="00E1619F">
        <w:t>). However, men receive</w:t>
      </w:r>
      <w:r w:rsidR="00E54C0A">
        <w:t>d</w:t>
      </w:r>
      <w:r w:rsidRPr="00E1619F">
        <w:t xml:space="preserve"> around 58 per cent of the benefit from deductible gifts. This reflects that men make larger donations and have higher incomes (subject to higher marginal tax rates), on average. As a result, each dollar donated results in a larger reduction in tax paid.</w:t>
      </w:r>
    </w:p>
    <w:p w14:paraId="7DBFF33E" w14:textId="7E50A1F0" w:rsidR="00003309" w:rsidRPr="00B334E9" w:rsidRDefault="003D3223" w:rsidP="00B334E9">
      <w:pPr>
        <w:pStyle w:val="TableHeading"/>
        <w:rPr>
          <w:rFonts w:ascii="Book Antiqua" w:hAnsi="Book Antiqua"/>
        </w:rPr>
      </w:pPr>
      <w:r>
        <w:t>Table 2</w:t>
      </w:r>
      <w:r w:rsidR="00DF7E9D">
        <w:t>.11</w:t>
      </w:r>
      <w:r w:rsidR="00003309" w:rsidRPr="00B3100D">
        <w:t xml:space="preserve"> Distributional effect by gender, 2021</w:t>
      </w:r>
      <w:r w:rsidR="003C3D89">
        <w:t>–2</w:t>
      </w:r>
      <w:r w:rsidR="00003309" w:rsidRPr="00B3100D">
        <w:t>2</w:t>
      </w:r>
      <w:r w:rsidR="00105C22">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57"/>
        <w:gridCol w:w="1701"/>
        <w:gridCol w:w="1984"/>
        <w:gridCol w:w="2268"/>
      </w:tblGrid>
      <w:tr w:rsidR="00003309" w:rsidRPr="00B3100D" w14:paraId="677096B0" w14:textId="77777777" w:rsidTr="007C611C">
        <w:trPr>
          <w:jc w:val="center"/>
        </w:trPr>
        <w:tc>
          <w:tcPr>
            <w:tcW w:w="1757" w:type="dxa"/>
            <w:tcBorders>
              <w:bottom w:val="single" w:sz="4" w:space="0" w:color="auto"/>
            </w:tcBorders>
          </w:tcPr>
          <w:p w14:paraId="47E38909" w14:textId="77777777" w:rsidR="00003309" w:rsidRPr="00301F8A" w:rsidRDefault="00003309" w:rsidP="00244199">
            <w:pPr>
              <w:spacing w:after="0"/>
              <w:jc w:val="left"/>
              <w:rPr>
                <w:rFonts w:ascii="Arial" w:hAnsi="Arial" w:cs="Arial"/>
                <w:b/>
                <w:sz w:val="16"/>
                <w:szCs w:val="16"/>
              </w:rPr>
            </w:pPr>
            <w:r w:rsidRPr="00301F8A">
              <w:rPr>
                <w:rFonts w:ascii="Arial" w:hAnsi="Arial" w:cs="Arial"/>
                <w:b/>
                <w:sz w:val="16"/>
                <w:szCs w:val="16"/>
              </w:rPr>
              <w:t>Gender</w:t>
            </w:r>
          </w:p>
        </w:tc>
        <w:tc>
          <w:tcPr>
            <w:tcW w:w="1701" w:type="dxa"/>
            <w:tcBorders>
              <w:bottom w:val="single" w:sz="4" w:space="0" w:color="auto"/>
            </w:tcBorders>
          </w:tcPr>
          <w:p w14:paraId="7F0CED51"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Average benefit ($)</w:t>
            </w:r>
          </w:p>
        </w:tc>
        <w:tc>
          <w:tcPr>
            <w:tcW w:w="1984" w:type="dxa"/>
            <w:tcBorders>
              <w:bottom w:val="single" w:sz="4" w:space="0" w:color="auto"/>
            </w:tcBorders>
          </w:tcPr>
          <w:p w14:paraId="2DF92E78"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Recipients (million)</w:t>
            </w:r>
          </w:p>
        </w:tc>
        <w:tc>
          <w:tcPr>
            <w:tcW w:w="2268" w:type="dxa"/>
            <w:tcBorders>
              <w:bottom w:val="single" w:sz="4" w:space="0" w:color="auto"/>
            </w:tcBorders>
          </w:tcPr>
          <w:p w14:paraId="4B7876C1" w14:textId="77777777" w:rsidR="00003309" w:rsidRPr="00301F8A" w:rsidRDefault="00003309" w:rsidP="00244199">
            <w:pPr>
              <w:spacing w:after="0"/>
              <w:jc w:val="right"/>
              <w:rPr>
                <w:rFonts w:ascii="Arial" w:hAnsi="Arial" w:cs="Arial"/>
                <w:b/>
                <w:sz w:val="16"/>
                <w:szCs w:val="16"/>
              </w:rPr>
            </w:pPr>
            <w:r w:rsidRPr="00301F8A">
              <w:rPr>
                <w:rFonts w:ascii="Arial" w:hAnsi="Arial" w:cs="Arial"/>
                <w:b/>
                <w:sz w:val="16"/>
                <w:szCs w:val="16"/>
              </w:rPr>
              <w:t>Share of total benefit (%)</w:t>
            </w:r>
          </w:p>
        </w:tc>
      </w:tr>
      <w:tr w:rsidR="00003309" w:rsidRPr="00B3100D" w14:paraId="2E2EAB75" w14:textId="77777777" w:rsidTr="00741441">
        <w:trPr>
          <w:jc w:val="center"/>
        </w:trPr>
        <w:tc>
          <w:tcPr>
            <w:tcW w:w="1757" w:type="dxa"/>
            <w:tcBorders>
              <w:bottom w:val="nil"/>
            </w:tcBorders>
          </w:tcPr>
          <w:p w14:paraId="6551D034"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Men</w:t>
            </w:r>
          </w:p>
        </w:tc>
        <w:tc>
          <w:tcPr>
            <w:tcW w:w="1701" w:type="dxa"/>
            <w:tcBorders>
              <w:bottom w:val="nil"/>
            </w:tcBorders>
          </w:tcPr>
          <w:p w14:paraId="0EAD34CF"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550</w:t>
            </w:r>
          </w:p>
        </w:tc>
        <w:tc>
          <w:tcPr>
            <w:tcW w:w="1984" w:type="dxa"/>
            <w:tcBorders>
              <w:bottom w:val="nil"/>
            </w:tcBorders>
            <w:vAlign w:val="center"/>
          </w:tcPr>
          <w:p w14:paraId="25CF9B7A"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2.0</w:t>
            </w:r>
          </w:p>
        </w:tc>
        <w:tc>
          <w:tcPr>
            <w:tcW w:w="2268" w:type="dxa"/>
            <w:tcBorders>
              <w:bottom w:val="nil"/>
            </w:tcBorders>
          </w:tcPr>
          <w:p w14:paraId="288C6C97"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58</w:t>
            </w:r>
          </w:p>
        </w:tc>
      </w:tr>
      <w:tr w:rsidR="00003309" w:rsidRPr="00B3100D" w14:paraId="5FD69BD3" w14:textId="77777777" w:rsidTr="00741441">
        <w:trPr>
          <w:jc w:val="center"/>
        </w:trPr>
        <w:tc>
          <w:tcPr>
            <w:tcW w:w="1757" w:type="dxa"/>
            <w:tcBorders>
              <w:top w:val="nil"/>
              <w:bottom w:val="single" w:sz="4" w:space="0" w:color="auto"/>
            </w:tcBorders>
          </w:tcPr>
          <w:p w14:paraId="4F746FBC"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Women</w:t>
            </w:r>
          </w:p>
        </w:tc>
        <w:tc>
          <w:tcPr>
            <w:tcW w:w="1701" w:type="dxa"/>
            <w:tcBorders>
              <w:top w:val="nil"/>
              <w:bottom w:val="single" w:sz="4" w:space="0" w:color="auto"/>
            </w:tcBorders>
          </w:tcPr>
          <w:p w14:paraId="40EF5D08"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380</w:t>
            </w:r>
          </w:p>
        </w:tc>
        <w:tc>
          <w:tcPr>
            <w:tcW w:w="1984" w:type="dxa"/>
            <w:tcBorders>
              <w:top w:val="nil"/>
              <w:bottom w:val="single" w:sz="4" w:space="0" w:color="auto"/>
            </w:tcBorders>
            <w:vAlign w:val="center"/>
          </w:tcPr>
          <w:p w14:paraId="39D0DEAA"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2.2</w:t>
            </w:r>
          </w:p>
        </w:tc>
        <w:tc>
          <w:tcPr>
            <w:tcW w:w="2268" w:type="dxa"/>
            <w:tcBorders>
              <w:top w:val="nil"/>
              <w:bottom w:val="single" w:sz="4" w:space="0" w:color="auto"/>
            </w:tcBorders>
          </w:tcPr>
          <w:p w14:paraId="1CFAE2AC"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42</w:t>
            </w:r>
          </w:p>
        </w:tc>
      </w:tr>
      <w:tr w:rsidR="00003309" w:rsidRPr="00B3100D" w14:paraId="64D3E8CB" w14:textId="77777777" w:rsidTr="007C611C">
        <w:trPr>
          <w:jc w:val="center"/>
        </w:trPr>
        <w:tc>
          <w:tcPr>
            <w:tcW w:w="1757" w:type="dxa"/>
            <w:tcBorders>
              <w:top w:val="single" w:sz="4" w:space="0" w:color="auto"/>
            </w:tcBorders>
          </w:tcPr>
          <w:p w14:paraId="4724E876" w14:textId="77777777" w:rsidR="00003309" w:rsidRPr="00301F8A" w:rsidRDefault="00003309" w:rsidP="00244199">
            <w:pPr>
              <w:spacing w:after="0"/>
              <w:jc w:val="left"/>
              <w:rPr>
                <w:rFonts w:ascii="Arial" w:hAnsi="Arial" w:cs="Arial"/>
                <w:sz w:val="16"/>
                <w:szCs w:val="16"/>
              </w:rPr>
            </w:pPr>
            <w:r w:rsidRPr="00301F8A">
              <w:rPr>
                <w:rFonts w:ascii="Arial" w:hAnsi="Arial" w:cs="Arial"/>
                <w:sz w:val="16"/>
                <w:szCs w:val="16"/>
              </w:rPr>
              <w:t>Total</w:t>
            </w:r>
          </w:p>
        </w:tc>
        <w:tc>
          <w:tcPr>
            <w:tcW w:w="1701" w:type="dxa"/>
            <w:tcBorders>
              <w:top w:val="single" w:sz="4" w:space="0" w:color="auto"/>
            </w:tcBorders>
          </w:tcPr>
          <w:p w14:paraId="6DF6C58A"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460</w:t>
            </w:r>
          </w:p>
        </w:tc>
        <w:tc>
          <w:tcPr>
            <w:tcW w:w="1984" w:type="dxa"/>
            <w:tcBorders>
              <w:top w:val="single" w:sz="4" w:space="0" w:color="auto"/>
            </w:tcBorders>
            <w:vAlign w:val="center"/>
          </w:tcPr>
          <w:p w14:paraId="2F0534B2" w14:textId="77777777" w:rsidR="00003309" w:rsidRPr="00301F8A" w:rsidRDefault="00003309" w:rsidP="00244199">
            <w:pPr>
              <w:spacing w:after="0"/>
              <w:jc w:val="right"/>
              <w:rPr>
                <w:rFonts w:ascii="Arial" w:hAnsi="Arial" w:cs="Arial"/>
                <w:sz w:val="16"/>
                <w:szCs w:val="16"/>
              </w:rPr>
            </w:pPr>
            <w:r w:rsidRPr="00301F8A">
              <w:rPr>
                <w:rFonts w:ascii="Arial" w:hAnsi="Arial" w:cs="Arial"/>
                <w:color w:val="000000"/>
                <w:sz w:val="16"/>
                <w:szCs w:val="16"/>
              </w:rPr>
              <w:t>4.2</w:t>
            </w:r>
          </w:p>
        </w:tc>
        <w:tc>
          <w:tcPr>
            <w:tcW w:w="2268" w:type="dxa"/>
            <w:tcBorders>
              <w:top w:val="single" w:sz="4" w:space="0" w:color="auto"/>
            </w:tcBorders>
          </w:tcPr>
          <w:p w14:paraId="75C36A5A" w14:textId="77777777" w:rsidR="00003309" w:rsidRPr="00301F8A" w:rsidRDefault="00003309" w:rsidP="00244199">
            <w:pPr>
              <w:spacing w:after="0"/>
              <w:jc w:val="right"/>
              <w:rPr>
                <w:rFonts w:ascii="Arial" w:hAnsi="Arial" w:cs="Arial"/>
                <w:sz w:val="16"/>
                <w:szCs w:val="16"/>
              </w:rPr>
            </w:pPr>
            <w:r w:rsidRPr="00301F8A">
              <w:rPr>
                <w:rFonts w:ascii="Arial" w:hAnsi="Arial" w:cs="Arial"/>
                <w:sz w:val="16"/>
                <w:szCs w:val="16"/>
              </w:rPr>
              <w:t>100</w:t>
            </w:r>
          </w:p>
        </w:tc>
      </w:tr>
    </w:tbl>
    <w:p w14:paraId="4F26DCC7" w14:textId="1882CCFF" w:rsidR="00105C22" w:rsidRDefault="00105C22" w:rsidP="00105C22">
      <w:pPr>
        <w:pStyle w:val="ChartandTableFootnote"/>
        <w:spacing w:line="276" w:lineRule="auto"/>
      </w:pPr>
      <w:r w:rsidRPr="00173B4F">
        <w:t>* Totals may not sum due to rounding.</w:t>
      </w:r>
    </w:p>
    <w:p w14:paraId="30969561" w14:textId="1CD77B80" w:rsidR="00003309" w:rsidRPr="00E1619F" w:rsidRDefault="00003309" w:rsidP="00E1619F">
      <w:pPr>
        <w:spacing w:before="120" w:after="120" w:line="240" w:lineRule="auto"/>
      </w:pPr>
      <w:r w:rsidRPr="00E1619F">
        <w:t>The number of individuals making deductible donations is stable over the working life from 30 to 60. After age 60, the number of people claiming gifts and donations deductions declines in line with the proportion of individuals filing tax returns in these age groups (</w:t>
      </w:r>
      <w:r w:rsidR="003D3223">
        <w:t>Chart 2</w:t>
      </w:r>
      <w:r w:rsidR="00461CCE" w:rsidRPr="00E1619F">
        <w:t>.13</w:t>
      </w:r>
      <w:r w:rsidRPr="00E1619F">
        <w:t>). However, individuals aged 75 or older receive</w:t>
      </w:r>
      <w:r w:rsidR="007C28D6" w:rsidRPr="00E1619F">
        <w:t>d</w:t>
      </w:r>
      <w:r w:rsidRPr="00E1619F">
        <w:t xml:space="preserve"> the largest share of the benefit.</w:t>
      </w:r>
    </w:p>
    <w:p w14:paraId="00167A48" w14:textId="30D83C3E" w:rsidR="00003309" w:rsidRPr="00EC1587" w:rsidRDefault="003D3223" w:rsidP="00B334E9">
      <w:pPr>
        <w:pStyle w:val="ChartHeading"/>
      </w:pPr>
      <w:r>
        <w:t>Chart 2</w:t>
      </w:r>
      <w:r w:rsidR="00461CCE">
        <w:t>.13</w:t>
      </w:r>
      <w:r w:rsidR="00003309" w:rsidRPr="00CB34A6">
        <w:t xml:space="preserve"> </w:t>
      </w:r>
      <w:r w:rsidR="00003309" w:rsidRPr="00905B6D">
        <w:t>Share of benefit and recipients by age</w:t>
      </w:r>
      <w:r w:rsidR="00003309">
        <w:t xml:space="preserve">, </w:t>
      </w:r>
      <w:r w:rsidR="00003309" w:rsidRPr="005C22A4">
        <w:t>20</w:t>
      </w:r>
      <w:r w:rsidR="00003309">
        <w:t>21</w:t>
      </w:r>
      <w:r w:rsidR="003C3D89">
        <w:t>–2</w:t>
      </w:r>
      <w:r w:rsidR="00003309">
        <w:t>2</w:t>
      </w:r>
    </w:p>
    <w:p w14:paraId="795DC49D" w14:textId="5EA81CC0" w:rsidR="00003309" w:rsidRDefault="003F4B69" w:rsidP="00003309">
      <w:pPr>
        <w:pStyle w:val="ChartGraphic"/>
      </w:pPr>
      <w:r>
        <w:object w:dxaOrig="7366" w:dyaOrig="4531" w14:anchorId="5487A04C">
          <v:shape id="_x0000_i1037" type="#_x0000_t75" alt="This bar chart shows the share of total benefit rises by age until the 50-54 year old cohort, then follows an uneven pattern, with spikes at the 60-64 and 75+ cohorts. The number of claimants is concentrated in working-age cohorts between 25 and 64 years old.&#10;" style="width:370.5pt;height:225.75pt" o:ole="">
            <v:imagedata r:id="rId53" o:title=""/>
          </v:shape>
          <o:OLEObject Type="Link" ProgID="Excel.Sheet.12" ShapeID="_x0000_i1037" DrawAspect="Content" r:id="rId54" UpdateMode="Always">
            <o:LinkType>EnhancedMetaFile</o:LinkType>
            <o:LockedField/>
          </o:OLEObject>
        </w:object>
      </w:r>
    </w:p>
    <w:p w14:paraId="1D4CBE8A" w14:textId="77777777" w:rsidR="00003309" w:rsidRDefault="00003309" w:rsidP="00003309">
      <w:r w:rsidRPr="00CB34A6">
        <w:rPr>
          <w:rFonts w:ascii="Arial" w:hAnsi="Arial" w:cs="Arial"/>
          <w:sz w:val="16"/>
          <w:szCs w:val="16"/>
        </w:rPr>
        <w:t>Source: Treasury</w:t>
      </w:r>
    </w:p>
    <w:p w14:paraId="24366CDB" w14:textId="77777777" w:rsidR="00003309" w:rsidRDefault="00003309" w:rsidP="00003309">
      <w:pPr>
        <w:spacing w:after="0" w:line="240" w:lineRule="auto"/>
        <w:jc w:val="left"/>
      </w:pPr>
      <w:r>
        <w:br w:type="page"/>
      </w:r>
    </w:p>
    <w:p w14:paraId="363BAC74" w14:textId="77777777" w:rsidR="00825C92" w:rsidRDefault="00825C92" w:rsidP="00825C92">
      <w:pPr>
        <w:pStyle w:val="Heading2"/>
        <w:numPr>
          <w:ilvl w:val="1"/>
          <w:numId w:val="51"/>
        </w:numPr>
      </w:pPr>
      <w:bookmarkStart w:id="49" w:name="_Toc184287654"/>
      <w:r>
        <w:t>Medicare levy surcharge</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825C92" w14:paraId="35FB61CF" w14:textId="77777777" w:rsidTr="00301F8A">
        <w:trPr>
          <w:trHeight w:val="3051"/>
        </w:trPr>
        <w:tc>
          <w:tcPr>
            <w:tcW w:w="7711" w:type="dxa"/>
            <w:shd w:val="clear" w:color="auto" w:fill="DEEAF6"/>
          </w:tcPr>
          <w:p w14:paraId="2A53BB6E" w14:textId="77777777" w:rsidR="00825C92" w:rsidRPr="00E1619F" w:rsidRDefault="00825C92" w:rsidP="00E1619F">
            <w:pPr>
              <w:spacing w:before="120" w:after="120" w:line="240" w:lineRule="auto"/>
            </w:pPr>
            <w:r w:rsidRPr="00E1619F">
              <w:t>Under the benchmark, Medicare levy is paid on the taxable income of all residents. Under this tax expenditure (A21), individuals and couples who do not have a specified level of private health insurance and whose income exceeds certain thresholds are subject to the Medicare levy surcharge (MLS). Because the surcharge is a tax that exceeds the benchmark treatment, it is considered a ‘negative tax expenditure’.</w:t>
            </w:r>
          </w:p>
          <w:p w14:paraId="694A23E7" w14:textId="13451775" w:rsidR="00825C92" w:rsidRPr="00674001" w:rsidRDefault="003D3223" w:rsidP="00B334E9">
            <w:pPr>
              <w:pStyle w:val="TableHeading"/>
            </w:pPr>
            <w:r>
              <w:t>Table 2</w:t>
            </w:r>
            <w:r w:rsidR="002B46B9">
              <w:t>.12</w:t>
            </w:r>
            <w:r w:rsidR="00825C92" w:rsidRPr="00674001">
              <w:t xml:space="preserve"> </w:t>
            </w:r>
            <w:r w:rsidR="00825C92">
              <w:t xml:space="preserve">Estimates of aggregate revenue </w:t>
            </w:r>
            <w:r w:rsidR="00965A7B">
              <w:t>forgone</w:t>
            </w:r>
            <w:r w:rsidR="00825C92">
              <w:t xml:space="preserve"> ($m)</w:t>
            </w:r>
          </w:p>
          <w:tbl>
            <w:tblPr>
              <w:tblStyle w:val="TableGrid"/>
              <w:tblW w:w="7480" w:type="dxa"/>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825C92" w14:paraId="65DF0011" w14:textId="77777777" w:rsidTr="00DC7B7D">
              <w:trPr>
                <w:trHeight w:val="255"/>
              </w:trPr>
              <w:tc>
                <w:tcPr>
                  <w:tcW w:w="935" w:type="dxa"/>
                  <w:vAlign w:val="center"/>
                </w:tcPr>
                <w:p w14:paraId="5C5056EB"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112354D5"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137A3298"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51F3A212"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0A9D76DE"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55E5CC75"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6BE18BFA"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46C3F01A" w14:textId="77777777" w:rsidR="00825C92" w:rsidRPr="00301F8A" w:rsidRDefault="00825C92" w:rsidP="00EC5FC3">
                  <w:pPr>
                    <w:spacing w:after="0"/>
                    <w:jc w:val="right"/>
                    <w:rPr>
                      <w:rFonts w:ascii="Arial" w:hAnsi="Arial" w:cs="Arial"/>
                      <w:b/>
                      <w:sz w:val="16"/>
                      <w:szCs w:val="16"/>
                    </w:rPr>
                  </w:pPr>
                  <w:r w:rsidRPr="00301F8A">
                    <w:rPr>
                      <w:rFonts w:ascii="Arial" w:hAnsi="Arial" w:cs="Arial"/>
                      <w:b/>
                      <w:sz w:val="16"/>
                      <w:szCs w:val="16"/>
                    </w:rPr>
                    <w:t>2027-28</w:t>
                  </w:r>
                </w:p>
              </w:tc>
            </w:tr>
            <w:tr w:rsidR="00825C92" w14:paraId="2A426DD0" w14:textId="77777777" w:rsidTr="00DC7B7D">
              <w:trPr>
                <w:trHeight w:val="255"/>
              </w:trPr>
              <w:tc>
                <w:tcPr>
                  <w:tcW w:w="935" w:type="dxa"/>
                </w:tcPr>
                <w:p w14:paraId="37127839"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-540</w:t>
                  </w:r>
                </w:p>
              </w:tc>
              <w:tc>
                <w:tcPr>
                  <w:tcW w:w="935" w:type="dxa"/>
                </w:tcPr>
                <w:p w14:paraId="5A9AF9B3"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-720</w:t>
                  </w:r>
                </w:p>
              </w:tc>
              <w:tc>
                <w:tcPr>
                  <w:tcW w:w="935" w:type="dxa"/>
                </w:tcPr>
                <w:p w14:paraId="066A1D73"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-890</w:t>
                  </w:r>
                </w:p>
              </w:tc>
              <w:tc>
                <w:tcPr>
                  <w:tcW w:w="935" w:type="dxa"/>
                </w:tcPr>
                <w:p w14:paraId="2FF87AF4"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-1,050</w:t>
                  </w:r>
                </w:p>
              </w:tc>
              <w:tc>
                <w:tcPr>
                  <w:tcW w:w="935" w:type="dxa"/>
                </w:tcPr>
                <w:p w14:paraId="6A91A2A1"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-1,100</w:t>
                  </w:r>
                </w:p>
              </w:tc>
              <w:tc>
                <w:tcPr>
                  <w:tcW w:w="935" w:type="dxa"/>
                </w:tcPr>
                <w:p w14:paraId="7018D8F8"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-1,150</w:t>
                  </w:r>
                </w:p>
              </w:tc>
              <w:tc>
                <w:tcPr>
                  <w:tcW w:w="935" w:type="dxa"/>
                </w:tcPr>
                <w:p w14:paraId="0448A42C"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-1,200</w:t>
                  </w:r>
                </w:p>
              </w:tc>
              <w:tc>
                <w:tcPr>
                  <w:tcW w:w="935" w:type="dxa"/>
                </w:tcPr>
                <w:p w14:paraId="71CEEC0C" w14:textId="77777777" w:rsidR="00825C92" w:rsidRPr="00301F8A" w:rsidRDefault="00825C92" w:rsidP="00EC5FC3">
                  <w:pPr>
                    <w:spacing w:after="0"/>
                    <w:jc w:val="right"/>
                    <w:rPr>
                      <w:rFonts w:ascii="Arial" w:hAnsi="Arial" w:cs="Arial"/>
                      <w:sz w:val="16"/>
                      <w:szCs w:val="16"/>
                    </w:rPr>
                  </w:pPr>
                  <w:r w:rsidRPr="00301F8A">
                    <w:rPr>
                      <w:rFonts w:ascii="Arial" w:hAnsi="Arial" w:cs="Arial"/>
                      <w:sz w:val="16"/>
                      <w:szCs w:val="16"/>
                    </w:rPr>
                    <w:t>-1,250</w:t>
                  </w:r>
                </w:p>
              </w:tc>
            </w:tr>
          </w:tbl>
          <w:p w14:paraId="0E282AB7" w14:textId="0F03A3DB" w:rsidR="00825C92" w:rsidRDefault="00825C92" w:rsidP="00E1619F">
            <w:pPr>
              <w:spacing w:before="120" w:after="120" w:line="240" w:lineRule="auto"/>
            </w:pPr>
            <w:r w:rsidRPr="00E1619F">
              <w:t>In 2021</w:t>
            </w:r>
            <w:r w:rsidR="003C3D89">
              <w:t>–2</w:t>
            </w:r>
            <w:r w:rsidRPr="00E1619F">
              <w:t>2 around 660,000 people were impacted by this tax expenditure.</w:t>
            </w:r>
            <w:r w:rsidRPr="00E1619F">
              <w:rPr>
                <w:rStyle w:val="FootnoteReference"/>
              </w:rPr>
              <w:footnoteReference w:id="6"/>
            </w:r>
            <w:r w:rsidRPr="00E1619F">
              <w:t xml:space="preserve"> </w:t>
            </w:r>
          </w:p>
        </w:tc>
      </w:tr>
    </w:tbl>
    <w:p w14:paraId="51C48374" w14:textId="7E294A99" w:rsidR="00825C92" w:rsidRPr="00E1619F" w:rsidRDefault="00825C92" w:rsidP="00E1619F">
      <w:pPr>
        <w:spacing w:before="120" w:after="120" w:line="240" w:lineRule="auto"/>
      </w:pPr>
      <w:r w:rsidRPr="00E1619F">
        <w:t>In 2021</w:t>
      </w:r>
      <w:r w:rsidR="003C3D89">
        <w:t>–2</w:t>
      </w:r>
      <w:r w:rsidRPr="00E1619F">
        <w:t>2, 98 per cent of the MLS was paid by people with above median income, including 40 per cent by people in the top taxable income decile (</w:t>
      </w:r>
      <w:r w:rsidR="003D3223">
        <w:t>Chart 2</w:t>
      </w:r>
      <w:r w:rsidR="00261997" w:rsidRPr="00E1619F">
        <w:t>.14</w:t>
      </w:r>
      <w:r w:rsidRPr="00E1619F">
        <w:t>). The MLS is levied considering both individual and family income. Some individuals with low taxable incomes (below the individual threshold) can still be liable for the surcharge if their family income exceeds the family threshold. The single income threshold for individuals was $90,000 and for a couple without dependents was $180,000 in 2021-22 (and is currently $97,000 and $194,000 respectively in 2024</w:t>
      </w:r>
      <w:r w:rsidR="003C3D89">
        <w:t>–2</w:t>
      </w:r>
      <w:r w:rsidRPr="00E1619F">
        <w:t>5).</w:t>
      </w:r>
    </w:p>
    <w:p w14:paraId="6A19CB35" w14:textId="0E28101D" w:rsidR="00825C92" w:rsidRDefault="003D3223" w:rsidP="00B334E9">
      <w:pPr>
        <w:pStyle w:val="ChartHeading"/>
      </w:pPr>
      <w:r>
        <w:t>Chart 2</w:t>
      </w:r>
      <w:r w:rsidR="00261997">
        <w:t>.14</w:t>
      </w:r>
      <w:r w:rsidR="00825C92" w:rsidRPr="005C22A4">
        <w:t xml:space="preserve"> </w:t>
      </w:r>
      <w:r w:rsidR="00825C92">
        <w:t xml:space="preserve">Share of liability for those who are liable and payers by taxable income decile, </w:t>
      </w:r>
      <w:r w:rsidR="00825C92" w:rsidRPr="005C22A4">
        <w:t>20</w:t>
      </w:r>
      <w:r w:rsidR="00825C92">
        <w:t>21</w:t>
      </w:r>
      <w:r w:rsidR="003C3D89">
        <w:t>–2</w:t>
      </w:r>
      <w:r w:rsidR="00825C92">
        <w:t>2</w:t>
      </w:r>
    </w:p>
    <w:p w14:paraId="7A95ACC9" w14:textId="18A865A7" w:rsidR="00825C92" w:rsidRDefault="007A1E82" w:rsidP="00825C92">
      <w:pPr>
        <w:pStyle w:val="ChartGraphic"/>
      </w:pPr>
      <w:r>
        <w:object w:dxaOrig="7366" w:dyaOrig="4531" w14:anchorId="27467FCD">
          <v:shape id="_x0000_i1038" type="#_x0000_t75" alt="This bar chart shows that the number of payers and share of surcharge paid is concentrated to the three highest deciles. " style="width:368.25pt;height:226.5pt" o:ole="">
            <v:imagedata r:id="rId55" o:title=""/>
          </v:shape>
          <o:OLEObject Type="Link" ProgID="Excel.Sheet.12" ShapeID="_x0000_i1038" DrawAspect="Content" r:id="rId56" UpdateMode="Always">
            <o:LinkType>EnhancedMetaFile</o:LinkType>
            <o:LockedField>false</o:LockedField>
          </o:OLEObject>
        </w:object>
      </w:r>
    </w:p>
    <w:p w14:paraId="5B128784" w14:textId="77777777" w:rsidR="00825C92" w:rsidRDefault="00825C92" w:rsidP="00B334E9">
      <w:pPr>
        <w:pStyle w:val="ChartandTableFootnote"/>
      </w:pPr>
      <w:r w:rsidRPr="00CB34A6">
        <w:t>Source: Treasury</w:t>
      </w:r>
    </w:p>
    <w:p w14:paraId="70E5AD64" w14:textId="3CC57CE4" w:rsidR="00825C92" w:rsidRPr="00EE24D1" w:rsidRDefault="003D3223" w:rsidP="00B334E9">
      <w:pPr>
        <w:pStyle w:val="TableHeading"/>
      </w:pPr>
      <w:r>
        <w:t>Table 2</w:t>
      </w:r>
      <w:r w:rsidR="002B46B9">
        <w:t>.13</w:t>
      </w:r>
      <w:r w:rsidR="00825C92" w:rsidRPr="00674001">
        <w:t xml:space="preserve"> Distributional effect by gender</w:t>
      </w:r>
      <w:r w:rsidR="00825C92">
        <w:t>,</w:t>
      </w:r>
      <w:r w:rsidR="00825C92" w:rsidRPr="00674001">
        <w:t xml:space="preserve"> 20</w:t>
      </w:r>
      <w:r w:rsidR="00825C92">
        <w:t>21</w:t>
      </w:r>
      <w:r w:rsidR="003C3D89">
        <w:t>–2</w:t>
      </w:r>
      <w:r w:rsidR="00825C92">
        <w:t>2</w:t>
      </w:r>
      <w:r w:rsidR="00105C22">
        <w:t>*</w:t>
      </w:r>
    </w:p>
    <w:tbl>
      <w:tblPr>
        <w:tblW w:w="7681" w:type="dxa"/>
        <w:tblLook w:val="04A0" w:firstRow="1" w:lastRow="0" w:firstColumn="1" w:lastColumn="0" w:noHBand="0" w:noVBand="1"/>
      </w:tblPr>
      <w:tblGrid>
        <w:gridCol w:w="1306"/>
        <w:gridCol w:w="2100"/>
        <w:gridCol w:w="1894"/>
        <w:gridCol w:w="2381"/>
      </w:tblGrid>
      <w:tr w:rsidR="00825C92" w:rsidRPr="00EE24D1" w14:paraId="53A6B898" w14:textId="77777777" w:rsidTr="00AF61FD">
        <w:trPr>
          <w:trHeight w:val="227"/>
        </w:trPr>
        <w:tc>
          <w:tcPr>
            <w:tcW w:w="1306" w:type="dxa"/>
            <w:tcBorders>
              <w:top w:val="single" w:sz="4" w:space="0" w:color="auto"/>
              <w:left w:val="nil"/>
              <w:bottom w:val="single" w:sz="4" w:space="0" w:color="auto"/>
              <w:right w:val="nil"/>
            </w:tcBorders>
            <w:shd w:val="clear" w:color="auto" w:fill="auto"/>
            <w:vAlign w:val="center"/>
            <w:hideMark/>
          </w:tcPr>
          <w:p w14:paraId="3639B862" w14:textId="77777777" w:rsidR="00825C92" w:rsidRPr="00301F8A" w:rsidRDefault="00825C92"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2100" w:type="dxa"/>
            <w:tcBorders>
              <w:top w:val="single" w:sz="4" w:space="0" w:color="auto"/>
              <w:left w:val="nil"/>
              <w:bottom w:val="single" w:sz="4" w:space="0" w:color="auto"/>
              <w:right w:val="nil"/>
            </w:tcBorders>
            <w:shd w:val="clear" w:color="auto" w:fill="auto"/>
            <w:vAlign w:val="center"/>
            <w:hideMark/>
          </w:tcPr>
          <w:p w14:paraId="5F636689" w14:textId="77777777"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liability ($)</w:t>
            </w:r>
          </w:p>
        </w:tc>
        <w:tc>
          <w:tcPr>
            <w:tcW w:w="1894" w:type="dxa"/>
            <w:tcBorders>
              <w:top w:val="single" w:sz="4" w:space="0" w:color="auto"/>
              <w:left w:val="nil"/>
              <w:bottom w:val="single" w:sz="4" w:space="0" w:color="auto"/>
              <w:right w:val="nil"/>
            </w:tcBorders>
            <w:shd w:val="clear" w:color="auto" w:fill="auto"/>
            <w:vAlign w:val="center"/>
            <w:hideMark/>
          </w:tcPr>
          <w:p w14:paraId="036174EF" w14:textId="7D639D18"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 xml:space="preserve">MLS </w:t>
            </w:r>
            <w:r w:rsidR="003C3D89">
              <w:rPr>
                <w:rFonts w:ascii="Arial" w:hAnsi="Arial" w:cs="Arial"/>
                <w:b/>
                <w:color w:val="000000"/>
                <w:sz w:val="16"/>
                <w:szCs w:val="16"/>
              </w:rPr>
              <w:t>p</w:t>
            </w:r>
            <w:r w:rsidRPr="00301F8A">
              <w:rPr>
                <w:rFonts w:ascii="Arial" w:hAnsi="Arial" w:cs="Arial"/>
                <w:b/>
                <w:color w:val="000000"/>
                <w:sz w:val="16"/>
                <w:szCs w:val="16"/>
              </w:rPr>
              <w:t>ayers (million)</w:t>
            </w:r>
          </w:p>
        </w:tc>
        <w:tc>
          <w:tcPr>
            <w:tcW w:w="2381" w:type="dxa"/>
            <w:tcBorders>
              <w:top w:val="single" w:sz="4" w:space="0" w:color="auto"/>
              <w:left w:val="nil"/>
              <w:bottom w:val="single" w:sz="4" w:space="0" w:color="auto"/>
              <w:right w:val="nil"/>
            </w:tcBorders>
            <w:shd w:val="clear" w:color="auto" w:fill="auto"/>
            <w:vAlign w:val="center"/>
            <w:hideMark/>
          </w:tcPr>
          <w:p w14:paraId="4CCF9C29" w14:textId="77777777" w:rsidR="00825C92" w:rsidRPr="00301F8A" w:rsidRDefault="00825C92"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liability (%)</w:t>
            </w:r>
          </w:p>
        </w:tc>
      </w:tr>
      <w:tr w:rsidR="00825C92" w:rsidRPr="00EE24D1" w14:paraId="4DB86EBE" w14:textId="77777777" w:rsidTr="0058012E">
        <w:trPr>
          <w:trHeight w:val="227"/>
        </w:trPr>
        <w:tc>
          <w:tcPr>
            <w:tcW w:w="1306" w:type="dxa"/>
            <w:tcBorders>
              <w:top w:val="single" w:sz="4" w:space="0" w:color="auto"/>
              <w:left w:val="nil"/>
              <w:right w:val="nil"/>
            </w:tcBorders>
            <w:shd w:val="clear" w:color="auto" w:fill="auto"/>
            <w:vAlign w:val="center"/>
            <w:hideMark/>
          </w:tcPr>
          <w:p w14:paraId="3E04880B" w14:textId="77777777"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2100" w:type="dxa"/>
            <w:tcBorders>
              <w:top w:val="single" w:sz="4" w:space="0" w:color="auto"/>
              <w:left w:val="nil"/>
              <w:right w:val="nil"/>
            </w:tcBorders>
            <w:shd w:val="clear" w:color="auto" w:fill="auto"/>
            <w:vAlign w:val="center"/>
            <w:hideMark/>
          </w:tcPr>
          <w:p w14:paraId="4EE3EC41"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1,470</w:t>
            </w:r>
          </w:p>
        </w:tc>
        <w:tc>
          <w:tcPr>
            <w:tcW w:w="1894" w:type="dxa"/>
            <w:tcBorders>
              <w:top w:val="single" w:sz="4" w:space="0" w:color="auto"/>
              <w:left w:val="nil"/>
              <w:right w:val="nil"/>
            </w:tcBorders>
            <w:shd w:val="clear" w:color="auto" w:fill="auto"/>
            <w:vAlign w:val="center"/>
            <w:hideMark/>
          </w:tcPr>
          <w:p w14:paraId="18EB66C9"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0.4</w:t>
            </w:r>
          </w:p>
        </w:tc>
        <w:tc>
          <w:tcPr>
            <w:tcW w:w="2381" w:type="dxa"/>
            <w:tcBorders>
              <w:top w:val="single" w:sz="4" w:space="0" w:color="auto"/>
              <w:left w:val="nil"/>
              <w:right w:val="nil"/>
            </w:tcBorders>
            <w:shd w:val="clear" w:color="auto" w:fill="auto"/>
            <w:vAlign w:val="center"/>
            <w:hideMark/>
          </w:tcPr>
          <w:p w14:paraId="19D2F973"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63</w:t>
            </w:r>
          </w:p>
        </w:tc>
      </w:tr>
      <w:tr w:rsidR="00825C92" w:rsidRPr="00EE24D1" w14:paraId="77CB1814" w14:textId="77777777" w:rsidTr="0058012E">
        <w:trPr>
          <w:trHeight w:val="227"/>
        </w:trPr>
        <w:tc>
          <w:tcPr>
            <w:tcW w:w="1306" w:type="dxa"/>
            <w:tcBorders>
              <w:left w:val="nil"/>
              <w:bottom w:val="single" w:sz="4" w:space="0" w:color="auto"/>
              <w:right w:val="nil"/>
            </w:tcBorders>
            <w:shd w:val="clear" w:color="auto" w:fill="auto"/>
            <w:vAlign w:val="center"/>
            <w:hideMark/>
          </w:tcPr>
          <w:p w14:paraId="377D512E" w14:textId="77777777"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2100" w:type="dxa"/>
            <w:tcBorders>
              <w:left w:val="nil"/>
              <w:bottom w:val="single" w:sz="4" w:space="0" w:color="auto"/>
              <w:right w:val="nil"/>
            </w:tcBorders>
            <w:shd w:val="clear" w:color="auto" w:fill="auto"/>
            <w:vAlign w:val="center"/>
            <w:hideMark/>
          </w:tcPr>
          <w:p w14:paraId="5DA0299A"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1,160</w:t>
            </w:r>
          </w:p>
        </w:tc>
        <w:tc>
          <w:tcPr>
            <w:tcW w:w="1894" w:type="dxa"/>
            <w:tcBorders>
              <w:left w:val="nil"/>
              <w:bottom w:val="single" w:sz="4" w:space="0" w:color="auto"/>
              <w:right w:val="nil"/>
            </w:tcBorders>
            <w:shd w:val="clear" w:color="auto" w:fill="auto"/>
            <w:vAlign w:val="center"/>
            <w:hideMark/>
          </w:tcPr>
          <w:p w14:paraId="6468D541"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0.3</w:t>
            </w:r>
          </w:p>
        </w:tc>
        <w:tc>
          <w:tcPr>
            <w:tcW w:w="2381" w:type="dxa"/>
            <w:tcBorders>
              <w:left w:val="nil"/>
              <w:bottom w:val="single" w:sz="4" w:space="0" w:color="auto"/>
              <w:right w:val="nil"/>
            </w:tcBorders>
            <w:shd w:val="clear" w:color="auto" w:fill="auto"/>
            <w:vAlign w:val="center"/>
            <w:hideMark/>
          </w:tcPr>
          <w:p w14:paraId="24CA166D"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37</w:t>
            </w:r>
          </w:p>
        </w:tc>
      </w:tr>
      <w:tr w:rsidR="00825C92" w:rsidRPr="00EE24D1" w14:paraId="356719A3" w14:textId="77777777" w:rsidTr="007C611C">
        <w:trPr>
          <w:trHeight w:val="227"/>
        </w:trPr>
        <w:tc>
          <w:tcPr>
            <w:tcW w:w="1306" w:type="dxa"/>
            <w:tcBorders>
              <w:top w:val="nil"/>
              <w:left w:val="nil"/>
              <w:bottom w:val="single" w:sz="8" w:space="0" w:color="auto"/>
              <w:right w:val="nil"/>
            </w:tcBorders>
            <w:shd w:val="clear" w:color="auto" w:fill="auto"/>
            <w:vAlign w:val="center"/>
            <w:hideMark/>
          </w:tcPr>
          <w:p w14:paraId="4567B838" w14:textId="5B732EAA" w:rsidR="00825C92" w:rsidRPr="00301F8A" w:rsidRDefault="00825C92"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Total</w:t>
            </w:r>
          </w:p>
        </w:tc>
        <w:tc>
          <w:tcPr>
            <w:tcW w:w="2100" w:type="dxa"/>
            <w:tcBorders>
              <w:top w:val="nil"/>
              <w:left w:val="nil"/>
              <w:bottom w:val="single" w:sz="8" w:space="0" w:color="auto"/>
              <w:right w:val="nil"/>
            </w:tcBorders>
            <w:shd w:val="clear" w:color="auto" w:fill="auto"/>
            <w:vAlign w:val="center"/>
            <w:hideMark/>
          </w:tcPr>
          <w:p w14:paraId="3713070C"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1,340</w:t>
            </w:r>
          </w:p>
        </w:tc>
        <w:tc>
          <w:tcPr>
            <w:tcW w:w="1894" w:type="dxa"/>
            <w:tcBorders>
              <w:top w:val="nil"/>
              <w:left w:val="nil"/>
              <w:bottom w:val="single" w:sz="8" w:space="0" w:color="auto"/>
              <w:right w:val="nil"/>
            </w:tcBorders>
            <w:shd w:val="clear" w:color="auto" w:fill="auto"/>
            <w:vAlign w:val="center"/>
            <w:hideMark/>
          </w:tcPr>
          <w:p w14:paraId="700234DE"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0.7</w:t>
            </w:r>
          </w:p>
        </w:tc>
        <w:tc>
          <w:tcPr>
            <w:tcW w:w="2381" w:type="dxa"/>
            <w:tcBorders>
              <w:top w:val="nil"/>
              <w:left w:val="nil"/>
              <w:bottom w:val="single" w:sz="8" w:space="0" w:color="auto"/>
              <w:right w:val="nil"/>
            </w:tcBorders>
            <w:shd w:val="clear" w:color="auto" w:fill="auto"/>
            <w:vAlign w:val="center"/>
            <w:hideMark/>
          </w:tcPr>
          <w:p w14:paraId="1FB31CDD" w14:textId="77777777" w:rsidR="00825C92" w:rsidRPr="00301F8A" w:rsidRDefault="00825C92"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bl>
    <w:p w14:paraId="6449FB91" w14:textId="62C8149C" w:rsidR="00105C22" w:rsidRDefault="00105C22" w:rsidP="00105C22">
      <w:pPr>
        <w:pStyle w:val="ChartandTableFootnote"/>
        <w:spacing w:line="276" w:lineRule="auto"/>
      </w:pPr>
      <w:r w:rsidRPr="00173B4F">
        <w:t>* Totals may not sum due to rounding.</w:t>
      </w:r>
    </w:p>
    <w:p w14:paraId="2D1BE52A" w14:textId="7F336D5B" w:rsidR="00825C92" w:rsidRPr="00E1619F" w:rsidRDefault="00825C92" w:rsidP="00E1619F">
      <w:pPr>
        <w:spacing w:before="120" w:after="120" w:line="240" w:lineRule="auto"/>
      </w:pPr>
      <w:r w:rsidRPr="00E1619F">
        <w:t>In 2021</w:t>
      </w:r>
      <w:r w:rsidR="003C3D89">
        <w:t>–2</w:t>
      </w:r>
      <w:r w:rsidRPr="00E1619F">
        <w:t>2, 63 per cent of the MLS liability was paid by men, and men paid more on average ($1,470 compared to $1,160 for women) (</w:t>
      </w:r>
      <w:r w:rsidR="003D3223">
        <w:t>Table 2</w:t>
      </w:r>
      <w:r w:rsidR="002B46B9" w:rsidRPr="00E1619F">
        <w:t>.13</w:t>
      </w:r>
      <w:r w:rsidRPr="00E1619F">
        <w:t>). This is due to a larger share of high-income tax filers being men.</w:t>
      </w:r>
    </w:p>
    <w:p w14:paraId="2EBAFD1D" w14:textId="18625B3D" w:rsidR="00825C92" w:rsidRPr="00796C9D" w:rsidRDefault="00825C92" w:rsidP="00E1619F">
      <w:pPr>
        <w:spacing w:before="120" w:after="120" w:line="240" w:lineRule="auto"/>
        <w:rPr>
          <w:rFonts w:ascii="Arial" w:hAnsi="Arial" w:cs="Arial"/>
          <w:b/>
        </w:rPr>
      </w:pPr>
      <w:r w:rsidRPr="00E1619F">
        <w:t xml:space="preserve">Approximately 93 per cent of those paying MLS </w:t>
      </w:r>
      <w:r w:rsidR="007312AE" w:rsidRPr="00E1619F">
        <w:t>were</w:t>
      </w:r>
      <w:r w:rsidRPr="00E1619F">
        <w:t xml:space="preserve"> 25 to 64 years old (</w:t>
      </w:r>
      <w:r w:rsidR="003D3223">
        <w:t>Chart 2</w:t>
      </w:r>
      <w:r w:rsidR="006700D1" w:rsidRPr="00E1619F">
        <w:t>.15</w:t>
      </w:r>
      <w:r w:rsidRPr="00E1619F">
        <w:t>)</w:t>
      </w:r>
      <w:r w:rsidR="00A25F01">
        <w:t>.</w:t>
      </w:r>
    </w:p>
    <w:p w14:paraId="568D1202" w14:textId="77777777" w:rsidR="00825C92" w:rsidRPr="00796C9D" w:rsidRDefault="00825C92" w:rsidP="00825C92">
      <w:pPr>
        <w:spacing w:after="120"/>
        <w:jc w:val="center"/>
        <w:rPr>
          <w:rFonts w:ascii="Arial" w:hAnsi="Arial" w:cs="Arial"/>
          <w:b/>
        </w:rPr>
      </w:pPr>
    </w:p>
    <w:p w14:paraId="7CF8B3B6" w14:textId="5B5D7F3C" w:rsidR="00825C92" w:rsidRDefault="003D3223" w:rsidP="00B334E9">
      <w:pPr>
        <w:pStyle w:val="ChartHeading"/>
      </w:pPr>
      <w:r>
        <w:t>Chart 2</w:t>
      </w:r>
      <w:r w:rsidR="006700D1">
        <w:t>.15</w:t>
      </w:r>
      <w:r w:rsidR="00825C92" w:rsidRPr="00CB34A6">
        <w:t xml:space="preserve"> </w:t>
      </w:r>
      <w:r w:rsidR="00825C92">
        <w:t xml:space="preserve">Share of liability and payers </w:t>
      </w:r>
      <w:r w:rsidR="00825C92" w:rsidRPr="005C22A4">
        <w:t xml:space="preserve">by </w:t>
      </w:r>
      <w:r w:rsidR="00825C92">
        <w:t xml:space="preserve">age, </w:t>
      </w:r>
      <w:r w:rsidR="00825C92" w:rsidRPr="005C22A4">
        <w:t>20</w:t>
      </w:r>
      <w:r w:rsidR="00825C92">
        <w:t>21</w:t>
      </w:r>
      <w:r w:rsidR="003C3D89">
        <w:t>–2</w:t>
      </w:r>
      <w:r w:rsidR="00825C92">
        <w:t>2</w:t>
      </w:r>
    </w:p>
    <w:p w14:paraId="6C1336EA" w14:textId="1A424F22" w:rsidR="00825C92" w:rsidRDefault="003F4B69" w:rsidP="00825C92">
      <w:pPr>
        <w:pStyle w:val="ChartGraphic"/>
      </w:pPr>
      <w:r>
        <w:object w:dxaOrig="7366" w:dyaOrig="4531" w14:anchorId="3D02F9F3">
          <v:shape id="_x0000_i1039" type="#_x0000_t75" alt="This bar chart shows that the number of payers and share of surcharge paid is distributed over the working age population (25 to 64).&#10;" style="width:370.5pt;height:225.75pt" o:ole="">
            <v:imagedata r:id="rId57" o:title=""/>
          </v:shape>
          <o:OLEObject Type="Link" ProgID="Excel.Sheet.12" ShapeID="_x0000_i1039" DrawAspect="Content" r:id="rId58" UpdateMode="Always">
            <o:LinkType>EnhancedMetaFile</o:LinkType>
            <o:LockedField/>
          </o:OLEObject>
        </w:object>
      </w:r>
    </w:p>
    <w:p w14:paraId="382E9B21" w14:textId="77777777" w:rsidR="00825C92" w:rsidRPr="00E0623E" w:rsidRDefault="00825C92" w:rsidP="00B334E9">
      <w:pPr>
        <w:pStyle w:val="ChartandTableFootnote"/>
      </w:pPr>
      <w:r w:rsidRPr="00CB34A6">
        <w:t>Source: Treasury</w:t>
      </w:r>
    </w:p>
    <w:p w14:paraId="6F021F05" w14:textId="77777777" w:rsidR="00825C92" w:rsidRPr="00E0623E" w:rsidRDefault="00825C92" w:rsidP="00825C92">
      <w:pPr>
        <w:spacing w:after="0" w:line="240" w:lineRule="auto"/>
        <w:jc w:val="left"/>
        <w:rPr>
          <w:rFonts w:ascii="Arial" w:hAnsi="Arial" w:cs="Arial"/>
          <w:sz w:val="16"/>
          <w:szCs w:val="16"/>
        </w:rPr>
      </w:pPr>
      <w:r>
        <w:rPr>
          <w:rFonts w:ascii="Arial" w:hAnsi="Arial" w:cs="Arial"/>
          <w:sz w:val="16"/>
          <w:szCs w:val="16"/>
        </w:rPr>
        <w:br w:type="page"/>
      </w:r>
    </w:p>
    <w:p w14:paraId="1A98B425" w14:textId="7361D282" w:rsidR="00226A13" w:rsidRDefault="00226A13" w:rsidP="00FA7A7A">
      <w:pPr>
        <w:pStyle w:val="Heading2"/>
        <w:numPr>
          <w:ilvl w:val="1"/>
          <w:numId w:val="51"/>
        </w:numPr>
      </w:pPr>
      <w:bookmarkStart w:id="50" w:name="_Toc184287655"/>
      <w:r w:rsidRPr="00FF26D7">
        <w:rPr>
          <w:rFonts w:cs="Arial"/>
        </w:rPr>
        <w:t>Senior</w:t>
      </w:r>
      <w:r>
        <w:rPr>
          <w:rFonts w:cs="Arial"/>
        </w:rPr>
        <w:t>s</w:t>
      </w:r>
      <w:r w:rsidRPr="00FF26D7">
        <w:rPr>
          <w:rFonts w:cs="Arial"/>
        </w:rPr>
        <w:t xml:space="preserve"> and </w:t>
      </w:r>
      <w:r>
        <w:rPr>
          <w:rFonts w:cs="Arial"/>
        </w:rPr>
        <w:t>p</w:t>
      </w:r>
      <w:r w:rsidRPr="00FF26D7">
        <w:rPr>
          <w:rFonts w:cs="Arial"/>
        </w:rPr>
        <w:t xml:space="preserve">ensioners </w:t>
      </w:r>
      <w:r>
        <w:rPr>
          <w:rFonts w:cs="Arial"/>
        </w:rPr>
        <w:t>t</w:t>
      </w:r>
      <w:r w:rsidRPr="00FF26D7">
        <w:rPr>
          <w:rFonts w:cs="Arial"/>
        </w:rPr>
        <w:t xml:space="preserve">ax </w:t>
      </w:r>
      <w:r>
        <w:rPr>
          <w:rFonts w:cs="Arial"/>
        </w:rPr>
        <w:t>o</w:t>
      </w:r>
      <w:r w:rsidRPr="00FF26D7">
        <w:rPr>
          <w:rFonts w:cs="Arial"/>
        </w:rPr>
        <w:t>ffset</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226A13" w14:paraId="175CFA34" w14:textId="77777777" w:rsidTr="0055251D">
        <w:trPr>
          <w:trHeight w:val="3051"/>
        </w:trPr>
        <w:tc>
          <w:tcPr>
            <w:tcW w:w="8755" w:type="dxa"/>
            <w:shd w:val="clear" w:color="auto" w:fill="DEEAF6"/>
          </w:tcPr>
          <w:p w14:paraId="10A884BA" w14:textId="3107BE08" w:rsidR="00226A13" w:rsidRDefault="00226A13" w:rsidP="00B334E9">
            <w:r w:rsidRPr="00E1619F">
              <w:t>Under the benchmark, government payments to individuals are included in personal taxable income and taxed at marginal rates. Under this tax expenditure (A32), the seniors and pensioners tax offset (SAPTO) reduces the tax payable by taxpayers who meet certain eligibility requirements for taxable pensions and payments, such as the Age Pension and Parenting Payment Single. The value of the offset depends on marital status and income.</w:t>
            </w:r>
          </w:p>
          <w:p w14:paraId="2BF895E2" w14:textId="11E6A70E" w:rsidR="00226A13" w:rsidRPr="00674001" w:rsidRDefault="003D3223" w:rsidP="00B334E9">
            <w:pPr>
              <w:pStyle w:val="TableHeading"/>
            </w:pPr>
            <w:r>
              <w:t>Table 2</w:t>
            </w:r>
            <w:r w:rsidR="002B46B9">
              <w:t>.14</w:t>
            </w:r>
            <w:r w:rsidR="00226A13" w:rsidRPr="00674001">
              <w:t xml:space="preserve"> </w:t>
            </w:r>
            <w:r w:rsidR="00226A13">
              <w:t xml:space="preserve">Estimates of aggregate revenue </w:t>
            </w:r>
            <w:r w:rsidR="00965A7B">
              <w:t>forgone</w:t>
            </w:r>
            <w:r w:rsidR="00226A13">
              <w:t xml:space="preserv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226A13" w14:paraId="30404BD2" w14:textId="77777777" w:rsidTr="00DC7B7D">
              <w:trPr>
                <w:trHeight w:val="255"/>
                <w:jc w:val="center"/>
              </w:trPr>
              <w:tc>
                <w:tcPr>
                  <w:tcW w:w="935" w:type="dxa"/>
                  <w:tcBorders>
                    <w:bottom w:val="single" w:sz="4" w:space="0" w:color="auto"/>
                  </w:tcBorders>
                  <w:vAlign w:val="center"/>
                </w:tcPr>
                <w:p w14:paraId="7A9ACF6C"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201457A6"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4773470F"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2C79D66E"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5923F47B"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366E734"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2DC08B89"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4EB5D1D9" w14:textId="77777777" w:rsidR="00226A13" w:rsidRPr="00301F8A" w:rsidRDefault="00226A13" w:rsidP="00EC5FC3">
                  <w:pPr>
                    <w:spacing w:after="0"/>
                    <w:jc w:val="right"/>
                    <w:rPr>
                      <w:rFonts w:ascii="Arial" w:hAnsi="Arial" w:cs="Arial"/>
                      <w:b/>
                      <w:sz w:val="16"/>
                      <w:szCs w:val="16"/>
                    </w:rPr>
                  </w:pPr>
                  <w:r w:rsidRPr="00301F8A">
                    <w:rPr>
                      <w:rFonts w:ascii="Arial" w:hAnsi="Arial" w:cs="Arial"/>
                      <w:b/>
                      <w:sz w:val="16"/>
                      <w:szCs w:val="16"/>
                    </w:rPr>
                    <w:t>2027-28</w:t>
                  </w:r>
                </w:p>
              </w:tc>
            </w:tr>
            <w:tr w:rsidR="00226A13" w14:paraId="0630B7DB" w14:textId="77777777" w:rsidTr="00DC7B7D">
              <w:trPr>
                <w:trHeight w:val="255"/>
                <w:jc w:val="center"/>
              </w:trPr>
              <w:tc>
                <w:tcPr>
                  <w:tcW w:w="935" w:type="dxa"/>
                  <w:tcBorders>
                    <w:top w:val="single" w:sz="4" w:space="0" w:color="auto"/>
                    <w:bottom w:val="single" w:sz="4" w:space="0" w:color="auto"/>
                  </w:tcBorders>
                </w:tcPr>
                <w:p w14:paraId="2DA996E6"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630</w:t>
                  </w:r>
                </w:p>
              </w:tc>
              <w:tc>
                <w:tcPr>
                  <w:tcW w:w="935" w:type="dxa"/>
                  <w:tcBorders>
                    <w:top w:val="single" w:sz="4" w:space="0" w:color="auto"/>
                    <w:bottom w:val="single" w:sz="4" w:space="0" w:color="auto"/>
                  </w:tcBorders>
                </w:tcPr>
                <w:p w14:paraId="5E0EC6B3"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460</w:t>
                  </w:r>
                </w:p>
              </w:tc>
              <w:tc>
                <w:tcPr>
                  <w:tcW w:w="935" w:type="dxa"/>
                  <w:tcBorders>
                    <w:top w:val="single" w:sz="4" w:space="0" w:color="auto"/>
                    <w:bottom w:val="single" w:sz="4" w:space="0" w:color="auto"/>
                  </w:tcBorders>
                </w:tcPr>
                <w:p w14:paraId="77E9B65D"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1,100</w:t>
                  </w:r>
                </w:p>
              </w:tc>
              <w:tc>
                <w:tcPr>
                  <w:tcW w:w="935" w:type="dxa"/>
                  <w:tcBorders>
                    <w:top w:val="single" w:sz="4" w:space="0" w:color="auto"/>
                    <w:bottom w:val="single" w:sz="4" w:space="0" w:color="auto"/>
                  </w:tcBorders>
                </w:tcPr>
                <w:p w14:paraId="5C05F8DB"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1,250</w:t>
                  </w:r>
                </w:p>
              </w:tc>
              <w:tc>
                <w:tcPr>
                  <w:tcW w:w="935" w:type="dxa"/>
                  <w:tcBorders>
                    <w:top w:val="single" w:sz="4" w:space="0" w:color="auto"/>
                    <w:bottom w:val="single" w:sz="4" w:space="0" w:color="auto"/>
                  </w:tcBorders>
                </w:tcPr>
                <w:p w14:paraId="6C28D920"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1,050</w:t>
                  </w:r>
                </w:p>
              </w:tc>
              <w:tc>
                <w:tcPr>
                  <w:tcW w:w="935" w:type="dxa"/>
                  <w:tcBorders>
                    <w:top w:val="single" w:sz="4" w:space="0" w:color="auto"/>
                    <w:bottom w:val="single" w:sz="4" w:space="0" w:color="auto"/>
                  </w:tcBorders>
                </w:tcPr>
                <w:p w14:paraId="761E8C38"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c>
                <w:tcPr>
                  <w:tcW w:w="935" w:type="dxa"/>
                  <w:tcBorders>
                    <w:top w:val="single" w:sz="4" w:space="0" w:color="auto"/>
                    <w:bottom w:val="single" w:sz="4" w:space="0" w:color="auto"/>
                  </w:tcBorders>
                </w:tcPr>
                <w:p w14:paraId="0CF63A41"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c>
                <w:tcPr>
                  <w:tcW w:w="935" w:type="dxa"/>
                  <w:tcBorders>
                    <w:top w:val="single" w:sz="4" w:space="0" w:color="auto"/>
                    <w:bottom w:val="single" w:sz="4" w:space="0" w:color="auto"/>
                  </w:tcBorders>
                </w:tcPr>
                <w:p w14:paraId="5D259778" w14:textId="77777777" w:rsidR="00226A13" w:rsidRPr="00301F8A" w:rsidRDefault="00226A13" w:rsidP="00EC5FC3">
                  <w:pPr>
                    <w:spacing w:after="0"/>
                    <w:jc w:val="right"/>
                    <w:rPr>
                      <w:rFonts w:ascii="Arial" w:hAnsi="Arial" w:cs="Arial"/>
                      <w:sz w:val="16"/>
                      <w:szCs w:val="16"/>
                    </w:rPr>
                  </w:pPr>
                  <w:r w:rsidRPr="00301F8A">
                    <w:rPr>
                      <w:rFonts w:ascii="Arial" w:hAnsi="Arial" w:cs="Arial"/>
                      <w:sz w:val="16"/>
                      <w:szCs w:val="16"/>
                    </w:rPr>
                    <w:t>1,000</w:t>
                  </w:r>
                </w:p>
              </w:tc>
            </w:tr>
          </w:tbl>
          <w:p w14:paraId="1609F732" w14:textId="51E8B416" w:rsidR="00226A13" w:rsidRDefault="00226A13" w:rsidP="0055251D">
            <w:pPr>
              <w:spacing w:before="120" w:after="0" w:line="240" w:lineRule="auto"/>
            </w:pPr>
            <w:r w:rsidRPr="00E1619F">
              <w:t>In 2021</w:t>
            </w:r>
            <w:r w:rsidR="003C3D89">
              <w:t>–2</w:t>
            </w:r>
            <w:r w:rsidRPr="00E1619F">
              <w:t>2, around 360,000 people benefitted from this tax expenditure.</w:t>
            </w:r>
            <w:r>
              <w:rPr>
                <w:rStyle w:val="FootnoteReference"/>
              </w:rPr>
              <w:footnoteReference w:id="7"/>
            </w:r>
          </w:p>
        </w:tc>
      </w:tr>
    </w:tbl>
    <w:p w14:paraId="64F769D7" w14:textId="348EAC5C" w:rsidR="00226A13" w:rsidRPr="00E1619F" w:rsidRDefault="00226A13" w:rsidP="00E1619F">
      <w:pPr>
        <w:spacing w:before="120" w:after="120" w:line="240" w:lineRule="auto"/>
      </w:pPr>
      <w:r w:rsidRPr="00E1619F">
        <w:t>In 2021</w:t>
      </w:r>
      <w:r w:rsidR="003C3D89">
        <w:t>–2</w:t>
      </w:r>
      <w:r w:rsidRPr="00E1619F">
        <w:t>2, 99 per cent of the benefit went to tax filers with below median taxable income (</w:t>
      </w:r>
      <w:r w:rsidR="003D3223">
        <w:t>Chart 2</w:t>
      </w:r>
      <w:r w:rsidR="006700D1" w:rsidRPr="00E1619F">
        <w:t>.16</w:t>
      </w:r>
      <w:r w:rsidRPr="00E1619F">
        <w:t>).</w:t>
      </w:r>
    </w:p>
    <w:p w14:paraId="02A44BDB" w14:textId="56476FE1" w:rsidR="00226A13" w:rsidRPr="005C22A4" w:rsidRDefault="003D3223" w:rsidP="00B334E9">
      <w:pPr>
        <w:pStyle w:val="ChartHeading"/>
      </w:pPr>
      <w:r>
        <w:t>Chart 2</w:t>
      </w:r>
      <w:r w:rsidR="006700D1">
        <w:t>.16</w:t>
      </w:r>
      <w:r w:rsidR="00226A13" w:rsidRPr="005C22A4">
        <w:t xml:space="preserve"> </w:t>
      </w:r>
      <w:bookmarkStart w:id="51" w:name="_Hlk146790016"/>
      <w:r w:rsidR="00226A13" w:rsidRPr="0012278E">
        <w:t>Share of benefit and recipients by taxable income decile</w:t>
      </w:r>
      <w:r w:rsidR="00226A13">
        <w:t xml:space="preserve">, </w:t>
      </w:r>
      <w:r w:rsidR="00226A13" w:rsidRPr="005C22A4">
        <w:t>20</w:t>
      </w:r>
      <w:r w:rsidR="00226A13">
        <w:t>21</w:t>
      </w:r>
      <w:r w:rsidR="003C3D89">
        <w:t>–2</w:t>
      </w:r>
      <w:r w:rsidR="00226A13">
        <w:t>2</w:t>
      </w:r>
    </w:p>
    <w:bookmarkEnd w:id="51"/>
    <w:p w14:paraId="44D34A88" w14:textId="357C2F3D" w:rsidR="00813A5C" w:rsidRDefault="003F4B69" w:rsidP="00EF61FC">
      <w:pPr>
        <w:pStyle w:val="ChartGraphic"/>
      </w:pPr>
      <w:r>
        <w:object w:dxaOrig="7366" w:dyaOrig="4531" w14:anchorId="395DCAAE">
          <v:shape id="_x0000_i1040" type="#_x0000_t75" alt="This chart shows that the benefit received and the number of recipients is heavily concentrated in the third and fourth deciles. " style="width:370.5pt;height:225.75pt" o:ole="">
            <v:imagedata r:id="rId59" o:title=""/>
          </v:shape>
          <o:OLEObject Type="Link" ProgID="Excel.Sheet.12" ShapeID="_x0000_i1040" DrawAspect="Content" r:id="rId60" UpdateMode="Always">
            <o:LinkType>EnhancedMetaFile</o:LinkType>
            <o:LockedField/>
          </o:OLEObject>
        </w:object>
      </w:r>
    </w:p>
    <w:p w14:paraId="73FEAF80" w14:textId="77777777" w:rsidR="00226A13" w:rsidRPr="008F6EDE" w:rsidRDefault="00226A13" w:rsidP="00B334E9">
      <w:pPr>
        <w:pStyle w:val="ChartandTableFootnote"/>
      </w:pPr>
      <w:r w:rsidRPr="00CB34A6">
        <w:t>Source: Treasury</w:t>
      </w:r>
    </w:p>
    <w:p w14:paraId="2A8F5613" w14:textId="77777777" w:rsidR="009F5E3D" w:rsidRDefault="009F5E3D">
      <w:pPr>
        <w:spacing w:after="0" w:line="240" w:lineRule="auto"/>
        <w:jc w:val="left"/>
      </w:pPr>
      <w:r>
        <w:br w:type="page"/>
      </w:r>
    </w:p>
    <w:p w14:paraId="0C9FC262" w14:textId="1974A29E" w:rsidR="00226A13" w:rsidRPr="00E1619F" w:rsidRDefault="00226A13" w:rsidP="00E1619F">
      <w:pPr>
        <w:spacing w:before="120" w:after="120" w:line="240" w:lineRule="auto"/>
      </w:pPr>
      <w:r w:rsidRPr="00E1619F">
        <w:t xml:space="preserve">The share of the benefit </w:t>
      </w:r>
      <w:r w:rsidR="005C3A30" w:rsidRPr="00E1619F">
        <w:t>was</w:t>
      </w:r>
      <w:r w:rsidRPr="00E1619F">
        <w:t xml:space="preserve"> greatest for those in the third to fifth income deciles. There were very few tax filers in the lowest and second income deciles who benefitted from the SAPTO, as these tax filers tend to have no tax liability to offset. There were very few recipients in the sixth decile and above due to the cut-out threshold, above which no SAPTO is received. In 2021–22, the cut-out threshold for single taxpayers was $50,119 (and is currently $52,759 in 2024</w:t>
      </w:r>
      <w:r w:rsidR="003C3D89">
        <w:t>–2</w:t>
      </w:r>
      <w:r w:rsidRPr="00E1619F">
        <w:t>5).</w:t>
      </w:r>
    </w:p>
    <w:p w14:paraId="67F0DDF9" w14:textId="13FA8C4C" w:rsidR="00226A13" w:rsidRPr="00674001" w:rsidRDefault="003D3223" w:rsidP="00B334E9">
      <w:pPr>
        <w:pStyle w:val="TableHeading"/>
      </w:pPr>
      <w:r>
        <w:t>Table 2</w:t>
      </w:r>
      <w:r w:rsidR="002B46B9">
        <w:t>.15</w:t>
      </w:r>
      <w:r w:rsidR="00226A13" w:rsidRPr="00674001">
        <w:t xml:space="preserve"> </w:t>
      </w:r>
      <w:bookmarkStart w:id="52" w:name="_Hlk146790024"/>
      <w:r w:rsidR="00226A13" w:rsidRPr="00674001">
        <w:t>Distributional effect by gender</w:t>
      </w:r>
      <w:r w:rsidR="00226A13">
        <w:t>,</w:t>
      </w:r>
      <w:r w:rsidR="00226A13" w:rsidRPr="00674001">
        <w:t xml:space="preserve"> 20</w:t>
      </w:r>
      <w:r w:rsidR="00226A13">
        <w:t>21</w:t>
      </w:r>
      <w:r w:rsidR="003C3D89">
        <w:t>–2</w:t>
      </w:r>
      <w:bookmarkEnd w:id="52"/>
      <w:r w:rsidR="00226A13">
        <w:t>2*</w:t>
      </w:r>
    </w:p>
    <w:tbl>
      <w:tblPr>
        <w:tblW w:w="7480" w:type="dxa"/>
        <w:tblLook w:val="04A0" w:firstRow="1" w:lastRow="0" w:firstColumn="1" w:lastColumn="0" w:noHBand="0" w:noVBand="1"/>
      </w:tblPr>
      <w:tblGrid>
        <w:gridCol w:w="960"/>
        <w:gridCol w:w="1960"/>
        <w:gridCol w:w="2060"/>
        <w:gridCol w:w="2500"/>
      </w:tblGrid>
      <w:tr w:rsidR="00226A13" w:rsidRPr="00E3286F" w14:paraId="36167366" w14:textId="77777777" w:rsidTr="00B877CE">
        <w:trPr>
          <w:trHeight w:val="227"/>
        </w:trPr>
        <w:tc>
          <w:tcPr>
            <w:tcW w:w="960" w:type="dxa"/>
            <w:tcBorders>
              <w:top w:val="single" w:sz="4" w:space="0" w:color="auto"/>
              <w:left w:val="nil"/>
              <w:bottom w:val="single" w:sz="4" w:space="0" w:color="auto"/>
              <w:right w:val="nil"/>
            </w:tcBorders>
            <w:shd w:val="clear" w:color="auto" w:fill="auto"/>
            <w:vAlign w:val="center"/>
            <w:hideMark/>
          </w:tcPr>
          <w:p w14:paraId="1E809863" w14:textId="77777777" w:rsidR="00226A13" w:rsidRPr="00301F8A" w:rsidRDefault="00226A13" w:rsidP="00661050">
            <w:pPr>
              <w:spacing w:after="0" w:line="276"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60" w:type="dxa"/>
            <w:tcBorders>
              <w:top w:val="single" w:sz="4" w:space="0" w:color="auto"/>
              <w:left w:val="nil"/>
              <w:bottom w:val="single" w:sz="4" w:space="0" w:color="auto"/>
              <w:right w:val="nil"/>
            </w:tcBorders>
            <w:shd w:val="clear" w:color="auto" w:fill="auto"/>
            <w:vAlign w:val="center"/>
            <w:hideMark/>
          </w:tcPr>
          <w:p w14:paraId="4662DC44"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2060" w:type="dxa"/>
            <w:tcBorders>
              <w:top w:val="single" w:sz="4" w:space="0" w:color="auto"/>
              <w:left w:val="nil"/>
              <w:bottom w:val="single" w:sz="4" w:space="0" w:color="auto"/>
              <w:right w:val="nil"/>
            </w:tcBorders>
            <w:shd w:val="clear" w:color="auto" w:fill="auto"/>
            <w:vAlign w:val="center"/>
            <w:hideMark/>
          </w:tcPr>
          <w:p w14:paraId="59A8EF6C"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2500" w:type="dxa"/>
            <w:tcBorders>
              <w:top w:val="single" w:sz="4" w:space="0" w:color="auto"/>
              <w:left w:val="nil"/>
              <w:bottom w:val="single" w:sz="4" w:space="0" w:color="auto"/>
              <w:right w:val="nil"/>
            </w:tcBorders>
            <w:shd w:val="clear" w:color="auto" w:fill="auto"/>
            <w:vAlign w:val="center"/>
            <w:hideMark/>
          </w:tcPr>
          <w:p w14:paraId="40F5F074" w14:textId="77777777" w:rsidR="00226A13" w:rsidRPr="00301F8A" w:rsidRDefault="00226A13" w:rsidP="00661050">
            <w:pPr>
              <w:spacing w:after="0" w:line="276"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226A13" w:rsidRPr="00E3286F" w14:paraId="06930010" w14:textId="77777777" w:rsidTr="00B877CE">
        <w:trPr>
          <w:trHeight w:val="227"/>
        </w:trPr>
        <w:tc>
          <w:tcPr>
            <w:tcW w:w="960" w:type="dxa"/>
            <w:tcBorders>
              <w:top w:val="single" w:sz="4" w:space="0" w:color="auto"/>
              <w:left w:val="nil"/>
              <w:right w:val="nil"/>
            </w:tcBorders>
            <w:shd w:val="clear" w:color="auto" w:fill="auto"/>
            <w:vAlign w:val="center"/>
            <w:hideMark/>
          </w:tcPr>
          <w:p w14:paraId="1655E10E" w14:textId="77777777"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1960" w:type="dxa"/>
            <w:tcBorders>
              <w:top w:val="single" w:sz="4" w:space="0" w:color="auto"/>
              <w:left w:val="nil"/>
              <w:right w:val="nil"/>
            </w:tcBorders>
            <w:shd w:val="clear" w:color="auto" w:fill="auto"/>
            <w:vAlign w:val="center"/>
            <w:hideMark/>
          </w:tcPr>
          <w:p w14:paraId="77A7971F"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830</w:t>
            </w:r>
          </w:p>
        </w:tc>
        <w:tc>
          <w:tcPr>
            <w:tcW w:w="2060" w:type="dxa"/>
            <w:tcBorders>
              <w:top w:val="single" w:sz="4" w:space="0" w:color="auto"/>
              <w:left w:val="nil"/>
              <w:right w:val="nil"/>
            </w:tcBorders>
            <w:shd w:val="clear" w:color="auto" w:fill="auto"/>
            <w:vAlign w:val="center"/>
            <w:hideMark/>
          </w:tcPr>
          <w:p w14:paraId="735D7393"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0.1</w:t>
            </w:r>
          </w:p>
        </w:tc>
        <w:tc>
          <w:tcPr>
            <w:tcW w:w="2500" w:type="dxa"/>
            <w:tcBorders>
              <w:top w:val="single" w:sz="4" w:space="0" w:color="auto"/>
              <w:left w:val="nil"/>
              <w:right w:val="nil"/>
            </w:tcBorders>
            <w:shd w:val="clear" w:color="auto" w:fill="auto"/>
            <w:vAlign w:val="center"/>
            <w:hideMark/>
          </w:tcPr>
          <w:p w14:paraId="6327BD38"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34</w:t>
            </w:r>
          </w:p>
        </w:tc>
      </w:tr>
      <w:tr w:rsidR="00226A13" w:rsidRPr="00E3286F" w14:paraId="4AB34474" w14:textId="77777777" w:rsidTr="00741441">
        <w:trPr>
          <w:trHeight w:val="227"/>
        </w:trPr>
        <w:tc>
          <w:tcPr>
            <w:tcW w:w="960" w:type="dxa"/>
            <w:tcBorders>
              <w:left w:val="nil"/>
              <w:bottom w:val="single" w:sz="4" w:space="0" w:color="auto"/>
              <w:right w:val="nil"/>
            </w:tcBorders>
            <w:shd w:val="clear" w:color="auto" w:fill="auto"/>
            <w:vAlign w:val="center"/>
            <w:hideMark/>
          </w:tcPr>
          <w:p w14:paraId="50761CCF" w14:textId="77777777"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1960" w:type="dxa"/>
            <w:tcBorders>
              <w:left w:val="nil"/>
              <w:bottom w:val="single" w:sz="4" w:space="0" w:color="auto"/>
              <w:right w:val="nil"/>
            </w:tcBorders>
            <w:shd w:val="clear" w:color="auto" w:fill="auto"/>
            <w:vAlign w:val="center"/>
            <w:hideMark/>
          </w:tcPr>
          <w:p w14:paraId="5E3C177A"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910</w:t>
            </w:r>
          </w:p>
        </w:tc>
        <w:tc>
          <w:tcPr>
            <w:tcW w:w="2060" w:type="dxa"/>
            <w:tcBorders>
              <w:left w:val="nil"/>
              <w:bottom w:val="single" w:sz="4" w:space="0" w:color="auto"/>
              <w:right w:val="nil"/>
            </w:tcBorders>
            <w:shd w:val="clear" w:color="auto" w:fill="auto"/>
            <w:vAlign w:val="center"/>
            <w:hideMark/>
          </w:tcPr>
          <w:p w14:paraId="425D7AD6"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0.2</w:t>
            </w:r>
          </w:p>
        </w:tc>
        <w:tc>
          <w:tcPr>
            <w:tcW w:w="2500" w:type="dxa"/>
            <w:tcBorders>
              <w:left w:val="nil"/>
              <w:bottom w:val="single" w:sz="4" w:space="0" w:color="auto"/>
              <w:right w:val="nil"/>
            </w:tcBorders>
            <w:shd w:val="clear" w:color="auto" w:fill="auto"/>
            <w:vAlign w:val="center"/>
            <w:hideMark/>
          </w:tcPr>
          <w:p w14:paraId="173E4394"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66</w:t>
            </w:r>
          </w:p>
        </w:tc>
      </w:tr>
      <w:tr w:rsidR="00226A13" w:rsidRPr="00E3286F" w14:paraId="33D52827" w14:textId="77777777" w:rsidTr="00B877CE">
        <w:trPr>
          <w:trHeight w:val="227"/>
        </w:trPr>
        <w:tc>
          <w:tcPr>
            <w:tcW w:w="960" w:type="dxa"/>
            <w:tcBorders>
              <w:top w:val="single" w:sz="4" w:space="0" w:color="auto"/>
              <w:left w:val="nil"/>
              <w:bottom w:val="single" w:sz="4" w:space="0" w:color="auto"/>
              <w:right w:val="nil"/>
            </w:tcBorders>
            <w:shd w:val="clear" w:color="auto" w:fill="auto"/>
            <w:vAlign w:val="center"/>
            <w:hideMark/>
          </w:tcPr>
          <w:p w14:paraId="5A55FF1D" w14:textId="345BB9C1" w:rsidR="00226A13" w:rsidRPr="00301F8A" w:rsidRDefault="00226A13"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w:t>
            </w:r>
            <w:r w:rsidR="00DA7685" w:rsidRPr="00301F8A">
              <w:rPr>
                <w:rFonts w:ascii="Arial" w:hAnsi="Arial" w:cs="Arial"/>
                <w:color w:val="000000"/>
                <w:sz w:val="16"/>
                <w:szCs w:val="16"/>
              </w:rPr>
              <w:t>otal</w:t>
            </w:r>
          </w:p>
        </w:tc>
        <w:tc>
          <w:tcPr>
            <w:tcW w:w="1960" w:type="dxa"/>
            <w:tcBorders>
              <w:top w:val="single" w:sz="4" w:space="0" w:color="auto"/>
              <w:left w:val="nil"/>
              <w:bottom w:val="single" w:sz="4" w:space="0" w:color="auto"/>
              <w:right w:val="nil"/>
            </w:tcBorders>
            <w:shd w:val="clear" w:color="auto" w:fill="auto"/>
            <w:vAlign w:val="center"/>
            <w:hideMark/>
          </w:tcPr>
          <w:p w14:paraId="3028E7BC"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880</w:t>
            </w:r>
          </w:p>
        </w:tc>
        <w:tc>
          <w:tcPr>
            <w:tcW w:w="2060" w:type="dxa"/>
            <w:tcBorders>
              <w:top w:val="single" w:sz="4" w:space="0" w:color="auto"/>
              <w:left w:val="nil"/>
              <w:bottom w:val="single" w:sz="4" w:space="0" w:color="auto"/>
              <w:right w:val="nil"/>
            </w:tcBorders>
            <w:shd w:val="clear" w:color="auto" w:fill="auto"/>
            <w:vAlign w:val="center"/>
            <w:hideMark/>
          </w:tcPr>
          <w:p w14:paraId="2C4ED5DD"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0.4</w:t>
            </w:r>
          </w:p>
        </w:tc>
        <w:tc>
          <w:tcPr>
            <w:tcW w:w="2500" w:type="dxa"/>
            <w:tcBorders>
              <w:top w:val="single" w:sz="4" w:space="0" w:color="auto"/>
              <w:left w:val="nil"/>
              <w:bottom w:val="single" w:sz="4" w:space="0" w:color="auto"/>
              <w:right w:val="nil"/>
            </w:tcBorders>
            <w:shd w:val="clear" w:color="auto" w:fill="auto"/>
            <w:vAlign w:val="center"/>
            <w:hideMark/>
          </w:tcPr>
          <w:p w14:paraId="676F4C76" w14:textId="77777777" w:rsidR="00226A13" w:rsidRPr="00301F8A" w:rsidRDefault="00226A13"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r w:rsidR="00226A13" w:rsidRPr="00E3286F" w14:paraId="32E9C477" w14:textId="77777777" w:rsidTr="00B877CE">
        <w:trPr>
          <w:trHeight w:val="300"/>
        </w:trPr>
        <w:tc>
          <w:tcPr>
            <w:tcW w:w="4980" w:type="dxa"/>
            <w:gridSpan w:val="3"/>
            <w:tcBorders>
              <w:top w:val="single" w:sz="4" w:space="0" w:color="auto"/>
              <w:left w:val="nil"/>
              <w:bottom w:val="nil"/>
              <w:right w:val="nil"/>
            </w:tcBorders>
            <w:shd w:val="clear" w:color="auto" w:fill="auto"/>
            <w:noWrap/>
            <w:vAlign w:val="center"/>
            <w:hideMark/>
          </w:tcPr>
          <w:p w14:paraId="13723F7B" w14:textId="67A0800D" w:rsidR="00226A13" w:rsidRPr="00105C22" w:rsidRDefault="00226A13" w:rsidP="00105C22">
            <w:pPr>
              <w:pStyle w:val="ChartandTableFootnote"/>
              <w:spacing w:line="276" w:lineRule="auto"/>
            </w:pPr>
            <w:r w:rsidRPr="00173B4F">
              <w:t>* Totals may not sum due to rounding.</w:t>
            </w:r>
          </w:p>
        </w:tc>
        <w:tc>
          <w:tcPr>
            <w:tcW w:w="2500" w:type="dxa"/>
            <w:tcBorders>
              <w:top w:val="single" w:sz="4" w:space="0" w:color="auto"/>
              <w:left w:val="nil"/>
              <w:bottom w:val="nil"/>
              <w:right w:val="nil"/>
            </w:tcBorders>
            <w:shd w:val="clear" w:color="auto" w:fill="auto"/>
            <w:noWrap/>
            <w:vAlign w:val="bottom"/>
            <w:hideMark/>
          </w:tcPr>
          <w:p w14:paraId="20FA06F6" w14:textId="77777777" w:rsidR="00226A13" w:rsidRPr="00E3286F" w:rsidRDefault="00226A13">
            <w:pPr>
              <w:spacing w:after="0" w:line="240" w:lineRule="auto"/>
              <w:jc w:val="left"/>
              <w:rPr>
                <w:rFonts w:ascii="Calibri" w:hAnsi="Calibri" w:cs="Calibri"/>
                <w:color w:val="000000"/>
              </w:rPr>
            </w:pPr>
          </w:p>
        </w:tc>
      </w:tr>
    </w:tbl>
    <w:p w14:paraId="4D22CC71" w14:textId="222931DB" w:rsidR="00226A13" w:rsidRPr="00CF6E19" w:rsidRDefault="00226A13" w:rsidP="00CF6E19">
      <w:pPr>
        <w:spacing w:before="120" w:after="120" w:line="240" w:lineRule="auto"/>
      </w:pPr>
      <w:r w:rsidRPr="00E1619F">
        <w:t>Women made up 64 per ce</w:t>
      </w:r>
      <w:r w:rsidRPr="00CF6E19">
        <w:t>nt of SAPTO recipients and received 66 per cent of total SAPTO benefits, reflecting that there are more women recipients of government pensions (</w:t>
      </w:r>
      <w:r w:rsidR="003D3223">
        <w:t>Table 2</w:t>
      </w:r>
      <w:r w:rsidR="002B46B9" w:rsidRPr="00CF6E19">
        <w:t>.15</w:t>
      </w:r>
      <w:r w:rsidRPr="00CF6E19">
        <w:t>). On average, women are more likely to receive the Age Pension and represent an overwhelming majority of Parenting Payment Single Recipients.</w:t>
      </w:r>
    </w:p>
    <w:p w14:paraId="4B09E244" w14:textId="3306D7A2" w:rsidR="00226A13" w:rsidRPr="00CF6E19" w:rsidRDefault="00226A13" w:rsidP="00CF6E19">
      <w:pPr>
        <w:spacing w:before="120" w:after="120" w:line="240" w:lineRule="auto"/>
      </w:pPr>
      <w:r w:rsidRPr="00CF6E19">
        <w:t>The large number of SAPTO recipients aged 65 and older (about 70 per cent of all recipients) reflects the cohort also receiving the age pension (</w:t>
      </w:r>
      <w:r w:rsidR="003D3223">
        <w:t>Chart 2</w:t>
      </w:r>
      <w:r w:rsidR="006700D1" w:rsidRPr="00CF6E19">
        <w:t>.17</w:t>
      </w:r>
      <w:r w:rsidRPr="00CF6E19">
        <w:t>). The smaller, secondary peak of SAPTO recipients in the 25 to 44 age range is due to higher numbers of Parenting Payment Single recipients in these age brackets.</w:t>
      </w:r>
    </w:p>
    <w:p w14:paraId="553A3507" w14:textId="7FDFAE15" w:rsidR="00226A13" w:rsidRDefault="003D3223" w:rsidP="00B334E9">
      <w:pPr>
        <w:pStyle w:val="ChartHeading"/>
      </w:pPr>
      <w:r>
        <w:t>Chart 2</w:t>
      </w:r>
      <w:r w:rsidR="006700D1">
        <w:t>.17</w:t>
      </w:r>
      <w:r w:rsidR="00226A13" w:rsidRPr="005C22A4">
        <w:t xml:space="preserve"> </w:t>
      </w:r>
      <w:bookmarkStart w:id="53" w:name="_Hlk146790010"/>
      <w:r w:rsidR="00226A13" w:rsidRPr="0012278E">
        <w:t>Share of benefit and recipients by age</w:t>
      </w:r>
      <w:r w:rsidR="00226A13">
        <w:t xml:space="preserve">, </w:t>
      </w:r>
      <w:r w:rsidR="00226A13" w:rsidRPr="005C22A4">
        <w:t>20</w:t>
      </w:r>
      <w:r w:rsidR="00226A13">
        <w:t>21</w:t>
      </w:r>
      <w:r w:rsidR="003C3D89">
        <w:t>–2</w:t>
      </w:r>
      <w:r w:rsidR="00226A13">
        <w:t>2</w:t>
      </w:r>
      <w:bookmarkEnd w:id="53"/>
    </w:p>
    <w:p w14:paraId="09C3A006" w14:textId="0397CAE9" w:rsidR="00333909" w:rsidRDefault="003F4B69" w:rsidP="00EF61FC">
      <w:pPr>
        <w:pStyle w:val="ChartGraphic"/>
      </w:pPr>
      <w:r>
        <w:object w:dxaOrig="7366" w:dyaOrig="4531" w14:anchorId="6E7142CE">
          <v:shape id="_x0000_i1041" type="#_x0000_t75" alt="This chart shows that the benefit received and the number of recipients is heavily concentrated in the 65+ age group." style="width:370.5pt;height:225.75pt" o:ole="">
            <v:imagedata r:id="rId61" o:title=""/>
          </v:shape>
          <o:OLEObject Type="Link" ProgID="Excel.Sheet.12" ShapeID="_x0000_i1041" DrawAspect="Content" r:id="rId62" UpdateMode="Always">
            <o:LinkType>EnhancedMetaFile</o:LinkType>
            <o:LockedField/>
          </o:OLEObject>
        </w:object>
      </w:r>
    </w:p>
    <w:p w14:paraId="6A45E0AC" w14:textId="5653BAEB" w:rsidR="000552B7" w:rsidRDefault="00226A13" w:rsidP="00B334E9">
      <w:pPr>
        <w:pStyle w:val="ChartandTableFootnote"/>
      </w:pPr>
      <w:r w:rsidRPr="00CB34A6">
        <w:t>Source: Treasury</w:t>
      </w:r>
    </w:p>
    <w:p w14:paraId="47A99868" w14:textId="1AFCA03F" w:rsidR="001C6DF3" w:rsidRPr="00EF61FC" w:rsidRDefault="001C6DF3" w:rsidP="001C6DF3">
      <w:pPr>
        <w:spacing w:after="0" w:line="240" w:lineRule="auto"/>
        <w:jc w:val="left"/>
        <w:rPr>
          <w:rFonts w:ascii="Arial" w:hAnsi="Arial" w:cs="Arial"/>
          <w:sz w:val="16"/>
          <w:szCs w:val="16"/>
        </w:rPr>
      </w:pPr>
      <w:r>
        <w:rPr>
          <w:rFonts w:ascii="Arial" w:hAnsi="Arial" w:cs="Arial"/>
          <w:sz w:val="16"/>
          <w:szCs w:val="16"/>
        </w:rPr>
        <w:br w:type="page"/>
      </w:r>
    </w:p>
    <w:p w14:paraId="1C6B02F3" w14:textId="4DCEEF1C" w:rsidR="004D75AC" w:rsidRDefault="004D75AC" w:rsidP="00FA7A7A">
      <w:pPr>
        <w:pStyle w:val="Heading2"/>
        <w:numPr>
          <w:ilvl w:val="1"/>
          <w:numId w:val="51"/>
        </w:numPr>
      </w:pPr>
      <w:bookmarkStart w:id="54" w:name="_Toc184287656"/>
      <w:r>
        <w:t>Unincorporated small business tax discount</w:t>
      </w:r>
      <w:bookmarkEnd w:id="5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D75AC" w14:paraId="3079686D" w14:textId="77777777">
        <w:trPr>
          <w:trHeight w:val="3322"/>
        </w:trPr>
        <w:tc>
          <w:tcPr>
            <w:tcW w:w="7711" w:type="dxa"/>
            <w:shd w:val="clear" w:color="auto" w:fill="DEEAF6"/>
          </w:tcPr>
          <w:p w14:paraId="505CE22B" w14:textId="04639717" w:rsidR="004D75AC" w:rsidRPr="00CF6E19" w:rsidRDefault="004D75AC" w:rsidP="00CF6E19">
            <w:pPr>
              <w:spacing w:before="120" w:after="120" w:line="240" w:lineRule="auto"/>
            </w:pPr>
            <w:bookmarkStart w:id="55" w:name="_Hlk182841982"/>
            <w:r w:rsidRPr="00CF6E19">
              <w:t xml:space="preserve">Under the benchmark, business income is generally fully assessable to the taxpayer. Under this tax expenditure </w:t>
            </w:r>
            <w:r w:rsidRPr="00796C9D">
              <w:t>(B7</w:t>
            </w:r>
            <w:r w:rsidR="001767DC" w:rsidRPr="00796C9D">
              <w:t>1</w:t>
            </w:r>
            <w:r w:rsidRPr="00796C9D">
              <w:t>)</w:t>
            </w:r>
            <w:r w:rsidRPr="00CF6E19">
              <w:t>, people with business income from an unincorporated small business that had aggregated annual turnover of less than $5 million were eligible for a 16 per cent tax discount on the income tax payable on that business income (for the 2021</w:t>
            </w:r>
            <w:r w:rsidR="003C3D89">
              <w:t>–2</w:t>
            </w:r>
            <w:r w:rsidRPr="00CF6E19">
              <w:t>2 income year). The discount is capped at $1,000 per individual for each income year and is delivered as a non-refundable tax offset.</w:t>
            </w:r>
          </w:p>
          <w:p w14:paraId="165D66D0" w14:textId="0C49365A" w:rsidR="004D75AC" w:rsidRPr="00674001" w:rsidRDefault="003D3223" w:rsidP="00B334E9">
            <w:pPr>
              <w:pStyle w:val="TableHeading"/>
            </w:pPr>
            <w:r>
              <w:t>Table 2</w:t>
            </w:r>
            <w:r w:rsidR="00FC5442">
              <w:t>.16</w:t>
            </w:r>
            <w:r w:rsidR="004D75AC" w:rsidRPr="00674001">
              <w:t xml:space="preserve"> </w:t>
            </w:r>
            <w:r w:rsidR="004D75AC">
              <w:t>Estimates of aggregate revenue forgone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D75AC" w14:paraId="4DFD4FDA" w14:textId="77777777" w:rsidTr="00DC7B7D">
              <w:trPr>
                <w:trHeight w:val="255"/>
                <w:jc w:val="center"/>
              </w:trPr>
              <w:tc>
                <w:tcPr>
                  <w:tcW w:w="935" w:type="dxa"/>
                  <w:tcBorders>
                    <w:bottom w:val="single" w:sz="4" w:space="0" w:color="auto"/>
                  </w:tcBorders>
                  <w:vAlign w:val="center"/>
                </w:tcPr>
                <w:p w14:paraId="183DEF37"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1B0EC68F"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20E40A8F"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6775C2AC"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2BBA3F90"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2325538D"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6A0312B3"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12F14C00" w14:textId="77777777" w:rsidR="004D75AC" w:rsidRPr="00301F8A" w:rsidRDefault="004D75AC" w:rsidP="00EC5FC3">
                  <w:pPr>
                    <w:spacing w:after="0"/>
                    <w:jc w:val="right"/>
                    <w:rPr>
                      <w:rFonts w:ascii="Arial" w:hAnsi="Arial" w:cs="Arial"/>
                      <w:b/>
                      <w:sz w:val="16"/>
                      <w:szCs w:val="16"/>
                    </w:rPr>
                  </w:pPr>
                  <w:r w:rsidRPr="00301F8A">
                    <w:rPr>
                      <w:rFonts w:ascii="Arial" w:hAnsi="Arial" w:cs="Arial"/>
                      <w:b/>
                      <w:sz w:val="16"/>
                      <w:szCs w:val="16"/>
                    </w:rPr>
                    <w:t>2027-28</w:t>
                  </w:r>
                </w:p>
              </w:tc>
            </w:tr>
            <w:tr w:rsidR="004D75AC" w14:paraId="5795BBB3" w14:textId="77777777" w:rsidTr="00DC7B7D">
              <w:trPr>
                <w:trHeight w:val="255"/>
                <w:jc w:val="center"/>
              </w:trPr>
              <w:tc>
                <w:tcPr>
                  <w:tcW w:w="935" w:type="dxa"/>
                  <w:tcBorders>
                    <w:top w:val="single" w:sz="4" w:space="0" w:color="EEECE1" w:themeColor="background2"/>
                  </w:tcBorders>
                  <w:vAlign w:val="center"/>
                </w:tcPr>
                <w:p w14:paraId="09ED2C59" w14:textId="54D8AB33" w:rsidR="004D75AC" w:rsidRPr="00301F8A" w:rsidRDefault="003E5AE9" w:rsidP="00EC5FC3">
                  <w:pPr>
                    <w:spacing w:after="0"/>
                    <w:jc w:val="right"/>
                    <w:rPr>
                      <w:rFonts w:ascii="Arial" w:hAnsi="Arial" w:cs="Arial"/>
                      <w:sz w:val="16"/>
                      <w:szCs w:val="16"/>
                    </w:rPr>
                  </w:pPr>
                  <w:r w:rsidRPr="00301F8A">
                    <w:rPr>
                      <w:rFonts w:ascii="Arial" w:hAnsi="Arial" w:cs="Arial"/>
                      <w:sz w:val="16"/>
                      <w:szCs w:val="16"/>
                    </w:rPr>
                    <w:t>490</w:t>
                  </w:r>
                </w:p>
              </w:tc>
              <w:tc>
                <w:tcPr>
                  <w:tcW w:w="935" w:type="dxa"/>
                  <w:tcBorders>
                    <w:top w:val="single" w:sz="4" w:space="0" w:color="EEECE1" w:themeColor="background2"/>
                  </w:tcBorders>
                  <w:vAlign w:val="center"/>
                </w:tcPr>
                <w:p w14:paraId="6ACB171D" w14:textId="783E36A0" w:rsidR="004D75AC" w:rsidRPr="00301F8A" w:rsidRDefault="00E66B66" w:rsidP="00EC5FC3">
                  <w:pPr>
                    <w:spacing w:after="0"/>
                    <w:jc w:val="right"/>
                    <w:rPr>
                      <w:rFonts w:ascii="Arial" w:hAnsi="Arial" w:cs="Arial"/>
                      <w:sz w:val="16"/>
                      <w:szCs w:val="16"/>
                    </w:rPr>
                  </w:pPr>
                  <w:r w:rsidRPr="00301F8A">
                    <w:rPr>
                      <w:rFonts w:ascii="Arial" w:hAnsi="Arial" w:cs="Arial"/>
                      <w:sz w:val="16"/>
                      <w:szCs w:val="16"/>
                    </w:rPr>
                    <w:t>690</w:t>
                  </w:r>
                </w:p>
              </w:tc>
              <w:tc>
                <w:tcPr>
                  <w:tcW w:w="935" w:type="dxa"/>
                  <w:tcBorders>
                    <w:top w:val="single" w:sz="4" w:space="0" w:color="EEECE1" w:themeColor="background2"/>
                  </w:tcBorders>
                  <w:vAlign w:val="center"/>
                </w:tcPr>
                <w:p w14:paraId="0C42AA00" w14:textId="3F9A521D" w:rsidR="004D75AC" w:rsidRPr="00301F8A" w:rsidRDefault="00E66B66" w:rsidP="00EC5FC3">
                  <w:pPr>
                    <w:spacing w:after="0"/>
                    <w:jc w:val="right"/>
                    <w:rPr>
                      <w:rFonts w:ascii="Arial" w:hAnsi="Arial" w:cs="Arial"/>
                      <w:sz w:val="16"/>
                      <w:szCs w:val="16"/>
                    </w:rPr>
                  </w:pPr>
                  <w:r w:rsidRPr="00301F8A">
                    <w:rPr>
                      <w:rFonts w:ascii="Arial" w:hAnsi="Arial" w:cs="Arial"/>
                      <w:sz w:val="16"/>
                      <w:szCs w:val="16"/>
                    </w:rPr>
                    <w:t>770</w:t>
                  </w:r>
                </w:p>
              </w:tc>
              <w:tc>
                <w:tcPr>
                  <w:tcW w:w="935" w:type="dxa"/>
                  <w:tcBorders>
                    <w:top w:val="single" w:sz="4" w:space="0" w:color="EEECE1" w:themeColor="background2"/>
                  </w:tcBorders>
                  <w:vAlign w:val="center"/>
                </w:tcPr>
                <w:p w14:paraId="74807C37"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830</w:t>
                  </w:r>
                </w:p>
              </w:tc>
              <w:tc>
                <w:tcPr>
                  <w:tcW w:w="935" w:type="dxa"/>
                  <w:tcBorders>
                    <w:top w:val="single" w:sz="4" w:space="0" w:color="EEECE1" w:themeColor="background2"/>
                  </w:tcBorders>
                  <w:vAlign w:val="center"/>
                </w:tcPr>
                <w:p w14:paraId="002A4F5B"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850</w:t>
                  </w:r>
                </w:p>
              </w:tc>
              <w:tc>
                <w:tcPr>
                  <w:tcW w:w="935" w:type="dxa"/>
                  <w:tcBorders>
                    <w:top w:val="single" w:sz="4" w:space="0" w:color="EEECE1" w:themeColor="background2"/>
                  </w:tcBorders>
                  <w:vAlign w:val="center"/>
                </w:tcPr>
                <w:p w14:paraId="723315D2"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860</w:t>
                  </w:r>
                </w:p>
              </w:tc>
              <w:tc>
                <w:tcPr>
                  <w:tcW w:w="935" w:type="dxa"/>
                  <w:tcBorders>
                    <w:top w:val="single" w:sz="4" w:space="0" w:color="EEECE1" w:themeColor="background2"/>
                  </w:tcBorders>
                  <w:vAlign w:val="center"/>
                </w:tcPr>
                <w:p w14:paraId="2CD9093C"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910</w:t>
                  </w:r>
                </w:p>
              </w:tc>
              <w:tc>
                <w:tcPr>
                  <w:tcW w:w="935" w:type="dxa"/>
                  <w:tcBorders>
                    <w:top w:val="single" w:sz="4" w:space="0" w:color="EEECE1" w:themeColor="background2"/>
                  </w:tcBorders>
                  <w:vAlign w:val="center"/>
                </w:tcPr>
                <w:p w14:paraId="1D4412E6" w14:textId="77777777" w:rsidR="004D75AC" w:rsidRPr="00301F8A" w:rsidRDefault="004D75AC" w:rsidP="00EC5FC3">
                  <w:pPr>
                    <w:spacing w:after="0"/>
                    <w:jc w:val="right"/>
                    <w:rPr>
                      <w:rFonts w:ascii="Arial" w:hAnsi="Arial" w:cs="Arial"/>
                      <w:sz w:val="16"/>
                      <w:szCs w:val="16"/>
                    </w:rPr>
                  </w:pPr>
                  <w:r w:rsidRPr="00301F8A">
                    <w:rPr>
                      <w:rFonts w:ascii="Arial" w:hAnsi="Arial" w:cs="Arial"/>
                      <w:sz w:val="16"/>
                      <w:szCs w:val="16"/>
                    </w:rPr>
                    <w:t>950</w:t>
                  </w:r>
                </w:p>
              </w:tc>
            </w:tr>
          </w:tbl>
          <w:p w14:paraId="264E9A12" w14:textId="7AE43D11" w:rsidR="004D75AC" w:rsidRDefault="004D75AC" w:rsidP="00CF6E19">
            <w:pPr>
              <w:spacing w:before="120" w:after="120" w:line="240" w:lineRule="auto"/>
            </w:pPr>
            <w:r w:rsidRPr="00CF6E19">
              <w:t>In 2021</w:t>
            </w:r>
            <w:r w:rsidR="003C3D89">
              <w:t>–2</w:t>
            </w:r>
            <w:r w:rsidRPr="00CF6E19">
              <w:t>2, 1.3 million taxpayers received a benefit from this tax expenditure. Increases in revenue forgone before 2023</w:t>
            </w:r>
            <w:r w:rsidR="003C3D89">
              <w:t>–2</w:t>
            </w:r>
            <w:r w:rsidRPr="00CF6E19">
              <w:t>4 are primarily due to legislated increases in the tax discount rate.</w:t>
            </w:r>
            <w:bookmarkEnd w:id="55"/>
          </w:p>
        </w:tc>
      </w:tr>
    </w:tbl>
    <w:p w14:paraId="3CA7E6CE" w14:textId="3105730E" w:rsidR="004D75AC" w:rsidRPr="00CF6E19" w:rsidRDefault="004D75AC" w:rsidP="00CF6E19">
      <w:pPr>
        <w:spacing w:before="120" w:after="120" w:line="240" w:lineRule="auto"/>
      </w:pPr>
      <w:r w:rsidRPr="00CF6E19">
        <w:t>In 2021</w:t>
      </w:r>
      <w:r w:rsidR="003C3D89">
        <w:t>–2</w:t>
      </w:r>
      <w:r w:rsidRPr="00CF6E19">
        <w:t xml:space="preserve">2, people whose taxable income </w:t>
      </w:r>
      <w:r w:rsidR="00BF7789" w:rsidRPr="00CF6E19">
        <w:t>was</w:t>
      </w:r>
      <w:r w:rsidRPr="00CF6E19">
        <w:t xml:space="preserve"> above the median received 64 per cent of the benefit, and 16 per cent of the benefit </w:t>
      </w:r>
      <w:r w:rsidR="00776E4D" w:rsidRPr="00CF6E19">
        <w:t>went</w:t>
      </w:r>
      <w:r w:rsidRPr="00CF6E19">
        <w:t xml:space="preserve"> to people in the top taxable income decile (</w:t>
      </w:r>
      <w:r w:rsidR="003D3223">
        <w:t>Chart 2</w:t>
      </w:r>
      <w:r w:rsidR="006700D1" w:rsidRPr="00CF6E19">
        <w:t>.18</w:t>
      </w:r>
      <w:r w:rsidRPr="00CF6E19">
        <w:t xml:space="preserve">). </w:t>
      </w:r>
    </w:p>
    <w:p w14:paraId="104E3213" w14:textId="77FAA7CB" w:rsidR="004D75AC" w:rsidRPr="007E4F90" w:rsidRDefault="003D3223" w:rsidP="00B334E9">
      <w:pPr>
        <w:pStyle w:val="ChartHeading"/>
      </w:pPr>
      <w:r>
        <w:t>Chart 2</w:t>
      </w:r>
      <w:r w:rsidR="006700D1">
        <w:t>.18</w:t>
      </w:r>
      <w:r w:rsidR="004D75AC" w:rsidRPr="00612B74">
        <w:t xml:space="preserve"> </w:t>
      </w:r>
      <w:r w:rsidR="00F77A8A">
        <w:t>Share of</w:t>
      </w:r>
      <w:r w:rsidR="004D75AC" w:rsidRPr="00612B74">
        <w:t xml:space="preserve"> benefit and </w:t>
      </w:r>
      <w:r w:rsidR="00E8069F">
        <w:t>recipients</w:t>
      </w:r>
      <w:r w:rsidR="004D75AC" w:rsidRPr="00612B74">
        <w:t xml:space="preserve"> by taxable income decile</w:t>
      </w:r>
      <w:r w:rsidR="00E8069F">
        <w:t>,</w:t>
      </w:r>
      <w:r w:rsidR="004D75AC" w:rsidRPr="00612B74">
        <w:t xml:space="preserve"> </w:t>
      </w:r>
      <w:r w:rsidR="004D75AC">
        <w:t>2021</w:t>
      </w:r>
      <w:r w:rsidR="003C3D89">
        <w:t>–2</w:t>
      </w:r>
      <w:r w:rsidR="004D75AC">
        <w:t>2</w:t>
      </w:r>
      <w:r w:rsidR="004D75AC" w:rsidRPr="00612B74">
        <w:t>*</w:t>
      </w:r>
      <w:r w:rsidR="004D75AC">
        <w:t xml:space="preserve"> </w:t>
      </w:r>
    </w:p>
    <w:p w14:paraId="22E3B016" w14:textId="054801F7" w:rsidR="004D75AC" w:rsidRDefault="004D75AC" w:rsidP="004D75AC">
      <w:pPr>
        <w:spacing w:after="0" w:line="240" w:lineRule="auto"/>
        <w:rPr>
          <w:rFonts w:ascii="Arial" w:hAnsi="Arial" w:cs="Arial"/>
          <w:sz w:val="16"/>
          <w:szCs w:val="16"/>
        </w:rPr>
      </w:pPr>
    </w:p>
    <w:p w14:paraId="3277A336" w14:textId="46BED44F" w:rsidR="001C6DF3" w:rsidRDefault="003F4B69" w:rsidP="00B517C7">
      <w:pPr>
        <w:pStyle w:val="ChartGraphic"/>
      </w:pPr>
      <w:r>
        <w:object w:dxaOrig="7366" w:dyaOrig="4531" w14:anchorId="5D3D2A2A">
          <v:shape id="_x0000_i1042" type="#_x0000_t75" alt="This bar chart shows the proportion of total benefits recieved and number of recipients in different total income deciles for the unincorporated tax discount. the share of the benefit received by the lowest and 2nd income decile is close to 0. The share peaks in the 5th decile, and then falls slightly before rising in the highest decile. The number of recipients follows a similar pattern. " style="width:370.5pt;height:225.75pt" o:ole="">
            <v:imagedata r:id="rId63" o:title=""/>
          </v:shape>
          <o:OLEObject Type="Link" ProgID="Excel.Sheet.12" ShapeID="_x0000_i1042" DrawAspect="Content" r:id="rId64" UpdateMode="Always">
            <o:LinkType>EnhancedMetaFile</o:LinkType>
            <o:LockedField/>
          </o:OLEObject>
        </w:object>
      </w:r>
    </w:p>
    <w:p w14:paraId="13E703C7" w14:textId="77777777" w:rsidR="004D75AC" w:rsidRPr="00CB34A6" w:rsidRDefault="004D75AC" w:rsidP="00B334E9">
      <w:pPr>
        <w:pStyle w:val="ChartandTableFootnote"/>
      </w:pPr>
      <w:r w:rsidRPr="00CB34A6">
        <w:t>Source: Treasury</w:t>
      </w:r>
    </w:p>
    <w:p w14:paraId="20889D38" w14:textId="79498138" w:rsidR="004D75AC" w:rsidRPr="00CF6E19" w:rsidRDefault="004D75AC" w:rsidP="00CF6E19">
      <w:pPr>
        <w:spacing w:before="120" w:after="120" w:line="240" w:lineRule="auto"/>
      </w:pPr>
      <w:r w:rsidRPr="00CF6E19">
        <w:t>People in the lower deciles received a smaller share of the benefit because fewer of them receive</w:t>
      </w:r>
      <w:r w:rsidR="00E54C0A">
        <w:t>d</w:t>
      </w:r>
      <w:r w:rsidRPr="00CF6E19">
        <w:t xml:space="preserve"> the maximum amount of small business tax discount. A taxpayer </w:t>
      </w:r>
      <w:r w:rsidR="00D10740" w:rsidRPr="00CF6E19">
        <w:t xml:space="preserve">with business income </w:t>
      </w:r>
      <w:r w:rsidRPr="00CF6E19">
        <w:t xml:space="preserve">would need to earn </w:t>
      </w:r>
      <w:r w:rsidR="00D10740" w:rsidRPr="00CF6E19">
        <w:t xml:space="preserve">at least </w:t>
      </w:r>
      <w:r w:rsidRPr="00CF6E19">
        <w:t xml:space="preserve">$48,600 </w:t>
      </w:r>
      <w:r w:rsidRPr="00CF6E19" w:rsidDel="00D10740">
        <w:t xml:space="preserve">in </w:t>
      </w:r>
      <w:r w:rsidRPr="00CF6E19">
        <w:t>2021</w:t>
      </w:r>
      <w:r w:rsidR="003C3D89">
        <w:t>–2</w:t>
      </w:r>
      <w:r w:rsidRPr="00CF6E19">
        <w:t xml:space="preserve">2 to receive the full $1,000, enough income to be in the fifth income decile. 12 per cent of recipients under median income received $1,000, compared to 64 per cent of recipients above the median income. </w:t>
      </w:r>
    </w:p>
    <w:p w14:paraId="34044277" w14:textId="530A7FEA" w:rsidR="004D75AC" w:rsidRDefault="004D75AC" w:rsidP="00CF6E19">
      <w:pPr>
        <w:spacing w:before="120" w:after="120" w:line="240" w:lineRule="auto"/>
        <w:rPr>
          <w:rFonts w:ascii="Arial" w:hAnsi="Arial" w:cs="Arial"/>
          <w:b/>
          <w:bCs/>
        </w:rPr>
      </w:pPr>
      <w:r w:rsidRPr="00CF6E19">
        <w:t>Men accounted for 60 per cent of the population receiving this benefit and received 62</w:t>
      </w:r>
      <w:r w:rsidR="00C36237" w:rsidRPr="00CF6E19">
        <w:t> </w:t>
      </w:r>
      <w:r w:rsidRPr="00CF6E19">
        <w:t>per cent of the total benefit used in 202</w:t>
      </w:r>
      <w:r w:rsidR="004B2D4A" w:rsidRPr="00CF6E19">
        <w:t>1</w:t>
      </w:r>
      <w:r w:rsidR="003C3D89">
        <w:t>–2</w:t>
      </w:r>
      <w:r w:rsidR="004B2D4A" w:rsidRPr="00CF6E19">
        <w:t>2</w:t>
      </w:r>
      <w:r w:rsidRPr="00CF6E19">
        <w:t xml:space="preserve"> (</w:t>
      </w:r>
      <w:r w:rsidR="003D3223">
        <w:t>Table 2</w:t>
      </w:r>
      <w:r w:rsidR="00FC5442" w:rsidRPr="00CF6E19">
        <w:t>.17</w:t>
      </w:r>
      <w:r w:rsidRPr="00CF6E19">
        <w:t>).</w:t>
      </w:r>
    </w:p>
    <w:p w14:paraId="22768FE5" w14:textId="4D7D020E" w:rsidR="004D75AC" w:rsidRDefault="003D3223" w:rsidP="00B334E9">
      <w:pPr>
        <w:pStyle w:val="TableHeading"/>
      </w:pPr>
      <w:r>
        <w:t>Table 2</w:t>
      </w:r>
      <w:r w:rsidR="00FC5442">
        <w:t>.17</w:t>
      </w:r>
      <w:r w:rsidR="004D75AC" w:rsidRPr="00674001">
        <w:t xml:space="preserve"> Distributional effect by gender </w:t>
      </w:r>
      <w:r w:rsidR="004D75AC">
        <w:t>2021</w:t>
      </w:r>
      <w:r w:rsidR="003C3D89">
        <w:t>–2</w:t>
      </w:r>
      <w:r w:rsidR="004D75AC">
        <w:t>2</w:t>
      </w:r>
      <w:r w:rsidR="00105C22">
        <w:t>*</w:t>
      </w:r>
    </w:p>
    <w:tbl>
      <w:tblPr>
        <w:tblW w:w="7797" w:type="dxa"/>
        <w:tblLook w:val="04A0" w:firstRow="1" w:lastRow="0" w:firstColumn="1" w:lastColumn="0" w:noHBand="0" w:noVBand="1"/>
      </w:tblPr>
      <w:tblGrid>
        <w:gridCol w:w="916"/>
        <w:gridCol w:w="1919"/>
        <w:gridCol w:w="1843"/>
        <w:gridCol w:w="1559"/>
        <w:gridCol w:w="1560"/>
      </w:tblGrid>
      <w:tr w:rsidR="004D75AC" w:rsidRPr="00FF593B" w14:paraId="15E5F71C" w14:textId="77777777" w:rsidTr="00A42986">
        <w:trPr>
          <w:trHeight w:val="555"/>
        </w:trPr>
        <w:tc>
          <w:tcPr>
            <w:tcW w:w="916" w:type="dxa"/>
            <w:tcBorders>
              <w:top w:val="single" w:sz="4" w:space="0" w:color="auto"/>
              <w:left w:val="nil"/>
              <w:bottom w:val="single" w:sz="4" w:space="0" w:color="auto"/>
              <w:right w:val="nil"/>
            </w:tcBorders>
            <w:shd w:val="clear" w:color="auto" w:fill="auto"/>
            <w:vAlign w:val="center"/>
            <w:hideMark/>
          </w:tcPr>
          <w:p w14:paraId="397B14AA" w14:textId="4C7B8CA9" w:rsidR="004D75AC" w:rsidRPr="00301F8A" w:rsidRDefault="004D75AC" w:rsidP="00244199">
            <w:pPr>
              <w:spacing w:after="0" w:line="240" w:lineRule="auto"/>
              <w:jc w:val="left"/>
              <w:rPr>
                <w:rFonts w:ascii="Arial" w:hAnsi="Arial" w:cs="Arial"/>
                <w:b/>
                <w:color w:val="000000"/>
                <w:sz w:val="16"/>
                <w:szCs w:val="16"/>
              </w:rPr>
            </w:pPr>
            <w:r w:rsidRPr="00301F8A">
              <w:rPr>
                <w:rFonts w:ascii="Arial" w:hAnsi="Arial" w:cs="Arial"/>
                <w:b/>
                <w:color w:val="000000"/>
                <w:sz w:val="16"/>
                <w:szCs w:val="16"/>
              </w:rPr>
              <w:t>Gender</w:t>
            </w:r>
          </w:p>
        </w:tc>
        <w:tc>
          <w:tcPr>
            <w:tcW w:w="1919" w:type="dxa"/>
            <w:tcBorders>
              <w:top w:val="single" w:sz="4" w:space="0" w:color="auto"/>
              <w:left w:val="nil"/>
              <w:bottom w:val="single" w:sz="4" w:space="0" w:color="auto"/>
              <w:right w:val="nil"/>
            </w:tcBorders>
            <w:shd w:val="clear" w:color="auto" w:fill="auto"/>
            <w:vAlign w:val="center"/>
            <w:hideMark/>
          </w:tcPr>
          <w:p w14:paraId="41D49ABE"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benefit ($)</w:t>
            </w:r>
          </w:p>
        </w:tc>
        <w:tc>
          <w:tcPr>
            <w:tcW w:w="1843" w:type="dxa"/>
            <w:tcBorders>
              <w:top w:val="single" w:sz="4" w:space="0" w:color="auto"/>
              <w:left w:val="nil"/>
              <w:bottom w:val="single" w:sz="4" w:space="0" w:color="auto"/>
              <w:right w:val="nil"/>
            </w:tcBorders>
            <w:shd w:val="clear" w:color="auto" w:fill="auto"/>
            <w:vAlign w:val="center"/>
            <w:hideMark/>
          </w:tcPr>
          <w:p w14:paraId="144154D3"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Average business income ($)</w:t>
            </w:r>
          </w:p>
        </w:tc>
        <w:tc>
          <w:tcPr>
            <w:tcW w:w="1559" w:type="dxa"/>
            <w:tcBorders>
              <w:top w:val="single" w:sz="4" w:space="0" w:color="auto"/>
              <w:left w:val="nil"/>
              <w:bottom w:val="single" w:sz="4" w:space="0" w:color="auto"/>
              <w:right w:val="nil"/>
            </w:tcBorders>
            <w:shd w:val="clear" w:color="auto" w:fill="auto"/>
            <w:vAlign w:val="center"/>
            <w:hideMark/>
          </w:tcPr>
          <w:p w14:paraId="295FE86A"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Recipients (million)</w:t>
            </w:r>
          </w:p>
        </w:tc>
        <w:tc>
          <w:tcPr>
            <w:tcW w:w="1560" w:type="dxa"/>
            <w:tcBorders>
              <w:top w:val="single" w:sz="4" w:space="0" w:color="auto"/>
              <w:left w:val="nil"/>
              <w:bottom w:val="single" w:sz="4" w:space="0" w:color="auto"/>
              <w:right w:val="nil"/>
            </w:tcBorders>
            <w:shd w:val="clear" w:color="auto" w:fill="auto"/>
            <w:vAlign w:val="center"/>
            <w:hideMark/>
          </w:tcPr>
          <w:p w14:paraId="5F63E21A" w14:textId="77777777" w:rsidR="004D75AC" w:rsidRPr="00301F8A" w:rsidRDefault="004D75AC" w:rsidP="00244199">
            <w:pPr>
              <w:spacing w:after="0" w:line="240" w:lineRule="auto"/>
              <w:jc w:val="right"/>
              <w:rPr>
                <w:rFonts w:ascii="Arial" w:hAnsi="Arial" w:cs="Arial"/>
                <w:b/>
                <w:color w:val="000000"/>
                <w:sz w:val="16"/>
                <w:szCs w:val="16"/>
              </w:rPr>
            </w:pPr>
            <w:r w:rsidRPr="00301F8A">
              <w:rPr>
                <w:rFonts w:ascii="Arial" w:hAnsi="Arial" w:cs="Arial"/>
                <w:b/>
                <w:color w:val="000000"/>
                <w:sz w:val="16"/>
                <w:szCs w:val="16"/>
              </w:rPr>
              <w:t>Share of total benefit (%)</w:t>
            </w:r>
          </w:p>
        </w:tc>
      </w:tr>
      <w:tr w:rsidR="004D75AC" w:rsidRPr="00FF593B" w14:paraId="79032DCA" w14:textId="77777777" w:rsidTr="00741441">
        <w:trPr>
          <w:trHeight w:val="227"/>
        </w:trPr>
        <w:tc>
          <w:tcPr>
            <w:tcW w:w="916" w:type="dxa"/>
            <w:tcBorders>
              <w:top w:val="nil"/>
              <w:left w:val="nil"/>
              <w:right w:val="nil"/>
            </w:tcBorders>
            <w:shd w:val="clear" w:color="auto" w:fill="auto"/>
            <w:vAlign w:val="center"/>
            <w:hideMark/>
          </w:tcPr>
          <w:p w14:paraId="3245A3B9" w14:textId="3B6C0FCE"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Men</w:t>
            </w:r>
          </w:p>
        </w:tc>
        <w:tc>
          <w:tcPr>
            <w:tcW w:w="1919" w:type="dxa"/>
            <w:tcBorders>
              <w:top w:val="nil"/>
              <w:left w:val="nil"/>
              <w:right w:val="nil"/>
            </w:tcBorders>
            <w:shd w:val="clear" w:color="auto" w:fill="auto"/>
            <w:vAlign w:val="center"/>
            <w:hideMark/>
          </w:tcPr>
          <w:p w14:paraId="34A6ACA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630</w:t>
            </w:r>
          </w:p>
        </w:tc>
        <w:tc>
          <w:tcPr>
            <w:tcW w:w="1843" w:type="dxa"/>
            <w:tcBorders>
              <w:top w:val="nil"/>
              <w:left w:val="nil"/>
              <w:right w:val="nil"/>
            </w:tcBorders>
            <w:shd w:val="clear" w:color="auto" w:fill="auto"/>
            <w:vAlign w:val="center"/>
            <w:hideMark/>
          </w:tcPr>
          <w:p w14:paraId="793B32B9" w14:textId="6F44F56C"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61,</w:t>
            </w:r>
            <w:r w:rsidR="004A2F74" w:rsidRPr="00301F8A">
              <w:rPr>
                <w:rFonts w:ascii="Arial" w:hAnsi="Arial" w:cs="Arial"/>
                <w:color w:val="000000"/>
                <w:sz w:val="16"/>
                <w:szCs w:val="16"/>
              </w:rPr>
              <w:t>800</w:t>
            </w:r>
          </w:p>
        </w:tc>
        <w:tc>
          <w:tcPr>
            <w:tcW w:w="1559" w:type="dxa"/>
            <w:tcBorders>
              <w:top w:val="nil"/>
              <w:left w:val="nil"/>
              <w:right w:val="nil"/>
            </w:tcBorders>
            <w:shd w:val="clear" w:color="auto" w:fill="auto"/>
            <w:vAlign w:val="center"/>
            <w:hideMark/>
          </w:tcPr>
          <w:p w14:paraId="6F15E727"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0.8</w:t>
            </w:r>
          </w:p>
        </w:tc>
        <w:tc>
          <w:tcPr>
            <w:tcW w:w="1560" w:type="dxa"/>
            <w:tcBorders>
              <w:top w:val="nil"/>
              <w:left w:val="nil"/>
              <w:right w:val="nil"/>
            </w:tcBorders>
            <w:shd w:val="clear" w:color="auto" w:fill="auto"/>
            <w:vAlign w:val="center"/>
            <w:hideMark/>
          </w:tcPr>
          <w:p w14:paraId="3651BE6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62</w:t>
            </w:r>
          </w:p>
        </w:tc>
      </w:tr>
      <w:tr w:rsidR="004D75AC" w:rsidRPr="00FF593B" w14:paraId="1179B06E" w14:textId="77777777" w:rsidTr="00741441">
        <w:trPr>
          <w:trHeight w:val="227"/>
        </w:trPr>
        <w:tc>
          <w:tcPr>
            <w:tcW w:w="916" w:type="dxa"/>
            <w:tcBorders>
              <w:left w:val="nil"/>
              <w:bottom w:val="single" w:sz="4" w:space="0" w:color="auto"/>
              <w:right w:val="nil"/>
            </w:tcBorders>
            <w:shd w:val="clear" w:color="auto" w:fill="auto"/>
            <w:vAlign w:val="center"/>
            <w:hideMark/>
          </w:tcPr>
          <w:p w14:paraId="0A00A88E" w14:textId="5641EEAD"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Women</w:t>
            </w:r>
          </w:p>
        </w:tc>
        <w:tc>
          <w:tcPr>
            <w:tcW w:w="1919" w:type="dxa"/>
            <w:tcBorders>
              <w:left w:val="nil"/>
              <w:bottom w:val="single" w:sz="4" w:space="0" w:color="auto"/>
              <w:right w:val="nil"/>
            </w:tcBorders>
            <w:shd w:val="clear" w:color="auto" w:fill="auto"/>
            <w:vAlign w:val="center"/>
            <w:hideMark/>
          </w:tcPr>
          <w:p w14:paraId="564F00F6"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591</w:t>
            </w:r>
          </w:p>
        </w:tc>
        <w:tc>
          <w:tcPr>
            <w:tcW w:w="1843" w:type="dxa"/>
            <w:tcBorders>
              <w:left w:val="nil"/>
              <w:bottom w:val="single" w:sz="4" w:space="0" w:color="auto"/>
              <w:right w:val="nil"/>
            </w:tcBorders>
            <w:shd w:val="clear" w:color="auto" w:fill="auto"/>
            <w:vAlign w:val="center"/>
            <w:hideMark/>
          </w:tcPr>
          <w:p w14:paraId="2FE4D21B" w14:textId="46E801E2"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52,</w:t>
            </w:r>
            <w:r w:rsidR="0051190E" w:rsidRPr="00301F8A">
              <w:rPr>
                <w:rFonts w:ascii="Arial" w:hAnsi="Arial" w:cs="Arial"/>
                <w:color w:val="000000"/>
                <w:sz w:val="16"/>
                <w:szCs w:val="16"/>
              </w:rPr>
              <w:t>300</w:t>
            </w:r>
          </w:p>
        </w:tc>
        <w:tc>
          <w:tcPr>
            <w:tcW w:w="1559" w:type="dxa"/>
            <w:tcBorders>
              <w:left w:val="nil"/>
              <w:bottom w:val="single" w:sz="4" w:space="0" w:color="auto"/>
              <w:right w:val="nil"/>
            </w:tcBorders>
            <w:shd w:val="clear" w:color="auto" w:fill="auto"/>
            <w:vAlign w:val="center"/>
            <w:hideMark/>
          </w:tcPr>
          <w:p w14:paraId="785D2F7F"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0.5</w:t>
            </w:r>
          </w:p>
        </w:tc>
        <w:tc>
          <w:tcPr>
            <w:tcW w:w="1560" w:type="dxa"/>
            <w:tcBorders>
              <w:left w:val="nil"/>
              <w:bottom w:val="single" w:sz="4" w:space="0" w:color="auto"/>
              <w:right w:val="nil"/>
            </w:tcBorders>
            <w:shd w:val="clear" w:color="auto" w:fill="auto"/>
            <w:vAlign w:val="center"/>
            <w:hideMark/>
          </w:tcPr>
          <w:p w14:paraId="29F4053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38</w:t>
            </w:r>
          </w:p>
        </w:tc>
      </w:tr>
      <w:tr w:rsidR="004D75AC" w:rsidRPr="00FF593B" w14:paraId="3AD6003A" w14:textId="77777777" w:rsidTr="0072001F">
        <w:trPr>
          <w:trHeight w:val="227"/>
        </w:trPr>
        <w:tc>
          <w:tcPr>
            <w:tcW w:w="916" w:type="dxa"/>
            <w:tcBorders>
              <w:top w:val="single" w:sz="4" w:space="0" w:color="auto"/>
              <w:left w:val="nil"/>
              <w:bottom w:val="single" w:sz="4" w:space="0" w:color="auto"/>
              <w:right w:val="nil"/>
            </w:tcBorders>
            <w:shd w:val="clear" w:color="auto" w:fill="auto"/>
            <w:vAlign w:val="center"/>
            <w:hideMark/>
          </w:tcPr>
          <w:p w14:paraId="04723971" w14:textId="5CBE7FE0" w:rsidR="004D75AC" w:rsidRPr="00301F8A" w:rsidRDefault="004D75AC" w:rsidP="00661050">
            <w:pPr>
              <w:spacing w:after="0" w:line="276" w:lineRule="auto"/>
              <w:jc w:val="left"/>
              <w:rPr>
                <w:rFonts w:ascii="Arial" w:hAnsi="Arial" w:cs="Arial"/>
                <w:color w:val="000000"/>
                <w:sz w:val="16"/>
                <w:szCs w:val="16"/>
              </w:rPr>
            </w:pPr>
            <w:r w:rsidRPr="00301F8A">
              <w:rPr>
                <w:rFonts w:ascii="Arial" w:hAnsi="Arial" w:cs="Arial"/>
                <w:color w:val="000000"/>
                <w:sz w:val="16"/>
                <w:szCs w:val="16"/>
              </w:rPr>
              <w:t>Total</w:t>
            </w:r>
          </w:p>
        </w:tc>
        <w:tc>
          <w:tcPr>
            <w:tcW w:w="1919" w:type="dxa"/>
            <w:tcBorders>
              <w:top w:val="single" w:sz="4" w:space="0" w:color="auto"/>
              <w:left w:val="nil"/>
              <w:bottom w:val="single" w:sz="4" w:space="0" w:color="auto"/>
              <w:right w:val="nil"/>
            </w:tcBorders>
            <w:shd w:val="clear" w:color="auto" w:fill="auto"/>
            <w:vAlign w:val="center"/>
            <w:hideMark/>
          </w:tcPr>
          <w:p w14:paraId="2D12507C"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614</w:t>
            </w:r>
          </w:p>
        </w:tc>
        <w:tc>
          <w:tcPr>
            <w:tcW w:w="1843" w:type="dxa"/>
            <w:tcBorders>
              <w:top w:val="single" w:sz="4" w:space="0" w:color="auto"/>
              <w:left w:val="nil"/>
              <w:bottom w:val="single" w:sz="4" w:space="0" w:color="auto"/>
              <w:right w:val="nil"/>
            </w:tcBorders>
            <w:shd w:val="clear" w:color="auto" w:fill="auto"/>
            <w:vAlign w:val="center"/>
            <w:hideMark/>
          </w:tcPr>
          <w:p w14:paraId="32A673DF" w14:textId="396D36BC"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5</w:t>
            </w:r>
            <w:r w:rsidR="0051190E" w:rsidRPr="00301F8A">
              <w:rPr>
                <w:rFonts w:ascii="Arial" w:hAnsi="Arial" w:cs="Arial"/>
                <w:color w:val="000000"/>
                <w:sz w:val="16"/>
                <w:szCs w:val="16"/>
              </w:rPr>
              <w:t>8</w:t>
            </w:r>
            <w:r w:rsidRPr="00301F8A">
              <w:rPr>
                <w:rFonts w:ascii="Arial" w:hAnsi="Arial" w:cs="Arial"/>
                <w:color w:val="000000"/>
                <w:sz w:val="16"/>
                <w:szCs w:val="16"/>
              </w:rPr>
              <w:t>,</w:t>
            </w:r>
            <w:r w:rsidR="0051190E" w:rsidRPr="00301F8A">
              <w:rPr>
                <w:rFonts w:ascii="Arial" w:hAnsi="Arial" w:cs="Arial"/>
                <w:color w:val="000000"/>
                <w:sz w:val="16"/>
                <w:szCs w:val="16"/>
              </w:rPr>
              <w:t>000</w:t>
            </w:r>
          </w:p>
        </w:tc>
        <w:tc>
          <w:tcPr>
            <w:tcW w:w="1559" w:type="dxa"/>
            <w:tcBorders>
              <w:top w:val="single" w:sz="4" w:space="0" w:color="auto"/>
              <w:left w:val="nil"/>
              <w:bottom w:val="single" w:sz="4" w:space="0" w:color="auto"/>
              <w:right w:val="nil"/>
            </w:tcBorders>
            <w:shd w:val="clear" w:color="auto" w:fill="auto"/>
            <w:vAlign w:val="center"/>
            <w:hideMark/>
          </w:tcPr>
          <w:p w14:paraId="36B80F26"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1.3</w:t>
            </w:r>
          </w:p>
        </w:tc>
        <w:tc>
          <w:tcPr>
            <w:tcW w:w="1560" w:type="dxa"/>
            <w:tcBorders>
              <w:top w:val="single" w:sz="4" w:space="0" w:color="auto"/>
              <w:left w:val="nil"/>
              <w:bottom w:val="single" w:sz="4" w:space="0" w:color="auto"/>
              <w:right w:val="nil"/>
            </w:tcBorders>
            <w:shd w:val="clear" w:color="auto" w:fill="auto"/>
            <w:vAlign w:val="center"/>
            <w:hideMark/>
          </w:tcPr>
          <w:p w14:paraId="4E29F62D" w14:textId="77777777" w:rsidR="004D75AC" w:rsidRPr="00301F8A" w:rsidRDefault="004D75AC" w:rsidP="00661050">
            <w:pPr>
              <w:spacing w:after="0" w:line="276" w:lineRule="auto"/>
              <w:jc w:val="right"/>
              <w:rPr>
                <w:rFonts w:ascii="Arial" w:hAnsi="Arial" w:cs="Arial"/>
                <w:color w:val="000000"/>
                <w:sz w:val="16"/>
                <w:szCs w:val="16"/>
              </w:rPr>
            </w:pPr>
            <w:r w:rsidRPr="00301F8A">
              <w:rPr>
                <w:rFonts w:ascii="Arial" w:hAnsi="Arial" w:cs="Arial"/>
                <w:color w:val="000000"/>
                <w:sz w:val="16"/>
                <w:szCs w:val="16"/>
              </w:rPr>
              <w:t>100</w:t>
            </w:r>
          </w:p>
        </w:tc>
      </w:tr>
    </w:tbl>
    <w:p w14:paraId="2170F1A8" w14:textId="0D829303" w:rsidR="0072001F" w:rsidRPr="00105C22" w:rsidRDefault="0072001F" w:rsidP="0072001F">
      <w:pPr>
        <w:pStyle w:val="ChartandTableFootnote"/>
        <w:spacing w:line="276" w:lineRule="auto"/>
      </w:pPr>
      <w:r w:rsidRPr="00173B4F">
        <w:t>* Totals may not sum due to rounding.</w:t>
      </w:r>
    </w:p>
    <w:p w14:paraId="3ED38FC8" w14:textId="432B39E5" w:rsidR="004D75AC" w:rsidRPr="00CF6E19" w:rsidRDefault="004D75AC" w:rsidP="00CF6E19">
      <w:pPr>
        <w:spacing w:before="120" w:after="120" w:line="240" w:lineRule="auto"/>
      </w:pPr>
      <w:r w:rsidRPr="00CF6E19">
        <w:t xml:space="preserve">Among beneficiaries whose industry of business was recorded, those in the Construction, Other </w:t>
      </w:r>
      <w:r w:rsidR="00945266">
        <w:t>s</w:t>
      </w:r>
      <w:r w:rsidRPr="00CF6E19">
        <w:t>ervices and Non-Market Services sectors received the highest share of benefits and recorded the highest numbers of recipients (</w:t>
      </w:r>
      <w:r w:rsidR="003D3223">
        <w:t>Chart 2</w:t>
      </w:r>
      <w:r w:rsidR="006700D1" w:rsidRPr="00CF6E19">
        <w:t>.19</w:t>
      </w:r>
      <w:r w:rsidRPr="00CF6E19">
        <w:t>)</w:t>
      </w:r>
      <w:r w:rsidRPr="00CF6E19">
        <w:rPr>
          <w:rStyle w:val="FootnoteReference"/>
        </w:rPr>
        <w:footnoteReference w:id="8"/>
      </w:r>
      <w:r w:rsidRPr="00CF6E19">
        <w:t xml:space="preserve">. </w:t>
      </w:r>
      <w:r w:rsidR="00A34E25" w:rsidRPr="00CF6E19">
        <w:t>5 per cent</w:t>
      </w:r>
      <w:r w:rsidRPr="00CF6E19">
        <w:t xml:space="preserve"> of recipients </w:t>
      </w:r>
      <w:r w:rsidR="00557B8E" w:rsidRPr="00CF6E19">
        <w:t>have business interests across multiple industries or have not recorded the industry of their business interest on their tax return.</w:t>
      </w:r>
    </w:p>
    <w:p w14:paraId="553FB5E9" w14:textId="25D72444" w:rsidR="004D75AC" w:rsidRDefault="003D3223" w:rsidP="00B334E9">
      <w:pPr>
        <w:pStyle w:val="ChartHeading"/>
        <w:rPr>
          <w:bCs/>
          <w:vertAlign w:val="superscript"/>
        </w:rPr>
      </w:pPr>
      <w:r>
        <w:t>Chart 2</w:t>
      </w:r>
      <w:r w:rsidR="006700D1" w:rsidRPr="00796C9D">
        <w:t>.19</w:t>
      </w:r>
      <w:r w:rsidR="004D75AC" w:rsidRPr="00796C9D">
        <w:t xml:space="preserve"> </w:t>
      </w:r>
      <w:r w:rsidR="004B2D4A">
        <w:t xml:space="preserve">Share of benefit and recipients </w:t>
      </w:r>
      <w:r w:rsidR="004D75AC">
        <w:rPr>
          <w:bCs/>
        </w:rPr>
        <w:t>by industry, 202</w:t>
      </w:r>
      <w:r w:rsidR="000F4315">
        <w:rPr>
          <w:bCs/>
        </w:rPr>
        <w:t>1</w:t>
      </w:r>
      <w:r w:rsidR="003C3D89">
        <w:rPr>
          <w:bCs/>
        </w:rPr>
        <w:t>–2</w:t>
      </w:r>
      <w:r w:rsidR="000F4315">
        <w:rPr>
          <w:bCs/>
        </w:rPr>
        <w:t>2</w:t>
      </w:r>
      <w:r w:rsidR="00FF09BB" w:rsidRPr="00FF09BB">
        <w:rPr>
          <w:noProof/>
        </w:rPr>
        <w:t xml:space="preserve"> </w:t>
      </w:r>
    </w:p>
    <w:p w14:paraId="3E8ED446" w14:textId="5DA8AF09" w:rsidR="00C2349E" w:rsidRDefault="003F4B69" w:rsidP="00365748">
      <w:pPr>
        <w:pStyle w:val="ChartGraphic"/>
      </w:pPr>
      <w:r>
        <w:object w:dxaOrig="7366" w:dyaOrig="4531" w14:anchorId="546588B0">
          <v:shape id="_x0000_i1043" type="#_x0000_t75" alt="This bar chart shows the proportion of total benefits received and number of recipients in different industries for the unincorporated tax discount. The largest industries are Other services, Construction, and non-market services. Around 5 per cent of recipients were unmatched to an industry, or were in multiple industries. &#10;" style="width:370.5pt;height:225.75pt" o:ole="">
            <v:imagedata r:id="rId65" o:title=""/>
          </v:shape>
          <o:OLEObject Type="Link" ProgID="Excel.Sheet.12" ShapeID="_x0000_i1043" DrawAspect="Content" r:id="rId66" UpdateMode="Always">
            <o:LinkType>EnhancedMetaFile</o:LinkType>
            <o:LockedField/>
          </o:OLEObject>
        </w:object>
      </w:r>
    </w:p>
    <w:p w14:paraId="377F8CAA" w14:textId="5D86CEE0" w:rsidR="006B657E" w:rsidRDefault="004D75AC" w:rsidP="00B334E9">
      <w:pPr>
        <w:pStyle w:val="ChartandTableFootnote"/>
      </w:pPr>
      <w:r w:rsidRPr="00CB34A6">
        <w:t>Source: Treasury</w:t>
      </w:r>
    </w:p>
    <w:p w14:paraId="3905D657" w14:textId="60F20D7B" w:rsidR="00CF01C7" w:rsidRPr="00F45FDE" w:rsidRDefault="00CA7C15" w:rsidP="00FA7A7A">
      <w:pPr>
        <w:pStyle w:val="Heading2"/>
        <w:numPr>
          <w:ilvl w:val="1"/>
          <w:numId w:val="51"/>
        </w:numPr>
      </w:pPr>
      <w:bookmarkStart w:id="56" w:name="_Toc184287657"/>
      <w:r>
        <w:t>Research and development tax incentive – refundable t</w:t>
      </w:r>
      <w:r w:rsidR="00CE3F77">
        <w:t>ax offset</w:t>
      </w:r>
      <w:bookmarkEnd w:id="5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CF01C7" w14:paraId="767ED71C" w14:textId="77777777">
        <w:trPr>
          <w:trHeight w:val="3322"/>
        </w:trPr>
        <w:tc>
          <w:tcPr>
            <w:tcW w:w="7711" w:type="dxa"/>
            <w:shd w:val="clear" w:color="auto" w:fill="DEEAF6"/>
          </w:tcPr>
          <w:p w14:paraId="7DBB379B" w14:textId="38ECF807" w:rsidR="00334B60" w:rsidRDefault="00C94224" w:rsidP="00334B60">
            <w:pPr>
              <w:spacing w:before="120" w:after="120" w:line="240" w:lineRule="auto"/>
            </w:pPr>
            <w:r>
              <w:t>T</w:t>
            </w:r>
            <w:r w:rsidR="00334B60">
              <w:t xml:space="preserve">he </w:t>
            </w:r>
            <w:r w:rsidR="00D053BE">
              <w:t>research and development (</w:t>
            </w:r>
            <w:r w:rsidR="00334B60">
              <w:t>R&amp;D</w:t>
            </w:r>
            <w:r w:rsidR="00D053BE">
              <w:t>)</w:t>
            </w:r>
            <w:r w:rsidR="00334B60">
              <w:t xml:space="preserve"> tax incentive</w:t>
            </w:r>
            <w:r>
              <w:t xml:space="preserve"> allows</w:t>
            </w:r>
            <w:r w:rsidR="00334B60">
              <w:t xml:space="preserve"> businesses </w:t>
            </w:r>
            <w:r>
              <w:t>to</w:t>
            </w:r>
            <w:r w:rsidR="00334B60">
              <w:t xml:space="preserve"> claim a tax offset for eligible research and development activities. The tax offset is claimed in lieu of the usual tax deduction, and the value of the offset is higher than the deduction to </w:t>
            </w:r>
            <w:r w:rsidR="00D053BE">
              <w:t>incentivise</w:t>
            </w:r>
            <w:r w:rsidR="00334B60">
              <w:t xml:space="preserve"> investment. </w:t>
            </w:r>
          </w:p>
          <w:p w14:paraId="6B7D9129" w14:textId="786D5491" w:rsidR="002631A2" w:rsidRDefault="00334B60" w:rsidP="00334B60">
            <w:pPr>
              <w:spacing w:before="120" w:after="120" w:line="240" w:lineRule="auto"/>
            </w:pPr>
            <w:r>
              <w:t>For companies with turnover of less than $20 million, this tax offset is refundable.</w:t>
            </w:r>
          </w:p>
          <w:p w14:paraId="2642FC9B" w14:textId="7771749A" w:rsidR="00E475EE" w:rsidRDefault="00CF01C7" w:rsidP="00CF6E19">
            <w:pPr>
              <w:spacing w:before="120" w:after="120" w:line="240" w:lineRule="auto"/>
            </w:pPr>
            <w:r w:rsidRPr="00CF6E19">
              <w:t xml:space="preserve">Under the benchmark, government payments to taxpayers are generally treated as assessable income and subject to tax. </w:t>
            </w:r>
          </w:p>
          <w:p w14:paraId="2FFCA411" w14:textId="0A6ED886" w:rsidR="00CF01C7" w:rsidRPr="00CF6E19" w:rsidRDefault="00CF01C7" w:rsidP="00CF6E19">
            <w:pPr>
              <w:spacing w:before="120" w:after="120" w:line="240" w:lineRule="auto"/>
            </w:pPr>
            <w:r w:rsidRPr="00CF6E19">
              <w:t>A tax expenditure arises when payments made under a refundable tax offset are exempt from tax. Additionally, a negative tax expenditure arises because companies that claim the refundable tax offset are unable to claim ordinary tax deductions for the R&amp;D expenditure. B8</w:t>
            </w:r>
            <w:r w:rsidR="00174C67" w:rsidRPr="00CF6E19">
              <w:t>6</w:t>
            </w:r>
            <w:r w:rsidRPr="00CF6E19">
              <w:t xml:space="preserve"> captures the aggregate effects of these two special tax treatments (see </w:t>
            </w:r>
            <w:r w:rsidRPr="00796C9D">
              <w:t xml:space="preserve">Figure </w:t>
            </w:r>
            <w:r w:rsidR="00367119" w:rsidRPr="00796C9D">
              <w:t>3.1</w:t>
            </w:r>
            <w:r w:rsidRPr="00CF6E19">
              <w:t>)</w:t>
            </w:r>
            <w:r w:rsidR="00CF7D24">
              <w:t xml:space="preserve"> and is a negative tax expenditure</w:t>
            </w:r>
            <w:r w:rsidRPr="00CF6E19">
              <w:t xml:space="preserve">. </w:t>
            </w:r>
          </w:p>
          <w:p w14:paraId="0A2EFF90" w14:textId="461C9DED" w:rsidR="00CF01C7" w:rsidRPr="00674001" w:rsidRDefault="003D3223" w:rsidP="00B334E9">
            <w:pPr>
              <w:pStyle w:val="TableHeading"/>
            </w:pPr>
            <w:r>
              <w:t>Table 2</w:t>
            </w:r>
            <w:r w:rsidR="00FC5442">
              <w:t>.18</w:t>
            </w:r>
            <w:r w:rsidR="00CF01C7" w:rsidRPr="00674001">
              <w:t xml:space="preserve"> </w:t>
            </w:r>
            <w:r w:rsidR="00CF01C7">
              <w:t xml:space="preserve">Estimates of aggregate revenue </w:t>
            </w:r>
            <w:r w:rsidR="00965A7B">
              <w:t>forgone</w:t>
            </w:r>
            <w:r w:rsidR="00CF01C7">
              <w:t xml:space="preserve">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CF01C7" w14:paraId="119B29E1" w14:textId="77777777" w:rsidTr="00DC7B7D">
              <w:trPr>
                <w:trHeight w:val="255"/>
                <w:jc w:val="center"/>
              </w:trPr>
              <w:tc>
                <w:tcPr>
                  <w:tcW w:w="935" w:type="dxa"/>
                  <w:tcBorders>
                    <w:bottom w:val="single" w:sz="4" w:space="0" w:color="auto"/>
                  </w:tcBorders>
                  <w:vAlign w:val="center"/>
                </w:tcPr>
                <w:p w14:paraId="480EF38E"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00A269ED"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71C66CAE"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64444945"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2ABBBD66"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7F5DCA04"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4C1C0519"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69FC5D7B" w14:textId="77777777" w:rsidR="00CF01C7" w:rsidRPr="00301F8A" w:rsidRDefault="00CF01C7" w:rsidP="00EC5FC3">
                  <w:pPr>
                    <w:spacing w:after="0"/>
                    <w:jc w:val="right"/>
                    <w:rPr>
                      <w:rFonts w:ascii="Arial" w:hAnsi="Arial" w:cs="Arial"/>
                      <w:b/>
                      <w:sz w:val="16"/>
                      <w:szCs w:val="16"/>
                    </w:rPr>
                  </w:pPr>
                  <w:r w:rsidRPr="00301F8A">
                    <w:rPr>
                      <w:rFonts w:ascii="Arial" w:hAnsi="Arial" w:cs="Arial"/>
                      <w:b/>
                      <w:sz w:val="16"/>
                      <w:szCs w:val="16"/>
                    </w:rPr>
                    <w:t>2027-28</w:t>
                  </w:r>
                </w:p>
              </w:tc>
            </w:tr>
            <w:tr w:rsidR="00CF01C7" w14:paraId="1A8A099E" w14:textId="77777777" w:rsidTr="00DC7B7D">
              <w:trPr>
                <w:trHeight w:val="255"/>
                <w:jc w:val="center"/>
              </w:trPr>
              <w:tc>
                <w:tcPr>
                  <w:tcW w:w="935" w:type="dxa"/>
                  <w:tcBorders>
                    <w:top w:val="single" w:sz="4" w:space="0" w:color="auto"/>
                    <w:bottom w:val="single" w:sz="4" w:space="0" w:color="auto"/>
                  </w:tcBorders>
                </w:tcPr>
                <w:p w14:paraId="08A24953"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-410</w:t>
                  </w:r>
                </w:p>
              </w:tc>
              <w:tc>
                <w:tcPr>
                  <w:tcW w:w="935" w:type="dxa"/>
                  <w:tcBorders>
                    <w:top w:val="single" w:sz="4" w:space="0" w:color="auto"/>
                    <w:bottom w:val="single" w:sz="4" w:space="0" w:color="auto"/>
                  </w:tcBorders>
                </w:tcPr>
                <w:p w14:paraId="54E3AB8D"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-430</w:t>
                  </w:r>
                </w:p>
              </w:tc>
              <w:tc>
                <w:tcPr>
                  <w:tcW w:w="935" w:type="dxa"/>
                  <w:tcBorders>
                    <w:top w:val="single" w:sz="4" w:space="0" w:color="auto"/>
                    <w:bottom w:val="single" w:sz="4" w:space="0" w:color="auto"/>
                  </w:tcBorders>
                </w:tcPr>
                <w:p w14:paraId="3D39151E"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-500</w:t>
                  </w:r>
                </w:p>
              </w:tc>
              <w:tc>
                <w:tcPr>
                  <w:tcW w:w="935" w:type="dxa"/>
                  <w:tcBorders>
                    <w:top w:val="single" w:sz="4" w:space="0" w:color="auto"/>
                    <w:bottom w:val="single" w:sz="4" w:space="0" w:color="auto"/>
                  </w:tcBorders>
                </w:tcPr>
                <w:p w14:paraId="51EBF205"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-580</w:t>
                  </w:r>
                </w:p>
              </w:tc>
              <w:tc>
                <w:tcPr>
                  <w:tcW w:w="935" w:type="dxa"/>
                  <w:tcBorders>
                    <w:top w:val="single" w:sz="4" w:space="0" w:color="auto"/>
                    <w:bottom w:val="single" w:sz="4" w:space="0" w:color="auto"/>
                  </w:tcBorders>
                </w:tcPr>
                <w:p w14:paraId="63B086A7"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-650</w:t>
                  </w:r>
                </w:p>
              </w:tc>
              <w:tc>
                <w:tcPr>
                  <w:tcW w:w="935" w:type="dxa"/>
                  <w:tcBorders>
                    <w:top w:val="single" w:sz="4" w:space="0" w:color="auto"/>
                    <w:bottom w:val="single" w:sz="4" w:space="0" w:color="auto"/>
                  </w:tcBorders>
                </w:tcPr>
                <w:p w14:paraId="062A9089"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-690</w:t>
                  </w:r>
                </w:p>
              </w:tc>
              <w:tc>
                <w:tcPr>
                  <w:tcW w:w="935" w:type="dxa"/>
                  <w:tcBorders>
                    <w:top w:val="single" w:sz="4" w:space="0" w:color="auto"/>
                    <w:bottom w:val="single" w:sz="4" w:space="0" w:color="auto"/>
                  </w:tcBorders>
                </w:tcPr>
                <w:p w14:paraId="29F77F69"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-730</w:t>
                  </w:r>
                </w:p>
              </w:tc>
              <w:tc>
                <w:tcPr>
                  <w:tcW w:w="935" w:type="dxa"/>
                  <w:tcBorders>
                    <w:top w:val="single" w:sz="4" w:space="0" w:color="auto"/>
                    <w:bottom w:val="single" w:sz="4" w:space="0" w:color="auto"/>
                  </w:tcBorders>
                </w:tcPr>
                <w:p w14:paraId="16DF95FF" w14:textId="77777777" w:rsidR="00CF01C7" w:rsidRPr="00301F8A" w:rsidRDefault="00CF01C7" w:rsidP="00EC5FC3">
                  <w:pPr>
                    <w:spacing w:after="0"/>
                    <w:jc w:val="right"/>
                    <w:rPr>
                      <w:rFonts w:ascii="Arial" w:hAnsi="Arial" w:cs="Arial"/>
                      <w:sz w:val="16"/>
                      <w:szCs w:val="16"/>
                    </w:rPr>
                  </w:pPr>
                  <w:r w:rsidRPr="00301F8A">
                    <w:rPr>
                      <w:rFonts w:ascii="Arial" w:hAnsi="Arial" w:cs="Arial"/>
                      <w:sz w:val="16"/>
                      <w:szCs w:val="16"/>
                    </w:rPr>
                    <w:t>-750</w:t>
                  </w:r>
                </w:p>
              </w:tc>
            </w:tr>
          </w:tbl>
          <w:p w14:paraId="49DB7C41" w14:textId="732B6CCE" w:rsidR="00334B60" w:rsidRDefault="00334B60" w:rsidP="00334B60">
            <w:pPr>
              <w:spacing w:before="120" w:after="120" w:line="240" w:lineRule="auto"/>
            </w:pPr>
            <w:r>
              <w:t xml:space="preserve">Unlike </w:t>
            </w:r>
            <w:r w:rsidR="00872755">
              <w:t xml:space="preserve">a </w:t>
            </w:r>
            <w:r>
              <w:t xml:space="preserve">typical negative tax expenditure, where taxpayers pay more tax than they otherwise would relative to the benchmark, companies in receipt of the refundable R&amp;D tax offset </w:t>
            </w:r>
            <w:r w:rsidR="000C5B93">
              <w:t xml:space="preserve">pay less tax than they otherwise would. </w:t>
            </w:r>
          </w:p>
          <w:p w14:paraId="548E69D4" w14:textId="59B4DB8B" w:rsidR="00CF01C7" w:rsidRDefault="00CF01C7" w:rsidP="00CF6E19">
            <w:pPr>
              <w:spacing w:before="120" w:after="120" w:line="240" w:lineRule="auto"/>
            </w:pPr>
            <w:r w:rsidRPr="00CF6E19">
              <w:t>In 2021–22, a total of 10,362 companies claimed a refundable R&amp;D tax offset, with a total government payment of $</w:t>
            </w:r>
            <w:r w:rsidR="00FC2542" w:rsidRPr="00CF6E19">
              <w:t>3.5</w:t>
            </w:r>
            <w:r w:rsidRPr="00CF6E19">
              <w:t xml:space="preserve"> billion, with the special tax treatment leading to a negative tax expenditure of -$430 million.</w:t>
            </w:r>
          </w:p>
        </w:tc>
      </w:tr>
    </w:tbl>
    <w:p w14:paraId="120A50CD" w14:textId="2535E05B" w:rsidR="00CF01C7" w:rsidRPr="00CF6E19" w:rsidRDefault="00CF01C7" w:rsidP="00CF6E19">
      <w:pPr>
        <w:spacing w:before="120" w:after="120" w:line="240" w:lineRule="auto"/>
      </w:pPr>
      <w:r w:rsidRPr="00CF6E19">
        <w:t xml:space="preserve">This distributional analysis considers the refundable R&amp;D tax offset itself, rather than the tax expenditure. </w:t>
      </w:r>
    </w:p>
    <w:p w14:paraId="30CA8AEF" w14:textId="49836634" w:rsidR="00CF01C7" w:rsidRPr="008126F0" w:rsidRDefault="00CF01C7" w:rsidP="00B334E9">
      <w:pPr>
        <w:pStyle w:val="ChartHeading"/>
      </w:pPr>
      <w:bookmarkStart w:id="57" w:name="_Hlk183081033"/>
      <w:r w:rsidRPr="00796C9D">
        <w:t xml:space="preserve">Figure </w:t>
      </w:r>
      <w:r w:rsidR="00367119">
        <w:t>3.</w:t>
      </w:r>
      <w:r w:rsidR="00A9738B">
        <w:t xml:space="preserve">1 </w:t>
      </w:r>
      <w:r w:rsidR="002E2A4A">
        <w:t xml:space="preserve">Benefit of the Refundable R&amp;D </w:t>
      </w:r>
      <w:r w:rsidR="001F462E">
        <w:t>t</w:t>
      </w:r>
      <w:r w:rsidR="002E2A4A">
        <w:t>ax incentive</w:t>
      </w:r>
    </w:p>
    <w:p w14:paraId="6540D115" w14:textId="50F4A804" w:rsidR="00CF01C7" w:rsidRDefault="004F49FD" w:rsidP="00CF01C7">
      <w:pPr>
        <w:spacing w:after="0"/>
        <w:rPr>
          <w:b/>
          <w:bCs/>
        </w:rPr>
      </w:pPr>
      <w:r>
        <w:rPr>
          <w:noProof/>
        </w:rPr>
        <w:drawing>
          <wp:anchor distT="0" distB="0" distL="114300" distR="114300" simplePos="0" relativeHeight="251658240" behindDoc="1" locked="0" layoutInCell="1" allowOverlap="1" wp14:anchorId="12A19372" wp14:editId="34F1EB21">
            <wp:simplePos x="0" y="0"/>
            <wp:positionH relativeFrom="column">
              <wp:posOffset>73876</wp:posOffset>
            </wp:positionH>
            <wp:positionV relativeFrom="paragraph">
              <wp:posOffset>135854</wp:posOffset>
            </wp:positionV>
            <wp:extent cx="4895850" cy="1743075"/>
            <wp:effectExtent l="0" t="0" r="0" b="0"/>
            <wp:wrapSquare wrapText="bothSides"/>
            <wp:docPr id="1022073117" name="Picture 2" descr="This flow chart shows how the benefit of the refundable tax offset is spl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3117" name="Picture 2" descr="This flow chart shows how the benefit of the refundable tax offset is split.&#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99">
        <w:rPr>
          <w:rFonts w:ascii="Arial" w:hAnsi="Arial" w:cs="Arial"/>
          <w:noProof/>
          <w:color w:val="000000" w:themeColor="text1"/>
          <w:kern w:val="24"/>
          <w:sz w:val="18"/>
          <w:szCs w:val="18"/>
        </w:rPr>
        <w:drawing>
          <wp:inline distT="0" distB="0" distL="0" distR="0" wp14:anchorId="15DE2D42" wp14:editId="24643FD7">
            <wp:extent cx="4895850" cy="1743075"/>
            <wp:effectExtent l="0" t="0" r="0" b="0"/>
            <wp:docPr id="12818735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73529" name="Picture 1">
                      <a:extLst>
                        <a:ext uri="{C183D7F6-B498-43B3-948B-1728B52AA6E4}">
                          <adec:decorative xmlns:adec="http://schemas.microsoft.com/office/drawing/2017/decorative" val="1"/>
                        </a:ext>
                      </a:extLst>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895850" cy="1743075"/>
                    </a:xfrm>
                    <a:prstGeom prst="rect">
                      <a:avLst/>
                    </a:prstGeom>
                    <a:noFill/>
                    <a:ln>
                      <a:noFill/>
                    </a:ln>
                  </pic:spPr>
                </pic:pic>
              </a:graphicData>
            </a:graphic>
          </wp:inline>
        </w:drawing>
      </w:r>
    </w:p>
    <w:bookmarkEnd w:id="57"/>
    <w:p w14:paraId="15E027B2" w14:textId="6F628919" w:rsidR="00CF01C7" w:rsidRPr="00CF6E19" w:rsidRDefault="00CF01C7" w:rsidP="00CF6E19">
      <w:pPr>
        <w:spacing w:before="120" w:after="120" w:line="240" w:lineRule="auto"/>
      </w:pPr>
      <w:r w:rsidRPr="00CF6E19">
        <w:t xml:space="preserve">The R&amp;D refundable tax offset is available to companies with an aggregated annual turnover of less than $20 million. In 2021–22, 29 per cent of all refundable R&amp;D tax offset recipients had a company turnover of more than $2 million but less than $20 million. This cohort accounted for </w:t>
      </w:r>
      <w:r w:rsidR="004B53C1" w:rsidRPr="00CF6E19">
        <w:t>49</w:t>
      </w:r>
      <w:r w:rsidRPr="00CF6E19">
        <w:t xml:space="preserve"> per cent of the total offset used (</w:t>
      </w:r>
      <w:r w:rsidR="003D3223">
        <w:t>Chart 2</w:t>
      </w:r>
      <w:r w:rsidR="006700D1" w:rsidRPr="00CF6E19">
        <w:t>.20</w:t>
      </w:r>
      <w:r w:rsidRPr="00CF6E19">
        <w:t>)</w:t>
      </w:r>
      <w:r w:rsidR="00B55188">
        <w:t>.</w:t>
      </w:r>
    </w:p>
    <w:p w14:paraId="66C0C76D" w14:textId="77777777" w:rsidR="00B334E9" w:rsidRDefault="00B334E9" w:rsidP="0021014A">
      <w:pPr>
        <w:keepNext/>
        <w:spacing w:after="0"/>
        <w:jc w:val="center"/>
        <w:rPr>
          <w:rFonts w:ascii="Arial" w:hAnsi="Arial" w:cs="Arial"/>
          <w:b/>
        </w:rPr>
      </w:pPr>
    </w:p>
    <w:p w14:paraId="2D6E9A5D" w14:textId="2A1294BF" w:rsidR="00704CA1" w:rsidRPr="0021014A" w:rsidRDefault="003D3223" w:rsidP="0021014A">
      <w:pPr>
        <w:keepNext/>
        <w:spacing w:after="0"/>
        <w:jc w:val="center"/>
        <w:rPr>
          <w:rFonts w:ascii="Arial" w:hAnsi="Arial" w:cs="Arial"/>
          <w:b/>
        </w:rPr>
      </w:pPr>
      <w:r>
        <w:rPr>
          <w:rFonts w:ascii="Arial" w:hAnsi="Arial" w:cs="Arial"/>
          <w:b/>
        </w:rPr>
        <w:t>Chart 2</w:t>
      </w:r>
      <w:r w:rsidR="006700D1">
        <w:rPr>
          <w:rFonts w:ascii="Arial" w:hAnsi="Arial" w:cs="Arial"/>
          <w:b/>
          <w:bCs/>
        </w:rPr>
        <w:t>.20</w:t>
      </w:r>
      <w:r w:rsidR="00CF01C7" w:rsidRPr="000B61A4">
        <w:rPr>
          <w:rFonts w:ascii="Arial" w:hAnsi="Arial" w:cs="Arial"/>
          <w:b/>
          <w:bCs/>
        </w:rPr>
        <w:t xml:space="preserve"> Share of total offset and recipients by total company turnover,</w:t>
      </w:r>
      <w:r w:rsidR="00C77FAC">
        <w:rPr>
          <w:rFonts w:ascii="Arial" w:hAnsi="Arial" w:cs="Arial"/>
          <w:b/>
          <w:bCs/>
        </w:rPr>
        <w:br/>
      </w:r>
      <w:r w:rsidR="00CF01C7" w:rsidRPr="000B61A4">
        <w:rPr>
          <w:rFonts w:ascii="Arial" w:hAnsi="Arial" w:cs="Arial"/>
          <w:b/>
          <w:bCs/>
        </w:rPr>
        <w:t>2021</w:t>
      </w:r>
      <w:r w:rsidR="003C3D89">
        <w:rPr>
          <w:rFonts w:ascii="Arial" w:hAnsi="Arial" w:cs="Arial"/>
          <w:b/>
          <w:bCs/>
        </w:rPr>
        <w:t>–2</w:t>
      </w:r>
      <w:r w:rsidR="00CF01C7" w:rsidRPr="000B61A4">
        <w:rPr>
          <w:rFonts w:ascii="Arial" w:hAnsi="Arial" w:cs="Arial"/>
          <w:b/>
          <w:bCs/>
        </w:rPr>
        <w:t>2</w:t>
      </w:r>
    </w:p>
    <w:p w14:paraId="038EE11D" w14:textId="28C93210" w:rsidR="00555DA5" w:rsidRDefault="009314E5" w:rsidP="0021014A">
      <w:pPr>
        <w:pStyle w:val="ChartGraphic"/>
      </w:pPr>
      <w:r>
        <w:object w:dxaOrig="7366" w:dyaOrig="4531" w14:anchorId="0B31BBEE">
          <v:shape id="_x0000_i1044" type="#_x0000_t75" alt="This bar chart shows proportion of total benefits received and number of recipients in different business turnover ranges" style="width:369pt;height:226.5pt" o:ole="">
            <v:imagedata r:id="rId68" o:title=""/>
          </v:shape>
          <o:OLEObject Type="Link" ProgID="Excel.Sheet.12" ShapeID="_x0000_i1044" DrawAspect="Content" r:id="rId69" UpdateMode="Always">
            <o:LinkType>EnhancedMetaFile</o:LinkType>
            <o:LockedField/>
          </o:OLEObject>
        </w:object>
      </w:r>
    </w:p>
    <w:p w14:paraId="4795ACEC" w14:textId="77777777" w:rsidR="00CF01C7" w:rsidRPr="000B61A4" w:rsidRDefault="00CF01C7" w:rsidP="00B334E9">
      <w:pPr>
        <w:pStyle w:val="ChartandTableFootnote"/>
      </w:pPr>
      <w:r w:rsidRPr="000B61A4">
        <w:t>Source: Treasury</w:t>
      </w:r>
    </w:p>
    <w:p w14:paraId="5417C0AF" w14:textId="77777777" w:rsidR="00CF01C7" w:rsidRPr="0021014A" w:rsidRDefault="00CF01C7" w:rsidP="00CF6E19">
      <w:pPr>
        <w:spacing w:before="120" w:after="120" w:line="240" w:lineRule="auto"/>
        <w:rPr>
          <w:rFonts w:ascii="Arial" w:hAnsi="Arial" w:cs="Arial"/>
          <w:sz w:val="16"/>
          <w:szCs w:val="16"/>
        </w:rPr>
      </w:pPr>
      <w:r w:rsidRPr="00CF6E19">
        <w:t>Some companies with company turnover above $20 million have used the refundable (rather than non</w:t>
      </w:r>
      <w:r w:rsidRPr="00CF6E19">
        <w:noBreakHyphen/>
        <w:t>refundable) R&amp;D tax offset. Whilst circumstances will differ for any given company, reasons for this may include affiliations with other companies who are in loss, leading to aggregated turnover being less than $20 million (whilst company turnover is still above $20 million).</w:t>
      </w:r>
    </w:p>
    <w:p w14:paraId="306876AC" w14:textId="77777777" w:rsidR="006A7482" w:rsidRDefault="006A7482">
      <w:pPr>
        <w:spacing w:after="0" w:line="240" w:lineRule="auto"/>
        <w:jc w:val="left"/>
        <w:rPr>
          <w:rFonts w:ascii="Arial" w:hAnsi="Arial" w:cs="Arial"/>
          <w:b/>
        </w:rPr>
      </w:pPr>
      <w:r>
        <w:rPr>
          <w:rFonts w:ascii="Arial" w:hAnsi="Arial" w:cs="Arial"/>
          <w:b/>
        </w:rPr>
        <w:br w:type="page"/>
      </w:r>
    </w:p>
    <w:p w14:paraId="2E47E972" w14:textId="7D4FEE3E" w:rsidR="00CF01C7" w:rsidRPr="000B61A4" w:rsidRDefault="003D3223" w:rsidP="00B334E9">
      <w:pPr>
        <w:pStyle w:val="ChartHeading"/>
      </w:pPr>
      <w:r>
        <w:t>Chart 2</w:t>
      </w:r>
      <w:r w:rsidR="00872F4F">
        <w:t>.21</w:t>
      </w:r>
      <w:r w:rsidR="00CF01C7" w:rsidRPr="000B61A4">
        <w:t xml:space="preserve"> Share of total offset and recipients by industry, 2021</w:t>
      </w:r>
      <w:r w:rsidR="003C3D89">
        <w:t>–2</w:t>
      </w:r>
      <w:r w:rsidR="00CF01C7" w:rsidRPr="000B61A4">
        <w:t>2</w:t>
      </w:r>
    </w:p>
    <w:p w14:paraId="17D37529" w14:textId="3C4AFE7F" w:rsidR="00CF01C7" w:rsidRDefault="003F4B69" w:rsidP="00CF01C7">
      <w:pPr>
        <w:pStyle w:val="ChartGraphic"/>
      </w:pPr>
      <w:r>
        <w:object w:dxaOrig="7366" w:dyaOrig="4531" w14:anchorId="32AB713D">
          <v:shape id="_x0000_i1045" type="#_x0000_t75" alt="This bar chart shows proportion of total benefits received and number of recipients by industry group" style="width:370.5pt;height:225.75pt" o:ole="">
            <v:imagedata r:id="rId70" o:title=""/>
          </v:shape>
          <o:OLEObject Type="Link" ProgID="Excel.Sheet.12" ShapeID="_x0000_i1045" DrawAspect="Content" r:id="rId71" UpdateMode="Always">
            <o:LinkType>EnhancedMetaFile</o:LinkType>
            <o:LockedField/>
          </o:OLEObject>
        </w:object>
      </w:r>
    </w:p>
    <w:p w14:paraId="264268F5" w14:textId="77777777" w:rsidR="00CF01C7" w:rsidRPr="00301F8A" w:rsidRDefault="00CF01C7" w:rsidP="00B334E9">
      <w:pPr>
        <w:pStyle w:val="ChartandTableFootnote"/>
      </w:pPr>
      <w:r w:rsidRPr="00301F8A">
        <w:t>Source: Treasury</w:t>
      </w:r>
    </w:p>
    <w:p w14:paraId="5CC14848" w14:textId="30DEBECB" w:rsidR="00CF01C7" w:rsidRPr="00CF6E19" w:rsidRDefault="00CF01C7" w:rsidP="00CF6E19">
      <w:pPr>
        <w:spacing w:before="120" w:after="120" w:line="240" w:lineRule="auto"/>
      </w:pPr>
      <w:r w:rsidRPr="00CF6E19">
        <w:t>The industries with the largest number of recipients in 2021–22 were Professional, Scientific and Technical Services (4,840 recipients), Manufacturing (2,058 recipients) and Wholesale and Retail Trade (835 recipients) (</w:t>
      </w:r>
      <w:r w:rsidR="003D3223">
        <w:t>Chart 2</w:t>
      </w:r>
      <w:r w:rsidR="00872F4F" w:rsidRPr="00CF6E19">
        <w:t>.21</w:t>
      </w:r>
      <w:r w:rsidRPr="00CF6E19">
        <w:t xml:space="preserve">). Use of the refundable R&amp;D tax offset by value </w:t>
      </w:r>
      <w:r w:rsidR="000E2063" w:rsidRPr="00CF6E19">
        <w:t>was</w:t>
      </w:r>
      <w:r w:rsidRPr="00CF6E19">
        <w:t xml:space="preserve"> most heavily concentrated in companies in the Professional, Scientific and Technical Services (51 per cent of all offsets used), followed by manufacturing companies (17 per cent) and Mining (5 per cent).</w:t>
      </w:r>
    </w:p>
    <w:p w14:paraId="7DFEE4B8" w14:textId="3F691A99" w:rsidR="00CF01C7" w:rsidRPr="00CF6E19" w:rsidRDefault="00CF01C7" w:rsidP="00CF6E19">
      <w:pPr>
        <w:spacing w:before="120" w:after="120" w:line="240" w:lineRule="auto"/>
      </w:pPr>
      <w:r w:rsidRPr="00CF6E19">
        <w:t xml:space="preserve">Within the Professional Scientific and Technical Services grouping, companies </w:t>
      </w:r>
      <w:r w:rsidR="00AF2EA1" w:rsidRPr="00CF6E19">
        <w:t>engaged</w:t>
      </w:r>
      <w:r w:rsidRPr="00CF6E19">
        <w:t xml:space="preserve"> in Computer System Design and Related Services and Scientific Research Services were the largest users of the refundable R&amp;D tax offset. In 2021–22, companies in these industry sub-groupings accounted for 42 per cent and 28 per cent of the total Professional Scientific and Technical Services benefit.</w:t>
      </w:r>
    </w:p>
    <w:p w14:paraId="36995CA2" w14:textId="77777777" w:rsidR="00CF01C7" w:rsidRPr="00F45FDE" w:rsidRDefault="00CF01C7" w:rsidP="00CF01C7">
      <w:pPr>
        <w:spacing w:after="0" w:line="240" w:lineRule="auto"/>
        <w:jc w:val="left"/>
      </w:pPr>
      <w:r>
        <w:br w:type="page"/>
      </w:r>
    </w:p>
    <w:p w14:paraId="706AFDF7" w14:textId="25F10A6A" w:rsidR="00414B8E" w:rsidRDefault="00CA7C15" w:rsidP="00FA7A7A">
      <w:pPr>
        <w:pStyle w:val="Heading2"/>
        <w:numPr>
          <w:ilvl w:val="1"/>
          <w:numId w:val="51"/>
        </w:numPr>
      </w:pPr>
      <w:bookmarkStart w:id="58" w:name="_Toc184287658"/>
      <w:r>
        <w:t>Research and development tax incentive – non</w:t>
      </w:r>
      <w:r w:rsidR="00A815BE">
        <w:noBreakHyphen/>
      </w:r>
      <w:r>
        <w:t>refundable t</w:t>
      </w:r>
      <w:r w:rsidR="00CE3F77">
        <w:t>ax offset</w:t>
      </w:r>
      <w:bookmarkEnd w:id="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414B8E" w14:paraId="21627415" w14:textId="77777777">
        <w:trPr>
          <w:trHeight w:val="3322"/>
        </w:trPr>
        <w:tc>
          <w:tcPr>
            <w:tcW w:w="7711" w:type="dxa"/>
            <w:shd w:val="clear" w:color="auto" w:fill="DEEAF6"/>
          </w:tcPr>
          <w:p w14:paraId="70B1E8D5" w14:textId="625EEFC5" w:rsidR="00A8224D" w:rsidRDefault="005C760B" w:rsidP="00B334E9">
            <w:r>
              <w:t>T</w:t>
            </w:r>
            <w:r w:rsidR="00A8224D" w:rsidRPr="00A8224D">
              <w:t>he R&amp;D tax incentive</w:t>
            </w:r>
            <w:r>
              <w:t xml:space="preserve"> allows</w:t>
            </w:r>
            <w:r w:rsidR="00A8224D" w:rsidRPr="00A8224D">
              <w:t xml:space="preserve"> businesses </w:t>
            </w:r>
            <w:r>
              <w:t xml:space="preserve">to </w:t>
            </w:r>
            <w:r w:rsidR="00A8224D" w:rsidRPr="00A8224D">
              <w:t>claim a tax offset for eligible research and development activities. The tax offset is claimed in lieu of the usual tax deduction, and the value of the offset is higher than the deduction to incenti</w:t>
            </w:r>
            <w:r w:rsidR="00BD1A83">
              <w:t>vi</w:t>
            </w:r>
            <w:r w:rsidR="00A8224D" w:rsidRPr="00A8224D">
              <w:t>se investment.</w:t>
            </w:r>
          </w:p>
          <w:p w14:paraId="50D763E1" w14:textId="09AD6F0D" w:rsidR="009E2A92" w:rsidRDefault="009E2A92" w:rsidP="00B334E9">
            <w:r>
              <w:t>For companies with turnover of $20 million</w:t>
            </w:r>
            <w:r w:rsidR="00174CED">
              <w:t xml:space="preserve"> or more</w:t>
            </w:r>
            <w:r>
              <w:t xml:space="preserve">, this tax offset is </w:t>
            </w:r>
            <w:r>
              <w:br/>
              <w:t>non-refundable.</w:t>
            </w:r>
          </w:p>
          <w:p w14:paraId="036B51CD" w14:textId="4B545FEC" w:rsidR="00414B8E" w:rsidRDefault="009E0A59" w:rsidP="00B334E9">
            <w:r>
              <w:t>Under the benchmark</w:t>
            </w:r>
            <w:r w:rsidR="00424A1D">
              <w:t>,</w:t>
            </w:r>
            <w:r w:rsidR="00424A1D" w:rsidRPr="00424A1D">
              <w:t xml:space="preserve"> companies may claim a tax deduction for expenditure incurred on research and development (R&amp;D) activities. A tax expenditure (B</w:t>
            </w:r>
            <w:r w:rsidR="00424A1D" w:rsidRPr="00642C0B">
              <w:t>8</w:t>
            </w:r>
            <w:r w:rsidR="00A815BE" w:rsidRPr="00642C0B">
              <w:t>7</w:t>
            </w:r>
            <w:r w:rsidR="00424A1D" w:rsidRPr="00424A1D">
              <w:t>) arises because the R&amp;D non</w:t>
            </w:r>
            <w:r w:rsidR="00CA796A">
              <w:t>-</w:t>
            </w:r>
            <w:r w:rsidR="00424A1D" w:rsidRPr="00424A1D">
              <w:t xml:space="preserve">refundable tax offset reduces the amount of tax payable to a greater extent than the ordinary tax deduction (see </w:t>
            </w:r>
            <w:r w:rsidR="00424A1D" w:rsidRPr="00796C9D">
              <w:t xml:space="preserve">Figure </w:t>
            </w:r>
            <w:r w:rsidR="00367119">
              <w:t>3.2</w:t>
            </w:r>
            <w:r w:rsidR="00424A1D" w:rsidRPr="00424A1D">
              <w:t>).</w:t>
            </w:r>
          </w:p>
          <w:p w14:paraId="472DEADB" w14:textId="70B2A2CC" w:rsidR="00414B8E" w:rsidRPr="00674001" w:rsidRDefault="003D3223" w:rsidP="00B334E9">
            <w:pPr>
              <w:pStyle w:val="TableHeading"/>
            </w:pPr>
            <w:r>
              <w:t>Table 2</w:t>
            </w:r>
            <w:r w:rsidR="00FC5442">
              <w:t>.19</w:t>
            </w:r>
            <w:r w:rsidR="00414B8E" w:rsidRPr="00674001">
              <w:t xml:space="preserve"> </w:t>
            </w:r>
            <w:r w:rsidR="00414B8E">
              <w:t xml:space="preserve">Estimates of aggregate revenue </w:t>
            </w:r>
            <w:r w:rsidR="00C76435">
              <w:t>forgone</w:t>
            </w:r>
            <w:r w:rsidR="00414B8E">
              <w:t xml:space="preserve">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414B8E" w14:paraId="463670F4" w14:textId="77777777" w:rsidTr="00DC7B7D">
              <w:trPr>
                <w:trHeight w:val="255"/>
                <w:jc w:val="center"/>
              </w:trPr>
              <w:tc>
                <w:tcPr>
                  <w:tcW w:w="935" w:type="dxa"/>
                  <w:vAlign w:val="center"/>
                </w:tcPr>
                <w:p w14:paraId="4797B50A"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2209268A"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541830CE"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3F154346"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2DC2B89C"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22310CE5"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4EC866F6"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7922C6ED" w14:textId="77777777" w:rsidR="00414B8E" w:rsidRPr="00301F8A" w:rsidRDefault="00414B8E" w:rsidP="00EC5FC3">
                  <w:pPr>
                    <w:spacing w:after="0"/>
                    <w:jc w:val="right"/>
                    <w:rPr>
                      <w:rFonts w:ascii="Arial" w:hAnsi="Arial" w:cs="Arial"/>
                      <w:b/>
                      <w:sz w:val="16"/>
                      <w:szCs w:val="16"/>
                    </w:rPr>
                  </w:pPr>
                  <w:r w:rsidRPr="00301F8A">
                    <w:rPr>
                      <w:rFonts w:ascii="Arial" w:hAnsi="Arial" w:cs="Arial"/>
                      <w:b/>
                      <w:sz w:val="16"/>
                      <w:szCs w:val="16"/>
                    </w:rPr>
                    <w:t>2027-28</w:t>
                  </w:r>
                </w:p>
              </w:tc>
            </w:tr>
            <w:tr w:rsidR="00BF5671" w14:paraId="25896184" w14:textId="77777777" w:rsidTr="00DC7B7D">
              <w:trPr>
                <w:trHeight w:val="255"/>
                <w:jc w:val="center"/>
              </w:trPr>
              <w:tc>
                <w:tcPr>
                  <w:tcW w:w="935" w:type="dxa"/>
                </w:tcPr>
                <w:p w14:paraId="3198080C" w14:textId="5D63C851"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440</w:t>
                  </w:r>
                </w:p>
              </w:tc>
              <w:tc>
                <w:tcPr>
                  <w:tcW w:w="935" w:type="dxa"/>
                </w:tcPr>
                <w:p w14:paraId="3079922C" w14:textId="5F48ACE8"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550</w:t>
                  </w:r>
                </w:p>
              </w:tc>
              <w:tc>
                <w:tcPr>
                  <w:tcW w:w="935" w:type="dxa"/>
                </w:tcPr>
                <w:p w14:paraId="42E96558" w14:textId="5B694011"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760</w:t>
                  </w:r>
                </w:p>
              </w:tc>
              <w:tc>
                <w:tcPr>
                  <w:tcW w:w="935" w:type="dxa"/>
                </w:tcPr>
                <w:p w14:paraId="0EE1C620" w14:textId="72EC0D48"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067A7559" w14:textId="2B295A85"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22F481E5" w14:textId="62C65706"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1927E843" w14:textId="60254D9B"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c>
                <w:tcPr>
                  <w:tcW w:w="935" w:type="dxa"/>
                </w:tcPr>
                <w:p w14:paraId="2B06236A" w14:textId="4E08A84D" w:rsidR="00BF5671" w:rsidRPr="00301F8A" w:rsidRDefault="00BF5671" w:rsidP="00EC5FC3">
                  <w:pPr>
                    <w:spacing w:after="0"/>
                    <w:jc w:val="right"/>
                    <w:rPr>
                      <w:rFonts w:ascii="Arial" w:hAnsi="Arial" w:cs="Arial"/>
                      <w:sz w:val="16"/>
                      <w:szCs w:val="16"/>
                    </w:rPr>
                  </w:pPr>
                  <w:r w:rsidRPr="00301F8A">
                    <w:rPr>
                      <w:rFonts w:ascii="Arial" w:hAnsi="Arial" w:cs="Arial"/>
                      <w:sz w:val="16"/>
                      <w:szCs w:val="16"/>
                    </w:rPr>
                    <w:t>780</w:t>
                  </w:r>
                </w:p>
              </w:tc>
            </w:tr>
          </w:tbl>
          <w:p w14:paraId="0FD960C7" w14:textId="2E9BFADE" w:rsidR="00414B8E" w:rsidRDefault="00784A71" w:rsidP="00CF6E19">
            <w:pPr>
              <w:spacing w:before="120" w:after="120" w:line="240" w:lineRule="auto"/>
            </w:pPr>
            <w:r w:rsidRPr="00CF6E19">
              <w:t>In 2021</w:t>
            </w:r>
            <w:r w:rsidR="00E90C0F" w:rsidRPr="00E1619F">
              <w:t>–</w:t>
            </w:r>
            <w:r w:rsidRPr="00CF6E19">
              <w:t>22, a total of 1,049 companies claimed a non-refundable R&amp;D tax offset, with a total utilisation amount of $2.6 billion and total revenue forgone of $550 million</w:t>
            </w:r>
          </w:p>
        </w:tc>
      </w:tr>
    </w:tbl>
    <w:p w14:paraId="212B5914" w14:textId="0E1E5A38" w:rsidR="00CE3F77" w:rsidRDefault="00407B9C" w:rsidP="00CF6E19">
      <w:pPr>
        <w:spacing w:before="120" w:after="120" w:line="240" w:lineRule="auto"/>
      </w:pPr>
      <w:r w:rsidRPr="00CF6E19">
        <w:t>This distributional analysis considers the non</w:t>
      </w:r>
      <w:r w:rsidRPr="00CF6E19">
        <w:noBreakHyphen/>
        <w:t>refundable R&amp;D tax offset itself, rather than the tax expenditure. It uses data on current financial year utilisation of the non-refundable R&amp;D tax offset and does not consider offsets carried forward from previous financial years or those carried into the future</w:t>
      </w:r>
      <w:r w:rsidR="0056704D">
        <w:t>.</w:t>
      </w:r>
    </w:p>
    <w:p w14:paraId="278DB6CF" w14:textId="77777777" w:rsidR="00B334E9" w:rsidRDefault="00B334E9" w:rsidP="00B334E9">
      <w:pPr>
        <w:pStyle w:val="ChartHeading"/>
      </w:pPr>
    </w:p>
    <w:p w14:paraId="1F4D378E" w14:textId="63B16572" w:rsidR="00B32F81" w:rsidRDefault="00B32F81" w:rsidP="00B334E9">
      <w:pPr>
        <w:pStyle w:val="ChartHeading"/>
      </w:pPr>
      <w:r w:rsidRPr="00796C9D">
        <w:t xml:space="preserve">Figure </w:t>
      </w:r>
      <w:r w:rsidR="00367119" w:rsidRPr="00796C9D">
        <w:t>3.</w:t>
      </w:r>
      <w:r w:rsidR="008449E5" w:rsidRPr="00796C9D">
        <w:t xml:space="preserve">2 </w:t>
      </w:r>
      <w:r w:rsidR="008449E5">
        <w:t>Benefit of the non-refundable R&amp;D tax incentive</w:t>
      </w:r>
    </w:p>
    <w:p w14:paraId="532EB5DD" w14:textId="3BB7A271" w:rsidR="004F49FD" w:rsidRDefault="004F49FD" w:rsidP="00126C18">
      <w:pPr>
        <w:spacing w:after="0"/>
        <w:jc w:val="center"/>
        <w:rPr>
          <w:b/>
          <w:bCs/>
        </w:rPr>
      </w:pPr>
      <w:r>
        <w:rPr>
          <w:b/>
          <w:bCs/>
          <w:noProof/>
        </w:rPr>
        <w:drawing>
          <wp:anchor distT="0" distB="0" distL="114300" distR="114300" simplePos="0" relativeHeight="251658241" behindDoc="1" locked="0" layoutInCell="1" allowOverlap="1" wp14:anchorId="6C615D44" wp14:editId="0417E977">
            <wp:simplePos x="0" y="0"/>
            <wp:positionH relativeFrom="margin">
              <wp:posOffset>-3762</wp:posOffset>
            </wp:positionH>
            <wp:positionV relativeFrom="paragraph">
              <wp:posOffset>134404</wp:posOffset>
            </wp:positionV>
            <wp:extent cx="4896485" cy="1749425"/>
            <wp:effectExtent l="0" t="0" r="0" b="0"/>
            <wp:wrapTight wrapText="bothSides">
              <wp:wrapPolygon edited="0">
                <wp:start x="10925" y="1411"/>
                <wp:lineTo x="1092" y="4469"/>
                <wp:lineTo x="1092" y="14113"/>
                <wp:lineTo x="1261" y="16935"/>
                <wp:lineTo x="1345" y="17170"/>
                <wp:lineTo x="10420" y="19522"/>
                <wp:lineTo x="10925" y="19993"/>
                <wp:lineTo x="17311" y="19993"/>
                <wp:lineTo x="17395" y="19522"/>
                <wp:lineTo x="20253" y="16935"/>
                <wp:lineTo x="20421" y="14113"/>
                <wp:lineTo x="20505" y="4939"/>
                <wp:lineTo x="19748" y="3999"/>
                <wp:lineTo x="17227" y="1411"/>
                <wp:lineTo x="10925" y="1411"/>
              </wp:wrapPolygon>
            </wp:wrapTight>
            <wp:docPr id="1252505482" name="Picture 1" descr="This flow chart shows how the benefit of the non-refundable tax offset is spl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05482" name="Picture 1" descr="This flow chart shows how the benefit of the non-refundable tax offset is split."/>
                    <pic:cNvPicPr/>
                  </pic:nvPicPr>
                  <pic:blipFill>
                    <a:blip r:embed="rId72" cstate="print">
                      <a:extLst>
                        <a:ext uri="{28A0092B-C50C-407E-A947-70E740481C1C}">
                          <a14:useLocalDpi xmlns:a14="http://schemas.microsoft.com/office/drawing/2010/main" val="0"/>
                        </a:ext>
                      </a:extLst>
                    </a:blip>
                    <a:stretch>
                      <a:fillRect/>
                    </a:stretch>
                  </pic:blipFill>
                  <pic:spPr>
                    <a:xfrm>
                      <a:off x="0" y="0"/>
                      <a:ext cx="4896485" cy="1749425"/>
                    </a:xfrm>
                    <a:prstGeom prst="rect">
                      <a:avLst/>
                    </a:prstGeom>
                  </pic:spPr>
                </pic:pic>
              </a:graphicData>
            </a:graphic>
          </wp:anchor>
        </w:drawing>
      </w:r>
    </w:p>
    <w:p w14:paraId="01E1905B" w14:textId="069EE88B" w:rsidR="00B32F81" w:rsidRDefault="00B32F81" w:rsidP="00B32F81">
      <w:pPr>
        <w:rPr>
          <w:b/>
          <w:bCs/>
        </w:rPr>
      </w:pPr>
    </w:p>
    <w:p w14:paraId="47994D1D" w14:textId="77777777" w:rsidR="00B334E9" w:rsidRDefault="00B334E9" w:rsidP="00B32F81"/>
    <w:p w14:paraId="456B9B98" w14:textId="2B38834A" w:rsidR="00B32F81" w:rsidRPr="00CF6E19" w:rsidRDefault="00B32F81" w:rsidP="00CF6E19">
      <w:pPr>
        <w:spacing w:before="120" w:after="120" w:line="240" w:lineRule="auto"/>
      </w:pPr>
      <w:r w:rsidRPr="00CF6E19">
        <w:t>The non-refundable R&amp;D tax offset</w:t>
      </w:r>
      <w:r w:rsidRPr="00CF6E19" w:rsidDel="002B10FE">
        <w:t xml:space="preserve"> </w:t>
      </w:r>
      <w:r w:rsidRPr="00CF6E19">
        <w:t>is available to companies with an aggregated annual turnover of $20 million or more. Larger companies are more likely to engage in R&amp;D activities eligible for the offset. In 2021–22, 84</w:t>
      </w:r>
      <w:r w:rsidR="00303308" w:rsidRPr="00CF6E19">
        <w:t xml:space="preserve"> per cent</w:t>
      </w:r>
      <w:r w:rsidRPr="00CF6E19">
        <w:t xml:space="preserve"> of the total offset used was by companies with a turnover of more than $100 million. These companies only represent 39</w:t>
      </w:r>
      <w:r w:rsidR="00303308" w:rsidRPr="00CF6E19">
        <w:t xml:space="preserve"> per cent</w:t>
      </w:r>
      <w:r w:rsidRPr="00CF6E19">
        <w:t xml:space="preserve"> of </w:t>
      </w:r>
      <w:r w:rsidR="00F607A2" w:rsidRPr="00CF6E19">
        <w:t>eligible entities</w:t>
      </w:r>
      <w:r w:rsidRPr="00CF6E19">
        <w:t>.</w:t>
      </w:r>
    </w:p>
    <w:p w14:paraId="3E96B9E3" w14:textId="1C5F3943" w:rsidR="005E4A62" w:rsidRPr="00643A58" w:rsidRDefault="003D3223" w:rsidP="00B334E9">
      <w:pPr>
        <w:pStyle w:val="ChartHeading"/>
      </w:pPr>
      <w:r>
        <w:t>Chart 2</w:t>
      </w:r>
      <w:r w:rsidR="00403BF4">
        <w:t>.22</w:t>
      </w:r>
      <w:r w:rsidR="005C418B" w:rsidRPr="00126C18">
        <w:t xml:space="preserve"> Share of total offset and recipients by total company turnover, 2021</w:t>
      </w:r>
      <w:r w:rsidR="00EA1CBA">
        <w:noBreakHyphen/>
      </w:r>
      <w:r w:rsidR="003C3D89" w:rsidRPr="00DA74A3">
        <w:t>2</w:t>
      </w:r>
      <w:r w:rsidR="005C418B" w:rsidRPr="00126C18">
        <w:t>2</w:t>
      </w:r>
      <w:r w:rsidR="00E47E6D">
        <w:t xml:space="preserve"> </w:t>
      </w:r>
    </w:p>
    <w:p w14:paraId="3E6B13CD" w14:textId="6D74A1ED" w:rsidR="0049783F" w:rsidRDefault="009314E5" w:rsidP="0049783F">
      <w:pPr>
        <w:pStyle w:val="ChartGraphic"/>
      </w:pPr>
      <w:r>
        <w:object w:dxaOrig="7366" w:dyaOrig="4531" w14:anchorId="1E3D0EF5">
          <v:shape id="_x0000_i1046" type="#_x0000_t75" alt="This bar chart shows proportion of total benefits received and number of recipients in different business turnover ranges" style="width:369pt;height:226.5pt" o:ole="">
            <v:imagedata r:id="rId73" o:title=""/>
          </v:shape>
          <o:OLEObject Type="Link" ProgID="Excel.Sheet.12" ShapeID="_x0000_i1046" DrawAspect="Content" r:id="rId74" UpdateMode="Always">
            <o:LinkType>EnhancedMetaFile</o:LinkType>
            <o:LockedField/>
          </o:OLEObject>
        </w:object>
      </w:r>
    </w:p>
    <w:p w14:paraId="15652FD9" w14:textId="67764089" w:rsidR="005C418B" w:rsidRPr="00126C18" w:rsidRDefault="005C418B" w:rsidP="00B334E9">
      <w:pPr>
        <w:pStyle w:val="ChartandTableFootnote"/>
      </w:pPr>
      <w:r w:rsidRPr="00126C18">
        <w:t>Source: Treasury</w:t>
      </w:r>
    </w:p>
    <w:p w14:paraId="42EC5C82" w14:textId="3C139D73" w:rsidR="005C418B" w:rsidRPr="00CF6E19" w:rsidRDefault="005C418B" w:rsidP="00CF6E19">
      <w:pPr>
        <w:spacing w:before="120" w:after="120" w:line="240" w:lineRule="auto"/>
      </w:pPr>
      <w:r w:rsidRPr="00CF6E19">
        <w:t>Some companies with company turnover of less than $20 million have used the non-refundable (rather than refundable) R&amp;D tax offset. Whilst circumstances will differ for any given company, reasons for this may include affiliations with other companies leading to aggregated turnover greater than $20 million (while company turnover is still below $20 million).</w:t>
      </w:r>
      <w:r w:rsidR="000A4999">
        <w:t xml:space="preserve"> </w:t>
      </w:r>
    </w:p>
    <w:p w14:paraId="523ACC03" w14:textId="70384C5C" w:rsidR="008C044F" w:rsidRDefault="003D3223" w:rsidP="00B334E9">
      <w:pPr>
        <w:pStyle w:val="ChartHeading"/>
      </w:pPr>
      <w:r>
        <w:t>Chart 2</w:t>
      </w:r>
      <w:r w:rsidR="00D355BE">
        <w:t>.23</w:t>
      </w:r>
      <w:r w:rsidR="004A6F04" w:rsidRPr="00126C18">
        <w:t xml:space="preserve"> Share of total offset and recipients by industry, 2021</w:t>
      </w:r>
      <w:r w:rsidR="00D355BE">
        <w:t>–</w:t>
      </w:r>
      <w:r w:rsidR="004A6F04" w:rsidRPr="00126C18">
        <w:t>22</w:t>
      </w:r>
    </w:p>
    <w:p w14:paraId="0664CCFC" w14:textId="4A45E671" w:rsidR="003A3A0D" w:rsidRDefault="004F49FD" w:rsidP="00126C18">
      <w:pPr>
        <w:pStyle w:val="ChartGraphic"/>
      </w:pPr>
      <w:r>
        <w:object w:dxaOrig="7366" w:dyaOrig="4531" w14:anchorId="05696C0F">
          <v:shape id="_x0000_i1047" type="#_x0000_t75" alt="This bar chart shows proportion of total benefits received and number of recipients by industry group" style="width:370.5pt;height:225.75pt" o:ole="">
            <v:imagedata r:id="rId75" o:title=""/>
          </v:shape>
          <o:OLEObject Type="Link" ProgID="Excel.Sheet.12" ShapeID="_x0000_i1047" DrawAspect="Content" r:id="rId76" UpdateMode="Always">
            <o:LinkType>EnhancedMetaFile</o:LinkType>
            <o:LockedField/>
          </o:OLEObject>
        </w:object>
      </w:r>
    </w:p>
    <w:p w14:paraId="690EED49" w14:textId="6ED898A4" w:rsidR="004A6F04" w:rsidRPr="00126C18" w:rsidRDefault="004A6F04" w:rsidP="00B334E9">
      <w:pPr>
        <w:pStyle w:val="ChartandTableFootnote"/>
      </w:pPr>
      <w:r w:rsidRPr="00126C18">
        <w:t>Source: Treasury</w:t>
      </w:r>
    </w:p>
    <w:p w14:paraId="7CB1E60D" w14:textId="4A7645F1" w:rsidR="004A6F04" w:rsidRPr="00CF6E19" w:rsidRDefault="004A6F04" w:rsidP="00CF6E19">
      <w:pPr>
        <w:spacing w:before="120" w:after="120" w:line="240" w:lineRule="auto"/>
      </w:pPr>
      <w:r w:rsidRPr="00CF6E19">
        <w:t>The industries with the largest number of recipients in 2021–22 were Manufacturing (357</w:t>
      </w:r>
      <w:r w:rsidR="0008149F" w:rsidRPr="00CF6E19">
        <w:t> </w:t>
      </w:r>
      <w:r w:rsidRPr="00CF6E19">
        <w:t>recipients), Professional, Scientific and Technical Services (224 recipients), and Wholesale and Retail Trade (173 recipients) (</w:t>
      </w:r>
      <w:r w:rsidR="003D3223">
        <w:t>Chart 2</w:t>
      </w:r>
      <w:r w:rsidR="00D355BE" w:rsidRPr="00CF6E19">
        <w:t>.23</w:t>
      </w:r>
      <w:r w:rsidRPr="00CF6E19">
        <w:t xml:space="preserve">). Use of the non-refundable R&amp;D tax offset by value </w:t>
      </w:r>
      <w:r w:rsidR="00A15304" w:rsidRPr="00CF6E19">
        <w:t>was</w:t>
      </w:r>
      <w:r w:rsidRPr="00CF6E19">
        <w:t xml:space="preserve"> most heavily concentrated in companies in the Manufacturing industry (35 per cent of all offsets used), followed by Mining companies (24 per cent) and Professional, Scientific and Technical Services (13 per cent).</w:t>
      </w:r>
    </w:p>
    <w:p w14:paraId="0F4DA89C" w14:textId="5A20F6A4" w:rsidR="00CE3F77" w:rsidRPr="00CF6E19" w:rsidRDefault="004A6F04" w:rsidP="00CF6E19">
      <w:pPr>
        <w:spacing w:before="120" w:after="120" w:line="240" w:lineRule="auto"/>
      </w:pPr>
      <w:r w:rsidRPr="00CF6E19">
        <w:t xml:space="preserve">Within the Manufacturing industry grouping, companies </w:t>
      </w:r>
      <w:r w:rsidR="00737EE5" w:rsidRPr="00CF6E19">
        <w:t>engaged</w:t>
      </w:r>
      <w:r w:rsidRPr="00CF6E19">
        <w:t xml:space="preserve"> in Primary Metal and Metal Product Manufacturing and Machinery and Equipment Manufacturing were the largest users of the non-refundable R&amp;D tax offset. In 2021–22, companies in these industry sub-groupings accounted for 30 per cent and 17 per cent of the offset used by Manufacturing respectively. </w:t>
      </w:r>
    </w:p>
    <w:p w14:paraId="1BBE3B42" w14:textId="01818DB8" w:rsidR="00CE3F77" w:rsidRPr="00CE3F77" w:rsidRDefault="00CE3F77" w:rsidP="00126C18">
      <w:pPr>
        <w:spacing w:after="0" w:line="240" w:lineRule="auto"/>
        <w:jc w:val="left"/>
      </w:pPr>
      <w:r>
        <w:br w:type="page"/>
      </w:r>
    </w:p>
    <w:p w14:paraId="3E150F42" w14:textId="451454A3" w:rsidR="00E6033A" w:rsidRDefault="00E6033A" w:rsidP="00FA7A7A">
      <w:pPr>
        <w:pStyle w:val="Heading2"/>
        <w:numPr>
          <w:ilvl w:val="1"/>
          <w:numId w:val="51"/>
        </w:numPr>
      </w:pPr>
      <w:bookmarkStart w:id="59" w:name="_Toc184287659"/>
      <w:r>
        <w:t>Rental deductions</w:t>
      </w:r>
      <w:bookmarkEnd w:id="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E6033A" w14:paraId="7E1FA14D" w14:textId="77777777">
        <w:trPr>
          <w:trHeight w:val="3322"/>
        </w:trPr>
        <w:tc>
          <w:tcPr>
            <w:tcW w:w="7711" w:type="dxa"/>
            <w:shd w:val="clear" w:color="auto" w:fill="DEEAF6"/>
          </w:tcPr>
          <w:p w14:paraId="48F71A43" w14:textId="77777777" w:rsidR="00E6033A" w:rsidRPr="00CF6E19" w:rsidRDefault="00E6033A" w:rsidP="00CF6E19">
            <w:pPr>
              <w:spacing w:before="120" w:after="120" w:line="240" w:lineRule="auto"/>
            </w:pPr>
            <w:r w:rsidRPr="00CF6E19">
              <w:t>Rental property investors can claim deductions for expenses associated with maintaining and financing property interests. These include interest, capital works and other deductions required to maintain their rental property.</w:t>
            </w:r>
          </w:p>
          <w:p w14:paraId="32EAE6B3" w14:textId="2B99C039" w:rsidR="00E6033A" w:rsidRDefault="003D3223" w:rsidP="00B334E9">
            <w:pPr>
              <w:pStyle w:val="TableHeading"/>
            </w:pPr>
            <w:r>
              <w:t>Table 2</w:t>
            </w:r>
            <w:r w:rsidR="00FC5442">
              <w:t>.20</w:t>
            </w:r>
            <w:r w:rsidR="00E6033A" w:rsidRPr="00674001">
              <w:t xml:space="preserve"> </w:t>
            </w:r>
            <w:r w:rsidR="00E6033A">
              <w:t>Estimates of aggregate tax reductions ($m)</w:t>
            </w:r>
          </w:p>
          <w:tbl>
            <w:tblPr>
              <w:tblStyle w:val="TableGrid"/>
              <w:tblW w:w="7480"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9F1BFE" w:rsidRPr="00301F8A" w14:paraId="5F848B8A" w14:textId="77777777">
              <w:trPr>
                <w:trHeight w:val="255"/>
                <w:jc w:val="center"/>
              </w:trPr>
              <w:tc>
                <w:tcPr>
                  <w:tcW w:w="935" w:type="dxa"/>
                  <w:vAlign w:val="center"/>
                </w:tcPr>
                <w:p w14:paraId="504C72E4"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2020-21</w:t>
                  </w:r>
                </w:p>
              </w:tc>
              <w:tc>
                <w:tcPr>
                  <w:tcW w:w="935" w:type="dxa"/>
                  <w:vAlign w:val="center"/>
                </w:tcPr>
                <w:p w14:paraId="1FE06946"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2021-22</w:t>
                  </w:r>
                </w:p>
              </w:tc>
              <w:tc>
                <w:tcPr>
                  <w:tcW w:w="935" w:type="dxa"/>
                  <w:vAlign w:val="center"/>
                </w:tcPr>
                <w:p w14:paraId="7F33711A"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2022-23</w:t>
                  </w:r>
                </w:p>
              </w:tc>
              <w:tc>
                <w:tcPr>
                  <w:tcW w:w="935" w:type="dxa"/>
                  <w:vAlign w:val="center"/>
                </w:tcPr>
                <w:p w14:paraId="7386E801"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2023-24</w:t>
                  </w:r>
                </w:p>
              </w:tc>
              <w:tc>
                <w:tcPr>
                  <w:tcW w:w="935" w:type="dxa"/>
                  <w:vAlign w:val="center"/>
                </w:tcPr>
                <w:p w14:paraId="197F6E6B"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2024-25</w:t>
                  </w:r>
                </w:p>
              </w:tc>
              <w:tc>
                <w:tcPr>
                  <w:tcW w:w="935" w:type="dxa"/>
                  <w:vAlign w:val="center"/>
                </w:tcPr>
                <w:p w14:paraId="48BBC2AE"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2025-26</w:t>
                  </w:r>
                </w:p>
              </w:tc>
              <w:tc>
                <w:tcPr>
                  <w:tcW w:w="935" w:type="dxa"/>
                  <w:vAlign w:val="center"/>
                </w:tcPr>
                <w:p w14:paraId="662875CF"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2026-27</w:t>
                  </w:r>
                </w:p>
              </w:tc>
              <w:tc>
                <w:tcPr>
                  <w:tcW w:w="935" w:type="dxa"/>
                  <w:vAlign w:val="center"/>
                </w:tcPr>
                <w:p w14:paraId="393C75EB" w14:textId="77777777" w:rsidR="009F1BFE" w:rsidRPr="00301F8A" w:rsidRDefault="009F1BFE" w:rsidP="009F1BFE">
                  <w:pPr>
                    <w:spacing w:after="0"/>
                    <w:jc w:val="right"/>
                    <w:rPr>
                      <w:rFonts w:ascii="Arial" w:hAnsi="Arial" w:cs="Arial"/>
                      <w:b/>
                      <w:sz w:val="16"/>
                      <w:szCs w:val="16"/>
                    </w:rPr>
                  </w:pPr>
                  <w:r w:rsidRPr="00301F8A">
                    <w:rPr>
                      <w:rFonts w:ascii="Arial" w:hAnsi="Arial" w:cs="Arial"/>
                      <w:b/>
                      <w:sz w:val="16"/>
                      <w:szCs w:val="16"/>
                    </w:rPr>
                    <w:t>2027-28</w:t>
                  </w:r>
                </w:p>
              </w:tc>
            </w:tr>
            <w:tr w:rsidR="009F1BFE" w:rsidRPr="00301F8A" w14:paraId="7AF9B8D3" w14:textId="77777777">
              <w:trPr>
                <w:trHeight w:val="255"/>
                <w:jc w:val="center"/>
              </w:trPr>
              <w:tc>
                <w:tcPr>
                  <w:tcW w:w="935" w:type="dxa"/>
                </w:tcPr>
                <w:p w14:paraId="7AEA1ECC" w14:textId="2DDA3C6F" w:rsidR="009F1BFE" w:rsidRPr="00301F8A" w:rsidRDefault="009F1BFE" w:rsidP="009F1BFE">
                  <w:pPr>
                    <w:spacing w:after="0"/>
                    <w:jc w:val="right"/>
                    <w:rPr>
                      <w:rFonts w:ascii="Arial" w:hAnsi="Arial" w:cs="Arial"/>
                      <w:sz w:val="16"/>
                      <w:szCs w:val="16"/>
                    </w:rPr>
                  </w:pPr>
                  <w:r>
                    <w:rPr>
                      <w:rFonts w:ascii="Arial" w:hAnsi="Arial" w:cs="Arial"/>
                      <w:sz w:val="16"/>
                      <w:szCs w:val="16"/>
                    </w:rPr>
                    <w:t>17,100</w:t>
                  </w:r>
                </w:p>
              </w:tc>
              <w:tc>
                <w:tcPr>
                  <w:tcW w:w="935" w:type="dxa"/>
                </w:tcPr>
                <w:p w14:paraId="02AC6702" w14:textId="260ABA93" w:rsidR="009F1BFE" w:rsidRPr="00301F8A" w:rsidRDefault="009F1BFE" w:rsidP="009F1BFE">
                  <w:pPr>
                    <w:spacing w:after="0"/>
                    <w:jc w:val="right"/>
                    <w:rPr>
                      <w:rFonts w:ascii="Arial" w:hAnsi="Arial" w:cs="Arial"/>
                      <w:sz w:val="16"/>
                      <w:szCs w:val="16"/>
                    </w:rPr>
                  </w:pPr>
                  <w:r>
                    <w:rPr>
                      <w:rFonts w:ascii="Arial" w:hAnsi="Arial" w:cs="Arial"/>
                      <w:sz w:val="16"/>
                      <w:szCs w:val="16"/>
                    </w:rPr>
                    <w:t>17,000</w:t>
                  </w:r>
                </w:p>
              </w:tc>
              <w:tc>
                <w:tcPr>
                  <w:tcW w:w="935" w:type="dxa"/>
                </w:tcPr>
                <w:p w14:paraId="2AF8649C" w14:textId="6B7404E9" w:rsidR="009F1BFE" w:rsidRPr="00301F8A" w:rsidRDefault="009F1BFE" w:rsidP="009F1BFE">
                  <w:pPr>
                    <w:spacing w:after="0"/>
                    <w:jc w:val="right"/>
                    <w:rPr>
                      <w:rFonts w:ascii="Arial" w:hAnsi="Arial" w:cs="Arial"/>
                      <w:sz w:val="16"/>
                      <w:szCs w:val="16"/>
                    </w:rPr>
                  </w:pPr>
                  <w:r>
                    <w:rPr>
                      <w:rFonts w:ascii="Arial" w:hAnsi="Arial" w:cs="Arial"/>
                      <w:sz w:val="16"/>
                      <w:szCs w:val="16"/>
                    </w:rPr>
                    <w:t>21,000</w:t>
                  </w:r>
                </w:p>
              </w:tc>
              <w:tc>
                <w:tcPr>
                  <w:tcW w:w="935" w:type="dxa"/>
                </w:tcPr>
                <w:p w14:paraId="163886F3" w14:textId="52B526BF" w:rsidR="009F1BFE" w:rsidRPr="00301F8A" w:rsidRDefault="009F1BFE" w:rsidP="009F1BFE">
                  <w:pPr>
                    <w:spacing w:after="0"/>
                    <w:jc w:val="right"/>
                    <w:rPr>
                      <w:rFonts w:ascii="Arial" w:hAnsi="Arial" w:cs="Arial"/>
                      <w:sz w:val="16"/>
                      <w:szCs w:val="16"/>
                    </w:rPr>
                  </w:pPr>
                  <w:r>
                    <w:rPr>
                      <w:rFonts w:ascii="Arial" w:hAnsi="Arial" w:cs="Arial"/>
                      <w:sz w:val="16"/>
                      <w:szCs w:val="16"/>
                    </w:rPr>
                    <w:t>25,600</w:t>
                  </w:r>
                </w:p>
              </w:tc>
              <w:tc>
                <w:tcPr>
                  <w:tcW w:w="935" w:type="dxa"/>
                </w:tcPr>
                <w:p w14:paraId="119DCD54" w14:textId="48615096" w:rsidR="009F1BFE" w:rsidRPr="00301F8A" w:rsidRDefault="009F1BFE" w:rsidP="009F1BFE">
                  <w:pPr>
                    <w:spacing w:after="0"/>
                    <w:jc w:val="right"/>
                    <w:rPr>
                      <w:rFonts w:ascii="Arial" w:hAnsi="Arial" w:cs="Arial"/>
                      <w:sz w:val="16"/>
                      <w:szCs w:val="16"/>
                    </w:rPr>
                  </w:pPr>
                  <w:r>
                    <w:rPr>
                      <w:rFonts w:ascii="Arial" w:hAnsi="Arial" w:cs="Arial"/>
                      <w:sz w:val="16"/>
                      <w:szCs w:val="16"/>
                    </w:rPr>
                    <w:t>26,500</w:t>
                  </w:r>
                </w:p>
              </w:tc>
              <w:tc>
                <w:tcPr>
                  <w:tcW w:w="935" w:type="dxa"/>
                </w:tcPr>
                <w:p w14:paraId="6DDADA11" w14:textId="6CCFF2DA" w:rsidR="009F1BFE" w:rsidRPr="00301F8A" w:rsidRDefault="009F1BFE" w:rsidP="009F1BFE">
                  <w:pPr>
                    <w:spacing w:after="0"/>
                    <w:jc w:val="right"/>
                    <w:rPr>
                      <w:rFonts w:ascii="Arial" w:hAnsi="Arial" w:cs="Arial"/>
                      <w:sz w:val="16"/>
                      <w:szCs w:val="16"/>
                    </w:rPr>
                  </w:pPr>
                  <w:r>
                    <w:rPr>
                      <w:rFonts w:ascii="Arial" w:hAnsi="Arial" w:cs="Arial"/>
                      <w:sz w:val="16"/>
                      <w:szCs w:val="16"/>
                    </w:rPr>
                    <w:t>28,100</w:t>
                  </w:r>
                </w:p>
              </w:tc>
              <w:tc>
                <w:tcPr>
                  <w:tcW w:w="935" w:type="dxa"/>
                </w:tcPr>
                <w:p w14:paraId="7FECB41C" w14:textId="1F63A137" w:rsidR="009F1BFE" w:rsidRPr="00301F8A" w:rsidRDefault="009F1BFE" w:rsidP="009F1BFE">
                  <w:pPr>
                    <w:spacing w:after="0"/>
                    <w:jc w:val="right"/>
                    <w:rPr>
                      <w:rFonts w:ascii="Arial" w:hAnsi="Arial" w:cs="Arial"/>
                      <w:sz w:val="16"/>
                      <w:szCs w:val="16"/>
                    </w:rPr>
                  </w:pPr>
                  <w:r>
                    <w:rPr>
                      <w:rFonts w:ascii="Arial" w:hAnsi="Arial" w:cs="Arial"/>
                      <w:sz w:val="16"/>
                      <w:szCs w:val="16"/>
                    </w:rPr>
                    <w:t>30,400</w:t>
                  </w:r>
                </w:p>
              </w:tc>
              <w:tc>
                <w:tcPr>
                  <w:tcW w:w="935" w:type="dxa"/>
                </w:tcPr>
                <w:p w14:paraId="36C692C7" w14:textId="355B1C12" w:rsidR="009F1BFE" w:rsidRPr="00301F8A" w:rsidRDefault="009F1BFE" w:rsidP="009F1BFE">
                  <w:pPr>
                    <w:spacing w:after="0"/>
                    <w:jc w:val="right"/>
                    <w:rPr>
                      <w:rFonts w:ascii="Arial" w:hAnsi="Arial" w:cs="Arial"/>
                      <w:sz w:val="16"/>
                      <w:szCs w:val="16"/>
                    </w:rPr>
                  </w:pPr>
                  <w:r>
                    <w:rPr>
                      <w:rFonts w:ascii="Arial" w:hAnsi="Arial" w:cs="Arial"/>
                      <w:sz w:val="16"/>
                      <w:szCs w:val="16"/>
                    </w:rPr>
                    <w:t>32,400</w:t>
                  </w:r>
                </w:p>
              </w:tc>
            </w:tr>
          </w:tbl>
          <w:p w14:paraId="4B7C6446" w14:textId="12E3A464" w:rsidR="00E6033A" w:rsidRDefault="00E6033A" w:rsidP="00CF6E19">
            <w:pPr>
              <w:spacing w:before="120" w:after="120" w:line="240" w:lineRule="auto"/>
            </w:pPr>
            <w:r w:rsidRPr="00CF6E19">
              <w:t>It is estimated that 2.4 million people claimed $47.9 billion of rental deductions incurred in earning $52.9 billion of gross rental income in 2021</w:t>
            </w:r>
            <w:r w:rsidR="003C3D89">
              <w:t>–2</w:t>
            </w:r>
            <w:r w:rsidRPr="00CF6E19">
              <w:t>2. This resulted in a total tax reduction of $16.9 billion.</w:t>
            </w:r>
            <w:r w:rsidRPr="00CF6E19">
              <w:rPr>
                <w:rStyle w:val="FootnoteTextChar"/>
                <w:vertAlign w:val="superscript"/>
              </w:rPr>
              <w:footnoteReference w:id="9"/>
            </w:r>
            <w:r w:rsidRPr="00CF6E19">
              <w:t xml:space="preserve"> </w:t>
            </w:r>
            <w:r w:rsidRPr="00CF6E19">
              <w:rPr>
                <w:rStyle w:val="ui-provider"/>
              </w:rPr>
              <w:t>Of the total number of people with rental deductions, around 42 per cent (1.0 million) had a rental loss, known as negative gearing, which added up to total rental losses of $6.3 billion. These rental losses provided a tax benefit of around $2.2 billion in 2021</w:t>
            </w:r>
            <w:r w:rsidR="003C3D89">
              <w:rPr>
                <w:rStyle w:val="ui-provider"/>
              </w:rPr>
              <w:t>–2</w:t>
            </w:r>
            <w:r w:rsidRPr="00CF6E19">
              <w:rPr>
                <w:rStyle w:val="ui-provider"/>
              </w:rPr>
              <w:t xml:space="preserve">2. </w:t>
            </w:r>
          </w:p>
        </w:tc>
      </w:tr>
    </w:tbl>
    <w:p w14:paraId="1E7C0FF2" w14:textId="1DA6FB7D" w:rsidR="00E6033A" w:rsidRPr="00CF6E19" w:rsidRDefault="00E6033A" w:rsidP="00CF6E19">
      <w:pPr>
        <w:spacing w:before="120" w:after="120" w:line="240" w:lineRule="auto"/>
      </w:pPr>
      <w:r w:rsidRPr="00CF6E19">
        <w:t>The ATO collects and reports information on rental property deductions in 3 broad categories. ‘Other rental deductions,’ which encompasses expenses such as property maintenance and council rates, was the largest of the 3 categories in 2021</w:t>
      </w:r>
      <w:r w:rsidR="003C3D89">
        <w:t>–2</w:t>
      </w:r>
      <w:r w:rsidRPr="00CF6E19">
        <w:t xml:space="preserve">2, which is consistent with recent history (see </w:t>
      </w:r>
      <w:r w:rsidR="003D3223">
        <w:t>Table 2</w:t>
      </w:r>
      <w:r w:rsidR="00FC5442" w:rsidRPr="00CF6E19">
        <w:t>.21</w:t>
      </w:r>
      <w:r w:rsidRPr="00CF6E19">
        <w:t xml:space="preserve">). </w:t>
      </w:r>
    </w:p>
    <w:p w14:paraId="187C6BE4" w14:textId="78EF8A3D" w:rsidR="00E6033A" w:rsidRDefault="003D3223" w:rsidP="00E6033A">
      <w:pPr>
        <w:pStyle w:val="TableHeading"/>
      </w:pPr>
      <w:r>
        <w:t>Table 2</w:t>
      </w:r>
      <w:r w:rsidR="00FC5442">
        <w:t>.21</w:t>
      </w:r>
      <w:r w:rsidR="00E6033A" w:rsidRPr="00674001">
        <w:t xml:space="preserve"> </w:t>
      </w:r>
      <w:r w:rsidR="00E6033A">
        <w:t>Rental deductions claims by income tax return labels,</w:t>
      </w:r>
      <w:r w:rsidR="00E6033A" w:rsidRPr="00674001">
        <w:t xml:space="preserve"> </w:t>
      </w:r>
      <w:r w:rsidR="00E6033A">
        <w:t>2021</w:t>
      </w:r>
      <w:r w:rsidR="003C3D89">
        <w:t>–2</w:t>
      </w:r>
      <w:r w:rsidR="00E6033A">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2977"/>
        <w:gridCol w:w="2868"/>
        <w:gridCol w:w="1866"/>
      </w:tblGrid>
      <w:tr w:rsidR="00E6033A" w14:paraId="3D49FF4E" w14:textId="77777777">
        <w:trPr>
          <w:jc w:val="center"/>
        </w:trPr>
        <w:tc>
          <w:tcPr>
            <w:tcW w:w="2977" w:type="dxa"/>
            <w:tcBorders>
              <w:bottom w:val="single" w:sz="4" w:space="0" w:color="auto"/>
            </w:tcBorders>
            <w:vAlign w:val="center"/>
          </w:tcPr>
          <w:p w14:paraId="7843CD69" w14:textId="77777777" w:rsidR="00E6033A" w:rsidRPr="00B7088C" w:rsidRDefault="00E6033A">
            <w:pPr>
              <w:pStyle w:val="TableColumnHeadingLeft"/>
            </w:pPr>
            <w:r w:rsidRPr="00B7088C">
              <w:t>Type of deductions</w:t>
            </w:r>
          </w:p>
        </w:tc>
        <w:tc>
          <w:tcPr>
            <w:tcW w:w="2868" w:type="dxa"/>
            <w:tcBorders>
              <w:bottom w:val="single" w:sz="4" w:space="0" w:color="auto"/>
            </w:tcBorders>
            <w:vAlign w:val="center"/>
          </w:tcPr>
          <w:p w14:paraId="5C2C2F34" w14:textId="77777777" w:rsidR="00E6033A" w:rsidRPr="00B7088C" w:rsidRDefault="00E6033A">
            <w:pPr>
              <w:pStyle w:val="TableColumnHeadingRight"/>
            </w:pPr>
            <w:r w:rsidRPr="00B7088C">
              <w:t xml:space="preserve">Amount </w:t>
            </w:r>
            <w:r>
              <w:t>c</w:t>
            </w:r>
            <w:r w:rsidRPr="00B7088C">
              <w:t xml:space="preserve">laimed </w:t>
            </w:r>
          </w:p>
          <w:p w14:paraId="261BB3AF" w14:textId="77777777" w:rsidR="00E6033A" w:rsidRPr="00B7088C" w:rsidRDefault="00E6033A">
            <w:pPr>
              <w:pStyle w:val="TableColumnHeadingRight"/>
            </w:pPr>
            <w:r w:rsidRPr="00B7088C">
              <w:t>($ million)</w:t>
            </w:r>
          </w:p>
        </w:tc>
        <w:tc>
          <w:tcPr>
            <w:tcW w:w="1866" w:type="dxa"/>
            <w:tcBorders>
              <w:bottom w:val="single" w:sz="4" w:space="0" w:color="auto"/>
            </w:tcBorders>
            <w:vAlign w:val="center"/>
          </w:tcPr>
          <w:p w14:paraId="0FC91998" w14:textId="77777777" w:rsidR="00E6033A" w:rsidRPr="00B7088C" w:rsidRDefault="00E6033A">
            <w:pPr>
              <w:pStyle w:val="TableColumnHeadingRight"/>
            </w:pPr>
            <w:r w:rsidRPr="00B7088C">
              <w:t>Share of total</w:t>
            </w:r>
          </w:p>
          <w:p w14:paraId="30E7879A" w14:textId="77777777" w:rsidR="00E6033A" w:rsidRPr="00B7088C" w:rsidRDefault="00E6033A">
            <w:pPr>
              <w:pStyle w:val="TableColumnHeadingRight"/>
            </w:pPr>
            <w:r w:rsidRPr="00B7088C">
              <w:t>(%)</w:t>
            </w:r>
          </w:p>
        </w:tc>
      </w:tr>
      <w:tr w:rsidR="00E6033A" w14:paraId="031A7AE7" w14:textId="77777777">
        <w:trPr>
          <w:jc w:val="center"/>
        </w:trPr>
        <w:tc>
          <w:tcPr>
            <w:tcW w:w="2977" w:type="dxa"/>
            <w:tcBorders>
              <w:top w:val="single" w:sz="4" w:space="0" w:color="auto"/>
              <w:bottom w:val="nil"/>
            </w:tcBorders>
          </w:tcPr>
          <w:p w14:paraId="5AD41D70" w14:textId="77777777" w:rsidR="00E6033A" w:rsidRPr="00BA17CA" w:rsidRDefault="00E6033A">
            <w:pPr>
              <w:pStyle w:val="TableTextLeft"/>
            </w:pPr>
            <w:r w:rsidRPr="004C4C37">
              <w:t>Other rental deductions</w:t>
            </w:r>
          </w:p>
        </w:tc>
        <w:tc>
          <w:tcPr>
            <w:tcW w:w="2868" w:type="dxa"/>
            <w:tcBorders>
              <w:top w:val="single" w:sz="4" w:space="0" w:color="auto"/>
              <w:bottom w:val="nil"/>
            </w:tcBorders>
          </w:tcPr>
          <w:p w14:paraId="167A442E" w14:textId="77777777" w:rsidR="00E6033A" w:rsidRPr="009E23CA" w:rsidRDefault="00E6033A">
            <w:pPr>
              <w:pStyle w:val="TableTextRight"/>
            </w:pPr>
            <w:r w:rsidRPr="000E505B">
              <w:t xml:space="preserve"> </w:t>
            </w:r>
            <w:r>
              <w:t>25,300</w:t>
            </w:r>
            <w:r w:rsidRPr="000E505B">
              <w:t xml:space="preserve"> </w:t>
            </w:r>
          </w:p>
        </w:tc>
        <w:tc>
          <w:tcPr>
            <w:tcW w:w="1866" w:type="dxa"/>
            <w:tcBorders>
              <w:top w:val="single" w:sz="4" w:space="0" w:color="auto"/>
              <w:bottom w:val="nil"/>
            </w:tcBorders>
          </w:tcPr>
          <w:p w14:paraId="6B96612A" w14:textId="77777777" w:rsidR="00E6033A" w:rsidRPr="009E23CA" w:rsidRDefault="00E6033A">
            <w:pPr>
              <w:pStyle w:val="TableTextRight"/>
            </w:pPr>
            <w:r>
              <w:t>54</w:t>
            </w:r>
          </w:p>
        </w:tc>
      </w:tr>
      <w:tr w:rsidR="00E6033A" w14:paraId="09F803F4" w14:textId="77777777">
        <w:trPr>
          <w:jc w:val="center"/>
        </w:trPr>
        <w:tc>
          <w:tcPr>
            <w:tcW w:w="2977" w:type="dxa"/>
            <w:tcBorders>
              <w:top w:val="nil"/>
              <w:bottom w:val="nil"/>
            </w:tcBorders>
          </w:tcPr>
          <w:p w14:paraId="29E9A019" w14:textId="77777777" w:rsidR="00E6033A" w:rsidRPr="00BA17CA" w:rsidRDefault="00E6033A">
            <w:pPr>
              <w:pStyle w:val="TableTextLeft"/>
            </w:pPr>
            <w:r w:rsidRPr="004C4C37">
              <w:t>Interest deductions</w:t>
            </w:r>
          </w:p>
        </w:tc>
        <w:tc>
          <w:tcPr>
            <w:tcW w:w="2868" w:type="dxa"/>
            <w:tcBorders>
              <w:top w:val="nil"/>
              <w:bottom w:val="nil"/>
            </w:tcBorders>
          </w:tcPr>
          <w:p w14:paraId="02AFB10F" w14:textId="77777777" w:rsidR="00E6033A" w:rsidRPr="009E23CA" w:rsidRDefault="00E6033A">
            <w:pPr>
              <w:pStyle w:val="TableTextRight"/>
            </w:pPr>
            <w:r w:rsidRPr="000E505B">
              <w:t xml:space="preserve"> </w:t>
            </w:r>
            <w:r>
              <w:t>16,800</w:t>
            </w:r>
            <w:r w:rsidRPr="000E505B">
              <w:t xml:space="preserve"> </w:t>
            </w:r>
          </w:p>
        </w:tc>
        <w:tc>
          <w:tcPr>
            <w:tcW w:w="1866" w:type="dxa"/>
            <w:tcBorders>
              <w:top w:val="nil"/>
              <w:bottom w:val="nil"/>
            </w:tcBorders>
          </w:tcPr>
          <w:p w14:paraId="29284BFD" w14:textId="77777777" w:rsidR="00E6033A" w:rsidRPr="009E23CA" w:rsidRDefault="00E6033A">
            <w:pPr>
              <w:pStyle w:val="TableTextRight"/>
            </w:pPr>
            <w:r>
              <w:t>36</w:t>
            </w:r>
          </w:p>
        </w:tc>
      </w:tr>
      <w:tr w:rsidR="00E6033A" w14:paraId="237B71AE" w14:textId="77777777">
        <w:trPr>
          <w:jc w:val="center"/>
        </w:trPr>
        <w:tc>
          <w:tcPr>
            <w:tcW w:w="2977" w:type="dxa"/>
            <w:tcBorders>
              <w:top w:val="nil"/>
              <w:bottom w:val="single" w:sz="4" w:space="0" w:color="auto"/>
            </w:tcBorders>
          </w:tcPr>
          <w:p w14:paraId="0ABC665C" w14:textId="77777777" w:rsidR="00E6033A" w:rsidRPr="00B7088C" w:rsidRDefault="00E6033A">
            <w:pPr>
              <w:pStyle w:val="TableTextLeft"/>
            </w:pPr>
            <w:r w:rsidRPr="004C4C37">
              <w:t>Capital works deductions</w:t>
            </w:r>
          </w:p>
        </w:tc>
        <w:tc>
          <w:tcPr>
            <w:tcW w:w="2868" w:type="dxa"/>
            <w:tcBorders>
              <w:top w:val="nil"/>
              <w:bottom w:val="single" w:sz="4" w:space="0" w:color="auto"/>
            </w:tcBorders>
          </w:tcPr>
          <w:p w14:paraId="78AF8C2B" w14:textId="77777777" w:rsidR="00E6033A" w:rsidRPr="009E23CA" w:rsidRDefault="00E6033A">
            <w:pPr>
              <w:pStyle w:val="TableTextRight"/>
            </w:pPr>
            <w:r w:rsidRPr="000E505B">
              <w:t xml:space="preserve"> 4,6</w:t>
            </w:r>
            <w:r>
              <w:t>70</w:t>
            </w:r>
            <w:r w:rsidRPr="000E505B">
              <w:t xml:space="preserve"> </w:t>
            </w:r>
          </w:p>
        </w:tc>
        <w:tc>
          <w:tcPr>
            <w:tcW w:w="1866" w:type="dxa"/>
            <w:tcBorders>
              <w:top w:val="nil"/>
              <w:bottom w:val="single" w:sz="4" w:space="0" w:color="auto"/>
            </w:tcBorders>
          </w:tcPr>
          <w:p w14:paraId="01A14908" w14:textId="77777777" w:rsidR="00E6033A" w:rsidRPr="009E23CA" w:rsidRDefault="00E6033A">
            <w:pPr>
              <w:pStyle w:val="TableTextRight"/>
            </w:pPr>
            <w:r>
              <w:t>10</w:t>
            </w:r>
          </w:p>
        </w:tc>
      </w:tr>
    </w:tbl>
    <w:p w14:paraId="51C4D569" w14:textId="05AFBB3C" w:rsidR="00E6033A" w:rsidRPr="00CF6E19" w:rsidRDefault="00E6033A" w:rsidP="00CF6E19">
      <w:pPr>
        <w:spacing w:before="120" w:after="120" w:line="240" w:lineRule="auto"/>
      </w:pPr>
      <w:r w:rsidRPr="00CF6E19">
        <w:t>In 2021</w:t>
      </w:r>
      <w:r w:rsidR="003C3D89">
        <w:t>–2</w:t>
      </w:r>
      <w:r w:rsidRPr="00CF6E19">
        <w:t>2, 81 per cent of the total tax reduction from rental deductions went to people with above median income, with 39 per cent of the reduction going to people in the top taxable income decile (</w:t>
      </w:r>
      <w:r w:rsidR="003D3223">
        <w:t>Chart 2</w:t>
      </w:r>
      <w:r w:rsidR="00D355BE" w:rsidRPr="00CF6E19">
        <w:t>.24</w:t>
      </w:r>
      <w:r w:rsidRPr="00CF6E19">
        <w:t xml:space="preserve">). </w:t>
      </w:r>
    </w:p>
    <w:p w14:paraId="073C0124" w14:textId="0166A8BC" w:rsidR="00E6033A" w:rsidRPr="00CF6E19" w:rsidRDefault="00E6033A" w:rsidP="00CF6E19">
      <w:pPr>
        <w:spacing w:before="120" w:after="120" w:line="240" w:lineRule="auto"/>
      </w:pPr>
      <w:r w:rsidRPr="00CF6E19">
        <w:t xml:space="preserve">The share of the benefit for those in the lowest taxable income decile </w:t>
      </w:r>
      <w:r w:rsidR="00F56738">
        <w:t>was</w:t>
      </w:r>
      <w:r w:rsidRPr="00CF6E19">
        <w:t xml:space="preserve"> driven by both the relatively high number of tax filers and their relatively large average deductions. These tax filers tend to have higher incomes before deductions but their claims for expenses associated with maintaining their rental property substantially reduce their taxable income, pushing them into lower deciles.</w:t>
      </w:r>
    </w:p>
    <w:p w14:paraId="7A477481" w14:textId="77777777" w:rsidR="00E86845" w:rsidRDefault="00E86845" w:rsidP="00E6033A">
      <w:pPr>
        <w:spacing w:after="120"/>
        <w:jc w:val="center"/>
        <w:rPr>
          <w:rFonts w:ascii="Arial" w:hAnsi="Arial" w:cs="Arial"/>
          <w:b/>
          <w:bCs/>
        </w:rPr>
      </w:pPr>
    </w:p>
    <w:p w14:paraId="66437C9E" w14:textId="77777777" w:rsidR="00B059F9" w:rsidRDefault="00B059F9">
      <w:pPr>
        <w:spacing w:after="0" w:line="240" w:lineRule="auto"/>
        <w:jc w:val="left"/>
        <w:rPr>
          <w:rFonts w:ascii="Arial" w:hAnsi="Arial" w:cs="Arial"/>
          <w:b/>
          <w:bCs/>
        </w:rPr>
      </w:pPr>
      <w:r>
        <w:rPr>
          <w:rFonts w:ascii="Arial" w:hAnsi="Arial" w:cs="Arial"/>
          <w:b/>
          <w:bCs/>
        </w:rPr>
        <w:br w:type="page"/>
      </w:r>
    </w:p>
    <w:p w14:paraId="240471BC" w14:textId="61DA5F86" w:rsidR="00E6033A" w:rsidRDefault="003D3223" w:rsidP="00B334E9">
      <w:pPr>
        <w:pStyle w:val="ChartHeading"/>
        <w:rPr>
          <w:sz w:val="16"/>
          <w:szCs w:val="16"/>
        </w:rPr>
      </w:pPr>
      <w:r>
        <w:t>Chart 2</w:t>
      </w:r>
      <w:r w:rsidR="00D355BE">
        <w:t>.24</w:t>
      </w:r>
      <w:r w:rsidR="00E6033A" w:rsidRPr="005C22A4">
        <w:t xml:space="preserve"> </w:t>
      </w:r>
      <w:r w:rsidR="00E6033A">
        <w:t>Share of total tax reduction and claimants</w:t>
      </w:r>
      <w:r w:rsidR="00E6033A" w:rsidRPr="005C22A4">
        <w:t xml:space="preserve"> by t</w:t>
      </w:r>
      <w:r w:rsidR="00E6033A">
        <w:t>axable</w:t>
      </w:r>
      <w:r w:rsidR="00E6033A" w:rsidRPr="005C22A4">
        <w:t xml:space="preserve"> income decile</w:t>
      </w:r>
      <w:r w:rsidR="00E6033A">
        <w:t xml:space="preserve"> 2021</w:t>
      </w:r>
      <w:r w:rsidR="003C3D89">
        <w:t>–2</w:t>
      </w:r>
      <w:r w:rsidR="00E6033A">
        <w:t>2</w:t>
      </w:r>
    </w:p>
    <w:p w14:paraId="4727BA54" w14:textId="5FC9D7F1" w:rsidR="00827922" w:rsidRDefault="004F49FD" w:rsidP="00F50DB5">
      <w:pPr>
        <w:pStyle w:val="ChartGraphic"/>
      </w:pPr>
      <w:r>
        <w:object w:dxaOrig="7366" w:dyaOrig="4531" w14:anchorId="6ADB99F4">
          <v:shape id="_x0000_i1048" type="#_x0000_t75" alt="This bar chart shows claimant numbers and total benefit shares both have a lopsided u-shaped curve across income deciles, peaking in the highest decile." style="width:370.5pt;height:225.75pt" o:ole="">
            <v:imagedata r:id="rId77" o:title=""/>
          </v:shape>
          <o:OLEObject Type="Link" ProgID="Excel.Sheet.12" ShapeID="_x0000_i1048" DrawAspect="Content" r:id="rId78" UpdateMode="Always">
            <o:LinkType>EnhancedMetaFile</o:LinkType>
            <o:LockedField/>
          </o:OLEObject>
        </w:object>
      </w:r>
    </w:p>
    <w:p w14:paraId="598C00DA" w14:textId="77777777" w:rsidR="00E6033A" w:rsidRDefault="00E6033A" w:rsidP="00B334E9">
      <w:pPr>
        <w:pStyle w:val="ChartandTableFootnote"/>
      </w:pPr>
      <w:r w:rsidRPr="00CB34A6">
        <w:t>Source: Treasury</w:t>
      </w:r>
    </w:p>
    <w:p w14:paraId="6B0996F1" w14:textId="7583AF47" w:rsidR="00E6033A" w:rsidRPr="00CF6E19" w:rsidRDefault="00E6033A" w:rsidP="00CF6E19">
      <w:pPr>
        <w:spacing w:before="120" w:after="120" w:line="240" w:lineRule="auto"/>
      </w:pPr>
      <w:r w:rsidRPr="00CF6E19">
        <w:t>Rental losses are most commonly claimed by those with higher taxable incomes, with individuals in the top 30 per cent of taxable income accruing 75 per cent of the total benefit.</w:t>
      </w:r>
      <w:r w:rsidR="00376AF2" w:rsidRPr="00CF6E19" w:rsidDel="00376AF2">
        <w:t xml:space="preserve"> </w:t>
      </w:r>
    </w:p>
    <w:p w14:paraId="69F07D08" w14:textId="7EC0CC1D" w:rsidR="00E6033A" w:rsidRPr="00CF6E19" w:rsidRDefault="00E6033A" w:rsidP="00CF6E19">
      <w:pPr>
        <w:spacing w:before="120" w:after="120" w:line="240" w:lineRule="auto"/>
      </w:pPr>
      <w:r w:rsidRPr="00CF6E19">
        <w:t>In 2021</w:t>
      </w:r>
      <w:r w:rsidR="003C3D89">
        <w:t>–2</w:t>
      </w:r>
      <w:r w:rsidRPr="00CF6E19">
        <w:t>2, 1.2 million men claimed rental deductions and received an average tax reduction of $7,870 – almost $1,800 higher than the average for women (</w:t>
      </w:r>
      <w:r w:rsidR="003D3223">
        <w:t>Table 2</w:t>
      </w:r>
      <w:r w:rsidR="00FC5442" w:rsidRPr="00CF6E19">
        <w:t>.22</w:t>
      </w:r>
      <w:r w:rsidRPr="00CF6E19">
        <w:t xml:space="preserve">). Men again received 58 per cent of the tax reduction, while women received 42 per cent. A higher share of the tax reduction attributed to men reflects that men have higher average deductions and higher average taxable income. </w:t>
      </w:r>
    </w:p>
    <w:p w14:paraId="49F981E2" w14:textId="105A8CD3" w:rsidR="00E6033A" w:rsidRDefault="003D3223" w:rsidP="00E6033A">
      <w:pPr>
        <w:pStyle w:val="TableHeading"/>
        <w:rPr>
          <w:rFonts w:cs="Arial"/>
          <w:b w:val="0"/>
        </w:rPr>
      </w:pPr>
      <w:r>
        <w:t>Table 2</w:t>
      </w:r>
      <w:r w:rsidR="00FC5442">
        <w:t>.22</w:t>
      </w:r>
      <w:r w:rsidR="00E6033A" w:rsidRPr="00101F84">
        <w:t xml:space="preserve"> Distributional</w:t>
      </w:r>
      <w:r w:rsidR="00E6033A" w:rsidRPr="00674001">
        <w:t xml:space="preserve"> </w:t>
      </w:r>
      <w:r w:rsidR="00E6033A">
        <w:t>impact</w:t>
      </w:r>
      <w:r w:rsidR="00E6033A" w:rsidRPr="00674001">
        <w:t xml:space="preserve"> by gender</w:t>
      </w:r>
      <w:r w:rsidR="00E6033A">
        <w:t>,</w:t>
      </w:r>
      <w:r w:rsidR="00E6033A" w:rsidRPr="00674001">
        <w:t xml:space="preserve"> </w:t>
      </w:r>
      <w:r w:rsidR="00E6033A">
        <w:t>2021</w:t>
      </w:r>
      <w:r w:rsidR="003C3D89">
        <w:t>–2</w:t>
      </w:r>
      <w:r w:rsidR="00E6033A">
        <w:t>2</w:t>
      </w:r>
      <w:r w:rsidR="0072001F">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1134"/>
        <w:gridCol w:w="2268"/>
        <w:gridCol w:w="1701"/>
        <w:gridCol w:w="2608"/>
      </w:tblGrid>
      <w:tr w:rsidR="00E6033A" w14:paraId="63545169" w14:textId="77777777">
        <w:trPr>
          <w:jc w:val="center"/>
        </w:trPr>
        <w:tc>
          <w:tcPr>
            <w:tcW w:w="1134" w:type="dxa"/>
            <w:tcBorders>
              <w:bottom w:val="single" w:sz="4" w:space="0" w:color="auto"/>
            </w:tcBorders>
            <w:vAlign w:val="center"/>
          </w:tcPr>
          <w:p w14:paraId="03F89D1D" w14:textId="77777777" w:rsidR="00E6033A" w:rsidRPr="00B7088C" w:rsidRDefault="00E6033A">
            <w:pPr>
              <w:pStyle w:val="TableColumnHeadingLeft"/>
            </w:pPr>
            <w:r w:rsidRPr="00B7088C">
              <w:t>Gender</w:t>
            </w:r>
          </w:p>
        </w:tc>
        <w:tc>
          <w:tcPr>
            <w:tcW w:w="2268" w:type="dxa"/>
            <w:tcBorders>
              <w:bottom w:val="single" w:sz="4" w:space="0" w:color="auto"/>
            </w:tcBorders>
            <w:vAlign w:val="center"/>
          </w:tcPr>
          <w:p w14:paraId="73B00520" w14:textId="77777777" w:rsidR="00E6033A" w:rsidRPr="00CC005B" w:rsidRDefault="00E6033A">
            <w:pPr>
              <w:pStyle w:val="TableColumnHeadingRight"/>
            </w:pPr>
            <w:r w:rsidRPr="00CC005B">
              <w:t>Average tax reduction ($)</w:t>
            </w:r>
          </w:p>
        </w:tc>
        <w:tc>
          <w:tcPr>
            <w:tcW w:w="1701" w:type="dxa"/>
            <w:tcBorders>
              <w:bottom w:val="single" w:sz="4" w:space="0" w:color="auto"/>
            </w:tcBorders>
            <w:vAlign w:val="center"/>
          </w:tcPr>
          <w:p w14:paraId="42C1812E" w14:textId="77777777" w:rsidR="00E6033A" w:rsidRPr="00CC005B" w:rsidRDefault="00E6033A">
            <w:pPr>
              <w:pStyle w:val="TableColumnHeadingRight"/>
            </w:pPr>
            <w:r w:rsidRPr="00CC005B">
              <w:t>Claimants (million)</w:t>
            </w:r>
          </w:p>
        </w:tc>
        <w:tc>
          <w:tcPr>
            <w:tcW w:w="2608" w:type="dxa"/>
            <w:tcBorders>
              <w:bottom w:val="single" w:sz="4" w:space="0" w:color="auto"/>
            </w:tcBorders>
            <w:vAlign w:val="center"/>
          </w:tcPr>
          <w:p w14:paraId="14859290" w14:textId="77777777" w:rsidR="00E6033A" w:rsidRPr="00CC005B" w:rsidRDefault="00E6033A">
            <w:pPr>
              <w:pStyle w:val="TableColumnHeadingRight"/>
            </w:pPr>
            <w:r w:rsidRPr="00CC005B">
              <w:t>Share of total tax reduction (%)</w:t>
            </w:r>
          </w:p>
        </w:tc>
      </w:tr>
      <w:tr w:rsidR="00E6033A" w14:paraId="35C8B6A2" w14:textId="77777777" w:rsidTr="00741441">
        <w:trPr>
          <w:jc w:val="center"/>
        </w:trPr>
        <w:tc>
          <w:tcPr>
            <w:tcW w:w="1134" w:type="dxa"/>
            <w:tcBorders>
              <w:top w:val="single" w:sz="4" w:space="0" w:color="auto"/>
              <w:bottom w:val="nil"/>
            </w:tcBorders>
          </w:tcPr>
          <w:p w14:paraId="34C424B4" w14:textId="77777777" w:rsidR="00E6033A" w:rsidRPr="00B7088C" w:rsidRDefault="00E6033A">
            <w:pPr>
              <w:pStyle w:val="TableTextLeft"/>
            </w:pPr>
            <w:r w:rsidRPr="00B7088C">
              <w:t>Men</w:t>
            </w:r>
          </w:p>
        </w:tc>
        <w:tc>
          <w:tcPr>
            <w:tcW w:w="2268" w:type="dxa"/>
            <w:tcBorders>
              <w:top w:val="single" w:sz="4" w:space="0" w:color="auto"/>
              <w:bottom w:val="nil"/>
            </w:tcBorders>
            <w:vAlign w:val="bottom"/>
          </w:tcPr>
          <w:p w14:paraId="63C0D505" w14:textId="77777777" w:rsidR="00E6033A" w:rsidRPr="00B30A96" w:rsidRDefault="00E6033A">
            <w:pPr>
              <w:pStyle w:val="TableTextRight"/>
              <w:rPr>
                <w:rFonts w:cs="Arial"/>
                <w:szCs w:val="16"/>
              </w:rPr>
            </w:pPr>
            <w:r w:rsidRPr="00C41EE3">
              <w:rPr>
                <w:rFonts w:cs="Arial"/>
                <w:szCs w:val="16"/>
              </w:rPr>
              <w:t>7,870</w:t>
            </w:r>
          </w:p>
        </w:tc>
        <w:tc>
          <w:tcPr>
            <w:tcW w:w="1701" w:type="dxa"/>
            <w:tcBorders>
              <w:top w:val="single" w:sz="4" w:space="0" w:color="auto"/>
              <w:bottom w:val="nil"/>
            </w:tcBorders>
            <w:vAlign w:val="bottom"/>
          </w:tcPr>
          <w:p w14:paraId="77B91387" w14:textId="77777777" w:rsidR="00E6033A" w:rsidRPr="00B30A96" w:rsidRDefault="00E6033A">
            <w:pPr>
              <w:pStyle w:val="TableTextRight"/>
              <w:rPr>
                <w:rFonts w:cs="Arial"/>
                <w:szCs w:val="16"/>
              </w:rPr>
            </w:pPr>
            <w:r w:rsidRPr="00C41EE3">
              <w:rPr>
                <w:rFonts w:cs="Arial"/>
                <w:szCs w:val="16"/>
              </w:rPr>
              <w:t>1.2</w:t>
            </w:r>
          </w:p>
        </w:tc>
        <w:tc>
          <w:tcPr>
            <w:tcW w:w="2608" w:type="dxa"/>
            <w:tcBorders>
              <w:top w:val="single" w:sz="4" w:space="0" w:color="auto"/>
              <w:bottom w:val="nil"/>
            </w:tcBorders>
            <w:vAlign w:val="bottom"/>
          </w:tcPr>
          <w:p w14:paraId="122F25C5" w14:textId="77777777" w:rsidR="00E6033A" w:rsidRPr="00B30A96" w:rsidRDefault="00E6033A">
            <w:pPr>
              <w:pStyle w:val="TableTextRight"/>
              <w:rPr>
                <w:rFonts w:cs="Arial"/>
                <w:szCs w:val="16"/>
              </w:rPr>
            </w:pPr>
            <w:r w:rsidRPr="00C41EE3">
              <w:rPr>
                <w:rFonts w:cs="Arial"/>
                <w:szCs w:val="16"/>
              </w:rPr>
              <w:t>58</w:t>
            </w:r>
          </w:p>
        </w:tc>
      </w:tr>
      <w:tr w:rsidR="00E6033A" w14:paraId="54DDC75C" w14:textId="77777777" w:rsidTr="00741441">
        <w:trPr>
          <w:jc w:val="center"/>
        </w:trPr>
        <w:tc>
          <w:tcPr>
            <w:tcW w:w="1134" w:type="dxa"/>
            <w:tcBorders>
              <w:top w:val="nil"/>
              <w:bottom w:val="single" w:sz="4" w:space="0" w:color="auto"/>
            </w:tcBorders>
          </w:tcPr>
          <w:p w14:paraId="701323F0" w14:textId="77777777" w:rsidR="00E6033A" w:rsidRPr="00B7088C" w:rsidRDefault="00E6033A">
            <w:pPr>
              <w:pStyle w:val="TableTextLeft"/>
            </w:pPr>
            <w:r w:rsidRPr="00B7088C">
              <w:t>Women</w:t>
            </w:r>
          </w:p>
        </w:tc>
        <w:tc>
          <w:tcPr>
            <w:tcW w:w="2268" w:type="dxa"/>
            <w:tcBorders>
              <w:top w:val="nil"/>
              <w:bottom w:val="single" w:sz="4" w:space="0" w:color="auto"/>
            </w:tcBorders>
            <w:vAlign w:val="bottom"/>
          </w:tcPr>
          <w:p w14:paraId="2956AC25" w14:textId="77777777" w:rsidR="00E6033A" w:rsidRPr="00B30A96" w:rsidRDefault="00E6033A">
            <w:pPr>
              <w:pStyle w:val="TableTextRight"/>
              <w:rPr>
                <w:rFonts w:cs="Arial"/>
                <w:szCs w:val="16"/>
              </w:rPr>
            </w:pPr>
            <w:r w:rsidRPr="00C41EE3">
              <w:rPr>
                <w:rFonts w:cs="Arial"/>
                <w:szCs w:val="16"/>
              </w:rPr>
              <w:t>6,090</w:t>
            </w:r>
          </w:p>
        </w:tc>
        <w:tc>
          <w:tcPr>
            <w:tcW w:w="1701" w:type="dxa"/>
            <w:tcBorders>
              <w:top w:val="nil"/>
              <w:bottom w:val="single" w:sz="4" w:space="0" w:color="auto"/>
            </w:tcBorders>
            <w:vAlign w:val="bottom"/>
          </w:tcPr>
          <w:p w14:paraId="7D16C7F4" w14:textId="77777777" w:rsidR="00E6033A" w:rsidRPr="00B30A96" w:rsidRDefault="00E6033A">
            <w:pPr>
              <w:pStyle w:val="TableTextRight"/>
              <w:rPr>
                <w:rFonts w:cs="Arial"/>
                <w:szCs w:val="16"/>
              </w:rPr>
            </w:pPr>
            <w:r w:rsidRPr="00C41EE3">
              <w:rPr>
                <w:rFonts w:cs="Arial"/>
                <w:szCs w:val="16"/>
              </w:rPr>
              <w:t>1.2</w:t>
            </w:r>
          </w:p>
        </w:tc>
        <w:tc>
          <w:tcPr>
            <w:tcW w:w="2608" w:type="dxa"/>
            <w:tcBorders>
              <w:top w:val="nil"/>
              <w:bottom w:val="single" w:sz="4" w:space="0" w:color="auto"/>
            </w:tcBorders>
            <w:vAlign w:val="bottom"/>
          </w:tcPr>
          <w:p w14:paraId="6E01C48A" w14:textId="77777777" w:rsidR="00E6033A" w:rsidRPr="00B30A96" w:rsidRDefault="00E6033A">
            <w:pPr>
              <w:pStyle w:val="TableTextRight"/>
              <w:rPr>
                <w:rFonts w:cs="Arial"/>
                <w:szCs w:val="16"/>
              </w:rPr>
            </w:pPr>
            <w:r w:rsidRPr="00C41EE3">
              <w:rPr>
                <w:rFonts w:cs="Arial"/>
                <w:szCs w:val="16"/>
              </w:rPr>
              <w:t>42</w:t>
            </w:r>
          </w:p>
        </w:tc>
      </w:tr>
      <w:tr w:rsidR="00E6033A" w14:paraId="444467AC" w14:textId="77777777" w:rsidTr="00E86845">
        <w:trPr>
          <w:jc w:val="center"/>
        </w:trPr>
        <w:tc>
          <w:tcPr>
            <w:tcW w:w="1134" w:type="dxa"/>
            <w:tcBorders>
              <w:top w:val="single" w:sz="4" w:space="0" w:color="auto"/>
              <w:bottom w:val="single" w:sz="4" w:space="0" w:color="auto"/>
            </w:tcBorders>
          </w:tcPr>
          <w:p w14:paraId="5B35FD8C" w14:textId="77777777" w:rsidR="00E6033A" w:rsidRPr="00B7088C" w:rsidRDefault="00E6033A">
            <w:pPr>
              <w:pStyle w:val="TableTextLeft"/>
            </w:pPr>
            <w:r w:rsidRPr="00B7088C">
              <w:t>Total</w:t>
            </w:r>
          </w:p>
        </w:tc>
        <w:tc>
          <w:tcPr>
            <w:tcW w:w="2268" w:type="dxa"/>
            <w:tcBorders>
              <w:top w:val="single" w:sz="4" w:space="0" w:color="auto"/>
              <w:bottom w:val="single" w:sz="4" w:space="0" w:color="auto"/>
            </w:tcBorders>
            <w:vAlign w:val="bottom"/>
          </w:tcPr>
          <w:p w14:paraId="414CB7A1" w14:textId="77777777" w:rsidR="00E6033A" w:rsidRPr="00B30A96" w:rsidRDefault="00E6033A">
            <w:pPr>
              <w:pStyle w:val="TableTextRight"/>
              <w:rPr>
                <w:rFonts w:cs="Arial"/>
                <w:szCs w:val="16"/>
              </w:rPr>
            </w:pPr>
            <w:r w:rsidRPr="00C41EE3">
              <w:rPr>
                <w:rFonts w:cs="Arial"/>
                <w:szCs w:val="16"/>
              </w:rPr>
              <w:t>7,000</w:t>
            </w:r>
          </w:p>
        </w:tc>
        <w:tc>
          <w:tcPr>
            <w:tcW w:w="1701" w:type="dxa"/>
            <w:tcBorders>
              <w:top w:val="single" w:sz="4" w:space="0" w:color="auto"/>
              <w:bottom w:val="single" w:sz="4" w:space="0" w:color="auto"/>
            </w:tcBorders>
            <w:vAlign w:val="bottom"/>
          </w:tcPr>
          <w:p w14:paraId="372D782D" w14:textId="77777777" w:rsidR="00E6033A" w:rsidRPr="00B30A96" w:rsidRDefault="00E6033A">
            <w:pPr>
              <w:pStyle w:val="TableTextRight"/>
              <w:rPr>
                <w:rFonts w:cs="Arial"/>
                <w:szCs w:val="16"/>
              </w:rPr>
            </w:pPr>
            <w:r w:rsidRPr="00C41EE3">
              <w:rPr>
                <w:rFonts w:cs="Arial"/>
                <w:szCs w:val="16"/>
              </w:rPr>
              <w:t>2.4</w:t>
            </w:r>
          </w:p>
        </w:tc>
        <w:tc>
          <w:tcPr>
            <w:tcW w:w="2608" w:type="dxa"/>
            <w:tcBorders>
              <w:top w:val="single" w:sz="4" w:space="0" w:color="auto"/>
              <w:bottom w:val="single" w:sz="4" w:space="0" w:color="auto"/>
            </w:tcBorders>
            <w:vAlign w:val="bottom"/>
          </w:tcPr>
          <w:p w14:paraId="66682445" w14:textId="77777777" w:rsidR="00E6033A" w:rsidRPr="00B30A96" w:rsidRDefault="00E6033A">
            <w:pPr>
              <w:pStyle w:val="TableTextRight"/>
              <w:rPr>
                <w:rFonts w:cs="Arial"/>
                <w:szCs w:val="16"/>
              </w:rPr>
            </w:pPr>
            <w:r w:rsidRPr="00C41EE3">
              <w:rPr>
                <w:rFonts w:cs="Arial"/>
                <w:szCs w:val="16"/>
              </w:rPr>
              <w:t>100</w:t>
            </w:r>
          </w:p>
        </w:tc>
      </w:tr>
    </w:tbl>
    <w:p w14:paraId="0F4A0DF3" w14:textId="7CE67BE0" w:rsidR="00E6033A" w:rsidRPr="0072001F" w:rsidRDefault="0072001F" w:rsidP="0072001F">
      <w:pPr>
        <w:pStyle w:val="ChartandTableFootnote"/>
        <w:spacing w:line="276" w:lineRule="auto"/>
      </w:pPr>
      <w:r w:rsidRPr="00173B4F">
        <w:t>* Totals may not sum due to rounding.</w:t>
      </w:r>
    </w:p>
    <w:p w14:paraId="5A9437C5" w14:textId="4AA34337" w:rsidR="00CC3F5B" w:rsidRPr="00CF6E19" w:rsidRDefault="00CC3F5B" w:rsidP="00CC3F5B">
      <w:pPr>
        <w:spacing w:before="120" w:after="120" w:line="240" w:lineRule="auto"/>
      </w:pPr>
      <w:r w:rsidRPr="00CF6E19">
        <w:t>More than half of the total tax reduction accrued to those in age cohorts between 40 and 59 years old (</w:t>
      </w:r>
      <w:r w:rsidR="003D3223">
        <w:t>Chart 2</w:t>
      </w:r>
      <w:r w:rsidRPr="00CF6E19">
        <w:t>.25). This reflects a larger number of rental property owners, higher average deductions (including interest deductions – older cohorts are more likely to own property outright or have smaller debt owing) and higher average taxable incomes within these age cohorts.</w:t>
      </w:r>
    </w:p>
    <w:p w14:paraId="109E8A93" w14:textId="427F7676" w:rsidR="00B334E9" w:rsidRDefault="00B334E9">
      <w:pPr>
        <w:spacing w:after="0" w:line="240" w:lineRule="auto"/>
        <w:jc w:val="left"/>
        <w:rPr>
          <w:rFonts w:ascii="Arial" w:hAnsi="Arial" w:cs="Arial"/>
          <w:b/>
          <w:bCs/>
        </w:rPr>
      </w:pPr>
      <w:r>
        <w:rPr>
          <w:rFonts w:ascii="Arial" w:hAnsi="Arial" w:cs="Arial"/>
          <w:b/>
          <w:bCs/>
        </w:rPr>
        <w:br w:type="page"/>
      </w:r>
    </w:p>
    <w:p w14:paraId="2D36D8C2" w14:textId="34928CB1" w:rsidR="00E6033A" w:rsidRDefault="003D3223" w:rsidP="00B334E9">
      <w:pPr>
        <w:pStyle w:val="ChartHeading"/>
        <w:rPr>
          <w:sz w:val="16"/>
          <w:szCs w:val="16"/>
        </w:rPr>
      </w:pPr>
      <w:r>
        <w:t>Chart 2</w:t>
      </w:r>
      <w:r w:rsidR="00D355BE">
        <w:t>.25</w:t>
      </w:r>
      <w:r w:rsidR="00E6033A" w:rsidRPr="00C309B2">
        <w:t xml:space="preserve"> Share of total tax reduction and claimants by age</w:t>
      </w:r>
      <w:r w:rsidR="00E6033A">
        <w:t>, 2021</w:t>
      </w:r>
      <w:r w:rsidR="003C3D89">
        <w:t>–2</w:t>
      </w:r>
      <w:r w:rsidR="00E6033A">
        <w:t>2</w:t>
      </w:r>
    </w:p>
    <w:p w14:paraId="18C51BC6" w14:textId="42E87DF0" w:rsidR="00540F4B" w:rsidRDefault="004F49FD" w:rsidP="00F50DB5">
      <w:pPr>
        <w:pStyle w:val="ChartGraphic"/>
      </w:pPr>
      <w:r>
        <w:object w:dxaOrig="7366" w:dyaOrig="4531" w14:anchorId="38FF92D5">
          <v:shape id="_x0000_i1049" type="#_x0000_t75" alt="This bar chart shows claimant numbers and total benefit shares are highest for individuals aged 35 to 64 years and drop fairly steeply on either side of these cohorts, before rising slightly again for the 75+ cohort. " style="width:370.5pt;height:225.75pt" o:ole="">
            <v:imagedata r:id="rId79" o:title=""/>
          </v:shape>
          <o:OLEObject Type="Link" ProgID="Excel.Sheet.12" ShapeID="_x0000_i1049" DrawAspect="Content" r:id="rId80" UpdateMode="Always">
            <o:LinkType>EnhancedMetaFile</o:LinkType>
            <o:LockedField/>
          </o:OLEObject>
        </w:object>
      </w:r>
    </w:p>
    <w:p w14:paraId="2C265C86" w14:textId="346D5622" w:rsidR="00142D79" w:rsidRDefault="00E6033A" w:rsidP="00E6033A">
      <w:pPr>
        <w:rPr>
          <w:rFonts w:ascii="Arial" w:hAnsi="Arial" w:cs="Arial"/>
          <w:sz w:val="16"/>
          <w:szCs w:val="16"/>
        </w:rPr>
      </w:pPr>
      <w:r w:rsidRPr="00CB34A6">
        <w:rPr>
          <w:rFonts w:ascii="Arial" w:hAnsi="Arial" w:cs="Arial"/>
          <w:sz w:val="16"/>
          <w:szCs w:val="16"/>
        </w:rPr>
        <w:t>Source: Treasury</w:t>
      </w:r>
    </w:p>
    <w:p w14:paraId="618E2EFD" w14:textId="77777777" w:rsidR="00142D79" w:rsidRDefault="00142D79">
      <w:pPr>
        <w:spacing w:after="0" w:line="240" w:lineRule="auto"/>
        <w:jc w:val="left"/>
        <w:rPr>
          <w:rFonts w:ascii="Arial" w:hAnsi="Arial" w:cs="Arial"/>
          <w:sz w:val="16"/>
          <w:szCs w:val="16"/>
        </w:rPr>
      </w:pPr>
      <w:r>
        <w:rPr>
          <w:rFonts w:ascii="Arial" w:hAnsi="Arial" w:cs="Arial"/>
          <w:sz w:val="16"/>
          <w:szCs w:val="16"/>
        </w:rPr>
        <w:br w:type="page"/>
      </w:r>
    </w:p>
    <w:p w14:paraId="59579B75" w14:textId="501A79D5" w:rsidR="00C92D2F" w:rsidRDefault="00C92D2F" w:rsidP="00FA7A7A">
      <w:pPr>
        <w:pStyle w:val="Heading2"/>
        <w:numPr>
          <w:ilvl w:val="1"/>
          <w:numId w:val="51"/>
        </w:numPr>
      </w:pPr>
      <w:bookmarkStart w:id="60" w:name="_Toc184287660"/>
      <w:r>
        <w:t>Work-related expenses</w:t>
      </w:r>
      <w:bookmarkEnd w:id="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C92D2F" w14:paraId="25522AAC" w14:textId="77777777" w:rsidTr="00796C9D">
        <w:trPr>
          <w:trHeight w:val="2484"/>
        </w:trPr>
        <w:tc>
          <w:tcPr>
            <w:tcW w:w="8755" w:type="dxa"/>
            <w:shd w:val="clear" w:color="auto" w:fill="DEEAF6"/>
          </w:tcPr>
          <w:p w14:paraId="10F3B94A" w14:textId="77777777" w:rsidR="00C92D2F" w:rsidRPr="00CF6E19" w:rsidRDefault="00C92D2F" w:rsidP="00CF6E19">
            <w:pPr>
              <w:spacing w:before="120" w:after="120" w:line="240" w:lineRule="auto"/>
            </w:pPr>
            <w:r w:rsidRPr="00CF6E19">
              <w:t xml:space="preserve">Individuals can claim deductions for work-related expenses incurred in the course of earning assessable income. </w:t>
            </w:r>
          </w:p>
          <w:p w14:paraId="711800EE" w14:textId="35E1F619" w:rsidR="00C92D2F" w:rsidRPr="00674001" w:rsidRDefault="003D3223" w:rsidP="00B334E9">
            <w:pPr>
              <w:pStyle w:val="TableHeading"/>
            </w:pPr>
            <w:r>
              <w:t>Table 2</w:t>
            </w:r>
            <w:r w:rsidR="00583393">
              <w:t>.23</w:t>
            </w:r>
            <w:r w:rsidR="00C92D2F" w:rsidRPr="00674001">
              <w:t xml:space="preserve"> </w:t>
            </w:r>
            <w:r w:rsidR="00C92D2F">
              <w:t>Estimates of aggregate tax reduction ($m)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35"/>
              <w:gridCol w:w="935"/>
              <w:gridCol w:w="935"/>
              <w:gridCol w:w="935"/>
              <w:gridCol w:w="935"/>
              <w:gridCol w:w="935"/>
              <w:gridCol w:w="935"/>
              <w:gridCol w:w="935"/>
            </w:tblGrid>
            <w:tr w:rsidR="00C92D2F" w14:paraId="5C801781" w14:textId="77777777" w:rsidTr="00DC7B7D">
              <w:trPr>
                <w:trHeight w:val="255"/>
                <w:jc w:val="center"/>
              </w:trPr>
              <w:tc>
                <w:tcPr>
                  <w:tcW w:w="935" w:type="dxa"/>
                  <w:tcBorders>
                    <w:bottom w:val="single" w:sz="4" w:space="0" w:color="auto"/>
                  </w:tcBorders>
                  <w:vAlign w:val="center"/>
                </w:tcPr>
                <w:p w14:paraId="40E89B61"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2020-21</w:t>
                  </w:r>
                </w:p>
              </w:tc>
              <w:tc>
                <w:tcPr>
                  <w:tcW w:w="935" w:type="dxa"/>
                  <w:tcBorders>
                    <w:bottom w:val="single" w:sz="4" w:space="0" w:color="auto"/>
                  </w:tcBorders>
                  <w:vAlign w:val="center"/>
                </w:tcPr>
                <w:p w14:paraId="369DA7E3"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2021-22</w:t>
                  </w:r>
                </w:p>
              </w:tc>
              <w:tc>
                <w:tcPr>
                  <w:tcW w:w="935" w:type="dxa"/>
                  <w:tcBorders>
                    <w:bottom w:val="single" w:sz="4" w:space="0" w:color="auto"/>
                  </w:tcBorders>
                  <w:vAlign w:val="center"/>
                </w:tcPr>
                <w:p w14:paraId="593E8C86"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2022-23</w:t>
                  </w:r>
                </w:p>
              </w:tc>
              <w:tc>
                <w:tcPr>
                  <w:tcW w:w="935" w:type="dxa"/>
                  <w:tcBorders>
                    <w:bottom w:val="single" w:sz="4" w:space="0" w:color="auto"/>
                  </w:tcBorders>
                  <w:vAlign w:val="center"/>
                </w:tcPr>
                <w:p w14:paraId="4FA1E172"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2023-24</w:t>
                  </w:r>
                </w:p>
              </w:tc>
              <w:tc>
                <w:tcPr>
                  <w:tcW w:w="935" w:type="dxa"/>
                  <w:tcBorders>
                    <w:bottom w:val="single" w:sz="4" w:space="0" w:color="auto"/>
                  </w:tcBorders>
                  <w:vAlign w:val="center"/>
                </w:tcPr>
                <w:p w14:paraId="1052BA6B"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2024-25</w:t>
                  </w:r>
                </w:p>
              </w:tc>
              <w:tc>
                <w:tcPr>
                  <w:tcW w:w="935" w:type="dxa"/>
                  <w:tcBorders>
                    <w:bottom w:val="single" w:sz="4" w:space="0" w:color="auto"/>
                  </w:tcBorders>
                  <w:vAlign w:val="center"/>
                </w:tcPr>
                <w:p w14:paraId="50C652D8"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2025-26</w:t>
                  </w:r>
                </w:p>
              </w:tc>
              <w:tc>
                <w:tcPr>
                  <w:tcW w:w="935" w:type="dxa"/>
                  <w:tcBorders>
                    <w:bottom w:val="single" w:sz="4" w:space="0" w:color="auto"/>
                  </w:tcBorders>
                  <w:vAlign w:val="center"/>
                </w:tcPr>
                <w:p w14:paraId="6364F63E"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2026-27</w:t>
                  </w:r>
                </w:p>
              </w:tc>
              <w:tc>
                <w:tcPr>
                  <w:tcW w:w="935" w:type="dxa"/>
                  <w:tcBorders>
                    <w:bottom w:val="single" w:sz="4" w:space="0" w:color="auto"/>
                  </w:tcBorders>
                  <w:vAlign w:val="center"/>
                </w:tcPr>
                <w:p w14:paraId="33479732" w14:textId="77777777" w:rsidR="00C92D2F" w:rsidRPr="00301F8A" w:rsidRDefault="00C92D2F" w:rsidP="00A74909">
                  <w:pPr>
                    <w:spacing w:after="0"/>
                    <w:jc w:val="right"/>
                    <w:rPr>
                      <w:rFonts w:ascii="Arial" w:hAnsi="Arial" w:cs="Arial"/>
                      <w:b/>
                      <w:sz w:val="16"/>
                      <w:szCs w:val="16"/>
                    </w:rPr>
                  </w:pPr>
                  <w:r w:rsidRPr="00301F8A">
                    <w:rPr>
                      <w:rFonts w:ascii="Arial" w:hAnsi="Arial" w:cs="Arial"/>
                      <w:b/>
                      <w:sz w:val="16"/>
                      <w:szCs w:val="16"/>
                    </w:rPr>
                    <w:t>2027-28</w:t>
                  </w:r>
                </w:p>
              </w:tc>
            </w:tr>
            <w:tr w:rsidR="00C92D2F" w14:paraId="39B0B1B0" w14:textId="77777777" w:rsidTr="00DC7B7D">
              <w:trPr>
                <w:trHeight w:val="255"/>
                <w:jc w:val="center"/>
              </w:trPr>
              <w:tc>
                <w:tcPr>
                  <w:tcW w:w="935" w:type="dxa"/>
                  <w:tcBorders>
                    <w:top w:val="single" w:sz="4" w:space="0" w:color="EEECE1" w:themeColor="background2"/>
                  </w:tcBorders>
                  <w:vAlign w:val="bottom"/>
                </w:tcPr>
                <w:p w14:paraId="39128E80"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8,500</w:t>
                  </w:r>
                </w:p>
              </w:tc>
              <w:tc>
                <w:tcPr>
                  <w:tcW w:w="935" w:type="dxa"/>
                  <w:tcBorders>
                    <w:top w:val="single" w:sz="4" w:space="0" w:color="EEECE1" w:themeColor="background2"/>
                  </w:tcBorders>
                  <w:vAlign w:val="bottom"/>
                </w:tcPr>
                <w:p w14:paraId="17F187CA"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9,200</w:t>
                  </w:r>
                </w:p>
              </w:tc>
              <w:tc>
                <w:tcPr>
                  <w:tcW w:w="935" w:type="dxa"/>
                  <w:tcBorders>
                    <w:top w:val="single" w:sz="4" w:space="0" w:color="EEECE1" w:themeColor="background2"/>
                  </w:tcBorders>
                  <w:vAlign w:val="bottom"/>
                </w:tcPr>
                <w:p w14:paraId="27F30835"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10,600</w:t>
                  </w:r>
                </w:p>
              </w:tc>
              <w:tc>
                <w:tcPr>
                  <w:tcW w:w="935" w:type="dxa"/>
                  <w:tcBorders>
                    <w:top w:val="single" w:sz="4" w:space="0" w:color="EEECE1" w:themeColor="background2"/>
                  </w:tcBorders>
                  <w:vAlign w:val="bottom"/>
                </w:tcPr>
                <w:p w14:paraId="318E9918"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11,500</w:t>
                  </w:r>
                </w:p>
              </w:tc>
              <w:tc>
                <w:tcPr>
                  <w:tcW w:w="935" w:type="dxa"/>
                  <w:tcBorders>
                    <w:top w:val="single" w:sz="4" w:space="0" w:color="EEECE1" w:themeColor="background2"/>
                  </w:tcBorders>
                  <w:vAlign w:val="bottom"/>
                </w:tcPr>
                <w:p w14:paraId="4693FE44"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11,300</w:t>
                  </w:r>
                </w:p>
              </w:tc>
              <w:tc>
                <w:tcPr>
                  <w:tcW w:w="935" w:type="dxa"/>
                  <w:tcBorders>
                    <w:top w:val="single" w:sz="4" w:space="0" w:color="EEECE1" w:themeColor="background2"/>
                  </w:tcBorders>
                  <w:vAlign w:val="bottom"/>
                </w:tcPr>
                <w:p w14:paraId="368E5AA9"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11,800</w:t>
                  </w:r>
                </w:p>
              </w:tc>
              <w:tc>
                <w:tcPr>
                  <w:tcW w:w="935" w:type="dxa"/>
                  <w:tcBorders>
                    <w:top w:val="single" w:sz="4" w:space="0" w:color="EEECE1" w:themeColor="background2"/>
                  </w:tcBorders>
                  <w:vAlign w:val="bottom"/>
                </w:tcPr>
                <w:p w14:paraId="0E38C4B6"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12,500</w:t>
                  </w:r>
                </w:p>
              </w:tc>
              <w:tc>
                <w:tcPr>
                  <w:tcW w:w="935" w:type="dxa"/>
                  <w:tcBorders>
                    <w:top w:val="single" w:sz="4" w:space="0" w:color="EEECE1" w:themeColor="background2"/>
                  </w:tcBorders>
                  <w:vAlign w:val="bottom"/>
                </w:tcPr>
                <w:p w14:paraId="32DF4040" w14:textId="77777777" w:rsidR="00C92D2F" w:rsidRPr="00301F8A" w:rsidRDefault="00C92D2F" w:rsidP="00A74909">
                  <w:pPr>
                    <w:spacing w:after="0"/>
                    <w:jc w:val="right"/>
                    <w:rPr>
                      <w:rFonts w:ascii="Arial" w:hAnsi="Arial" w:cs="Arial"/>
                      <w:sz w:val="16"/>
                      <w:szCs w:val="16"/>
                    </w:rPr>
                  </w:pPr>
                  <w:r w:rsidRPr="00301F8A">
                    <w:rPr>
                      <w:rFonts w:ascii="Arial" w:hAnsi="Arial" w:cs="Arial"/>
                      <w:color w:val="000000"/>
                      <w:sz w:val="16"/>
                      <w:szCs w:val="16"/>
                    </w:rPr>
                    <w:t>13,300</w:t>
                  </w:r>
                </w:p>
              </w:tc>
            </w:tr>
          </w:tbl>
          <w:p w14:paraId="19A9E20F" w14:textId="197D2F6F" w:rsidR="00C92D2F" w:rsidRDefault="00CF6E19" w:rsidP="00CF6E19">
            <w:pPr>
              <w:spacing w:before="120" w:after="120" w:line="240" w:lineRule="auto"/>
            </w:pPr>
            <w:r w:rsidRPr="00CF6E19">
              <w:t>I</w:t>
            </w:r>
            <w:r w:rsidR="00C92D2F" w:rsidRPr="00CF6E19">
              <w:t>t is estimated that around 10.1 million individuals claimed $24.0 billion of work</w:t>
            </w:r>
            <w:r w:rsidR="00C92D2F" w:rsidRPr="00CF6E19">
              <w:noBreakHyphen/>
              <w:t>related expense deductions in 2021</w:t>
            </w:r>
            <w:r w:rsidR="003C3D89">
              <w:t>–2</w:t>
            </w:r>
            <w:r w:rsidR="00C92D2F" w:rsidRPr="00CF6E19">
              <w:t>2. This resulted in a total tax reduction of $8.4 billion.</w:t>
            </w:r>
            <w:r w:rsidR="00C92D2F" w:rsidRPr="00CF6E19">
              <w:rPr>
                <w:rStyle w:val="FootnoteReference"/>
              </w:rPr>
              <w:footnoteReference w:id="10"/>
            </w:r>
          </w:p>
        </w:tc>
      </w:tr>
    </w:tbl>
    <w:p w14:paraId="5C3BDE6D" w14:textId="0EA4F1E1" w:rsidR="00C92D2F" w:rsidRPr="00CF6E19" w:rsidRDefault="00C92D2F" w:rsidP="00CF6E19">
      <w:pPr>
        <w:spacing w:before="120" w:after="120" w:line="240" w:lineRule="auto"/>
      </w:pPr>
      <w:r w:rsidRPr="00CF6E19">
        <w:t>Work-related expenses include deductions for the costs of traveling for work (including use of a private motor vehicle), clothing, laundry and dry-cleaning expenses, and self</w:t>
      </w:r>
      <w:r w:rsidRPr="00CF6E19">
        <w:noBreakHyphen/>
        <w:t>education expenses. Other work-related expenses that can be claimed, if incurred in the course of earning assessable income, include expenses incurred whilst working from home; tools, equipment and other assets; phone, data and internet expenses; and union fees and subscriptions to associations. Work-related expenses under the ‘other’ category is the largest category by total amount claimed (</w:t>
      </w:r>
      <w:r w:rsidR="003D3223">
        <w:t>Table 2</w:t>
      </w:r>
      <w:r w:rsidR="00583393" w:rsidRPr="00CF6E19">
        <w:t>.24</w:t>
      </w:r>
      <w:r w:rsidRPr="00CF6E19">
        <w:t>).</w:t>
      </w:r>
    </w:p>
    <w:p w14:paraId="7FD0E28C" w14:textId="74E01507" w:rsidR="00C92D2F" w:rsidRDefault="003D3223" w:rsidP="00C92D2F">
      <w:pPr>
        <w:pStyle w:val="TableHeading"/>
      </w:pPr>
      <w:r>
        <w:t>Table 2</w:t>
      </w:r>
      <w:r w:rsidR="00583393">
        <w:t>.24</w:t>
      </w:r>
      <w:r w:rsidR="00C92D2F" w:rsidRPr="00674001">
        <w:t xml:space="preserve"> </w:t>
      </w:r>
      <w:r w:rsidR="00C92D2F">
        <w:t>Work</w:t>
      </w:r>
      <w:r w:rsidR="00C92D2F">
        <w:noBreakHyphen/>
        <w:t>related expenses claims by income tax return labels,</w:t>
      </w:r>
      <w:r w:rsidR="00C92D2F" w:rsidRPr="00674001">
        <w:t xml:space="preserve"> 2</w:t>
      </w:r>
      <w:r w:rsidR="00C92D2F">
        <w:t>021</w:t>
      </w:r>
      <w:r w:rsidR="003C3D89">
        <w:t>–2</w:t>
      </w:r>
      <w:r w:rsidR="00C92D2F">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2977"/>
        <w:gridCol w:w="2868"/>
        <w:gridCol w:w="1866"/>
      </w:tblGrid>
      <w:tr w:rsidR="00C92D2F" w14:paraId="21A31296" w14:textId="77777777">
        <w:trPr>
          <w:jc w:val="center"/>
        </w:trPr>
        <w:tc>
          <w:tcPr>
            <w:tcW w:w="2977" w:type="dxa"/>
            <w:tcBorders>
              <w:bottom w:val="single" w:sz="4" w:space="0" w:color="auto"/>
            </w:tcBorders>
            <w:vAlign w:val="center"/>
          </w:tcPr>
          <w:p w14:paraId="0B9004BB" w14:textId="77777777" w:rsidR="00C92D2F" w:rsidRPr="00B7088C" w:rsidRDefault="00C92D2F">
            <w:pPr>
              <w:pStyle w:val="TableColumnHeadingLeft"/>
            </w:pPr>
            <w:r w:rsidRPr="00B7088C">
              <w:t>Type of deductions</w:t>
            </w:r>
          </w:p>
        </w:tc>
        <w:tc>
          <w:tcPr>
            <w:tcW w:w="2868" w:type="dxa"/>
            <w:tcBorders>
              <w:bottom w:val="single" w:sz="4" w:space="0" w:color="auto"/>
            </w:tcBorders>
            <w:vAlign w:val="center"/>
          </w:tcPr>
          <w:p w14:paraId="2F1234C1" w14:textId="77777777" w:rsidR="00C92D2F" w:rsidRPr="00B7088C" w:rsidRDefault="00C92D2F">
            <w:pPr>
              <w:pStyle w:val="TableColumnHeadingRight"/>
            </w:pPr>
            <w:r w:rsidRPr="00B7088C">
              <w:t xml:space="preserve">Amount Claimed </w:t>
            </w:r>
          </w:p>
          <w:p w14:paraId="687E9A24" w14:textId="77777777" w:rsidR="00C92D2F" w:rsidRPr="00B7088C" w:rsidRDefault="00C92D2F">
            <w:pPr>
              <w:pStyle w:val="TableColumnHeadingRight"/>
            </w:pPr>
            <w:r w:rsidRPr="00B7088C">
              <w:t>($ million)</w:t>
            </w:r>
          </w:p>
        </w:tc>
        <w:tc>
          <w:tcPr>
            <w:tcW w:w="1866" w:type="dxa"/>
            <w:tcBorders>
              <w:bottom w:val="single" w:sz="4" w:space="0" w:color="auto"/>
            </w:tcBorders>
            <w:vAlign w:val="center"/>
          </w:tcPr>
          <w:p w14:paraId="5BEC4299" w14:textId="77777777" w:rsidR="00C92D2F" w:rsidRPr="00B7088C" w:rsidRDefault="00C92D2F">
            <w:pPr>
              <w:pStyle w:val="TableColumnHeadingRight"/>
            </w:pPr>
            <w:r w:rsidRPr="00B7088C">
              <w:t>Share of total</w:t>
            </w:r>
          </w:p>
          <w:p w14:paraId="11C3DA86" w14:textId="77777777" w:rsidR="00C92D2F" w:rsidRPr="00B7088C" w:rsidRDefault="00C92D2F">
            <w:pPr>
              <w:pStyle w:val="TableColumnHeadingRight"/>
            </w:pPr>
            <w:r w:rsidRPr="00B7088C">
              <w:t>(%)</w:t>
            </w:r>
          </w:p>
        </w:tc>
      </w:tr>
      <w:tr w:rsidR="00C92D2F" w14:paraId="32DAE3CC" w14:textId="77777777">
        <w:trPr>
          <w:jc w:val="center"/>
        </w:trPr>
        <w:tc>
          <w:tcPr>
            <w:tcW w:w="2977" w:type="dxa"/>
            <w:tcBorders>
              <w:top w:val="single" w:sz="4" w:space="0" w:color="auto"/>
              <w:bottom w:val="nil"/>
            </w:tcBorders>
          </w:tcPr>
          <w:p w14:paraId="080CB80C" w14:textId="77777777" w:rsidR="00C92D2F" w:rsidRPr="00BA17CA" w:rsidRDefault="00C92D2F">
            <w:pPr>
              <w:pStyle w:val="TableTextLeft"/>
            </w:pPr>
            <w:r w:rsidRPr="007B2FE8">
              <w:t>Other work-related expenses</w:t>
            </w:r>
          </w:p>
        </w:tc>
        <w:tc>
          <w:tcPr>
            <w:tcW w:w="2868" w:type="dxa"/>
            <w:tcBorders>
              <w:top w:val="single" w:sz="4" w:space="0" w:color="auto"/>
              <w:bottom w:val="nil"/>
            </w:tcBorders>
            <w:vAlign w:val="bottom"/>
          </w:tcPr>
          <w:p w14:paraId="6AFD56A2" w14:textId="77777777" w:rsidR="00C92D2F" w:rsidRPr="00A504AC" w:rsidRDefault="00C92D2F">
            <w:pPr>
              <w:pStyle w:val="TableTextRight"/>
              <w:rPr>
                <w:rFonts w:cs="Arial"/>
                <w:szCs w:val="16"/>
              </w:rPr>
            </w:pPr>
            <w:r w:rsidRPr="00774D37">
              <w:rPr>
                <w:rFonts w:cs="Arial"/>
                <w:szCs w:val="16"/>
              </w:rPr>
              <w:t>12,09</w:t>
            </w:r>
            <w:r>
              <w:rPr>
                <w:rFonts w:cs="Arial"/>
                <w:szCs w:val="16"/>
              </w:rPr>
              <w:t>0</w:t>
            </w:r>
          </w:p>
        </w:tc>
        <w:tc>
          <w:tcPr>
            <w:tcW w:w="1866" w:type="dxa"/>
            <w:tcBorders>
              <w:top w:val="single" w:sz="4" w:space="0" w:color="auto"/>
              <w:bottom w:val="nil"/>
            </w:tcBorders>
            <w:vAlign w:val="bottom"/>
          </w:tcPr>
          <w:p w14:paraId="13F1807C" w14:textId="77777777" w:rsidR="00C92D2F" w:rsidRPr="00A504AC" w:rsidRDefault="00C92D2F">
            <w:pPr>
              <w:pStyle w:val="TableTextRight"/>
              <w:rPr>
                <w:rFonts w:cs="Arial"/>
                <w:szCs w:val="16"/>
              </w:rPr>
            </w:pPr>
            <w:r w:rsidRPr="00774D37">
              <w:rPr>
                <w:rFonts w:cs="Arial"/>
                <w:szCs w:val="16"/>
              </w:rPr>
              <w:t>47</w:t>
            </w:r>
          </w:p>
        </w:tc>
      </w:tr>
      <w:tr w:rsidR="00C92D2F" w14:paraId="7C122868" w14:textId="77777777">
        <w:trPr>
          <w:jc w:val="center"/>
        </w:trPr>
        <w:tc>
          <w:tcPr>
            <w:tcW w:w="2977" w:type="dxa"/>
            <w:tcBorders>
              <w:top w:val="nil"/>
              <w:bottom w:val="nil"/>
            </w:tcBorders>
          </w:tcPr>
          <w:p w14:paraId="1261DF48" w14:textId="77777777" w:rsidR="00C92D2F" w:rsidRPr="00BA17CA" w:rsidRDefault="00C92D2F">
            <w:pPr>
              <w:pStyle w:val="TableTextLeft"/>
            </w:pPr>
            <w:r w:rsidRPr="007B2FE8">
              <w:t>Work-related car expenses</w:t>
            </w:r>
          </w:p>
        </w:tc>
        <w:tc>
          <w:tcPr>
            <w:tcW w:w="2868" w:type="dxa"/>
            <w:tcBorders>
              <w:top w:val="nil"/>
              <w:bottom w:val="nil"/>
            </w:tcBorders>
            <w:vAlign w:val="bottom"/>
          </w:tcPr>
          <w:p w14:paraId="4FBF7C49" w14:textId="77777777" w:rsidR="00C92D2F" w:rsidRPr="00A504AC" w:rsidRDefault="00C92D2F">
            <w:pPr>
              <w:pStyle w:val="TableTextRight"/>
              <w:rPr>
                <w:rFonts w:cs="Arial"/>
                <w:szCs w:val="16"/>
              </w:rPr>
            </w:pPr>
            <w:r w:rsidRPr="00774D37">
              <w:rPr>
                <w:rFonts w:cs="Arial"/>
                <w:szCs w:val="16"/>
              </w:rPr>
              <w:t>8,31</w:t>
            </w:r>
            <w:r>
              <w:rPr>
                <w:rFonts w:cs="Arial"/>
                <w:szCs w:val="16"/>
              </w:rPr>
              <w:t>0</w:t>
            </w:r>
          </w:p>
        </w:tc>
        <w:tc>
          <w:tcPr>
            <w:tcW w:w="1866" w:type="dxa"/>
            <w:tcBorders>
              <w:top w:val="nil"/>
              <w:bottom w:val="nil"/>
            </w:tcBorders>
            <w:vAlign w:val="bottom"/>
          </w:tcPr>
          <w:p w14:paraId="000FE007" w14:textId="77777777" w:rsidR="00C92D2F" w:rsidRPr="00A504AC" w:rsidRDefault="00C92D2F">
            <w:pPr>
              <w:pStyle w:val="TableTextRight"/>
              <w:rPr>
                <w:rFonts w:cs="Arial"/>
                <w:szCs w:val="16"/>
              </w:rPr>
            </w:pPr>
            <w:r w:rsidRPr="00774D37">
              <w:rPr>
                <w:rFonts w:cs="Arial"/>
                <w:szCs w:val="16"/>
              </w:rPr>
              <w:t>32</w:t>
            </w:r>
          </w:p>
        </w:tc>
      </w:tr>
      <w:tr w:rsidR="00C92D2F" w14:paraId="5A1CCAFD" w14:textId="77777777">
        <w:trPr>
          <w:jc w:val="center"/>
        </w:trPr>
        <w:tc>
          <w:tcPr>
            <w:tcW w:w="2977" w:type="dxa"/>
            <w:tcBorders>
              <w:top w:val="nil"/>
              <w:bottom w:val="nil"/>
            </w:tcBorders>
          </w:tcPr>
          <w:p w14:paraId="5FA52301" w14:textId="77777777" w:rsidR="00C92D2F" w:rsidRPr="00BA17CA" w:rsidRDefault="00C92D2F">
            <w:pPr>
              <w:pStyle w:val="TableTextLeft"/>
            </w:pPr>
            <w:r w:rsidRPr="007B2FE8">
              <w:t>Work related clothing, laundry and dry</w:t>
            </w:r>
            <w:r>
              <w:noBreakHyphen/>
            </w:r>
            <w:r w:rsidRPr="007B2FE8">
              <w:t>cleaning expenses</w:t>
            </w:r>
          </w:p>
        </w:tc>
        <w:tc>
          <w:tcPr>
            <w:tcW w:w="2868" w:type="dxa"/>
            <w:tcBorders>
              <w:top w:val="nil"/>
              <w:bottom w:val="nil"/>
            </w:tcBorders>
            <w:vAlign w:val="bottom"/>
          </w:tcPr>
          <w:p w14:paraId="5D3CC357" w14:textId="77777777" w:rsidR="00C92D2F" w:rsidRPr="00A504AC" w:rsidRDefault="00C92D2F">
            <w:pPr>
              <w:pStyle w:val="TableTextRight"/>
              <w:rPr>
                <w:rFonts w:cs="Arial"/>
                <w:szCs w:val="16"/>
              </w:rPr>
            </w:pPr>
            <w:r w:rsidRPr="00774D37">
              <w:rPr>
                <w:rFonts w:cs="Arial"/>
                <w:szCs w:val="16"/>
              </w:rPr>
              <w:t>1,97</w:t>
            </w:r>
            <w:r>
              <w:rPr>
                <w:rFonts w:cs="Arial"/>
                <w:szCs w:val="16"/>
              </w:rPr>
              <w:t>0</w:t>
            </w:r>
          </w:p>
        </w:tc>
        <w:tc>
          <w:tcPr>
            <w:tcW w:w="1866" w:type="dxa"/>
            <w:tcBorders>
              <w:top w:val="nil"/>
              <w:bottom w:val="nil"/>
            </w:tcBorders>
            <w:vAlign w:val="bottom"/>
          </w:tcPr>
          <w:p w14:paraId="7F1EC29C" w14:textId="77777777" w:rsidR="00C92D2F" w:rsidRPr="00A504AC" w:rsidRDefault="00C92D2F">
            <w:pPr>
              <w:pStyle w:val="TableTextRight"/>
              <w:rPr>
                <w:rFonts w:cs="Arial"/>
                <w:szCs w:val="16"/>
              </w:rPr>
            </w:pPr>
            <w:r w:rsidRPr="00774D37">
              <w:rPr>
                <w:rFonts w:cs="Arial"/>
                <w:szCs w:val="16"/>
              </w:rPr>
              <w:t>8</w:t>
            </w:r>
          </w:p>
        </w:tc>
      </w:tr>
      <w:tr w:rsidR="00C92D2F" w14:paraId="200D158D" w14:textId="77777777">
        <w:trPr>
          <w:jc w:val="center"/>
        </w:trPr>
        <w:tc>
          <w:tcPr>
            <w:tcW w:w="2977" w:type="dxa"/>
            <w:tcBorders>
              <w:top w:val="nil"/>
              <w:bottom w:val="nil"/>
            </w:tcBorders>
          </w:tcPr>
          <w:p w14:paraId="1DA4308B" w14:textId="77777777" w:rsidR="00C92D2F" w:rsidRPr="00E15257" w:rsidRDefault="00C92D2F">
            <w:pPr>
              <w:pStyle w:val="TableTextLeft"/>
            </w:pPr>
            <w:r w:rsidRPr="007B2FE8">
              <w:t>Work-related travel expenses</w:t>
            </w:r>
          </w:p>
        </w:tc>
        <w:tc>
          <w:tcPr>
            <w:tcW w:w="2868" w:type="dxa"/>
            <w:tcBorders>
              <w:top w:val="nil"/>
              <w:bottom w:val="nil"/>
            </w:tcBorders>
            <w:vAlign w:val="bottom"/>
          </w:tcPr>
          <w:p w14:paraId="3EE6F5CD" w14:textId="77777777" w:rsidR="00C92D2F" w:rsidRPr="00A504AC" w:rsidRDefault="00C92D2F">
            <w:pPr>
              <w:pStyle w:val="TableTextRight"/>
              <w:rPr>
                <w:rFonts w:cs="Arial"/>
                <w:szCs w:val="16"/>
              </w:rPr>
            </w:pPr>
            <w:r w:rsidRPr="00774D37">
              <w:rPr>
                <w:rFonts w:cs="Arial"/>
                <w:szCs w:val="16"/>
              </w:rPr>
              <w:t>1,8</w:t>
            </w:r>
            <w:r>
              <w:rPr>
                <w:rFonts w:cs="Arial"/>
                <w:szCs w:val="16"/>
              </w:rPr>
              <w:t>90</w:t>
            </w:r>
          </w:p>
        </w:tc>
        <w:tc>
          <w:tcPr>
            <w:tcW w:w="1866" w:type="dxa"/>
            <w:tcBorders>
              <w:top w:val="nil"/>
              <w:bottom w:val="nil"/>
            </w:tcBorders>
            <w:vAlign w:val="bottom"/>
          </w:tcPr>
          <w:p w14:paraId="3D7080E1" w14:textId="77777777" w:rsidR="00C92D2F" w:rsidRPr="00A504AC" w:rsidRDefault="00C92D2F">
            <w:pPr>
              <w:pStyle w:val="TableTextRight"/>
              <w:rPr>
                <w:rFonts w:cs="Arial"/>
                <w:szCs w:val="16"/>
              </w:rPr>
            </w:pPr>
            <w:r w:rsidRPr="00774D37">
              <w:rPr>
                <w:rFonts w:cs="Arial"/>
                <w:szCs w:val="16"/>
              </w:rPr>
              <w:t>7</w:t>
            </w:r>
          </w:p>
        </w:tc>
      </w:tr>
      <w:tr w:rsidR="00C92D2F" w14:paraId="48DECB28" w14:textId="77777777">
        <w:trPr>
          <w:jc w:val="center"/>
        </w:trPr>
        <w:tc>
          <w:tcPr>
            <w:tcW w:w="2977" w:type="dxa"/>
            <w:tcBorders>
              <w:top w:val="nil"/>
              <w:bottom w:val="single" w:sz="4" w:space="0" w:color="auto"/>
            </w:tcBorders>
          </w:tcPr>
          <w:p w14:paraId="31008596" w14:textId="77777777" w:rsidR="00C92D2F" w:rsidRPr="00B7088C" w:rsidRDefault="00C92D2F">
            <w:pPr>
              <w:pStyle w:val="TableTextLeft"/>
            </w:pPr>
            <w:r w:rsidRPr="007B2FE8">
              <w:t>Work-related self-education expenses</w:t>
            </w:r>
          </w:p>
        </w:tc>
        <w:tc>
          <w:tcPr>
            <w:tcW w:w="2868" w:type="dxa"/>
            <w:tcBorders>
              <w:top w:val="nil"/>
              <w:bottom w:val="single" w:sz="4" w:space="0" w:color="auto"/>
            </w:tcBorders>
            <w:vAlign w:val="bottom"/>
          </w:tcPr>
          <w:p w14:paraId="7C118A47" w14:textId="77777777" w:rsidR="00C92D2F" w:rsidRPr="00A504AC" w:rsidRDefault="00C92D2F">
            <w:pPr>
              <w:pStyle w:val="TableTextRight"/>
              <w:rPr>
                <w:rFonts w:cs="Arial"/>
                <w:szCs w:val="16"/>
              </w:rPr>
            </w:pPr>
            <w:r w:rsidRPr="00774D37">
              <w:rPr>
                <w:rFonts w:cs="Arial"/>
                <w:szCs w:val="16"/>
              </w:rPr>
              <w:t>1,350</w:t>
            </w:r>
          </w:p>
        </w:tc>
        <w:tc>
          <w:tcPr>
            <w:tcW w:w="1866" w:type="dxa"/>
            <w:tcBorders>
              <w:top w:val="nil"/>
              <w:bottom w:val="single" w:sz="4" w:space="0" w:color="auto"/>
            </w:tcBorders>
            <w:vAlign w:val="bottom"/>
          </w:tcPr>
          <w:p w14:paraId="47F2CE3D" w14:textId="77777777" w:rsidR="00C92D2F" w:rsidRPr="00A504AC" w:rsidRDefault="00C92D2F">
            <w:pPr>
              <w:pStyle w:val="TableTextRight"/>
              <w:rPr>
                <w:rFonts w:cs="Arial"/>
                <w:szCs w:val="16"/>
              </w:rPr>
            </w:pPr>
            <w:r w:rsidRPr="00774D37">
              <w:rPr>
                <w:rFonts w:cs="Arial"/>
                <w:szCs w:val="16"/>
              </w:rPr>
              <w:t>5</w:t>
            </w:r>
          </w:p>
        </w:tc>
      </w:tr>
    </w:tbl>
    <w:p w14:paraId="2624A4EF" w14:textId="3CF503C9" w:rsidR="00C92D2F" w:rsidRPr="00CF6E19" w:rsidRDefault="00C92D2F" w:rsidP="00CF6E19">
      <w:pPr>
        <w:spacing w:before="120" w:after="120" w:line="240" w:lineRule="auto"/>
      </w:pPr>
      <w:r w:rsidRPr="00CF6E19">
        <w:t>In 2021</w:t>
      </w:r>
      <w:r w:rsidR="003C3D89">
        <w:t>–2</w:t>
      </w:r>
      <w:r w:rsidRPr="00CF6E19">
        <w:t>2, 85 per cent of the total tax reduction went to people with above median taxable income, and 25 per cent of the total tax reduction went to people in the top taxable income decile (</w:t>
      </w:r>
      <w:r w:rsidR="003D3223">
        <w:t>Chart 2</w:t>
      </w:r>
      <w:r w:rsidR="00A05340" w:rsidRPr="00CF6E19">
        <w:t>.26</w:t>
      </w:r>
      <w:r w:rsidRPr="00CF6E19">
        <w:t>). Both the number of people claiming work</w:t>
      </w:r>
      <w:r w:rsidRPr="00CF6E19">
        <w:noBreakHyphen/>
        <w:t xml:space="preserve">related expense deductions and the share of the total tax reduction broadly rise with income. </w:t>
      </w:r>
    </w:p>
    <w:p w14:paraId="0EFA67AD" w14:textId="5655C66C" w:rsidR="00C92D2F" w:rsidRPr="00AE0FC0" w:rsidRDefault="003D3223" w:rsidP="00B334E9">
      <w:pPr>
        <w:pStyle w:val="ChartHeading"/>
      </w:pPr>
      <w:r>
        <w:t>Chart 2</w:t>
      </w:r>
      <w:r w:rsidR="00A05340">
        <w:t>.26</w:t>
      </w:r>
      <w:r w:rsidR="00C92D2F" w:rsidRPr="005C22A4">
        <w:t xml:space="preserve"> </w:t>
      </w:r>
      <w:r w:rsidR="00C92D2F">
        <w:t>Share of total tax reduction and claimants</w:t>
      </w:r>
      <w:r w:rsidR="00C92D2F" w:rsidRPr="005C22A4">
        <w:t xml:space="preserve"> by t</w:t>
      </w:r>
      <w:r w:rsidR="00C92D2F">
        <w:t>axable</w:t>
      </w:r>
      <w:r w:rsidR="00C92D2F" w:rsidRPr="005C22A4">
        <w:t xml:space="preserve"> income decile</w:t>
      </w:r>
      <w:r w:rsidR="00C92D2F">
        <w:t>, 2021</w:t>
      </w:r>
      <w:r w:rsidR="003C3D89">
        <w:t>–2</w:t>
      </w:r>
      <w:r w:rsidR="00C92D2F">
        <w:t>2</w:t>
      </w:r>
    </w:p>
    <w:p w14:paraId="521AC8FB" w14:textId="10C697D6" w:rsidR="00AB5456" w:rsidRDefault="007A1E82" w:rsidP="008734F9">
      <w:pPr>
        <w:pStyle w:val="ChartGraphic"/>
      </w:pPr>
      <w:r>
        <w:object w:dxaOrig="7381" w:dyaOrig="4546" w14:anchorId="4BD85803">
          <v:shape id="_x0000_i1050" type="#_x0000_t75" alt="This bar chart shows both claimant numbers and total benefit shares rising with each income decile until the highest decile, where the share of total benefit continues to rise but the number of claimants falls." style="width:369pt;height:227.25pt;mso-position-horizontal:absolute" o:ole="">
            <v:imagedata r:id="rId81" o:title=""/>
          </v:shape>
          <o:OLEObject Type="Link" ProgID="Excel.Sheet.12" ShapeID="_x0000_i1050" DrawAspect="Content" r:id="rId82" UpdateMode="Always">
            <o:LinkType>EnhancedMetaFile</o:LinkType>
            <o:LockedField/>
          </o:OLEObject>
        </w:object>
      </w:r>
    </w:p>
    <w:p w14:paraId="37681D28" w14:textId="3F4195C0" w:rsidR="00C92D2F" w:rsidRDefault="00C92D2F" w:rsidP="00B334E9">
      <w:pPr>
        <w:pStyle w:val="ChartandTableFootnote"/>
      </w:pPr>
      <w:r w:rsidRPr="00CB34A6">
        <w:t>Source: Treasury</w:t>
      </w:r>
    </w:p>
    <w:p w14:paraId="3033620C" w14:textId="60BA29F2" w:rsidR="00B334E9" w:rsidRDefault="00C92D2F" w:rsidP="00CF6E19">
      <w:pPr>
        <w:spacing w:before="120" w:after="120" w:line="240" w:lineRule="auto"/>
      </w:pPr>
      <w:r w:rsidRPr="00CF6E19">
        <w:t>A greater number of men claimed work-related expense deductions than women, with 5.3 million men making claims compared to 5.0 million women (</w:t>
      </w:r>
      <w:r w:rsidR="003D3223">
        <w:t>Table 2</w:t>
      </w:r>
      <w:r w:rsidR="00583393" w:rsidRPr="00CF6E19">
        <w:t>.25</w:t>
      </w:r>
      <w:r w:rsidRPr="00CF6E19">
        <w:t>). Men also derived a greater tax reduction on average, driven by both higher average claims and higher average taxable income.</w:t>
      </w:r>
    </w:p>
    <w:p w14:paraId="35F3EC82" w14:textId="77777777" w:rsidR="00B334E9" w:rsidRDefault="00B334E9">
      <w:pPr>
        <w:spacing w:after="0" w:line="240" w:lineRule="auto"/>
        <w:jc w:val="left"/>
      </w:pPr>
      <w:r>
        <w:br w:type="page"/>
      </w:r>
    </w:p>
    <w:p w14:paraId="3E452A05" w14:textId="432B3057" w:rsidR="00C92D2F" w:rsidRDefault="003D3223" w:rsidP="00C92D2F">
      <w:pPr>
        <w:pStyle w:val="TableHeading"/>
        <w:rPr>
          <w:rFonts w:cs="Arial"/>
          <w:b w:val="0"/>
        </w:rPr>
      </w:pPr>
      <w:r>
        <w:t>Table 2</w:t>
      </w:r>
      <w:r w:rsidR="00583393">
        <w:t>.25</w:t>
      </w:r>
      <w:r w:rsidR="00C92D2F" w:rsidRPr="00674001">
        <w:t xml:space="preserve"> Distributional effect by gender</w:t>
      </w:r>
      <w:r w:rsidR="00C92D2F">
        <w:t>,</w:t>
      </w:r>
      <w:r w:rsidR="00C92D2F" w:rsidRPr="00674001">
        <w:t xml:space="preserve"> </w:t>
      </w:r>
      <w:r w:rsidR="00C92D2F">
        <w:t>2021</w:t>
      </w:r>
      <w:r w:rsidR="003C3D89">
        <w:t>–2</w:t>
      </w:r>
      <w:r w:rsidR="00C92D2F">
        <w:t>2</w:t>
      </w:r>
      <w:r w:rsidR="00DA5386">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1134"/>
        <w:gridCol w:w="2268"/>
        <w:gridCol w:w="1701"/>
        <w:gridCol w:w="2608"/>
      </w:tblGrid>
      <w:tr w:rsidR="00C92D2F" w14:paraId="2C50E5CE" w14:textId="77777777">
        <w:trPr>
          <w:jc w:val="center"/>
        </w:trPr>
        <w:tc>
          <w:tcPr>
            <w:tcW w:w="1134" w:type="dxa"/>
            <w:tcBorders>
              <w:bottom w:val="single" w:sz="4" w:space="0" w:color="auto"/>
            </w:tcBorders>
            <w:vAlign w:val="center"/>
          </w:tcPr>
          <w:p w14:paraId="7E69DC7A" w14:textId="77777777" w:rsidR="00C92D2F" w:rsidRPr="00B7088C" w:rsidRDefault="00C92D2F">
            <w:pPr>
              <w:pStyle w:val="TableColumnHeadingLeft"/>
            </w:pPr>
            <w:r w:rsidRPr="00B7088C">
              <w:t>Gender</w:t>
            </w:r>
          </w:p>
        </w:tc>
        <w:tc>
          <w:tcPr>
            <w:tcW w:w="2268" w:type="dxa"/>
            <w:tcBorders>
              <w:bottom w:val="single" w:sz="4" w:space="0" w:color="auto"/>
            </w:tcBorders>
            <w:vAlign w:val="center"/>
          </w:tcPr>
          <w:p w14:paraId="3E3C2C48" w14:textId="77777777" w:rsidR="00C92D2F" w:rsidRPr="00CC005B" w:rsidRDefault="00C92D2F">
            <w:pPr>
              <w:pStyle w:val="TableColumnHeadingRight"/>
            </w:pPr>
            <w:r w:rsidRPr="00CC005B">
              <w:t>Average tax reduction ($)</w:t>
            </w:r>
          </w:p>
        </w:tc>
        <w:tc>
          <w:tcPr>
            <w:tcW w:w="1701" w:type="dxa"/>
            <w:tcBorders>
              <w:bottom w:val="single" w:sz="4" w:space="0" w:color="auto"/>
            </w:tcBorders>
            <w:vAlign w:val="center"/>
          </w:tcPr>
          <w:p w14:paraId="257B98A7" w14:textId="77777777" w:rsidR="00C92D2F" w:rsidRPr="00CC005B" w:rsidRDefault="00C92D2F">
            <w:pPr>
              <w:pStyle w:val="TableColumnHeadingRight"/>
            </w:pPr>
            <w:r w:rsidRPr="00CC005B">
              <w:t>Claimants (million)</w:t>
            </w:r>
          </w:p>
        </w:tc>
        <w:tc>
          <w:tcPr>
            <w:tcW w:w="2608" w:type="dxa"/>
            <w:tcBorders>
              <w:bottom w:val="single" w:sz="4" w:space="0" w:color="auto"/>
            </w:tcBorders>
            <w:vAlign w:val="center"/>
          </w:tcPr>
          <w:p w14:paraId="119C17FC" w14:textId="77777777" w:rsidR="00C92D2F" w:rsidRPr="00CC005B" w:rsidRDefault="00C92D2F">
            <w:pPr>
              <w:pStyle w:val="TableColumnHeadingRight"/>
            </w:pPr>
            <w:r w:rsidRPr="00CC005B">
              <w:t>Share of total tax reduction (%)</w:t>
            </w:r>
          </w:p>
        </w:tc>
      </w:tr>
      <w:tr w:rsidR="00C92D2F" w14:paraId="2DF3CBDC" w14:textId="77777777" w:rsidTr="00741441">
        <w:trPr>
          <w:jc w:val="center"/>
        </w:trPr>
        <w:tc>
          <w:tcPr>
            <w:tcW w:w="1134" w:type="dxa"/>
            <w:tcBorders>
              <w:top w:val="single" w:sz="4" w:space="0" w:color="auto"/>
              <w:bottom w:val="nil"/>
            </w:tcBorders>
          </w:tcPr>
          <w:p w14:paraId="368CDFB6" w14:textId="77777777" w:rsidR="00C92D2F" w:rsidRPr="00B7088C" w:rsidRDefault="00C92D2F">
            <w:pPr>
              <w:pStyle w:val="TableTextLeft"/>
            </w:pPr>
            <w:r w:rsidRPr="00B7088C">
              <w:t>Men</w:t>
            </w:r>
          </w:p>
        </w:tc>
        <w:tc>
          <w:tcPr>
            <w:tcW w:w="2268" w:type="dxa"/>
            <w:tcBorders>
              <w:top w:val="single" w:sz="4" w:space="0" w:color="auto"/>
              <w:bottom w:val="nil"/>
            </w:tcBorders>
            <w:vAlign w:val="bottom"/>
          </w:tcPr>
          <w:p w14:paraId="556F14B8" w14:textId="77777777" w:rsidR="00C92D2F" w:rsidRPr="00A504AC" w:rsidRDefault="00C92D2F">
            <w:pPr>
              <w:pStyle w:val="TableTextRight"/>
              <w:rPr>
                <w:rFonts w:cs="Arial"/>
                <w:szCs w:val="16"/>
              </w:rPr>
            </w:pPr>
            <w:r w:rsidRPr="00774D37">
              <w:rPr>
                <w:rFonts w:cs="Arial"/>
                <w:szCs w:val="16"/>
              </w:rPr>
              <w:t>1</w:t>
            </w:r>
            <w:r>
              <w:rPr>
                <w:rFonts w:cs="Arial"/>
                <w:szCs w:val="16"/>
              </w:rPr>
              <w:t>,</w:t>
            </w:r>
            <w:r w:rsidRPr="00774D37">
              <w:rPr>
                <w:rFonts w:cs="Arial"/>
                <w:szCs w:val="16"/>
              </w:rPr>
              <w:t>110</w:t>
            </w:r>
          </w:p>
        </w:tc>
        <w:tc>
          <w:tcPr>
            <w:tcW w:w="1701" w:type="dxa"/>
            <w:tcBorders>
              <w:top w:val="single" w:sz="4" w:space="0" w:color="auto"/>
              <w:bottom w:val="nil"/>
            </w:tcBorders>
            <w:vAlign w:val="bottom"/>
          </w:tcPr>
          <w:p w14:paraId="217ABB40" w14:textId="77777777" w:rsidR="00C92D2F" w:rsidRPr="00A504AC" w:rsidRDefault="00C92D2F">
            <w:pPr>
              <w:pStyle w:val="TableTextRight"/>
              <w:rPr>
                <w:rFonts w:cs="Arial"/>
                <w:szCs w:val="16"/>
              </w:rPr>
            </w:pPr>
            <w:r w:rsidRPr="00774D37">
              <w:rPr>
                <w:rFonts w:cs="Arial"/>
                <w:szCs w:val="16"/>
              </w:rPr>
              <w:t>5.3</w:t>
            </w:r>
          </w:p>
        </w:tc>
        <w:tc>
          <w:tcPr>
            <w:tcW w:w="2608" w:type="dxa"/>
            <w:tcBorders>
              <w:top w:val="single" w:sz="4" w:space="0" w:color="auto"/>
              <w:bottom w:val="nil"/>
            </w:tcBorders>
            <w:vAlign w:val="bottom"/>
          </w:tcPr>
          <w:p w14:paraId="7C6E4902" w14:textId="77777777" w:rsidR="00C92D2F" w:rsidRPr="00A504AC" w:rsidRDefault="00C92D2F">
            <w:pPr>
              <w:pStyle w:val="TableTextRight"/>
              <w:rPr>
                <w:rFonts w:cs="Arial"/>
                <w:szCs w:val="16"/>
              </w:rPr>
            </w:pPr>
            <w:r w:rsidRPr="00774D37">
              <w:rPr>
                <w:rFonts w:cs="Arial"/>
                <w:szCs w:val="16"/>
              </w:rPr>
              <w:t>64</w:t>
            </w:r>
          </w:p>
        </w:tc>
      </w:tr>
      <w:tr w:rsidR="00C92D2F" w14:paraId="15776D71" w14:textId="77777777" w:rsidTr="00741441">
        <w:trPr>
          <w:jc w:val="center"/>
        </w:trPr>
        <w:tc>
          <w:tcPr>
            <w:tcW w:w="1134" w:type="dxa"/>
            <w:tcBorders>
              <w:top w:val="nil"/>
              <w:bottom w:val="single" w:sz="4" w:space="0" w:color="auto"/>
            </w:tcBorders>
          </w:tcPr>
          <w:p w14:paraId="7CE093C1" w14:textId="77777777" w:rsidR="00C92D2F" w:rsidRPr="00B7088C" w:rsidRDefault="00C92D2F">
            <w:pPr>
              <w:pStyle w:val="TableTextLeft"/>
            </w:pPr>
            <w:r w:rsidRPr="00B7088C">
              <w:t>Women</w:t>
            </w:r>
          </w:p>
        </w:tc>
        <w:tc>
          <w:tcPr>
            <w:tcW w:w="2268" w:type="dxa"/>
            <w:tcBorders>
              <w:top w:val="nil"/>
              <w:bottom w:val="single" w:sz="4" w:space="0" w:color="auto"/>
            </w:tcBorders>
            <w:vAlign w:val="bottom"/>
          </w:tcPr>
          <w:p w14:paraId="4E915557" w14:textId="77777777" w:rsidR="00C92D2F" w:rsidRPr="00A504AC" w:rsidRDefault="00C92D2F">
            <w:pPr>
              <w:pStyle w:val="TableTextRight"/>
              <w:rPr>
                <w:rFonts w:cs="Arial"/>
                <w:szCs w:val="16"/>
              </w:rPr>
            </w:pPr>
            <w:r w:rsidRPr="00774D37">
              <w:rPr>
                <w:rFonts w:cs="Arial"/>
                <w:szCs w:val="16"/>
              </w:rPr>
              <w:t>660</w:t>
            </w:r>
          </w:p>
        </w:tc>
        <w:tc>
          <w:tcPr>
            <w:tcW w:w="1701" w:type="dxa"/>
            <w:tcBorders>
              <w:top w:val="nil"/>
              <w:bottom w:val="single" w:sz="4" w:space="0" w:color="auto"/>
            </w:tcBorders>
            <w:vAlign w:val="bottom"/>
          </w:tcPr>
          <w:p w14:paraId="3883B8C2" w14:textId="77777777" w:rsidR="00C92D2F" w:rsidRPr="00A504AC" w:rsidRDefault="00C92D2F">
            <w:pPr>
              <w:pStyle w:val="TableTextRight"/>
              <w:rPr>
                <w:rFonts w:cs="Arial"/>
                <w:szCs w:val="16"/>
              </w:rPr>
            </w:pPr>
            <w:r w:rsidRPr="00774D37">
              <w:rPr>
                <w:rFonts w:cs="Arial"/>
                <w:szCs w:val="16"/>
              </w:rPr>
              <w:t>5.0</w:t>
            </w:r>
          </w:p>
        </w:tc>
        <w:tc>
          <w:tcPr>
            <w:tcW w:w="2608" w:type="dxa"/>
            <w:tcBorders>
              <w:top w:val="nil"/>
              <w:bottom w:val="single" w:sz="4" w:space="0" w:color="auto"/>
            </w:tcBorders>
            <w:vAlign w:val="bottom"/>
          </w:tcPr>
          <w:p w14:paraId="3053AF43" w14:textId="77777777" w:rsidR="00C92D2F" w:rsidRPr="00A504AC" w:rsidRDefault="00C92D2F">
            <w:pPr>
              <w:pStyle w:val="TableTextRight"/>
              <w:rPr>
                <w:rFonts w:cs="Arial"/>
                <w:szCs w:val="16"/>
              </w:rPr>
            </w:pPr>
            <w:r w:rsidRPr="00774D37">
              <w:rPr>
                <w:rFonts w:cs="Arial"/>
                <w:szCs w:val="16"/>
              </w:rPr>
              <w:t>36</w:t>
            </w:r>
          </w:p>
        </w:tc>
      </w:tr>
      <w:tr w:rsidR="00C92D2F" w14:paraId="63D118C0" w14:textId="77777777" w:rsidTr="00E8474B">
        <w:trPr>
          <w:jc w:val="center"/>
        </w:trPr>
        <w:tc>
          <w:tcPr>
            <w:tcW w:w="1134" w:type="dxa"/>
            <w:tcBorders>
              <w:top w:val="single" w:sz="4" w:space="0" w:color="auto"/>
              <w:bottom w:val="single" w:sz="4" w:space="0" w:color="auto"/>
            </w:tcBorders>
          </w:tcPr>
          <w:p w14:paraId="21AE4233" w14:textId="77777777" w:rsidR="00C92D2F" w:rsidRPr="00B7088C" w:rsidRDefault="00C92D2F">
            <w:pPr>
              <w:pStyle w:val="TableTextLeft"/>
            </w:pPr>
            <w:r w:rsidRPr="00B7088C">
              <w:t>Total</w:t>
            </w:r>
          </w:p>
        </w:tc>
        <w:tc>
          <w:tcPr>
            <w:tcW w:w="2268" w:type="dxa"/>
            <w:tcBorders>
              <w:top w:val="single" w:sz="4" w:space="0" w:color="auto"/>
              <w:bottom w:val="single" w:sz="4" w:space="0" w:color="auto"/>
            </w:tcBorders>
            <w:vAlign w:val="bottom"/>
          </w:tcPr>
          <w:p w14:paraId="352E5035" w14:textId="77777777" w:rsidR="00C92D2F" w:rsidRPr="00A504AC" w:rsidRDefault="00C92D2F">
            <w:pPr>
              <w:pStyle w:val="TableTextRight"/>
              <w:rPr>
                <w:rFonts w:cs="Arial"/>
                <w:szCs w:val="16"/>
              </w:rPr>
            </w:pPr>
            <w:r w:rsidRPr="00774D37">
              <w:rPr>
                <w:rFonts w:cs="Arial"/>
                <w:szCs w:val="16"/>
              </w:rPr>
              <w:t>890</w:t>
            </w:r>
          </w:p>
        </w:tc>
        <w:tc>
          <w:tcPr>
            <w:tcW w:w="1701" w:type="dxa"/>
            <w:tcBorders>
              <w:top w:val="single" w:sz="4" w:space="0" w:color="auto"/>
              <w:bottom w:val="single" w:sz="4" w:space="0" w:color="auto"/>
            </w:tcBorders>
            <w:vAlign w:val="bottom"/>
          </w:tcPr>
          <w:p w14:paraId="4CC7C523" w14:textId="77777777" w:rsidR="00C92D2F" w:rsidRPr="00A504AC" w:rsidRDefault="00C92D2F">
            <w:pPr>
              <w:pStyle w:val="TableTextRight"/>
              <w:rPr>
                <w:rFonts w:cs="Arial"/>
                <w:szCs w:val="16"/>
              </w:rPr>
            </w:pPr>
            <w:r w:rsidRPr="00774D37">
              <w:rPr>
                <w:rFonts w:cs="Arial"/>
                <w:szCs w:val="16"/>
              </w:rPr>
              <w:t>10.3</w:t>
            </w:r>
          </w:p>
        </w:tc>
        <w:tc>
          <w:tcPr>
            <w:tcW w:w="2608" w:type="dxa"/>
            <w:tcBorders>
              <w:top w:val="single" w:sz="4" w:space="0" w:color="auto"/>
              <w:bottom w:val="single" w:sz="4" w:space="0" w:color="auto"/>
            </w:tcBorders>
            <w:vAlign w:val="bottom"/>
          </w:tcPr>
          <w:p w14:paraId="26E2BF49" w14:textId="77777777" w:rsidR="00C92D2F" w:rsidRPr="00A504AC" w:rsidRDefault="00C92D2F">
            <w:pPr>
              <w:pStyle w:val="TableTextRight"/>
              <w:rPr>
                <w:rFonts w:cs="Arial"/>
                <w:szCs w:val="16"/>
              </w:rPr>
            </w:pPr>
            <w:r w:rsidRPr="00774D37">
              <w:rPr>
                <w:rFonts w:cs="Arial"/>
                <w:szCs w:val="16"/>
              </w:rPr>
              <w:t>100</w:t>
            </w:r>
          </w:p>
        </w:tc>
      </w:tr>
    </w:tbl>
    <w:p w14:paraId="6FB52869" w14:textId="789B5767" w:rsidR="00DA5386" w:rsidRDefault="00DA5386" w:rsidP="00DA5386">
      <w:pPr>
        <w:pStyle w:val="ChartandTableFootnote"/>
        <w:spacing w:line="276" w:lineRule="auto"/>
      </w:pPr>
      <w:r w:rsidRPr="00173B4F">
        <w:t>* Totals may not sum due to rounding.</w:t>
      </w:r>
    </w:p>
    <w:p w14:paraId="67AF77A8" w14:textId="1B589B7D" w:rsidR="00C92D2F" w:rsidRPr="00CF6E19" w:rsidRDefault="00C92D2F" w:rsidP="00CF6E19">
      <w:pPr>
        <w:spacing w:before="120" w:after="120" w:line="240" w:lineRule="auto"/>
      </w:pPr>
      <w:r w:rsidRPr="00CF6E19">
        <w:t>Work-related expenses are claimed broadly across the working age population (</w:t>
      </w:r>
      <w:r w:rsidR="003D3223">
        <w:t>Chart 2</w:t>
      </w:r>
      <w:r w:rsidR="00A05340" w:rsidRPr="00CF6E19">
        <w:t>.27</w:t>
      </w:r>
      <w:r w:rsidRPr="00CF6E19">
        <w:t>). In 2021</w:t>
      </w:r>
      <w:r w:rsidR="003C3D89">
        <w:t>–2</w:t>
      </w:r>
      <w:r w:rsidRPr="00CF6E19">
        <w:t>2, 79 per cent of work-related expense deductions were claimed by those aged between 25 and 59 years old. The largest share of the total tax reduction received went to those 30 to 39 years old (30 per cent).</w:t>
      </w:r>
    </w:p>
    <w:p w14:paraId="5C8CD6A3" w14:textId="2B6F56CA" w:rsidR="00C92D2F" w:rsidRDefault="003D3223" w:rsidP="00B334E9">
      <w:pPr>
        <w:pStyle w:val="ChartHeading"/>
        <w:rPr>
          <w:sz w:val="16"/>
          <w:szCs w:val="16"/>
        </w:rPr>
      </w:pPr>
      <w:r>
        <w:t>Chart 2</w:t>
      </w:r>
      <w:r w:rsidR="00A05340">
        <w:t>.27</w:t>
      </w:r>
      <w:r w:rsidR="00C92D2F" w:rsidRPr="00C309B2">
        <w:t xml:space="preserve"> Share of total tax reduction and claimants by age</w:t>
      </w:r>
      <w:r w:rsidR="00C92D2F">
        <w:t>, 2021</w:t>
      </w:r>
      <w:r w:rsidR="003C3D89">
        <w:t>–2</w:t>
      </w:r>
      <w:r w:rsidR="00C92D2F">
        <w:t>2</w:t>
      </w:r>
    </w:p>
    <w:p w14:paraId="11B16DBF" w14:textId="252A17E1" w:rsidR="00B373D2" w:rsidRDefault="007A1E82" w:rsidP="00032586">
      <w:pPr>
        <w:pStyle w:val="ChartGraphic"/>
      </w:pPr>
      <w:r>
        <w:object w:dxaOrig="7366" w:dyaOrig="4531" w14:anchorId="57424A10">
          <v:shape id="_x0000_i1051" type="#_x0000_t75" alt="This bar chart shows claimant numbers and total benefit shares increasing by age from 18-24 years to 30-34 years. The number of claimants then declines from the 35-39 year old cohort onwards, and the benefit share declines from the 40-44 year old cohort onwards." style="width:368.25pt;height:226.5pt" o:ole="">
            <v:imagedata r:id="rId83" o:title=""/>
          </v:shape>
          <o:OLEObject Type="Link" ProgID="Excel.Sheet.12" ShapeID="_x0000_i1051" DrawAspect="Content" r:id="rId84" UpdateMode="Always">
            <o:LinkType>EnhancedMetaFile</o:LinkType>
            <o:LockedField/>
          </o:OLEObject>
        </w:object>
      </w:r>
    </w:p>
    <w:p w14:paraId="22130056" w14:textId="7D99D5F1" w:rsidR="00C92D2F" w:rsidRDefault="00C92D2F" w:rsidP="00B334E9">
      <w:pPr>
        <w:pStyle w:val="ChartandTableFootnote"/>
      </w:pPr>
      <w:r w:rsidRPr="00CB34A6">
        <w:t>Source: Treasury</w:t>
      </w:r>
    </w:p>
    <w:p w14:paraId="60C79CB0" w14:textId="471EE981" w:rsidR="00C92D2F" w:rsidRPr="00224433" w:rsidRDefault="00C5023D" w:rsidP="00C92D2F">
      <w:pPr>
        <w:spacing w:before="200"/>
      </w:pPr>
      <w:r>
        <w:br w:type="page"/>
      </w:r>
    </w:p>
    <w:p w14:paraId="58E775D5" w14:textId="37E260CE" w:rsidR="00035791" w:rsidRDefault="003378F2" w:rsidP="00FA7A7A">
      <w:pPr>
        <w:pStyle w:val="Heading2"/>
        <w:numPr>
          <w:ilvl w:val="1"/>
          <w:numId w:val="51"/>
        </w:numPr>
      </w:pPr>
      <w:bookmarkStart w:id="61" w:name="_Toc184287661"/>
      <w:r w:rsidRPr="003378F2">
        <w:t>Cost of managing tax affairs and other deductions</w:t>
      </w:r>
      <w:bookmarkEnd w:id="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035791" w14:paraId="060DB14F" w14:textId="77777777">
        <w:trPr>
          <w:trHeight w:val="3322"/>
        </w:trPr>
        <w:tc>
          <w:tcPr>
            <w:tcW w:w="7711" w:type="dxa"/>
            <w:shd w:val="clear" w:color="auto" w:fill="DEEAF6"/>
          </w:tcPr>
          <w:p w14:paraId="5B38FB24" w14:textId="77777777" w:rsidR="00035791" w:rsidRPr="00CF6E19" w:rsidRDefault="00035791" w:rsidP="00CF6E19">
            <w:pPr>
              <w:spacing w:before="120" w:after="120" w:line="240" w:lineRule="auto"/>
            </w:pPr>
            <w:r w:rsidRPr="00CF6E19">
              <w:t>Individuals can claim a deduction for costs they incur in meeting their tax obligations including for tax advice and costs associated with preparing a tax return, as well as expenses relating to earning interest or dividend income. Individuals can currently also claim a deduction for interest charged by the ATO.</w:t>
            </w:r>
          </w:p>
          <w:p w14:paraId="319A5DC9" w14:textId="3BDA9F37" w:rsidR="00035791" w:rsidRPr="00B334E9" w:rsidRDefault="003D3223" w:rsidP="00B334E9">
            <w:pPr>
              <w:pStyle w:val="TableHeading"/>
            </w:pPr>
            <w:r>
              <w:t>Table 2</w:t>
            </w:r>
            <w:r w:rsidR="00583393" w:rsidRPr="00B334E9">
              <w:t>.26</w:t>
            </w:r>
            <w:r w:rsidR="00035791" w:rsidRPr="00B334E9">
              <w:t xml:space="preserve"> Estimates of aggregate tax reduction ($m)</w:t>
            </w:r>
          </w:p>
          <w:tbl>
            <w:tblPr>
              <w:tblW w:w="7480" w:type="dxa"/>
              <w:tblLook w:val="04A0" w:firstRow="1" w:lastRow="0" w:firstColumn="1" w:lastColumn="0" w:noHBand="0" w:noVBand="1"/>
            </w:tblPr>
            <w:tblGrid>
              <w:gridCol w:w="935"/>
              <w:gridCol w:w="935"/>
              <w:gridCol w:w="935"/>
              <w:gridCol w:w="935"/>
              <w:gridCol w:w="935"/>
              <w:gridCol w:w="935"/>
              <w:gridCol w:w="935"/>
              <w:gridCol w:w="935"/>
            </w:tblGrid>
            <w:tr w:rsidR="001B764F" w:rsidRPr="00E6424F" w14:paraId="1FB015F6" w14:textId="77777777" w:rsidTr="00DC7B7D">
              <w:trPr>
                <w:trHeight w:val="255"/>
              </w:trPr>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A0CABD5"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2020-21</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2328CC9E"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2021-22</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6F3E92C0"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2022-23</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4E90C948"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2023-24</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2386C0F9"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2024-25</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3A5E6EE"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2025-26</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0E98DD1B"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2026-27</w:t>
                  </w:r>
                </w:p>
              </w:tc>
              <w:tc>
                <w:tcPr>
                  <w:tcW w:w="935" w:type="dxa"/>
                  <w:tcBorders>
                    <w:top w:val="single" w:sz="4" w:space="0" w:color="auto"/>
                    <w:left w:val="nil"/>
                    <w:bottom w:val="single" w:sz="4" w:space="0" w:color="auto"/>
                    <w:right w:val="nil"/>
                  </w:tcBorders>
                  <w:shd w:val="clear" w:color="auto" w:fill="DBE5F1" w:themeFill="accent1" w:themeFillTint="33"/>
                  <w:noWrap/>
                  <w:vAlign w:val="bottom"/>
                  <w:hideMark/>
                </w:tcPr>
                <w:p w14:paraId="19670178" w14:textId="77777777" w:rsidR="00035791" w:rsidRPr="00301F8A" w:rsidRDefault="00035791" w:rsidP="009E087C">
                  <w:pPr>
                    <w:spacing w:after="0" w:line="240" w:lineRule="auto"/>
                    <w:jc w:val="right"/>
                    <w:rPr>
                      <w:rFonts w:ascii="Arial" w:hAnsi="Arial" w:cs="Arial"/>
                      <w:b/>
                      <w:color w:val="000000"/>
                      <w:sz w:val="16"/>
                      <w:szCs w:val="16"/>
                    </w:rPr>
                  </w:pPr>
                  <w:r w:rsidRPr="00301F8A">
                    <w:rPr>
                      <w:rFonts w:ascii="Arial" w:hAnsi="Arial" w:cs="Arial"/>
                      <w:b/>
                      <w:color w:val="000000"/>
                      <w:sz w:val="16"/>
                      <w:szCs w:val="16"/>
                    </w:rPr>
                    <w:t>2027-28</w:t>
                  </w:r>
                </w:p>
              </w:tc>
            </w:tr>
            <w:tr w:rsidR="001B764F" w:rsidRPr="00E6424F" w14:paraId="49C77FCA" w14:textId="77777777" w:rsidTr="00DC7B7D">
              <w:trPr>
                <w:trHeight w:val="255"/>
              </w:trPr>
              <w:tc>
                <w:tcPr>
                  <w:tcW w:w="935" w:type="dxa"/>
                  <w:tcBorders>
                    <w:top w:val="nil"/>
                    <w:left w:val="nil"/>
                    <w:bottom w:val="single" w:sz="4" w:space="0" w:color="auto"/>
                    <w:right w:val="nil"/>
                  </w:tcBorders>
                  <w:shd w:val="clear" w:color="auto" w:fill="DBE5F1" w:themeFill="accent1" w:themeFillTint="33"/>
                  <w:noWrap/>
                  <w:vAlign w:val="bottom"/>
                  <w:hideMark/>
                </w:tcPr>
                <w:p w14:paraId="41474F24"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1,300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67B3EA92"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1,400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7C3AE2B7"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1,500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7A187419"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1,600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172AD966"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1,600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61E2CA56"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1,700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54792C7E"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1,800</w:t>
                  </w:r>
                </w:p>
              </w:tc>
              <w:tc>
                <w:tcPr>
                  <w:tcW w:w="935" w:type="dxa"/>
                  <w:tcBorders>
                    <w:top w:val="nil"/>
                    <w:left w:val="nil"/>
                    <w:bottom w:val="single" w:sz="4" w:space="0" w:color="auto"/>
                    <w:right w:val="nil"/>
                  </w:tcBorders>
                  <w:shd w:val="clear" w:color="auto" w:fill="DBE5F1" w:themeFill="accent1" w:themeFillTint="33"/>
                  <w:noWrap/>
                  <w:vAlign w:val="bottom"/>
                  <w:hideMark/>
                </w:tcPr>
                <w:p w14:paraId="47ACC327" w14:textId="77777777" w:rsidR="00035791" w:rsidRPr="00301F8A" w:rsidRDefault="00035791" w:rsidP="009E087C">
                  <w:pPr>
                    <w:spacing w:after="0" w:line="240" w:lineRule="auto"/>
                    <w:jc w:val="right"/>
                    <w:rPr>
                      <w:rFonts w:ascii="Arial" w:hAnsi="Arial" w:cs="Arial"/>
                      <w:color w:val="000000"/>
                      <w:sz w:val="16"/>
                      <w:szCs w:val="16"/>
                    </w:rPr>
                  </w:pPr>
                  <w:r w:rsidRPr="00301F8A">
                    <w:rPr>
                      <w:rFonts w:ascii="Arial" w:hAnsi="Arial" w:cs="Arial"/>
                      <w:color w:val="000000"/>
                      <w:sz w:val="16"/>
                      <w:szCs w:val="16"/>
                    </w:rPr>
                    <w:t>1,900</w:t>
                  </w:r>
                </w:p>
              </w:tc>
            </w:tr>
          </w:tbl>
          <w:p w14:paraId="10FBE0D5" w14:textId="4DADDD84" w:rsidR="00035791" w:rsidRPr="00CF6E19" w:rsidRDefault="00997096" w:rsidP="00CF6E19">
            <w:pPr>
              <w:spacing w:before="120" w:after="120" w:line="240" w:lineRule="auto"/>
            </w:pPr>
            <w:r w:rsidRPr="00CF6E19">
              <w:t>It is estimated that 6.5 million individuals cl</w:t>
            </w:r>
            <w:r w:rsidR="00035791" w:rsidRPr="00CF6E19">
              <w:t>aimed $3.8 billion of these deductions associated with the cost of managing tax affairs and other deductions in 2021</w:t>
            </w:r>
            <w:r w:rsidR="003C3D89">
              <w:t>–2</w:t>
            </w:r>
            <w:r w:rsidR="00035791" w:rsidRPr="00CF6E19">
              <w:t>2. This resulted in a total tax reduction of $1.3 billion.</w:t>
            </w:r>
            <w:r w:rsidR="00035791" w:rsidRPr="00CF6E19">
              <w:rPr>
                <w:rStyle w:val="FootnoteTextChar"/>
                <w:vertAlign w:val="superscript"/>
              </w:rPr>
              <w:footnoteReference w:id="11"/>
            </w:r>
          </w:p>
          <w:p w14:paraId="29ED0CB8" w14:textId="1832D405" w:rsidR="00035791" w:rsidRDefault="00035791" w:rsidP="00CF6E19">
            <w:pPr>
              <w:spacing w:before="120" w:after="120" w:line="240" w:lineRule="auto"/>
            </w:pPr>
            <w:r w:rsidRPr="00CF6E19">
              <w:t>The 2023</w:t>
            </w:r>
            <w:r w:rsidR="003C3D89">
              <w:t>–2</w:t>
            </w:r>
            <w:r w:rsidRPr="00CF6E19">
              <w:t xml:space="preserve">4 MYEFO included a measure that will deny deductions for interest charged by the ATO where a tax debt is not paid on time, or a tax liability is incorrectly self-assessed and results in a shortfall of tax paid, from 1 July 2025. This measure will impact all tax filers, including companies and individuals. </w:t>
            </w:r>
            <w:r w:rsidR="003D3223">
              <w:t>Table 2</w:t>
            </w:r>
            <w:r w:rsidR="00583393" w:rsidRPr="00796C9D">
              <w:t>.26</w:t>
            </w:r>
            <w:r w:rsidRPr="00796C9D">
              <w:t xml:space="preserve"> </w:t>
            </w:r>
            <w:r w:rsidRPr="00CF6E19">
              <w:t>includes the expected impact of this change from 2025</w:t>
            </w:r>
            <w:r w:rsidR="003C3D89">
              <w:t>–2</w:t>
            </w:r>
            <w:r w:rsidRPr="00CF6E19">
              <w:t xml:space="preserve">6. </w:t>
            </w:r>
          </w:p>
        </w:tc>
      </w:tr>
    </w:tbl>
    <w:p w14:paraId="5657DB98" w14:textId="77777777" w:rsidR="00035791" w:rsidRPr="00CF6E19" w:rsidRDefault="00035791" w:rsidP="00CF6E19">
      <w:pPr>
        <w:spacing w:before="120" w:after="120" w:line="240" w:lineRule="auto"/>
      </w:pPr>
      <w:r w:rsidRPr="00CF6E19">
        <w:t>The largest category in this grouping is ‘other expenses incurred in managing tax affairs’, which includes the cost of tax advice as well as purchases of tax software or reference materials. Dividend deductions are the second largest category and are available to claim for interest charged on money borrowed to buy shares and other related investments that assessable dividend or interest income is derived from.</w:t>
      </w:r>
    </w:p>
    <w:p w14:paraId="03904365" w14:textId="204B4BFD" w:rsidR="00035791" w:rsidRPr="002035F6" w:rsidRDefault="003D3223" w:rsidP="00B334E9">
      <w:pPr>
        <w:pStyle w:val="TableHeading"/>
        <w:rPr>
          <w:rFonts w:cs="Arial"/>
        </w:rPr>
      </w:pPr>
      <w:r>
        <w:t>Table 2</w:t>
      </w:r>
      <w:r w:rsidR="00274772">
        <w:t>.27</w:t>
      </w:r>
      <w:r w:rsidR="00035791" w:rsidRPr="00674001">
        <w:t xml:space="preserve"> </w:t>
      </w:r>
      <w:r w:rsidR="00035791">
        <w:t>Cost of managing tax affairs and other deduction claims by income tax return labels,</w:t>
      </w:r>
      <w:r w:rsidR="00035791" w:rsidRPr="00674001">
        <w:t xml:space="preserve"> 2</w:t>
      </w:r>
      <w:r w:rsidR="00035791">
        <w:t>021</w:t>
      </w:r>
      <w:r w:rsidR="003C3D89">
        <w:t>–2</w:t>
      </w:r>
      <w:r w:rsidR="00035791">
        <w:t>2</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3979"/>
        <w:gridCol w:w="1866"/>
        <w:gridCol w:w="1866"/>
      </w:tblGrid>
      <w:tr w:rsidR="00035791" w14:paraId="22A89190" w14:textId="77777777">
        <w:trPr>
          <w:jc w:val="center"/>
        </w:trPr>
        <w:tc>
          <w:tcPr>
            <w:tcW w:w="3979" w:type="dxa"/>
            <w:tcBorders>
              <w:bottom w:val="single" w:sz="4" w:space="0" w:color="auto"/>
            </w:tcBorders>
            <w:vAlign w:val="center"/>
          </w:tcPr>
          <w:p w14:paraId="50761FC1" w14:textId="77777777" w:rsidR="00035791" w:rsidRPr="00B7088C" w:rsidRDefault="00035791">
            <w:pPr>
              <w:pStyle w:val="TableColumnHeadingLeft"/>
            </w:pPr>
            <w:r w:rsidRPr="00B7088C">
              <w:t>Type of deductions</w:t>
            </w:r>
          </w:p>
        </w:tc>
        <w:tc>
          <w:tcPr>
            <w:tcW w:w="1866" w:type="dxa"/>
            <w:tcBorders>
              <w:bottom w:val="single" w:sz="4" w:space="0" w:color="auto"/>
            </w:tcBorders>
            <w:vAlign w:val="center"/>
          </w:tcPr>
          <w:p w14:paraId="5EAD1371" w14:textId="34D3CC5A" w:rsidR="00035791" w:rsidRPr="00B7088C" w:rsidRDefault="00035791">
            <w:pPr>
              <w:pStyle w:val="TableColumnHeadingRight"/>
            </w:pPr>
            <w:r w:rsidRPr="00B7088C">
              <w:t xml:space="preserve">Amount </w:t>
            </w:r>
            <w:r w:rsidR="00014432">
              <w:t>cl</w:t>
            </w:r>
            <w:r w:rsidRPr="00B7088C">
              <w:t xml:space="preserve">aimed </w:t>
            </w:r>
          </w:p>
          <w:p w14:paraId="30CFB835" w14:textId="77777777" w:rsidR="00035791" w:rsidRPr="00B7088C" w:rsidRDefault="00035791">
            <w:pPr>
              <w:pStyle w:val="TableColumnHeadingRight"/>
            </w:pPr>
            <w:r w:rsidRPr="00B7088C">
              <w:t>($ million)</w:t>
            </w:r>
          </w:p>
        </w:tc>
        <w:tc>
          <w:tcPr>
            <w:tcW w:w="1866" w:type="dxa"/>
            <w:tcBorders>
              <w:bottom w:val="single" w:sz="4" w:space="0" w:color="auto"/>
            </w:tcBorders>
            <w:vAlign w:val="center"/>
          </w:tcPr>
          <w:p w14:paraId="2BDAA125" w14:textId="77777777" w:rsidR="00035791" w:rsidRPr="00B7088C" w:rsidRDefault="00035791">
            <w:pPr>
              <w:pStyle w:val="TableColumnHeadingRight"/>
            </w:pPr>
            <w:r w:rsidRPr="00B7088C">
              <w:t>Share of total</w:t>
            </w:r>
          </w:p>
          <w:p w14:paraId="7D64E4C0" w14:textId="77777777" w:rsidR="00035791" w:rsidRPr="00B7088C" w:rsidRDefault="00035791">
            <w:pPr>
              <w:pStyle w:val="TableColumnHeadingRight"/>
            </w:pPr>
            <w:r w:rsidRPr="00B7088C">
              <w:t>(%)</w:t>
            </w:r>
          </w:p>
        </w:tc>
      </w:tr>
      <w:tr w:rsidR="00035791" w14:paraId="775941C6" w14:textId="77777777">
        <w:trPr>
          <w:jc w:val="center"/>
        </w:trPr>
        <w:tc>
          <w:tcPr>
            <w:tcW w:w="3979" w:type="dxa"/>
            <w:tcBorders>
              <w:top w:val="single" w:sz="4" w:space="0" w:color="auto"/>
              <w:bottom w:val="nil"/>
            </w:tcBorders>
          </w:tcPr>
          <w:p w14:paraId="37E505DF" w14:textId="77777777" w:rsidR="00035791" w:rsidRDefault="00035791">
            <w:pPr>
              <w:pStyle w:val="TableTextLeft"/>
            </w:pPr>
            <w:r w:rsidRPr="001B6955">
              <w:t>Other expenses incurred in managing</w:t>
            </w:r>
            <w:r>
              <w:t xml:space="preserve"> </w:t>
            </w:r>
            <w:r w:rsidRPr="001B6955">
              <w:t>tax affairs</w:t>
            </w:r>
          </w:p>
        </w:tc>
        <w:tc>
          <w:tcPr>
            <w:tcW w:w="1866" w:type="dxa"/>
            <w:tcBorders>
              <w:top w:val="single" w:sz="4" w:space="0" w:color="auto"/>
              <w:bottom w:val="nil"/>
            </w:tcBorders>
            <w:vAlign w:val="bottom"/>
          </w:tcPr>
          <w:p w14:paraId="681F1D91" w14:textId="77777777" w:rsidR="00035791" w:rsidRPr="00E6424F" w:rsidRDefault="00035791">
            <w:pPr>
              <w:pStyle w:val="TableTextRight"/>
              <w:rPr>
                <w:rFonts w:cs="Arial"/>
                <w:szCs w:val="16"/>
              </w:rPr>
            </w:pPr>
            <w:r w:rsidRPr="00EA4A61">
              <w:rPr>
                <w:rFonts w:cs="Arial"/>
                <w:szCs w:val="16"/>
              </w:rPr>
              <w:t>2,1</w:t>
            </w:r>
            <w:r>
              <w:rPr>
                <w:rFonts w:cs="Arial"/>
                <w:szCs w:val="16"/>
              </w:rPr>
              <w:t>60</w:t>
            </w:r>
          </w:p>
        </w:tc>
        <w:tc>
          <w:tcPr>
            <w:tcW w:w="1866" w:type="dxa"/>
            <w:tcBorders>
              <w:top w:val="single" w:sz="4" w:space="0" w:color="auto"/>
              <w:bottom w:val="nil"/>
            </w:tcBorders>
            <w:vAlign w:val="bottom"/>
          </w:tcPr>
          <w:p w14:paraId="0CBE308D" w14:textId="77777777" w:rsidR="00035791" w:rsidRPr="00E6424F" w:rsidRDefault="00035791">
            <w:pPr>
              <w:pStyle w:val="TableTextRight"/>
              <w:rPr>
                <w:rFonts w:cs="Arial"/>
                <w:szCs w:val="16"/>
              </w:rPr>
            </w:pPr>
            <w:r w:rsidRPr="00EA4A61">
              <w:rPr>
                <w:rFonts w:cs="Arial"/>
                <w:szCs w:val="16"/>
              </w:rPr>
              <w:t>54</w:t>
            </w:r>
          </w:p>
        </w:tc>
      </w:tr>
      <w:tr w:rsidR="00035791" w14:paraId="1E7F0456" w14:textId="77777777">
        <w:trPr>
          <w:jc w:val="center"/>
        </w:trPr>
        <w:tc>
          <w:tcPr>
            <w:tcW w:w="3979" w:type="dxa"/>
            <w:tcBorders>
              <w:top w:val="nil"/>
              <w:bottom w:val="nil"/>
            </w:tcBorders>
          </w:tcPr>
          <w:p w14:paraId="363D3DBE" w14:textId="77777777" w:rsidR="00035791" w:rsidRDefault="00035791">
            <w:pPr>
              <w:pStyle w:val="TableTextLeft"/>
            </w:pPr>
            <w:r w:rsidRPr="001B6955">
              <w:t>Dividend deductions</w:t>
            </w:r>
          </w:p>
        </w:tc>
        <w:tc>
          <w:tcPr>
            <w:tcW w:w="1866" w:type="dxa"/>
            <w:tcBorders>
              <w:top w:val="nil"/>
              <w:bottom w:val="nil"/>
            </w:tcBorders>
            <w:vAlign w:val="bottom"/>
          </w:tcPr>
          <w:p w14:paraId="667682C1" w14:textId="77777777" w:rsidR="00035791" w:rsidRPr="00E6424F" w:rsidRDefault="00035791">
            <w:pPr>
              <w:pStyle w:val="TableTextRight"/>
              <w:rPr>
                <w:rFonts w:cs="Arial"/>
                <w:szCs w:val="16"/>
              </w:rPr>
            </w:pPr>
            <w:r w:rsidRPr="00EA4A61">
              <w:rPr>
                <w:rFonts w:cs="Arial"/>
                <w:szCs w:val="16"/>
              </w:rPr>
              <w:t>84</w:t>
            </w:r>
            <w:r>
              <w:rPr>
                <w:rFonts w:cs="Arial"/>
                <w:szCs w:val="16"/>
              </w:rPr>
              <w:t>0</w:t>
            </w:r>
          </w:p>
        </w:tc>
        <w:tc>
          <w:tcPr>
            <w:tcW w:w="1866" w:type="dxa"/>
            <w:tcBorders>
              <w:top w:val="nil"/>
              <w:bottom w:val="nil"/>
            </w:tcBorders>
            <w:vAlign w:val="bottom"/>
          </w:tcPr>
          <w:p w14:paraId="6B83130F" w14:textId="77777777" w:rsidR="00035791" w:rsidRPr="00E6424F" w:rsidRDefault="00035791">
            <w:pPr>
              <w:pStyle w:val="TableTextRight"/>
              <w:rPr>
                <w:rFonts w:cs="Arial"/>
                <w:szCs w:val="16"/>
              </w:rPr>
            </w:pPr>
            <w:r w:rsidRPr="00EA4A61">
              <w:rPr>
                <w:rFonts w:cs="Arial"/>
                <w:szCs w:val="16"/>
              </w:rPr>
              <w:t>21</w:t>
            </w:r>
          </w:p>
        </w:tc>
      </w:tr>
      <w:tr w:rsidR="00035791" w14:paraId="269B0F51" w14:textId="77777777">
        <w:trPr>
          <w:jc w:val="center"/>
        </w:trPr>
        <w:tc>
          <w:tcPr>
            <w:tcW w:w="3979" w:type="dxa"/>
            <w:tcBorders>
              <w:top w:val="nil"/>
              <w:bottom w:val="nil"/>
            </w:tcBorders>
          </w:tcPr>
          <w:p w14:paraId="09D621A6" w14:textId="77777777" w:rsidR="00035791" w:rsidRDefault="00035791">
            <w:pPr>
              <w:pStyle w:val="TableTextLeft"/>
            </w:pPr>
            <w:r w:rsidRPr="001B6955">
              <w:t>Interest deductions</w:t>
            </w:r>
          </w:p>
        </w:tc>
        <w:tc>
          <w:tcPr>
            <w:tcW w:w="1866" w:type="dxa"/>
            <w:tcBorders>
              <w:top w:val="nil"/>
              <w:bottom w:val="nil"/>
            </w:tcBorders>
            <w:vAlign w:val="bottom"/>
          </w:tcPr>
          <w:p w14:paraId="76D59EF0" w14:textId="77777777" w:rsidR="00035791" w:rsidRPr="00E6424F" w:rsidRDefault="00035791">
            <w:pPr>
              <w:pStyle w:val="TableTextRight"/>
              <w:rPr>
                <w:rFonts w:cs="Arial"/>
                <w:szCs w:val="16"/>
              </w:rPr>
            </w:pPr>
            <w:r w:rsidRPr="00EA4A61">
              <w:rPr>
                <w:rFonts w:cs="Arial"/>
                <w:szCs w:val="16"/>
              </w:rPr>
              <w:t>46</w:t>
            </w:r>
            <w:r>
              <w:rPr>
                <w:rFonts w:cs="Arial"/>
                <w:szCs w:val="16"/>
              </w:rPr>
              <w:t>0</w:t>
            </w:r>
          </w:p>
        </w:tc>
        <w:tc>
          <w:tcPr>
            <w:tcW w:w="1866" w:type="dxa"/>
            <w:tcBorders>
              <w:top w:val="nil"/>
              <w:bottom w:val="nil"/>
            </w:tcBorders>
            <w:vAlign w:val="bottom"/>
          </w:tcPr>
          <w:p w14:paraId="7C3F61E2" w14:textId="77777777" w:rsidR="00035791" w:rsidRPr="00E6424F" w:rsidRDefault="00035791">
            <w:pPr>
              <w:pStyle w:val="TableTextRight"/>
              <w:rPr>
                <w:rFonts w:cs="Arial"/>
                <w:szCs w:val="16"/>
              </w:rPr>
            </w:pPr>
            <w:r w:rsidRPr="00EA4A61">
              <w:rPr>
                <w:rFonts w:cs="Arial"/>
                <w:szCs w:val="16"/>
              </w:rPr>
              <w:t>11</w:t>
            </w:r>
          </w:p>
        </w:tc>
      </w:tr>
      <w:tr w:rsidR="00035791" w14:paraId="4C77B08A" w14:textId="77777777">
        <w:trPr>
          <w:jc w:val="center"/>
        </w:trPr>
        <w:tc>
          <w:tcPr>
            <w:tcW w:w="3979" w:type="dxa"/>
            <w:tcBorders>
              <w:top w:val="nil"/>
              <w:bottom w:val="nil"/>
            </w:tcBorders>
          </w:tcPr>
          <w:p w14:paraId="25A765C7" w14:textId="77777777" w:rsidR="00035791" w:rsidRDefault="00035791">
            <w:pPr>
              <w:pStyle w:val="TableTextLeft"/>
            </w:pPr>
            <w:r w:rsidRPr="001B6955">
              <w:t>Interest charged by the ATO</w:t>
            </w:r>
          </w:p>
        </w:tc>
        <w:tc>
          <w:tcPr>
            <w:tcW w:w="1866" w:type="dxa"/>
            <w:tcBorders>
              <w:top w:val="nil"/>
              <w:bottom w:val="nil"/>
            </w:tcBorders>
            <w:vAlign w:val="bottom"/>
          </w:tcPr>
          <w:p w14:paraId="21F8447C" w14:textId="77777777" w:rsidR="00035791" w:rsidRPr="00E6424F" w:rsidRDefault="00035791">
            <w:pPr>
              <w:pStyle w:val="TableTextRight"/>
              <w:rPr>
                <w:rFonts w:cs="Arial"/>
                <w:szCs w:val="16"/>
              </w:rPr>
            </w:pPr>
            <w:r w:rsidRPr="00EA4A61">
              <w:rPr>
                <w:rFonts w:cs="Arial"/>
                <w:szCs w:val="16"/>
              </w:rPr>
              <w:t>53</w:t>
            </w:r>
            <w:r>
              <w:rPr>
                <w:rFonts w:cs="Arial"/>
                <w:szCs w:val="16"/>
              </w:rPr>
              <w:t>0</w:t>
            </w:r>
          </w:p>
        </w:tc>
        <w:tc>
          <w:tcPr>
            <w:tcW w:w="1866" w:type="dxa"/>
            <w:tcBorders>
              <w:top w:val="nil"/>
              <w:bottom w:val="nil"/>
            </w:tcBorders>
            <w:vAlign w:val="bottom"/>
          </w:tcPr>
          <w:p w14:paraId="4C67FD92" w14:textId="77777777" w:rsidR="00035791" w:rsidRPr="00E6424F" w:rsidRDefault="00035791">
            <w:pPr>
              <w:pStyle w:val="TableTextRight"/>
              <w:rPr>
                <w:rFonts w:cs="Arial"/>
                <w:szCs w:val="16"/>
              </w:rPr>
            </w:pPr>
            <w:r w:rsidRPr="00EA4A61">
              <w:rPr>
                <w:rFonts w:cs="Arial"/>
                <w:szCs w:val="16"/>
              </w:rPr>
              <w:t>13</w:t>
            </w:r>
          </w:p>
        </w:tc>
      </w:tr>
      <w:tr w:rsidR="00035791" w14:paraId="15BECDC1" w14:textId="77777777">
        <w:trPr>
          <w:jc w:val="center"/>
        </w:trPr>
        <w:tc>
          <w:tcPr>
            <w:tcW w:w="3979" w:type="dxa"/>
            <w:tcBorders>
              <w:top w:val="nil"/>
              <w:bottom w:val="single" w:sz="4" w:space="0" w:color="auto"/>
            </w:tcBorders>
          </w:tcPr>
          <w:p w14:paraId="26BC8A8E" w14:textId="77777777" w:rsidR="00035791" w:rsidRDefault="00035791">
            <w:pPr>
              <w:pStyle w:val="TableTextLeft"/>
            </w:pPr>
            <w:r w:rsidRPr="001B6955">
              <w:t>Litigation costs</w:t>
            </w:r>
          </w:p>
        </w:tc>
        <w:tc>
          <w:tcPr>
            <w:tcW w:w="1866" w:type="dxa"/>
            <w:tcBorders>
              <w:top w:val="nil"/>
              <w:bottom w:val="single" w:sz="4" w:space="0" w:color="auto"/>
            </w:tcBorders>
            <w:vAlign w:val="bottom"/>
          </w:tcPr>
          <w:p w14:paraId="2A1C3D0F" w14:textId="77777777" w:rsidR="00035791" w:rsidRPr="00E6424F" w:rsidRDefault="00035791">
            <w:pPr>
              <w:pStyle w:val="TableTextRight"/>
              <w:rPr>
                <w:rFonts w:cs="Arial"/>
                <w:szCs w:val="16"/>
              </w:rPr>
            </w:pPr>
            <w:r w:rsidRPr="00EA4A61">
              <w:rPr>
                <w:rFonts w:cs="Arial"/>
                <w:szCs w:val="16"/>
              </w:rPr>
              <w:t>2</w:t>
            </w:r>
            <w:r>
              <w:rPr>
                <w:rFonts w:cs="Arial"/>
                <w:szCs w:val="16"/>
              </w:rPr>
              <w:t>0</w:t>
            </w:r>
          </w:p>
        </w:tc>
        <w:tc>
          <w:tcPr>
            <w:tcW w:w="1866" w:type="dxa"/>
            <w:tcBorders>
              <w:top w:val="nil"/>
              <w:bottom w:val="single" w:sz="4" w:space="0" w:color="auto"/>
            </w:tcBorders>
            <w:vAlign w:val="bottom"/>
          </w:tcPr>
          <w:p w14:paraId="185F2944" w14:textId="77777777" w:rsidR="00035791" w:rsidRPr="00E6424F" w:rsidRDefault="00035791">
            <w:pPr>
              <w:pStyle w:val="TableTextRight"/>
              <w:rPr>
                <w:rFonts w:cs="Arial"/>
                <w:szCs w:val="16"/>
              </w:rPr>
            </w:pPr>
            <w:r w:rsidRPr="00EA4A61">
              <w:rPr>
                <w:rFonts w:cs="Arial"/>
                <w:szCs w:val="16"/>
              </w:rPr>
              <w:t>1</w:t>
            </w:r>
          </w:p>
        </w:tc>
      </w:tr>
    </w:tbl>
    <w:p w14:paraId="53E8137E" w14:textId="543A084C" w:rsidR="00035791" w:rsidRDefault="00035791" w:rsidP="00CF6E19">
      <w:pPr>
        <w:spacing w:before="120" w:after="120" w:line="240" w:lineRule="auto"/>
        <w:rPr>
          <w:rFonts w:ascii="Arial" w:hAnsi="Arial" w:cs="Arial"/>
          <w:b/>
          <w:bCs/>
        </w:rPr>
      </w:pPr>
      <w:r w:rsidRPr="00CF6E19">
        <w:t>In 2021</w:t>
      </w:r>
      <w:r w:rsidR="003C3D89">
        <w:t>–2</w:t>
      </w:r>
      <w:r w:rsidRPr="00CF6E19">
        <w:t>2, 86 per cent of the total tax reduction went to people with above median income, and 49 per cent of the total tax reduction went to people in the top income decile (</w:t>
      </w:r>
      <w:r w:rsidR="003D3223">
        <w:t>Chart 2</w:t>
      </w:r>
      <w:r w:rsidR="00A05340" w:rsidRPr="00CF6E19">
        <w:t>.28</w:t>
      </w:r>
      <w:r w:rsidRPr="00CF6E19">
        <w:t>). Both the share of the total tax reduction and the number of people claiming deductions increase</w:t>
      </w:r>
      <w:r w:rsidR="003F13D4">
        <w:t>d</w:t>
      </w:r>
      <w:r w:rsidRPr="00CF6E19">
        <w:t xml:space="preserve"> with income from the second decile. As with other types of deductions, individuals with higher taxable incomes receive</w:t>
      </w:r>
      <w:r w:rsidR="00901829">
        <w:t>d</w:t>
      </w:r>
      <w:r w:rsidRPr="00CF6E19">
        <w:t xml:space="preserve"> a greater tax reduction per dollar of taxable income reduced by deductions. </w:t>
      </w:r>
    </w:p>
    <w:p w14:paraId="122C35DF" w14:textId="7D66FEF7" w:rsidR="00035791" w:rsidRDefault="003D3223" w:rsidP="009B56EF">
      <w:pPr>
        <w:pStyle w:val="ChartHeading"/>
        <w:rPr>
          <w:noProof/>
        </w:rPr>
      </w:pPr>
      <w:r>
        <w:t>Chart 2</w:t>
      </w:r>
      <w:r w:rsidR="00A05340">
        <w:t>.28</w:t>
      </w:r>
      <w:r w:rsidR="00035791" w:rsidRPr="00B27F19">
        <w:t xml:space="preserve"> Share of total tax reduction and claimants by taxable income decile, </w:t>
      </w:r>
      <w:r w:rsidR="00035791">
        <w:t>2021</w:t>
      </w:r>
      <w:r w:rsidR="003C3D89">
        <w:t>–2</w:t>
      </w:r>
      <w:r w:rsidR="00035791">
        <w:t>2</w:t>
      </w:r>
    </w:p>
    <w:p w14:paraId="0FBC4298" w14:textId="39FD5693" w:rsidR="009B56EF" w:rsidRDefault="007A1E82" w:rsidP="00F542A6">
      <w:pPr>
        <w:pStyle w:val="ChartGraphic"/>
      </w:pPr>
      <w:r>
        <w:object w:dxaOrig="7366" w:dyaOrig="4531" w14:anchorId="79B0F42F">
          <v:shape id="_x0000_i1052" type="#_x0000_t75" alt="This bar chart shows the number of claimants and share of the total benefit broadly rise across income deciles, but the benefit is highly concentrated in the highest decile." style="width:368.25pt;height:226.5pt" o:ole="">
            <v:imagedata r:id="rId85" o:title=""/>
          </v:shape>
          <o:OLEObject Type="Link" ProgID="Excel.Sheet.12" ShapeID="_x0000_i1052" DrawAspect="Content" r:id="rId86" UpdateMode="Always">
            <o:LinkType>EnhancedMetaFile</o:LinkType>
            <o:LockedField/>
          </o:OLEObject>
        </w:object>
      </w:r>
    </w:p>
    <w:p w14:paraId="451B60C3" w14:textId="404A85EE" w:rsidR="00035791" w:rsidRPr="00CB34A6" w:rsidRDefault="00035791" w:rsidP="00035791">
      <w:pPr>
        <w:pStyle w:val="ChartandTableFootnote"/>
      </w:pPr>
      <w:r w:rsidRPr="00CB34A6">
        <w:t>Source: Treasury</w:t>
      </w:r>
    </w:p>
    <w:p w14:paraId="465BEDE2" w14:textId="6A5FE48F" w:rsidR="00035791" w:rsidRPr="00CF6E19" w:rsidRDefault="00035791" w:rsidP="00CF6E19">
      <w:pPr>
        <w:spacing w:before="120" w:after="120" w:line="240" w:lineRule="auto"/>
      </w:pPr>
      <w:r w:rsidRPr="00CF6E19">
        <w:t>Around 3.5 million men claimed these deductions and received an average tax reduction of $250 in 2021</w:t>
      </w:r>
      <w:r w:rsidR="003C3D89">
        <w:t>–2</w:t>
      </w:r>
      <w:r w:rsidRPr="00CF6E19">
        <w:t>2, compared to 3.0 million women claiming an average of $160 (</w:t>
      </w:r>
      <w:r w:rsidR="003D3223">
        <w:t>Table 2</w:t>
      </w:r>
      <w:r w:rsidR="00274772" w:rsidRPr="00CF6E19">
        <w:t>.2</w:t>
      </w:r>
      <w:r w:rsidR="00512700" w:rsidRPr="00CF6E19">
        <w:t>8</w:t>
      </w:r>
      <w:r w:rsidRPr="00CF6E19">
        <w:t>). A higher share of the total tax reduction attributed to men reflects that men have higher average deductions and higher average taxable income.</w:t>
      </w:r>
    </w:p>
    <w:p w14:paraId="4FC1D729" w14:textId="7EDFEB56" w:rsidR="00035791" w:rsidRPr="00674001" w:rsidRDefault="003D3223" w:rsidP="00035791">
      <w:pPr>
        <w:pStyle w:val="TableHeading"/>
        <w:rPr>
          <w:rFonts w:cs="Arial"/>
          <w:b w:val="0"/>
        </w:rPr>
      </w:pPr>
      <w:r>
        <w:t>Table 2</w:t>
      </w:r>
      <w:r w:rsidR="00274772">
        <w:t>.28</w:t>
      </w:r>
      <w:r w:rsidR="00035791" w:rsidRPr="00674001">
        <w:t xml:space="preserve"> Distributional effect by gender</w:t>
      </w:r>
      <w:r w:rsidR="00035791">
        <w:t>,</w:t>
      </w:r>
      <w:r w:rsidR="00035791" w:rsidRPr="00674001">
        <w:t xml:space="preserve"> </w:t>
      </w:r>
      <w:r w:rsidR="00035791">
        <w:t>2021</w:t>
      </w:r>
      <w:r w:rsidR="003C3D89">
        <w:t>–2</w:t>
      </w:r>
      <w:r w:rsidR="00035791">
        <w:t>2</w:t>
      </w:r>
      <w:r w:rsidR="00105C22">
        <w:t>*</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Caption w:val="Table"/>
      </w:tblPr>
      <w:tblGrid>
        <w:gridCol w:w="993"/>
        <w:gridCol w:w="2268"/>
        <w:gridCol w:w="1842"/>
        <w:gridCol w:w="2608"/>
      </w:tblGrid>
      <w:tr w:rsidR="00035791" w14:paraId="3731115A" w14:textId="77777777" w:rsidTr="00DA5386">
        <w:trPr>
          <w:trHeight w:val="227"/>
          <w:jc w:val="center"/>
        </w:trPr>
        <w:tc>
          <w:tcPr>
            <w:tcW w:w="993" w:type="dxa"/>
            <w:tcBorders>
              <w:bottom w:val="single" w:sz="4" w:space="0" w:color="auto"/>
            </w:tcBorders>
            <w:vAlign w:val="center"/>
          </w:tcPr>
          <w:p w14:paraId="5A68147D" w14:textId="77777777" w:rsidR="00035791" w:rsidRDefault="00035791">
            <w:pPr>
              <w:pStyle w:val="TableColumnHeadingLeft"/>
            </w:pPr>
            <w:r>
              <w:t>Gender</w:t>
            </w:r>
          </w:p>
        </w:tc>
        <w:tc>
          <w:tcPr>
            <w:tcW w:w="2268" w:type="dxa"/>
            <w:tcBorders>
              <w:bottom w:val="single" w:sz="4" w:space="0" w:color="auto"/>
            </w:tcBorders>
            <w:vAlign w:val="center"/>
          </w:tcPr>
          <w:p w14:paraId="65E6DC05" w14:textId="77777777" w:rsidR="00035791" w:rsidRDefault="00035791">
            <w:pPr>
              <w:pStyle w:val="TableColumnHeadingRight"/>
            </w:pPr>
            <w:r>
              <w:t>Average tax reduction ($)</w:t>
            </w:r>
          </w:p>
        </w:tc>
        <w:tc>
          <w:tcPr>
            <w:tcW w:w="1842" w:type="dxa"/>
            <w:tcBorders>
              <w:bottom w:val="single" w:sz="4" w:space="0" w:color="auto"/>
            </w:tcBorders>
            <w:vAlign w:val="center"/>
          </w:tcPr>
          <w:p w14:paraId="64939923" w14:textId="77777777" w:rsidR="00035791" w:rsidRDefault="00035791">
            <w:pPr>
              <w:pStyle w:val="TableColumnHeadingRight"/>
            </w:pPr>
            <w:r>
              <w:t>Claimants (million)</w:t>
            </w:r>
          </w:p>
        </w:tc>
        <w:tc>
          <w:tcPr>
            <w:tcW w:w="2608" w:type="dxa"/>
            <w:tcBorders>
              <w:bottom w:val="single" w:sz="4" w:space="0" w:color="auto"/>
            </w:tcBorders>
            <w:vAlign w:val="center"/>
          </w:tcPr>
          <w:p w14:paraId="0D66AE15" w14:textId="77777777" w:rsidR="00035791" w:rsidRDefault="00035791">
            <w:pPr>
              <w:pStyle w:val="TableColumnHeadingRight"/>
            </w:pPr>
            <w:r>
              <w:t>Share of total tax reduction (%)</w:t>
            </w:r>
          </w:p>
        </w:tc>
      </w:tr>
      <w:tr w:rsidR="00035791" w14:paraId="067B0617" w14:textId="77777777" w:rsidTr="00741441">
        <w:trPr>
          <w:trHeight w:val="227"/>
          <w:jc w:val="center"/>
        </w:trPr>
        <w:tc>
          <w:tcPr>
            <w:tcW w:w="993" w:type="dxa"/>
            <w:tcBorders>
              <w:top w:val="single" w:sz="4" w:space="0" w:color="auto"/>
              <w:bottom w:val="nil"/>
            </w:tcBorders>
          </w:tcPr>
          <w:p w14:paraId="70738C99" w14:textId="77777777" w:rsidR="00035791" w:rsidRDefault="00035791">
            <w:pPr>
              <w:pStyle w:val="TableTextLeft"/>
            </w:pPr>
            <w:r>
              <w:t>Men</w:t>
            </w:r>
          </w:p>
        </w:tc>
        <w:tc>
          <w:tcPr>
            <w:tcW w:w="2268" w:type="dxa"/>
            <w:tcBorders>
              <w:top w:val="single" w:sz="4" w:space="0" w:color="auto"/>
              <w:bottom w:val="nil"/>
            </w:tcBorders>
            <w:vAlign w:val="bottom"/>
          </w:tcPr>
          <w:p w14:paraId="1BE5C0CC" w14:textId="77777777" w:rsidR="00035791" w:rsidRPr="00E6424F" w:rsidRDefault="00035791">
            <w:pPr>
              <w:pStyle w:val="TableTextRight"/>
              <w:rPr>
                <w:rFonts w:cs="Arial"/>
                <w:szCs w:val="16"/>
              </w:rPr>
            </w:pPr>
            <w:r w:rsidRPr="00EA4A61">
              <w:rPr>
                <w:rFonts w:cs="Arial"/>
                <w:szCs w:val="16"/>
              </w:rPr>
              <w:t>250</w:t>
            </w:r>
          </w:p>
        </w:tc>
        <w:tc>
          <w:tcPr>
            <w:tcW w:w="1842" w:type="dxa"/>
            <w:tcBorders>
              <w:top w:val="single" w:sz="4" w:space="0" w:color="auto"/>
              <w:bottom w:val="nil"/>
            </w:tcBorders>
            <w:vAlign w:val="bottom"/>
          </w:tcPr>
          <w:p w14:paraId="58220549" w14:textId="77777777" w:rsidR="00035791" w:rsidRPr="00E6424F" w:rsidRDefault="00035791">
            <w:pPr>
              <w:pStyle w:val="TableTextRight"/>
              <w:rPr>
                <w:rFonts w:cs="Arial"/>
                <w:szCs w:val="16"/>
              </w:rPr>
            </w:pPr>
            <w:r w:rsidRPr="00EA4A61">
              <w:rPr>
                <w:rFonts w:cs="Arial"/>
                <w:szCs w:val="16"/>
              </w:rPr>
              <w:t>3.5</w:t>
            </w:r>
          </w:p>
        </w:tc>
        <w:tc>
          <w:tcPr>
            <w:tcW w:w="2608" w:type="dxa"/>
            <w:tcBorders>
              <w:top w:val="single" w:sz="4" w:space="0" w:color="auto"/>
              <w:bottom w:val="nil"/>
            </w:tcBorders>
            <w:vAlign w:val="bottom"/>
          </w:tcPr>
          <w:p w14:paraId="2C319DAF" w14:textId="77777777" w:rsidR="00035791" w:rsidRPr="00E6424F" w:rsidRDefault="00035791">
            <w:pPr>
              <w:pStyle w:val="TableTextRight"/>
              <w:rPr>
                <w:rFonts w:cs="Arial"/>
                <w:szCs w:val="16"/>
              </w:rPr>
            </w:pPr>
            <w:r w:rsidRPr="00EA4A61">
              <w:rPr>
                <w:rFonts w:cs="Arial"/>
                <w:szCs w:val="16"/>
              </w:rPr>
              <w:t>65</w:t>
            </w:r>
          </w:p>
        </w:tc>
      </w:tr>
      <w:tr w:rsidR="00035791" w14:paraId="39353905" w14:textId="77777777" w:rsidTr="00741441">
        <w:trPr>
          <w:trHeight w:val="227"/>
          <w:jc w:val="center"/>
        </w:trPr>
        <w:tc>
          <w:tcPr>
            <w:tcW w:w="993" w:type="dxa"/>
            <w:tcBorders>
              <w:top w:val="nil"/>
              <w:bottom w:val="single" w:sz="4" w:space="0" w:color="auto"/>
            </w:tcBorders>
          </w:tcPr>
          <w:p w14:paraId="38A546B8" w14:textId="77777777" w:rsidR="00035791" w:rsidRDefault="00035791">
            <w:pPr>
              <w:pStyle w:val="TableTextLeft"/>
            </w:pPr>
            <w:r>
              <w:t>Women</w:t>
            </w:r>
          </w:p>
        </w:tc>
        <w:tc>
          <w:tcPr>
            <w:tcW w:w="2268" w:type="dxa"/>
            <w:tcBorders>
              <w:top w:val="nil"/>
              <w:bottom w:val="single" w:sz="4" w:space="0" w:color="auto"/>
            </w:tcBorders>
            <w:vAlign w:val="bottom"/>
          </w:tcPr>
          <w:p w14:paraId="3796DAAF" w14:textId="77777777" w:rsidR="00035791" w:rsidRPr="00E6424F" w:rsidRDefault="00035791">
            <w:pPr>
              <w:pStyle w:val="TableTextRight"/>
              <w:rPr>
                <w:rFonts w:cs="Arial"/>
                <w:szCs w:val="16"/>
              </w:rPr>
            </w:pPr>
            <w:r w:rsidRPr="00EA4A61">
              <w:rPr>
                <w:rFonts w:cs="Arial"/>
                <w:szCs w:val="16"/>
              </w:rPr>
              <w:t>160</w:t>
            </w:r>
          </w:p>
        </w:tc>
        <w:tc>
          <w:tcPr>
            <w:tcW w:w="1842" w:type="dxa"/>
            <w:tcBorders>
              <w:top w:val="nil"/>
              <w:bottom w:val="single" w:sz="4" w:space="0" w:color="auto"/>
            </w:tcBorders>
            <w:vAlign w:val="bottom"/>
          </w:tcPr>
          <w:p w14:paraId="31503D3F" w14:textId="77777777" w:rsidR="00035791" w:rsidRPr="00E6424F" w:rsidRDefault="00035791">
            <w:pPr>
              <w:pStyle w:val="TableTextRight"/>
              <w:rPr>
                <w:rFonts w:cs="Arial"/>
                <w:szCs w:val="16"/>
              </w:rPr>
            </w:pPr>
            <w:r w:rsidRPr="00EA4A61">
              <w:rPr>
                <w:rFonts w:cs="Arial"/>
                <w:szCs w:val="16"/>
              </w:rPr>
              <w:t>3.0</w:t>
            </w:r>
          </w:p>
        </w:tc>
        <w:tc>
          <w:tcPr>
            <w:tcW w:w="2608" w:type="dxa"/>
            <w:tcBorders>
              <w:top w:val="nil"/>
              <w:bottom w:val="single" w:sz="4" w:space="0" w:color="auto"/>
            </w:tcBorders>
            <w:vAlign w:val="bottom"/>
          </w:tcPr>
          <w:p w14:paraId="6E4A7346" w14:textId="77777777" w:rsidR="00035791" w:rsidRPr="00E6424F" w:rsidRDefault="00035791">
            <w:pPr>
              <w:pStyle w:val="TableTextRight"/>
              <w:rPr>
                <w:rFonts w:cs="Arial"/>
                <w:szCs w:val="16"/>
              </w:rPr>
            </w:pPr>
            <w:r w:rsidRPr="00EA4A61">
              <w:rPr>
                <w:rFonts w:cs="Arial"/>
                <w:szCs w:val="16"/>
              </w:rPr>
              <w:t>35</w:t>
            </w:r>
          </w:p>
        </w:tc>
      </w:tr>
      <w:tr w:rsidR="00035791" w14:paraId="6444F47B" w14:textId="77777777" w:rsidTr="00DA5386">
        <w:trPr>
          <w:trHeight w:val="227"/>
          <w:jc w:val="center"/>
        </w:trPr>
        <w:tc>
          <w:tcPr>
            <w:tcW w:w="993" w:type="dxa"/>
            <w:tcBorders>
              <w:top w:val="single" w:sz="4" w:space="0" w:color="auto"/>
              <w:bottom w:val="single" w:sz="4" w:space="0" w:color="auto"/>
            </w:tcBorders>
          </w:tcPr>
          <w:p w14:paraId="49D94092" w14:textId="77777777" w:rsidR="00035791" w:rsidRDefault="00035791">
            <w:pPr>
              <w:pStyle w:val="TableTextLeft"/>
            </w:pPr>
            <w:r w:rsidRPr="008B0B26">
              <w:t>Total</w:t>
            </w:r>
          </w:p>
        </w:tc>
        <w:tc>
          <w:tcPr>
            <w:tcW w:w="2268" w:type="dxa"/>
            <w:tcBorders>
              <w:top w:val="single" w:sz="4" w:space="0" w:color="auto"/>
              <w:bottom w:val="single" w:sz="4" w:space="0" w:color="auto"/>
            </w:tcBorders>
            <w:vAlign w:val="bottom"/>
          </w:tcPr>
          <w:p w14:paraId="2E8EED05" w14:textId="77777777" w:rsidR="00035791" w:rsidRPr="00E6424F" w:rsidRDefault="00035791">
            <w:pPr>
              <w:pStyle w:val="TableTextRight"/>
              <w:rPr>
                <w:rFonts w:cs="Arial"/>
                <w:szCs w:val="16"/>
              </w:rPr>
            </w:pPr>
            <w:r w:rsidRPr="00EA4A61">
              <w:rPr>
                <w:rFonts w:cs="Arial"/>
                <w:szCs w:val="16"/>
              </w:rPr>
              <w:t>210</w:t>
            </w:r>
          </w:p>
        </w:tc>
        <w:tc>
          <w:tcPr>
            <w:tcW w:w="1842" w:type="dxa"/>
            <w:tcBorders>
              <w:top w:val="single" w:sz="4" w:space="0" w:color="auto"/>
              <w:bottom w:val="single" w:sz="4" w:space="0" w:color="auto"/>
            </w:tcBorders>
            <w:vAlign w:val="bottom"/>
          </w:tcPr>
          <w:p w14:paraId="3C279356" w14:textId="77777777" w:rsidR="00035791" w:rsidRPr="00E6424F" w:rsidRDefault="00035791">
            <w:pPr>
              <w:pStyle w:val="TableTextRight"/>
              <w:rPr>
                <w:rFonts w:cs="Arial"/>
                <w:szCs w:val="16"/>
              </w:rPr>
            </w:pPr>
            <w:r w:rsidRPr="00EA4A61">
              <w:rPr>
                <w:rFonts w:cs="Arial"/>
                <w:szCs w:val="16"/>
              </w:rPr>
              <w:t>6.5</w:t>
            </w:r>
          </w:p>
        </w:tc>
        <w:tc>
          <w:tcPr>
            <w:tcW w:w="2608" w:type="dxa"/>
            <w:tcBorders>
              <w:top w:val="single" w:sz="4" w:space="0" w:color="auto"/>
              <w:bottom w:val="single" w:sz="4" w:space="0" w:color="auto"/>
            </w:tcBorders>
            <w:vAlign w:val="bottom"/>
          </w:tcPr>
          <w:p w14:paraId="554C1EC3" w14:textId="77777777" w:rsidR="00035791" w:rsidRPr="00E6424F" w:rsidRDefault="00035791">
            <w:pPr>
              <w:pStyle w:val="TableTextRight"/>
              <w:rPr>
                <w:rFonts w:cs="Arial"/>
                <w:szCs w:val="16"/>
              </w:rPr>
            </w:pPr>
            <w:r w:rsidRPr="00EA4A61">
              <w:rPr>
                <w:rFonts w:cs="Arial"/>
                <w:szCs w:val="16"/>
              </w:rPr>
              <w:t>100</w:t>
            </w:r>
          </w:p>
        </w:tc>
      </w:tr>
    </w:tbl>
    <w:p w14:paraId="44640420" w14:textId="05BBEAB5" w:rsidR="00035791" w:rsidRPr="00105C22" w:rsidRDefault="00105C22" w:rsidP="00DA5386">
      <w:pPr>
        <w:pStyle w:val="ChartandTableFootnote"/>
        <w:spacing w:line="276" w:lineRule="auto"/>
      </w:pPr>
      <w:r w:rsidRPr="00173B4F">
        <w:t>* Totals may not sum due to rounding.</w:t>
      </w:r>
    </w:p>
    <w:p w14:paraId="6964A742" w14:textId="7CAA42DE" w:rsidR="003F13D4" w:rsidRPr="00CF6E19" w:rsidRDefault="003F13D4" w:rsidP="003F13D4">
      <w:pPr>
        <w:spacing w:before="120" w:after="120" w:line="240" w:lineRule="auto"/>
      </w:pPr>
      <w:r w:rsidRPr="00CF6E19">
        <w:t>Individuals aged 39 or younger represent</w:t>
      </w:r>
      <w:r w:rsidR="009B00D6">
        <w:t>ed</w:t>
      </w:r>
      <w:r w:rsidRPr="00CF6E19">
        <w:t xml:space="preserve"> over a third of total claimants but receive</w:t>
      </w:r>
      <w:r w:rsidR="009B00D6">
        <w:t>d</w:t>
      </w:r>
      <w:r w:rsidRPr="00CF6E19">
        <w:t xml:space="preserve"> less than a fifth of the total tax reduction. This reflects lower average deductions claimed and lower average taxable incomes for this cohort. Conversely, individuals aged 70</w:t>
      </w:r>
      <w:r w:rsidR="00F40042">
        <w:t> </w:t>
      </w:r>
      <w:r w:rsidRPr="00CF6E19">
        <w:t>or</w:t>
      </w:r>
      <w:r w:rsidR="00014432">
        <w:t> o</w:t>
      </w:r>
      <w:r w:rsidRPr="00CF6E19">
        <w:t>lder represent</w:t>
      </w:r>
      <w:r w:rsidR="009B00D6">
        <w:t>ed</w:t>
      </w:r>
      <w:r w:rsidRPr="00CF6E19">
        <w:t xml:space="preserve"> only 7 per cent of total claimants but receive</w:t>
      </w:r>
      <w:r w:rsidR="00F46480">
        <w:t>d</w:t>
      </w:r>
      <w:r w:rsidRPr="00CF6E19">
        <w:t xml:space="preserve"> 16 per cent of the total tax reduction. This reflects significantly higher average deductions claimed by the cohort, especially interest and dividend deductions.</w:t>
      </w:r>
    </w:p>
    <w:p w14:paraId="44F6EA0D" w14:textId="77777777" w:rsidR="00B334E9" w:rsidRDefault="00B334E9">
      <w:pPr>
        <w:spacing w:after="0" w:line="240" w:lineRule="auto"/>
        <w:jc w:val="left"/>
        <w:rPr>
          <w:rFonts w:ascii="Arial" w:hAnsi="Arial" w:cs="Calibri"/>
          <w:b/>
          <w:bCs/>
          <w:color w:val="000000"/>
        </w:rPr>
      </w:pPr>
      <w:r>
        <w:rPr>
          <w:rFonts w:ascii="Arial" w:hAnsi="Arial"/>
          <w:color w:val="000000"/>
        </w:rPr>
        <w:br w:type="page"/>
      </w:r>
    </w:p>
    <w:p w14:paraId="6169B52D" w14:textId="66D88E1C" w:rsidR="00035791" w:rsidRPr="00A35221" w:rsidRDefault="003D3223" w:rsidP="00D96720">
      <w:pPr>
        <w:pStyle w:val="ChartHeading"/>
      </w:pPr>
      <w:r>
        <w:t>Chart 2</w:t>
      </w:r>
      <w:r w:rsidR="00A05340">
        <w:t>.29</w:t>
      </w:r>
      <w:r w:rsidR="00035791" w:rsidRPr="00F80E92">
        <w:t xml:space="preserve"> Share of total tax reduction and claimants by age, </w:t>
      </w:r>
      <w:r w:rsidR="00035791">
        <w:t>2021</w:t>
      </w:r>
      <w:r w:rsidR="003C3D89">
        <w:t>–2</w:t>
      </w:r>
      <w:r w:rsidR="00035791">
        <w:t>2</w:t>
      </w:r>
    </w:p>
    <w:p w14:paraId="2F585704" w14:textId="69124F97" w:rsidR="00035791" w:rsidRPr="00653CC1" w:rsidRDefault="00035791" w:rsidP="00035791">
      <w:pPr>
        <w:pStyle w:val="ChartGraphic"/>
      </w:pPr>
    </w:p>
    <w:p w14:paraId="34BF13E9" w14:textId="32232E17" w:rsidR="00566BEC" w:rsidRDefault="004F49FD" w:rsidP="00AA6EFC">
      <w:pPr>
        <w:pStyle w:val="ChartGraphic"/>
      </w:pPr>
      <w:r>
        <w:object w:dxaOrig="7366" w:dyaOrig="4531" w14:anchorId="17D616A3">
          <v:shape id="_x0000_i1053" type="#_x0000_t75" alt="This bar chart shows the share of the total benefit rises by age until the 55-59 year old cohort, before decreasing and then rising again at 75 years and above. The number of claimants in each age group has a different shape and is elevated for 25 to 64 year olds, peaking at the 35-39 cohort." style="width:370.5pt;height:225.75pt" o:ole="">
            <v:imagedata r:id="rId87" o:title=""/>
          </v:shape>
          <o:OLEObject Type="Link" ProgID="Excel.Sheet.12" ShapeID="_x0000_i1053" DrawAspect="Content" r:id="rId88" UpdateMode="Always">
            <o:LinkType>EnhancedMetaFile</o:LinkType>
            <o:LockedField/>
          </o:OLEObject>
        </w:object>
      </w:r>
    </w:p>
    <w:p w14:paraId="6B0EFBDC" w14:textId="4DD4FD0E" w:rsidR="00035791" w:rsidRDefault="00035791" w:rsidP="00035791">
      <w:pPr>
        <w:pStyle w:val="ChartandTableFootnote"/>
      </w:pPr>
      <w:r w:rsidRPr="00CB34A6">
        <w:t>Source: Treasury</w:t>
      </w:r>
    </w:p>
    <w:p w14:paraId="1ABF86BE" w14:textId="1EF3C0D5" w:rsidR="00C30897" w:rsidRPr="00224433" w:rsidRDefault="00C30897" w:rsidP="00035791">
      <w:r>
        <w:br w:type="page"/>
      </w:r>
    </w:p>
    <w:p w14:paraId="23F01BB5" w14:textId="67B7ED8B" w:rsidR="006531B8" w:rsidRDefault="006531B8" w:rsidP="00FA7A7A">
      <w:pPr>
        <w:pStyle w:val="Heading2"/>
        <w:numPr>
          <w:ilvl w:val="1"/>
          <w:numId w:val="51"/>
        </w:numPr>
      </w:pPr>
      <w:bookmarkStart w:id="62" w:name="_Toc184287662"/>
      <w:r>
        <w:t>Trust distributions to individuals</w:t>
      </w:r>
      <w:bookmarkEnd w:id="62"/>
    </w:p>
    <w:tbl>
      <w:tblPr>
        <w:tblStyle w:val="TableGrid"/>
        <w:tblW w:w="7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1"/>
      </w:tblGrid>
      <w:tr w:rsidR="006531B8" w14:paraId="1F2DE5AB" w14:textId="77777777" w:rsidTr="00014432">
        <w:trPr>
          <w:trHeight w:val="3171"/>
        </w:trPr>
        <w:tc>
          <w:tcPr>
            <w:tcW w:w="7771" w:type="dxa"/>
            <w:shd w:val="clear" w:color="auto" w:fill="DEEAF6"/>
          </w:tcPr>
          <w:p w14:paraId="4D63AAB2" w14:textId="77777777" w:rsidR="006531B8" w:rsidRPr="00CF6E19" w:rsidRDefault="006531B8" w:rsidP="00CF6E19">
            <w:pPr>
              <w:spacing w:before="120" w:after="120" w:line="240" w:lineRule="auto"/>
            </w:pPr>
            <w:r w:rsidRPr="00CF6E19">
              <w:t>Trusts are flow-through vehicles and are not considered separate tax units under the personal income tax benchmark. Income earned by trusts is generally taxable in the hands of beneficiaries and hence tax paid on trust income will depend on the average marginal tax rate of beneficiaries. Beneficiaries can include companies. However, the analysis only examines the distributions of trust net income reported by individuals.</w:t>
            </w:r>
            <w:r w:rsidRPr="00CF6E19">
              <w:rPr>
                <w:rStyle w:val="FootnoteReference"/>
              </w:rPr>
              <w:footnoteReference w:id="12"/>
            </w:r>
          </w:p>
          <w:p w14:paraId="0398547F" w14:textId="427BC324" w:rsidR="006531B8" w:rsidRPr="00CF6E19" w:rsidRDefault="006531B8" w:rsidP="00CF6E19">
            <w:pPr>
              <w:spacing w:before="120" w:after="120" w:line="240" w:lineRule="auto"/>
            </w:pPr>
            <w:r w:rsidRPr="00CF6E19">
              <w:t>Low-income individuals under the effective tax-free threshold who derive income but did not have any tax withheld during the year, may not need to lodge a tax return. Due to the lack of data, the analysis below only includes individuals who have lodged a personal income tax return for the 2021</w:t>
            </w:r>
            <w:r w:rsidR="003C3D89">
              <w:t>–2</w:t>
            </w:r>
            <w:r w:rsidRPr="00CF6E19">
              <w:t>2 income year.</w:t>
            </w:r>
            <w:r w:rsidRPr="00CF6E19">
              <w:rPr>
                <w:rStyle w:val="FootnoteReference"/>
              </w:rPr>
              <w:footnoteReference w:id="13"/>
            </w:r>
          </w:p>
          <w:p w14:paraId="05EE39D9" w14:textId="2B079256" w:rsidR="006531B8" w:rsidRDefault="006531B8" w:rsidP="00014432">
            <w:pPr>
              <w:spacing w:before="120" w:after="0" w:line="240" w:lineRule="auto"/>
            </w:pPr>
            <w:r w:rsidRPr="00CF6E19">
              <w:t>Around 1.8 million individuals reported a total of around $67 billion in trust net income in 2021</w:t>
            </w:r>
            <w:r w:rsidR="003C3D89">
              <w:t>–2</w:t>
            </w:r>
            <w:r w:rsidRPr="00CF6E19">
              <w:t xml:space="preserve">2. This was around 12 per cent of those lodging a tax return. </w:t>
            </w:r>
          </w:p>
        </w:tc>
      </w:tr>
    </w:tbl>
    <w:p w14:paraId="3ED08E90" w14:textId="0BF2529C" w:rsidR="006531B8" w:rsidRPr="00CF6E19" w:rsidRDefault="006531B8" w:rsidP="00CF6E19">
      <w:pPr>
        <w:spacing w:before="120" w:after="120" w:line="240" w:lineRule="auto"/>
      </w:pPr>
      <w:r w:rsidRPr="00CF6E19">
        <w:t>In 2021</w:t>
      </w:r>
      <w:r w:rsidR="003C3D89">
        <w:t>–2</w:t>
      </w:r>
      <w:r w:rsidRPr="00CF6E19">
        <w:t>2, 71 per cent of individuals reporting trust income had taxable incomes of less than $120,000. For those in the eighth income decile and below, the share of reported trust income ranged from 1 per cent to 6 per cent each. Together, they accounted for around 24 per cent of total trust income reported by individuals (</w:t>
      </w:r>
      <w:r w:rsidR="003D3223">
        <w:t>Chart 2</w:t>
      </w:r>
      <w:r w:rsidR="00A05340" w:rsidRPr="00CF6E19">
        <w:t>.30</w:t>
      </w:r>
      <w:r w:rsidRPr="00CF6E19">
        <w:t>).</w:t>
      </w:r>
    </w:p>
    <w:p w14:paraId="61FA020D" w14:textId="475130B8" w:rsidR="006531B8" w:rsidRDefault="003D3223" w:rsidP="00D96720">
      <w:pPr>
        <w:pStyle w:val="ChartHeading"/>
        <w:rPr>
          <w:noProof/>
        </w:rPr>
      </w:pPr>
      <w:r>
        <w:t>Chart 2</w:t>
      </w:r>
      <w:r w:rsidR="00A05340">
        <w:t>.30</w:t>
      </w:r>
      <w:r w:rsidR="006531B8" w:rsidRPr="005C22A4">
        <w:t xml:space="preserve"> </w:t>
      </w:r>
      <w:r w:rsidR="006531B8">
        <w:t>Trust distributions by taxable income decile, 2021</w:t>
      </w:r>
      <w:r w:rsidR="003C3D89">
        <w:t>–2</w:t>
      </w:r>
      <w:r w:rsidR="006531B8">
        <w:t>2</w:t>
      </w:r>
      <w:r w:rsidR="006531B8">
        <w:rPr>
          <w:noProof/>
        </w:rPr>
        <w:t xml:space="preserve"> </w:t>
      </w:r>
    </w:p>
    <w:bookmarkStart w:id="63" w:name="_Hlk181773876"/>
    <w:bookmarkEnd w:id="63"/>
    <w:p w14:paraId="6EF48777" w14:textId="09DA93F1" w:rsidR="00953C9F" w:rsidRDefault="004F49FD" w:rsidP="00DF3535">
      <w:pPr>
        <w:pStyle w:val="ChartGraphic"/>
      </w:pPr>
      <w:r>
        <w:object w:dxaOrig="7366" w:dyaOrig="4531" w14:anchorId="40FE3E85">
          <v:shape id="_x0000_i1054" type="#_x0000_t75" alt="Chart shows that individuals in the highest taxable income decile receive around 63 per cent of the share of trust income. The number of recipients ranges from around 110,000 to 150,000 in the first 7 income deciles before increasing to a peak of around 420,000 recipients in the highest income decile. " style="width:370.5pt;height:198.75pt" o:ole="">
            <v:imagedata r:id="rId89" o:title=""/>
          </v:shape>
          <o:OLEObject Type="Link" ProgID="Excel.Sheet.12" ShapeID="_x0000_i1054" DrawAspect="Content" r:id="rId90" UpdateMode="Always">
            <o:LinkType>EnhancedMetaFile</o:LinkType>
            <o:LockedField/>
          </o:OLEObject>
        </w:object>
      </w:r>
    </w:p>
    <w:p w14:paraId="4F2DA176" w14:textId="3D1BCF82" w:rsidR="006531B8" w:rsidRDefault="006531B8" w:rsidP="00D96720">
      <w:pPr>
        <w:pStyle w:val="ChartandTableFootnote"/>
      </w:pPr>
      <w:r w:rsidRPr="00CB34A6">
        <w:t>Source: Treasury</w:t>
      </w:r>
    </w:p>
    <w:p w14:paraId="552710B6" w14:textId="77777777" w:rsidR="003D5EA5" w:rsidRDefault="003D5EA5" w:rsidP="006531B8">
      <w:pPr>
        <w:spacing w:after="0"/>
        <w:rPr>
          <w:rFonts w:ascii="Arial" w:hAnsi="Arial" w:cs="Arial"/>
          <w:sz w:val="16"/>
          <w:szCs w:val="16"/>
        </w:rPr>
      </w:pPr>
    </w:p>
    <w:p w14:paraId="771A02AE" w14:textId="0A1E200F" w:rsidR="006531B8" w:rsidRPr="00CF6E19" w:rsidRDefault="006531B8" w:rsidP="00CF6E19">
      <w:pPr>
        <w:spacing w:before="120" w:after="120" w:line="240" w:lineRule="auto"/>
      </w:pPr>
      <w:r w:rsidRPr="00CF6E19">
        <w:t>In 2021</w:t>
      </w:r>
      <w:r w:rsidR="003C3D89">
        <w:t>–2</w:t>
      </w:r>
      <w:r w:rsidRPr="00CF6E19">
        <w:t xml:space="preserve">2, 24 per cent of individuals who reported trust income were in the top income decile, accounting for 63 per cent of all trust income reported. </w:t>
      </w:r>
      <w:bookmarkStart w:id="64" w:name="_Hlk179986007"/>
      <w:r w:rsidRPr="00CF6E19">
        <w:t>This is due to a small number of individuals receiving very large amounts of income from</w:t>
      </w:r>
      <w:bookmarkEnd w:id="64"/>
      <w:r w:rsidRPr="00CF6E19">
        <w:t xml:space="preserve"> trusts. Individuals in the ninth income decile accounted for 14 per cent of those who reported trust income and 13 per cent of reported trust income.</w:t>
      </w:r>
    </w:p>
    <w:p w14:paraId="3BE5D535" w14:textId="2D120040" w:rsidR="006531B8" w:rsidRPr="00CF6E19" w:rsidRDefault="006531B8" w:rsidP="00CF6E19">
      <w:pPr>
        <w:spacing w:before="120" w:after="120" w:line="240" w:lineRule="auto"/>
      </w:pPr>
      <w:r w:rsidRPr="00CF6E19">
        <w:t>In 2021</w:t>
      </w:r>
      <w:r w:rsidR="003C3D89">
        <w:t>–2</w:t>
      </w:r>
      <w:r w:rsidRPr="00CF6E19">
        <w:t xml:space="preserve">2, 31 per cent of those who reported trust income had taxable incomes between $0 and $45,000, accounting for 8 per cent of all reported trust income and 58 per cent had taxable incomes between $45,000 and $200,000, accounting for 49 per cent of all reported trust income. Of total trust income reported by individuals, 44 per cent </w:t>
      </w:r>
      <w:r w:rsidR="005B04DE">
        <w:t>was</w:t>
      </w:r>
      <w:r w:rsidRPr="00CF6E19">
        <w:t xml:space="preserve"> from individuals with taxable incomes above $200,000.</w:t>
      </w:r>
      <w:r w:rsidRPr="00CF6E19">
        <w:rPr>
          <w:rStyle w:val="FootnoteReference"/>
        </w:rPr>
        <w:footnoteReference w:id="14"/>
      </w:r>
    </w:p>
    <w:p w14:paraId="7B311FCD" w14:textId="4492EA64" w:rsidR="006531B8" w:rsidRPr="00CF6E19" w:rsidRDefault="006531B8" w:rsidP="00CF6E19">
      <w:pPr>
        <w:spacing w:before="120" w:after="120" w:line="240" w:lineRule="auto"/>
      </w:pPr>
      <w:r w:rsidRPr="00CF6E19">
        <w:t>While marginally more women (900,000) reported trust income, men (890,000) reported a larger share of reported trust income because they reported an average trust income of $38,480 in 2021</w:t>
      </w:r>
      <w:r w:rsidR="003C3D89">
        <w:t>–2</w:t>
      </w:r>
      <w:r w:rsidRPr="00CF6E19">
        <w:t>2, while women reported an average of $35,850.</w:t>
      </w:r>
    </w:p>
    <w:p w14:paraId="269DFB9A" w14:textId="0FC7D2AE" w:rsidR="006531B8" w:rsidRDefault="003D3223" w:rsidP="006531B8">
      <w:pPr>
        <w:pStyle w:val="TableHeading"/>
        <w:rPr>
          <w:rFonts w:cs="Arial"/>
          <w:b w:val="0"/>
          <w:szCs w:val="22"/>
        </w:rPr>
      </w:pPr>
      <w:r>
        <w:t>Table 2</w:t>
      </w:r>
      <w:r w:rsidR="00512700">
        <w:t>.29</w:t>
      </w:r>
      <w:r w:rsidR="006531B8">
        <w:t xml:space="preserve"> Trust distributions by gender, 2021</w:t>
      </w:r>
      <w:r w:rsidR="003C3D89">
        <w:t>–2</w:t>
      </w:r>
      <w:r w:rsidR="006531B8">
        <w:t>2*</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Caption w:val="Table"/>
      </w:tblPr>
      <w:tblGrid>
        <w:gridCol w:w="1636"/>
        <w:gridCol w:w="1521"/>
        <w:gridCol w:w="1480"/>
        <w:gridCol w:w="1459"/>
        <w:gridCol w:w="1615"/>
      </w:tblGrid>
      <w:tr w:rsidR="006531B8" w14:paraId="0055F1CD" w14:textId="77777777">
        <w:tc>
          <w:tcPr>
            <w:tcW w:w="1636" w:type="dxa"/>
            <w:tcBorders>
              <w:top w:val="single" w:sz="4" w:space="0" w:color="auto"/>
              <w:left w:val="nil"/>
              <w:bottom w:val="single" w:sz="4" w:space="0" w:color="auto"/>
              <w:right w:val="nil"/>
            </w:tcBorders>
            <w:vAlign w:val="center"/>
            <w:hideMark/>
          </w:tcPr>
          <w:p w14:paraId="15CA0DCD" w14:textId="77777777" w:rsidR="006531B8" w:rsidRPr="00D34462" w:rsidRDefault="006531B8">
            <w:pPr>
              <w:pStyle w:val="TableColumnHeadingLeft"/>
            </w:pPr>
            <w:r w:rsidRPr="00D34462">
              <w:t>Gender</w:t>
            </w:r>
          </w:p>
        </w:tc>
        <w:tc>
          <w:tcPr>
            <w:tcW w:w="1521" w:type="dxa"/>
            <w:tcBorders>
              <w:top w:val="single" w:sz="4" w:space="0" w:color="auto"/>
              <w:left w:val="nil"/>
              <w:bottom w:val="single" w:sz="4" w:space="0" w:color="auto"/>
              <w:right w:val="nil"/>
            </w:tcBorders>
            <w:vAlign w:val="center"/>
            <w:hideMark/>
          </w:tcPr>
          <w:p w14:paraId="03803690" w14:textId="6069DBF2" w:rsidR="006531B8" w:rsidRPr="00D34462" w:rsidRDefault="006531B8">
            <w:pPr>
              <w:pStyle w:val="TableColumnHeadingRight"/>
            </w:pPr>
            <w:r w:rsidRPr="00D34462">
              <w:t xml:space="preserve">Average </w:t>
            </w:r>
            <w:r w:rsidR="007A03E9">
              <w:t>t</w:t>
            </w:r>
            <w:r w:rsidRPr="00D34462">
              <w:t xml:space="preserve">rust </w:t>
            </w:r>
            <w:r w:rsidR="007A03E9">
              <w:t>i</w:t>
            </w:r>
            <w:r w:rsidRPr="00D34462">
              <w:t>ncome ($)</w:t>
            </w:r>
          </w:p>
        </w:tc>
        <w:tc>
          <w:tcPr>
            <w:tcW w:w="1480" w:type="dxa"/>
            <w:tcBorders>
              <w:top w:val="single" w:sz="4" w:space="0" w:color="auto"/>
              <w:left w:val="nil"/>
              <w:bottom w:val="single" w:sz="4" w:space="0" w:color="auto"/>
              <w:right w:val="nil"/>
            </w:tcBorders>
            <w:vAlign w:val="center"/>
            <w:hideMark/>
          </w:tcPr>
          <w:p w14:paraId="68B9D18E" w14:textId="3E58D095" w:rsidR="006531B8" w:rsidRPr="00D34462" w:rsidRDefault="006531B8">
            <w:pPr>
              <w:pStyle w:val="TableColumnHeadingRight"/>
            </w:pPr>
            <w:r w:rsidRPr="00D34462">
              <w:t xml:space="preserve">Median </w:t>
            </w:r>
            <w:r w:rsidR="007A03E9">
              <w:t>t</w:t>
            </w:r>
            <w:r w:rsidRPr="00D34462">
              <w:t xml:space="preserve">rust </w:t>
            </w:r>
            <w:r w:rsidR="007A03E9">
              <w:t>i</w:t>
            </w:r>
            <w:r w:rsidRPr="00D34462">
              <w:t>ncome ($)</w:t>
            </w:r>
          </w:p>
        </w:tc>
        <w:tc>
          <w:tcPr>
            <w:tcW w:w="1459" w:type="dxa"/>
            <w:tcBorders>
              <w:top w:val="single" w:sz="4" w:space="0" w:color="auto"/>
              <w:left w:val="nil"/>
              <w:bottom w:val="single" w:sz="4" w:space="0" w:color="auto"/>
              <w:right w:val="nil"/>
            </w:tcBorders>
            <w:vAlign w:val="center"/>
            <w:hideMark/>
          </w:tcPr>
          <w:p w14:paraId="3BA92AF9" w14:textId="77777777" w:rsidR="006531B8" w:rsidRPr="00D34462" w:rsidRDefault="006531B8">
            <w:pPr>
              <w:pStyle w:val="TableColumnHeadingRight"/>
            </w:pPr>
            <w:r w:rsidRPr="00D34462">
              <w:t>Recipients (million)</w:t>
            </w:r>
          </w:p>
        </w:tc>
        <w:tc>
          <w:tcPr>
            <w:tcW w:w="1615" w:type="dxa"/>
            <w:tcBorders>
              <w:top w:val="single" w:sz="4" w:space="0" w:color="auto"/>
              <w:left w:val="nil"/>
              <w:bottom w:val="single" w:sz="4" w:space="0" w:color="auto"/>
              <w:right w:val="nil"/>
            </w:tcBorders>
            <w:vAlign w:val="center"/>
            <w:hideMark/>
          </w:tcPr>
          <w:p w14:paraId="63E26BFF" w14:textId="7661F5C3" w:rsidR="006531B8" w:rsidRPr="00D34462" w:rsidRDefault="006531B8">
            <w:pPr>
              <w:pStyle w:val="TableColumnHeadingRight"/>
            </w:pPr>
            <w:r w:rsidRPr="00D34462">
              <w:t xml:space="preserve">Share of total </w:t>
            </w:r>
            <w:r w:rsidR="007A03E9">
              <w:t>t</w:t>
            </w:r>
            <w:r w:rsidRPr="00D34462">
              <w:t xml:space="preserve">rust </w:t>
            </w:r>
            <w:r w:rsidR="007A03E9">
              <w:t>i</w:t>
            </w:r>
            <w:r w:rsidRPr="00D34462">
              <w:t>ncome (%)</w:t>
            </w:r>
          </w:p>
        </w:tc>
      </w:tr>
      <w:tr w:rsidR="006531B8" w14:paraId="783540A3" w14:textId="77777777" w:rsidTr="00ED274D">
        <w:trPr>
          <w:trHeight w:val="227"/>
        </w:trPr>
        <w:tc>
          <w:tcPr>
            <w:tcW w:w="1636" w:type="dxa"/>
            <w:tcBorders>
              <w:top w:val="single" w:sz="4" w:space="0" w:color="auto"/>
              <w:left w:val="nil"/>
              <w:bottom w:val="nil"/>
              <w:right w:val="nil"/>
            </w:tcBorders>
            <w:hideMark/>
          </w:tcPr>
          <w:p w14:paraId="7C2A08FB" w14:textId="77777777" w:rsidR="006531B8" w:rsidRDefault="006531B8">
            <w:pPr>
              <w:pStyle w:val="TableTextLeft"/>
              <w:keepNext/>
            </w:pPr>
            <w:r>
              <w:t>Men</w:t>
            </w:r>
          </w:p>
        </w:tc>
        <w:tc>
          <w:tcPr>
            <w:tcW w:w="1521" w:type="dxa"/>
            <w:tcBorders>
              <w:top w:val="single" w:sz="4" w:space="0" w:color="auto"/>
              <w:left w:val="nil"/>
              <w:bottom w:val="nil"/>
              <w:right w:val="nil"/>
            </w:tcBorders>
            <w:hideMark/>
          </w:tcPr>
          <w:p w14:paraId="73A77846" w14:textId="77777777" w:rsidR="006531B8" w:rsidRDefault="006531B8">
            <w:pPr>
              <w:pStyle w:val="TableTextRight"/>
            </w:pPr>
            <w:r w:rsidRPr="00890E7B">
              <w:t xml:space="preserve"> </w:t>
            </w:r>
            <w:r>
              <w:t>38,480</w:t>
            </w:r>
            <w:r w:rsidRPr="00890E7B">
              <w:t xml:space="preserve"> </w:t>
            </w:r>
          </w:p>
        </w:tc>
        <w:tc>
          <w:tcPr>
            <w:tcW w:w="1480" w:type="dxa"/>
            <w:tcBorders>
              <w:top w:val="single" w:sz="4" w:space="0" w:color="auto"/>
              <w:left w:val="nil"/>
              <w:bottom w:val="nil"/>
              <w:right w:val="nil"/>
            </w:tcBorders>
            <w:hideMark/>
          </w:tcPr>
          <w:p w14:paraId="7ABDFDA7" w14:textId="77777777" w:rsidR="006531B8" w:rsidRDefault="006531B8">
            <w:pPr>
              <w:pStyle w:val="TableTextRight"/>
            </w:pPr>
            <w:r w:rsidRPr="00890E7B">
              <w:t xml:space="preserve"> 2,7</w:t>
            </w:r>
            <w:r>
              <w:t>10</w:t>
            </w:r>
            <w:r w:rsidRPr="00890E7B">
              <w:t xml:space="preserve"> </w:t>
            </w:r>
          </w:p>
        </w:tc>
        <w:tc>
          <w:tcPr>
            <w:tcW w:w="1459" w:type="dxa"/>
            <w:tcBorders>
              <w:top w:val="single" w:sz="4" w:space="0" w:color="auto"/>
              <w:left w:val="nil"/>
              <w:bottom w:val="nil"/>
              <w:right w:val="nil"/>
            </w:tcBorders>
            <w:hideMark/>
          </w:tcPr>
          <w:p w14:paraId="65B8E2FB" w14:textId="77777777" w:rsidR="006531B8" w:rsidRDefault="006531B8">
            <w:pPr>
              <w:pStyle w:val="TableTextRight"/>
            </w:pPr>
            <w:r w:rsidRPr="008553FF">
              <w:t>0.</w:t>
            </w:r>
            <w:r>
              <w:t>9</w:t>
            </w:r>
          </w:p>
        </w:tc>
        <w:tc>
          <w:tcPr>
            <w:tcW w:w="1615" w:type="dxa"/>
            <w:tcBorders>
              <w:top w:val="single" w:sz="4" w:space="0" w:color="auto"/>
              <w:left w:val="nil"/>
              <w:bottom w:val="nil"/>
              <w:right w:val="nil"/>
            </w:tcBorders>
            <w:hideMark/>
          </w:tcPr>
          <w:p w14:paraId="00E8A602" w14:textId="77777777" w:rsidR="006531B8" w:rsidRDefault="006531B8">
            <w:pPr>
              <w:pStyle w:val="TableTextRight"/>
            </w:pPr>
            <w:r>
              <w:t>51</w:t>
            </w:r>
          </w:p>
        </w:tc>
      </w:tr>
      <w:tr w:rsidR="006531B8" w14:paraId="23D94958" w14:textId="77777777" w:rsidTr="00ED274D">
        <w:trPr>
          <w:trHeight w:val="227"/>
        </w:trPr>
        <w:tc>
          <w:tcPr>
            <w:tcW w:w="1636" w:type="dxa"/>
            <w:tcBorders>
              <w:top w:val="nil"/>
              <w:left w:val="nil"/>
              <w:bottom w:val="single" w:sz="4" w:space="0" w:color="auto"/>
              <w:right w:val="nil"/>
            </w:tcBorders>
            <w:hideMark/>
          </w:tcPr>
          <w:p w14:paraId="2DFDA9F9" w14:textId="77777777" w:rsidR="006531B8" w:rsidRDefault="006531B8">
            <w:pPr>
              <w:pStyle w:val="TableTextLeft"/>
              <w:keepNext/>
            </w:pPr>
            <w:r>
              <w:t>Women</w:t>
            </w:r>
          </w:p>
        </w:tc>
        <w:tc>
          <w:tcPr>
            <w:tcW w:w="1521" w:type="dxa"/>
            <w:tcBorders>
              <w:top w:val="nil"/>
              <w:left w:val="nil"/>
              <w:bottom w:val="single" w:sz="4" w:space="0" w:color="auto"/>
              <w:right w:val="nil"/>
            </w:tcBorders>
            <w:hideMark/>
          </w:tcPr>
          <w:p w14:paraId="776E851A" w14:textId="77777777" w:rsidR="006531B8" w:rsidRDefault="006531B8">
            <w:pPr>
              <w:pStyle w:val="TableTextRight"/>
            </w:pPr>
            <w:r w:rsidRPr="00AD2B0E">
              <w:t xml:space="preserve"> 35,</w:t>
            </w:r>
            <w:r>
              <w:t>850</w:t>
            </w:r>
            <w:r w:rsidRPr="00AD2B0E">
              <w:t xml:space="preserve"> </w:t>
            </w:r>
          </w:p>
        </w:tc>
        <w:tc>
          <w:tcPr>
            <w:tcW w:w="1480" w:type="dxa"/>
            <w:tcBorders>
              <w:top w:val="nil"/>
              <w:left w:val="nil"/>
              <w:bottom w:val="single" w:sz="4" w:space="0" w:color="auto"/>
              <w:right w:val="nil"/>
            </w:tcBorders>
            <w:hideMark/>
          </w:tcPr>
          <w:p w14:paraId="65F539DE" w14:textId="77777777" w:rsidR="006531B8" w:rsidRDefault="006531B8">
            <w:pPr>
              <w:pStyle w:val="TableTextRight"/>
            </w:pPr>
            <w:r w:rsidRPr="00AD2B0E">
              <w:t xml:space="preserve"> 3,</w:t>
            </w:r>
            <w:r>
              <w:t>440</w:t>
            </w:r>
            <w:r w:rsidRPr="00AD2B0E">
              <w:t xml:space="preserve"> </w:t>
            </w:r>
          </w:p>
        </w:tc>
        <w:tc>
          <w:tcPr>
            <w:tcW w:w="1459" w:type="dxa"/>
            <w:tcBorders>
              <w:top w:val="nil"/>
              <w:left w:val="nil"/>
              <w:bottom w:val="single" w:sz="4" w:space="0" w:color="auto"/>
              <w:right w:val="nil"/>
            </w:tcBorders>
            <w:hideMark/>
          </w:tcPr>
          <w:p w14:paraId="0BB9EA92" w14:textId="77777777" w:rsidR="006531B8" w:rsidRDefault="006531B8">
            <w:pPr>
              <w:pStyle w:val="TableTextRight"/>
            </w:pPr>
            <w:r w:rsidRPr="008553FF">
              <w:t>0.</w:t>
            </w:r>
            <w:r>
              <w:t>9</w:t>
            </w:r>
          </w:p>
        </w:tc>
        <w:tc>
          <w:tcPr>
            <w:tcW w:w="1615" w:type="dxa"/>
            <w:tcBorders>
              <w:top w:val="nil"/>
              <w:left w:val="nil"/>
              <w:bottom w:val="single" w:sz="4" w:space="0" w:color="auto"/>
              <w:right w:val="nil"/>
            </w:tcBorders>
            <w:hideMark/>
          </w:tcPr>
          <w:p w14:paraId="76688C3F" w14:textId="77777777" w:rsidR="006531B8" w:rsidRDefault="006531B8">
            <w:pPr>
              <w:pStyle w:val="TableTextRight"/>
            </w:pPr>
            <w:r>
              <w:t>49</w:t>
            </w:r>
          </w:p>
        </w:tc>
      </w:tr>
      <w:tr w:rsidR="006531B8" w14:paraId="59F9FAAD" w14:textId="77777777" w:rsidTr="00DA5386">
        <w:trPr>
          <w:trHeight w:val="227"/>
        </w:trPr>
        <w:tc>
          <w:tcPr>
            <w:tcW w:w="1636" w:type="dxa"/>
            <w:tcBorders>
              <w:top w:val="single" w:sz="4" w:space="0" w:color="auto"/>
              <w:left w:val="nil"/>
              <w:bottom w:val="single" w:sz="4" w:space="0" w:color="auto"/>
              <w:right w:val="nil"/>
            </w:tcBorders>
          </w:tcPr>
          <w:p w14:paraId="61DF8391" w14:textId="77777777" w:rsidR="006531B8" w:rsidRDefault="006531B8">
            <w:pPr>
              <w:pStyle w:val="TableTextLeft"/>
              <w:keepNext/>
            </w:pPr>
            <w:r w:rsidRPr="00682F99">
              <w:t>Total</w:t>
            </w:r>
          </w:p>
        </w:tc>
        <w:tc>
          <w:tcPr>
            <w:tcW w:w="1521" w:type="dxa"/>
            <w:tcBorders>
              <w:top w:val="single" w:sz="4" w:space="0" w:color="auto"/>
              <w:left w:val="nil"/>
              <w:bottom w:val="single" w:sz="4" w:space="0" w:color="auto"/>
              <w:right w:val="nil"/>
            </w:tcBorders>
          </w:tcPr>
          <w:p w14:paraId="56C74045" w14:textId="77777777" w:rsidR="006531B8" w:rsidRDefault="006531B8">
            <w:pPr>
              <w:pStyle w:val="TableTextRight"/>
            </w:pPr>
            <w:r>
              <w:t>37,150</w:t>
            </w:r>
          </w:p>
        </w:tc>
        <w:tc>
          <w:tcPr>
            <w:tcW w:w="1480" w:type="dxa"/>
            <w:tcBorders>
              <w:top w:val="single" w:sz="4" w:space="0" w:color="auto"/>
              <w:left w:val="nil"/>
              <w:bottom w:val="single" w:sz="4" w:space="0" w:color="auto"/>
              <w:right w:val="nil"/>
            </w:tcBorders>
          </w:tcPr>
          <w:p w14:paraId="34F974CD" w14:textId="77777777" w:rsidR="006531B8" w:rsidRDefault="006531B8">
            <w:pPr>
              <w:pStyle w:val="TableTextRight"/>
            </w:pPr>
            <w:r w:rsidRPr="008553FF">
              <w:t>3,</w:t>
            </w:r>
            <w:r>
              <w:t>070</w:t>
            </w:r>
          </w:p>
        </w:tc>
        <w:tc>
          <w:tcPr>
            <w:tcW w:w="1459" w:type="dxa"/>
            <w:tcBorders>
              <w:top w:val="single" w:sz="4" w:space="0" w:color="auto"/>
              <w:left w:val="nil"/>
              <w:bottom w:val="single" w:sz="4" w:space="0" w:color="auto"/>
              <w:right w:val="nil"/>
            </w:tcBorders>
          </w:tcPr>
          <w:p w14:paraId="6102BF3A" w14:textId="77777777" w:rsidR="006531B8" w:rsidRDefault="006531B8">
            <w:pPr>
              <w:pStyle w:val="TableTextRight"/>
            </w:pPr>
            <w:r w:rsidRPr="008553FF">
              <w:t>1.</w:t>
            </w:r>
            <w:r>
              <w:t>8</w:t>
            </w:r>
          </w:p>
        </w:tc>
        <w:tc>
          <w:tcPr>
            <w:tcW w:w="1615" w:type="dxa"/>
            <w:tcBorders>
              <w:top w:val="single" w:sz="4" w:space="0" w:color="auto"/>
              <w:left w:val="nil"/>
              <w:bottom w:val="single" w:sz="4" w:space="0" w:color="auto"/>
              <w:right w:val="nil"/>
            </w:tcBorders>
          </w:tcPr>
          <w:p w14:paraId="416EFD58" w14:textId="77777777" w:rsidR="006531B8" w:rsidRDefault="006531B8">
            <w:pPr>
              <w:pStyle w:val="TableTextRight"/>
            </w:pPr>
            <w:r w:rsidRPr="008553FF">
              <w:t>100</w:t>
            </w:r>
          </w:p>
        </w:tc>
      </w:tr>
    </w:tbl>
    <w:p w14:paraId="6612934A" w14:textId="4FF4CB11" w:rsidR="006531B8" w:rsidRDefault="006531B8" w:rsidP="00DA5386">
      <w:pPr>
        <w:pStyle w:val="ChartandTableFootnote"/>
        <w:spacing w:line="276" w:lineRule="auto"/>
      </w:pPr>
      <w:r>
        <w:t>*</w:t>
      </w:r>
      <w:r w:rsidRPr="00CB34A6">
        <w:t xml:space="preserve"> </w:t>
      </w:r>
      <w:r>
        <w:t>Totals may not sum due to rounding.</w:t>
      </w:r>
    </w:p>
    <w:p w14:paraId="285BA5B7" w14:textId="77777777" w:rsidR="00B14A4C" w:rsidRDefault="00B14A4C" w:rsidP="00DA5386">
      <w:pPr>
        <w:pStyle w:val="ChartandTableFootnote"/>
        <w:spacing w:line="276" w:lineRule="auto"/>
      </w:pPr>
    </w:p>
    <w:p w14:paraId="0CAA96F0" w14:textId="3812B6FD" w:rsidR="006531B8" w:rsidRPr="00B020C1" w:rsidRDefault="003D3223" w:rsidP="00D96720">
      <w:pPr>
        <w:pStyle w:val="ChartHeading"/>
        <w:rPr>
          <w:bCs/>
        </w:rPr>
      </w:pPr>
      <w:r>
        <w:t>Chart 2</w:t>
      </w:r>
      <w:r w:rsidR="00A05340">
        <w:t>.31</w:t>
      </w:r>
      <w:r w:rsidR="006531B8" w:rsidRPr="005C22A4">
        <w:rPr>
          <w:bCs/>
        </w:rPr>
        <w:t xml:space="preserve"> </w:t>
      </w:r>
      <w:r w:rsidR="006531B8" w:rsidRPr="001502FD">
        <w:rPr>
          <w:bCs/>
        </w:rPr>
        <w:t>Share of trust</w:t>
      </w:r>
      <w:r w:rsidR="006531B8">
        <w:rPr>
          <w:bCs/>
        </w:rPr>
        <w:t xml:space="preserve"> </w:t>
      </w:r>
      <w:r w:rsidR="006531B8" w:rsidRPr="001502FD">
        <w:rPr>
          <w:bCs/>
        </w:rPr>
        <w:t xml:space="preserve">distributions by age, </w:t>
      </w:r>
      <w:r w:rsidR="006531B8">
        <w:rPr>
          <w:bCs/>
        </w:rPr>
        <w:t>2021</w:t>
      </w:r>
      <w:r w:rsidR="003C3D89">
        <w:rPr>
          <w:bCs/>
        </w:rPr>
        <w:t>–2</w:t>
      </w:r>
      <w:r w:rsidR="006531B8">
        <w:rPr>
          <w:bCs/>
        </w:rPr>
        <w:t>2</w:t>
      </w:r>
    </w:p>
    <w:p w14:paraId="29B9E403" w14:textId="5707B788" w:rsidR="00273596" w:rsidRDefault="004F49FD" w:rsidP="00DF3535">
      <w:pPr>
        <w:pStyle w:val="ChartGraphic"/>
      </w:pPr>
      <w:r>
        <w:object w:dxaOrig="7366" w:dyaOrig="4531" w14:anchorId="6D401DD5">
          <v:shape id="_x0000_i1055" type="#_x0000_t75" alt="Bar chart showing the share of trust income and number of trust income recipients generally rises with age with a peak at the 50-54 bracket, before declining in older ages." style="width:370.5pt;height:216.75pt" o:ole="">
            <v:imagedata r:id="rId91" o:title=""/>
          </v:shape>
          <o:OLEObject Type="Link" ProgID="Excel.Sheet.12" ShapeID="_x0000_i1055" DrawAspect="Content" r:id="rId92" UpdateMode="Always">
            <o:LinkType>EnhancedMetaFile</o:LinkType>
            <o:LockedField/>
          </o:OLEObject>
        </w:object>
      </w:r>
    </w:p>
    <w:p w14:paraId="56FA5DB9" w14:textId="0E8371E9" w:rsidR="00273596" w:rsidRPr="0018413D" w:rsidRDefault="00C413D8" w:rsidP="00D96720">
      <w:pPr>
        <w:pStyle w:val="ChartandTableFootnote"/>
      </w:pPr>
      <w:r w:rsidRPr="00CB34A6">
        <w:t>Source: Treasury</w:t>
      </w:r>
    </w:p>
    <w:p w14:paraId="13442630" w14:textId="77777777" w:rsidR="00C77FAC" w:rsidRDefault="00C77FAC">
      <w:pPr>
        <w:spacing w:after="0" w:line="240" w:lineRule="auto"/>
        <w:jc w:val="left"/>
      </w:pPr>
      <w:r>
        <w:br w:type="page"/>
      </w:r>
    </w:p>
    <w:p w14:paraId="38993685" w14:textId="254DE36D" w:rsidR="00014432" w:rsidRDefault="006531B8" w:rsidP="00CF6E19">
      <w:pPr>
        <w:spacing w:before="120" w:after="120" w:line="240" w:lineRule="auto"/>
        <w:jc w:val="left"/>
      </w:pPr>
      <w:r w:rsidRPr="00CF6E19">
        <w:t>Trust distributions are concentrated amongst the working age population, both by number of individuals reporting trust income and the share of trust income reported (</w:t>
      </w:r>
      <w:r w:rsidR="003D3223">
        <w:t>Chart 2</w:t>
      </w:r>
      <w:r w:rsidR="00A05340" w:rsidRPr="00CF6E19">
        <w:t>.31</w:t>
      </w:r>
      <w:r w:rsidRPr="00CF6E19">
        <w:t>). Around 47 per cent of those reporting income from trusts in 2021</w:t>
      </w:r>
      <w:r w:rsidR="003C3D89">
        <w:t>–2</w:t>
      </w:r>
      <w:r w:rsidRPr="00CF6E19">
        <w:t>2 were aged between 35 and 59 years old – this cohort accounted for 58 per cent of all trust income reported by individuals filing a tax return.</w:t>
      </w:r>
    </w:p>
    <w:p w14:paraId="3DA9F5BA" w14:textId="77777777" w:rsidR="00014432" w:rsidRDefault="00014432">
      <w:pPr>
        <w:spacing w:after="0" w:line="240" w:lineRule="auto"/>
        <w:jc w:val="left"/>
      </w:pPr>
      <w:r>
        <w:br w:type="page"/>
      </w:r>
    </w:p>
    <w:p w14:paraId="1124A38C" w14:textId="1B79EE87" w:rsidR="008E6CE8" w:rsidRDefault="008E6CE8" w:rsidP="00FA7A7A">
      <w:pPr>
        <w:pStyle w:val="Heading2"/>
        <w:numPr>
          <w:ilvl w:val="1"/>
          <w:numId w:val="51"/>
        </w:numPr>
      </w:pPr>
      <w:bookmarkStart w:id="65" w:name="_Toc184287663"/>
      <w:r>
        <w:t>Franking credits received by individuals</w:t>
      </w:r>
      <w:bookmarkEnd w:id="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tblGrid>
      <w:tr w:rsidR="008E6CE8" w14:paraId="3C45AA4C" w14:textId="77777777">
        <w:trPr>
          <w:trHeight w:val="3322"/>
        </w:trPr>
        <w:tc>
          <w:tcPr>
            <w:tcW w:w="8755" w:type="dxa"/>
            <w:shd w:val="clear" w:color="auto" w:fill="DEEAF6"/>
          </w:tcPr>
          <w:p w14:paraId="45A2DAFF" w14:textId="77777777" w:rsidR="008E6CE8" w:rsidRPr="00CF6E19" w:rsidRDefault="008E6CE8" w:rsidP="00CF6E19">
            <w:pPr>
              <w:spacing w:before="120" w:after="120" w:line="240" w:lineRule="auto"/>
            </w:pPr>
            <w:r w:rsidRPr="00CF6E19">
              <w:t xml:space="preserve">Australian companies generally pay income tax on their profits before distributing some of these profits to their shareholders as dividends. These distributions can include a credit (referred to as a franking credit) for the tax already paid by the company. Individuals receiving franked dividends include the dividend amount and the attached franking credit in their assessable income but have their tax reduced by a franking tax offset equivalent to the franking credit. Excess franking credit tax offset amounts are refunded, after any income tax and Medicare levy liabilities have been met. </w:t>
            </w:r>
          </w:p>
          <w:p w14:paraId="13B837C4" w14:textId="77777777" w:rsidR="008E6CE8" w:rsidRPr="00CF6E19" w:rsidRDefault="008E6CE8" w:rsidP="00CF6E19">
            <w:pPr>
              <w:spacing w:before="120" w:after="120" w:line="240" w:lineRule="auto"/>
            </w:pPr>
            <w:r w:rsidRPr="00CF6E19">
              <w:t xml:space="preserve">These arrangements, known as dividend imputation, prevent the double taxation of company profits distributed to resident shareholders, consistent with the income tax benchmark. </w:t>
            </w:r>
          </w:p>
          <w:p w14:paraId="1D40067D" w14:textId="114FBA02" w:rsidR="008E6CE8" w:rsidRDefault="008E6CE8" w:rsidP="00CF6E19">
            <w:pPr>
              <w:spacing w:before="120" w:after="120" w:line="240" w:lineRule="auto"/>
            </w:pPr>
            <w:r w:rsidRPr="00CF6E19">
              <w:t>In 2021</w:t>
            </w:r>
            <w:r w:rsidR="003C3D89">
              <w:t>–2</w:t>
            </w:r>
            <w:r w:rsidRPr="00CF6E19">
              <w:t>2, $112.3 billion of franking credits were distributed by Australian companies. $22.6 billion of these were claimed by 3.3 million residents on their individual tax returns that year. The remainder went to other local entities including other companies, superannuation funds and charities, or overseas.</w:t>
            </w:r>
            <w:r w:rsidRPr="00CF6E19">
              <w:rPr>
                <w:rStyle w:val="FootnoteReference"/>
              </w:rPr>
              <w:footnoteReference w:id="15"/>
            </w:r>
            <w:r w:rsidRPr="00CF6E19">
              <w:t xml:space="preserve">  </w:t>
            </w:r>
          </w:p>
        </w:tc>
      </w:tr>
    </w:tbl>
    <w:p w14:paraId="57A30AFC" w14:textId="60C6546A" w:rsidR="008E6CE8" w:rsidRPr="00CF6E19" w:rsidRDefault="008E6CE8" w:rsidP="00CF6E19">
      <w:pPr>
        <w:spacing w:before="120" w:after="120" w:line="240" w:lineRule="auto"/>
      </w:pPr>
      <w:r w:rsidRPr="00CF6E19">
        <w:t>Of the $22.6 billion in franking credits claimed by individuals in 2021</w:t>
      </w:r>
      <w:r w:rsidR="003C3D89">
        <w:t>–2</w:t>
      </w:r>
      <w:r w:rsidRPr="00CF6E19">
        <w:t>2, $13.4 billion was received directly, with the remainder coming indirectly via one or more partnerships or trusts.</w:t>
      </w:r>
      <w:r w:rsidRPr="00CF6E19">
        <w:rPr>
          <w:rStyle w:val="FootnoteReference"/>
        </w:rPr>
        <w:footnoteReference w:id="16"/>
      </w:r>
    </w:p>
    <w:p w14:paraId="24E95C89" w14:textId="77777777" w:rsidR="008E6CE8" w:rsidRDefault="008E6CE8" w:rsidP="008E6CE8">
      <w:pPr>
        <w:spacing w:after="0" w:line="240" w:lineRule="auto"/>
        <w:jc w:val="left"/>
        <w:rPr>
          <w:rFonts w:ascii="Arial" w:hAnsi="Arial" w:cs="Arial"/>
          <w:b/>
          <w:bCs/>
        </w:rPr>
      </w:pPr>
      <w:r>
        <w:rPr>
          <w:rFonts w:ascii="Arial" w:hAnsi="Arial" w:cs="Arial"/>
          <w:b/>
          <w:bCs/>
        </w:rPr>
        <w:br w:type="page"/>
      </w:r>
    </w:p>
    <w:p w14:paraId="278FB855" w14:textId="6E454CD4" w:rsidR="008E6CE8" w:rsidRPr="00C87D5C" w:rsidRDefault="003D3223" w:rsidP="00D96720">
      <w:pPr>
        <w:pStyle w:val="ChartHeading"/>
      </w:pPr>
      <w:r>
        <w:t>Chart 2</w:t>
      </w:r>
      <w:r w:rsidR="00A05340">
        <w:t>.32</w:t>
      </w:r>
      <w:r w:rsidR="008E6CE8" w:rsidRPr="005C22A4">
        <w:t xml:space="preserve"> </w:t>
      </w:r>
      <w:r w:rsidR="008E6CE8">
        <w:t>Franking credits received by taxable income decile, 2021</w:t>
      </w:r>
      <w:r w:rsidR="003C3D89">
        <w:t>–2</w:t>
      </w:r>
      <w:r w:rsidR="008E6CE8">
        <w:t>2</w:t>
      </w:r>
    </w:p>
    <w:p w14:paraId="29017C13" w14:textId="160FA0BA" w:rsidR="00AC1CCE" w:rsidRDefault="004F49FD" w:rsidP="00611EEF">
      <w:pPr>
        <w:pStyle w:val="ChartGraphic"/>
      </w:pPr>
      <w:r>
        <w:object w:dxaOrig="7366" w:dyaOrig="4531" w14:anchorId="44FF2459">
          <v:shape id="_x0000_i1056" type="#_x0000_t75" alt="Bar chart showing the distribution of franking credits is highly concentrated with the highest income decile receiving around 71 per cent of franking credits." style="width:370.5pt;height:225.75pt" o:ole="">
            <v:imagedata r:id="rId93" o:title=""/>
          </v:shape>
          <o:OLEObject Type="Link" ProgID="Excel.Sheet.12" ShapeID="_x0000_i1056" DrawAspect="Content" r:id="rId94" UpdateMode="Always">
            <o:LinkType>EnhancedMetaFile</o:LinkType>
            <o:LockedField/>
          </o:OLEObject>
        </w:object>
      </w:r>
    </w:p>
    <w:p w14:paraId="4F9F5012" w14:textId="77777777" w:rsidR="008E6CE8" w:rsidRPr="00F702DE" w:rsidRDefault="008E6CE8" w:rsidP="00D96720">
      <w:pPr>
        <w:pStyle w:val="ChartandTableFootnote"/>
      </w:pPr>
      <w:r w:rsidRPr="00CB34A6">
        <w:t>Source: Treasury</w:t>
      </w:r>
    </w:p>
    <w:p w14:paraId="2DCFAF69" w14:textId="0CF9A2B0" w:rsidR="008E6CE8" w:rsidRPr="00CF6E19" w:rsidRDefault="008E6CE8" w:rsidP="00CF6E19">
      <w:pPr>
        <w:spacing w:before="120" w:after="120" w:line="240" w:lineRule="auto"/>
      </w:pPr>
      <w:r w:rsidRPr="00CF6E19">
        <w:t>Close to 90 per cent of this $22.6 billion in franking credits was received by people with above median taxable income, including 71 per cent by people in the top income decile (</w:t>
      </w:r>
      <w:r w:rsidR="003D3223">
        <w:t>Chart 2</w:t>
      </w:r>
      <w:r w:rsidR="00A05340" w:rsidRPr="00CF6E19">
        <w:t>.32</w:t>
      </w:r>
      <w:r w:rsidRPr="00CF6E19">
        <w:t xml:space="preserve">). Around one-in-five of people receiving franking credits were in the top income decile. They received an average of $23,800 of franking credits. </w:t>
      </w:r>
    </w:p>
    <w:p w14:paraId="13892610" w14:textId="525DF84C" w:rsidR="008E6CE8" w:rsidRPr="00CF6E19" w:rsidRDefault="008E6CE8" w:rsidP="00CF6E19">
      <w:pPr>
        <w:spacing w:before="120" w:after="120" w:line="240" w:lineRule="auto"/>
      </w:pPr>
      <w:r w:rsidRPr="00CF6E19">
        <w:t>A similar number of men and women received franking credits in 2021</w:t>
      </w:r>
      <w:r w:rsidR="003C3D89">
        <w:t>–2</w:t>
      </w:r>
      <w:r w:rsidRPr="00CF6E19">
        <w:t>2, with men receiving a higher amount on average (</w:t>
      </w:r>
      <w:r w:rsidR="003D3223">
        <w:t>Table 2</w:t>
      </w:r>
      <w:r w:rsidR="00512700" w:rsidRPr="00CF6E19">
        <w:t>.30</w:t>
      </w:r>
      <w:r w:rsidRPr="00CF6E19">
        <w:t>). Overall, men received around 54</w:t>
      </w:r>
      <w:r w:rsidR="001F4DEB">
        <w:t> </w:t>
      </w:r>
      <w:r w:rsidRPr="00CF6E19">
        <w:t>per</w:t>
      </w:r>
      <w:r w:rsidR="001F4DEB">
        <w:t> </w:t>
      </w:r>
      <w:r w:rsidRPr="00CF6E19">
        <w:t xml:space="preserve">cent of the franking credits flowing to resident individuals. </w:t>
      </w:r>
    </w:p>
    <w:p w14:paraId="0F860244" w14:textId="21555D61" w:rsidR="008E6CE8" w:rsidRPr="00674001" w:rsidRDefault="003D3223" w:rsidP="00D96720">
      <w:pPr>
        <w:pStyle w:val="TableHeading"/>
      </w:pPr>
      <w:r>
        <w:t>Table 2</w:t>
      </w:r>
      <w:r w:rsidR="00512700">
        <w:t>.30</w:t>
      </w:r>
      <w:r w:rsidR="008E6CE8" w:rsidRPr="00674001">
        <w:t xml:space="preserve"> Distributional effect by gender 20</w:t>
      </w:r>
      <w:r w:rsidR="008E6CE8">
        <w:t>21</w:t>
      </w:r>
      <w:r w:rsidR="003C3D89">
        <w:t>–2</w:t>
      </w:r>
      <w:r w:rsidR="008E6CE8">
        <w:t>2*</w:t>
      </w:r>
    </w:p>
    <w:tbl>
      <w:tblPr>
        <w:tblStyle w:val="TableGrid"/>
        <w:tblW w:w="771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361"/>
        <w:gridCol w:w="1984"/>
        <w:gridCol w:w="2098"/>
        <w:gridCol w:w="2268"/>
      </w:tblGrid>
      <w:tr w:rsidR="008E6CE8" w14:paraId="604782E8" w14:textId="77777777" w:rsidTr="00173B4F">
        <w:trPr>
          <w:trHeight w:val="307"/>
          <w:jc w:val="center"/>
        </w:trPr>
        <w:tc>
          <w:tcPr>
            <w:tcW w:w="1361" w:type="dxa"/>
            <w:tcBorders>
              <w:bottom w:val="single" w:sz="4" w:space="0" w:color="auto"/>
            </w:tcBorders>
            <w:vAlign w:val="center"/>
          </w:tcPr>
          <w:p w14:paraId="2311A500" w14:textId="77777777" w:rsidR="008E6CE8" w:rsidRPr="00301F8A" w:rsidRDefault="008E6CE8" w:rsidP="00B14A4C">
            <w:pPr>
              <w:pStyle w:val="TableTextLeft"/>
            </w:pPr>
            <w:r w:rsidRPr="00B14A4C">
              <w:rPr>
                <w:b/>
                <w:bCs/>
              </w:rPr>
              <w:t>Gender</w:t>
            </w:r>
          </w:p>
        </w:tc>
        <w:tc>
          <w:tcPr>
            <w:tcW w:w="1984" w:type="dxa"/>
            <w:tcBorders>
              <w:bottom w:val="single" w:sz="4" w:space="0" w:color="auto"/>
            </w:tcBorders>
            <w:vAlign w:val="center"/>
          </w:tcPr>
          <w:p w14:paraId="76F3B09C" w14:textId="77777777" w:rsidR="008E6CE8" w:rsidRPr="00B14A4C" w:rsidRDefault="008E6CE8" w:rsidP="00B14A4C">
            <w:pPr>
              <w:pStyle w:val="TableTextRight"/>
              <w:rPr>
                <w:b/>
                <w:bCs/>
              </w:rPr>
            </w:pPr>
            <w:r w:rsidRPr="00B14A4C">
              <w:rPr>
                <w:b/>
                <w:bCs/>
              </w:rPr>
              <w:t>Average franking credit amount ($)</w:t>
            </w:r>
          </w:p>
        </w:tc>
        <w:tc>
          <w:tcPr>
            <w:tcW w:w="2098" w:type="dxa"/>
            <w:tcBorders>
              <w:bottom w:val="single" w:sz="4" w:space="0" w:color="auto"/>
            </w:tcBorders>
            <w:vAlign w:val="center"/>
          </w:tcPr>
          <w:p w14:paraId="7DCB590A" w14:textId="77777777" w:rsidR="008E6CE8" w:rsidRPr="00B14A4C" w:rsidRDefault="008E6CE8" w:rsidP="00B14A4C">
            <w:pPr>
              <w:pStyle w:val="TableTextRight"/>
              <w:rPr>
                <w:b/>
                <w:bCs/>
              </w:rPr>
            </w:pPr>
            <w:r w:rsidRPr="00B14A4C">
              <w:rPr>
                <w:b/>
                <w:bCs/>
              </w:rPr>
              <w:t>Recipients (million)</w:t>
            </w:r>
          </w:p>
        </w:tc>
        <w:tc>
          <w:tcPr>
            <w:tcW w:w="2268" w:type="dxa"/>
            <w:tcBorders>
              <w:bottom w:val="single" w:sz="4" w:space="0" w:color="auto"/>
            </w:tcBorders>
            <w:vAlign w:val="center"/>
          </w:tcPr>
          <w:p w14:paraId="7D23C4F2" w14:textId="77777777" w:rsidR="008E6CE8" w:rsidRPr="00B14A4C" w:rsidRDefault="008E6CE8" w:rsidP="00B14A4C">
            <w:pPr>
              <w:pStyle w:val="TableTextRight"/>
              <w:rPr>
                <w:b/>
                <w:bCs/>
              </w:rPr>
            </w:pPr>
            <w:r w:rsidRPr="00B14A4C">
              <w:rPr>
                <w:b/>
                <w:bCs/>
              </w:rPr>
              <w:t>Share of total credits received (%)</w:t>
            </w:r>
          </w:p>
        </w:tc>
      </w:tr>
      <w:tr w:rsidR="008E6CE8" w14:paraId="7E498A8B" w14:textId="77777777" w:rsidTr="00741441">
        <w:trPr>
          <w:trHeight w:val="227"/>
          <w:jc w:val="center"/>
        </w:trPr>
        <w:tc>
          <w:tcPr>
            <w:tcW w:w="1361" w:type="dxa"/>
            <w:tcBorders>
              <w:top w:val="single" w:sz="4" w:space="0" w:color="auto"/>
              <w:bottom w:val="nil"/>
            </w:tcBorders>
          </w:tcPr>
          <w:p w14:paraId="3275D606" w14:textId="77777777" w:rsidR="008E6CE8" w:rsidRPr="00301F8A" w:rsidRDefault="008E6CE8" w:rsidP="00B14A4C">
            <w:pPr>
              <w:pStyle w:val="TableTextLeft"/>
            </w:pPr>
            <w:r w:rsidRPr="00301F8A">
              <w:t>Men</w:t>
            </w:r>
          </w:p>
        </w:tc>
        <w:tc>
          <w:tcPr>
            <w:tcW w:w="1984" w:type="dxa"/>
            <w:tcBorders>
              <w:top w:val="single" w:sz="4" w:space="0" w:color="auto"/>
              <w:bottom w:val="nil"/>
            </w:tcBorders>
          </w:tcPr>
          <w:p w14:paraId="6DA0728D" w14:textId="77777777" w:rsidR="008E6CE8" w:rsidRPr="00301F8A" w:rsidRDefault="008E6CE8" w:rsidP="00B14A4C">
            <w:pPr>
              <w:pStyle w:val="TableTextRight"/>
            </w:pPr>
            <w:r w:rsidRPr="00301F8A">
              <w:t>7,250</w:t>
            </w:r>
          </w:p>
        </w:tc>
        <w:tc>
          <w:tcPr>
            <w:tcW w:w="2098" w:type="dxa"/>
            <w:tcBorders>
              <w:top w:val="single" w:sz="4" w:space="0" w:color="auto"/>
              <w:bottom w:val="nil"/>
            </w:tcBorders>
          </w:tcPr>
          <w:p w14:paraId="3F578B47" w14:textId="77777777" w:rsidR="008E6CE8" w:rsidRPr="00301F8A" w:rsidRDefault="008E6CE8" w:rsidP="00B14A4C">
            <w:pPr>
              <w:pStyle w:val="TableTextRight"/>
            </w:pPr>
            <w:r w:rsidRPr="00301F8A">
              <w:t>1.7</w:t>
            </w:r>
          </w:p>
        </w:tc>
        <w:tc>
          <w:tcPr>
            <w:tcW w:w="2268" w:type="dxa"/>
            <w:tcBorders>
              <w:top w:val="single" w:sz="4" w:space="0" w:color="auto"/>
              <w:bottom w:val="nil"/>
            </w:tcBorders>
          </w:tcPr>
          <w:p w14:paraId="1C86E69B" w14:textId="77777777" w:rsidR="008E6CE8" w:rsidRPr="00301F8A" w:rsidRDefault="008E6CE8" w:rsidP="00B14A4C">
            <w:pPr>
              <w:pStyle w:val="TableTextRight"/>
            </w:pPr>
            <w:r w:rsidRPr="00301F8A">
              <w:t>54</w:t>
            </w:r>
          </w:p>
        </w:tc>
      </w:tr>
      <w:tr w:rsidR="008E6CE8" w14:paraId="23E6F6DC" w14:textId="77777777" w:rsidTr="00741441">
        <w:trPr>
          <w:trHeight w:val="227"/>
          <w:jc w:val="center"/>
        </w:trPr>
        <w:tc>
          <w:tcPr>
            <w:tcW w:w="1361" w:type="dxa"/>
            <w:tcBorders>
              <w:top w:val="nil"/>
              <w:bottom w:val="single" w:sz="4" w:space="0" w:color="auto"/>
            </w:tcBorders>
          </w:tcPr>
          <w:p w14:paraId="6654E636" w14:textId="77777777" w:rsidR="008E6CE8" w:rsidRPr="00301F8A" w:rsidRDefault="008E6CE8" w:rsidP="00B14A4C">
            <w:pPr>
              <w:pStyle w:val="TableTextLeft"/>
            </w:pPr>
            <w:r w:rsidRPr="00301F8A">
              <w:t>Women</w:t>
            </w:r>
          </w:p>
        </w:tc>
        <w:tc>
          <w:tcPr>
            <w:tcW w:w="1984" w:type="dxa"/>
            <w:tcBorders>
              <w:top w:val="nil"/>
              <w:bottom w:val="single" w:sz="4" w:space="0" w:color="auto"/>
            </w:tcBorders>
          </w:tcPr>
          <w:p w14:paraId="62109F39" w14:textId="77777777" w:rsidR="008E6CE8" w:rsidRPr="00301F8A" w:rsidRDefault="008E6CE8" w:rsidP="00B14A4C">
            <w:pPr>
              <w:pStyle w:val="TableTextRight"/>
            </w:pPr>
            <w:r w:rsidRPr="00301F8A">
              <w:t>6,260</w:t>
            </w:r>
          </w:p>
        </w:tc>
        <w:tc>
          <w:tcPr>
            <w:tcW w:w="2098" w:type="dxa"/>
            <w:tcBorders>
              <w:top w:val="nil"/>
              <w:bottom w:val="single" w:sz="4" w:space="0" w:color="auto"/>
            </w:tcBorders>
          </w:tcPr>
          <w:p w14:paraId="32B94658" w14:textId="77777777" w:rsidR="008E6CE8" w:rsidRPr="00301F8A" w:rsidRDefault="008E6CE8" w:rsidP="00B14A4C">
            <w:pPr>
              <w:pStyle w:val="TableTextRight"/>
            </w:pPr>
            <w:r w:rsidRPr="00301F8A">
              <w:t>1.7</w:t>
            </w:r>
          </w:p>
        </w:tc>
        <w:tc>
          <w:tcPr>
            <w:tcW w:w="2268" w:type="dxa"/>
            <w:tcBorders>
              <w:top w:val="nil"/>
              <w:bottom w:val="single" w:sz="4" w:space="0" w:color="auto"/>
            </w:tcBorders>
          </w:tcPr>
          <w:p w14:paraId="08CC6262" w14:textId="77777777" w:rsidR="008E6CE8" w:rsidRPr="00301F8A" w:rsidRDefault="008E6CE8" w:rsidP="00B14A4C">
            <w:pPr>
              <w:pStyle w:val="TableTextRight"/>
            </w:pPr>
            <w:r w:rsidRPr="00301F8A">
              <w:t>46</w:t>
            </w:r>
          </w:p>
        </w:tc>
      </w:tr>
      <w:tr w:rsidR="008E6CE8" w14:paraId="370C1338" w14:textId="77777777" w:rsidTr="00DA5386">
        <w:trPr>
          <w:trHeight w:val="227"/>
          <w:jc w:val="center"/>
        </w:trPr>
        <w:tc>
          <w:tcPr>
            <w:tcW w:w="1361" w:type="dxa"/>
            <w:tcBorders>
              <w:top w:val="single" w:sz="4" w:space="0" w:color="auto"/>
              <w:bottom w:val="single" w:sz="4" w:space="0" w:color="auto"/>
            </w:tcBorders>
          </w:tcPr>
          <w:p w14:paraId="6E9924AB" w14:textId="77777777" w:rsidR="008E6CE8" w:rsidRPr="00301F8A" w:rsidRDefault="008E6CE8" w:rsidP="00B14A4C">
            <w:pPr>
              <w:pStyle w:val="TableTextLeft"/>
            </w:pPr>
            <w:r w:rsidRPr="00301F8A">
              <w:t>Total</w:t>
            </w:r>
          </w:p>
        </w:tc>
        <w:tc>
          <w:tcPr>
            <w:tcW w:w="1984" w:type="dxa"/>
            <w:tcBorders>
              <w:top w:val="single" w:sz="4" w:space="0" w:color="auto"/>
              <w:bottom w:val="single" w:sz="4" w:space="0" w:color="auto"/>
            </w:tcBorders>
          </w:tcPr>
          <w:p w14:paraId="0420B0A8" w14:textId="77777777" w:rsidR="008E6CE8" w:rsidRPr="00301F8A" w:rsidRDefault="008E6CE8" w:rsidP="00B14A4C">
            <w:pPr>
              <w:pStyle w:val="TableTextRight"/>
            </w:pPr>
            <w:r w:rsidRPr="00301F8A">
              <w:t>6,760</w:t>
            </w:r>
          </w:p>
        </w:tc>
        <w:tc>
          <w:tcPr>
            <w:tcW w:w="2098" w:type="dxa"/>
            <w:tcBorders>
              <w:top w:val="single" w:sz="4" w:space="0" w:color="auto"/>
              <w:bottom w:val="single" w:sz="4" w:space="0" w:color="auto"/>
            </w:tcBorders>
          </w:tcPr>
          <w:p w14:paraId="7525CC4F" w14:textId="77777777" w:rsidR="008E6CE8" w:rsidRPr="00301F8A" w:rsidRDefault="008E6CE8" w:rsidP="00B14A4C">
            <w:pPr>
              <w:pStyle w:val="TableTextRight"/>
            </w:pPr>
            <w:r w:rsidRPr="00301F8A">
              <w:t>3.3</w:t>
            </w:r>
          </w:p>
        </w:tc>
        <w:tc>
          <w:tcPr>
            <w:tcW w:w="2268" w:type="dxa"/>
            <w:tcBorders>
              <w:top w:val="single" w:sz="4" w:space="0" w:color="auto"/>
              <w:bottom w:val="single" w:sz="4" w:space="0" w:color="auto"/>
            </w:tcBorders>
          </w:tcPr>
          <w:p w14:paraId="461BE424" w14:textId="77777777" w:rsidR="008E6CE8" w:rsidRPr="00301F8A" w:rsidRDefault="008E6CE8" w:rsidP="00B14A4C">
            <w:pPr>
              <w:pStyle w:val="TableTextRight"/>
            </w:pPr>
            <w:r w:rsidRPr="00301F8A">
              <w:t>100</w:t>
            </w:r>
          </w:p>
        </w:tc>
      </w:tr>
    </w:tbl>
    <w:p w14:paraId="4D599189" w14:textId="5088BB1F" w:rsidR="00173B4F" w:rsidRDefault="00173B4F" w:rsidP="00DA5386">
      <w:pPr>
        <w:pStyle w:val="ChartandTableFootnote"/>
        <w:spacing w:line="276" w:lineRule="auto"/>
      </w:pPr>
      <w:r w:rsidRPr="00173B4F">
        <w:t>* Totals may not sum due to rounding.</w:t>
      </w:r>
    </w:p>
    <w:p w14:paraId="1F89AD83" w14:textId="1E05E0D7" w:rsidR="00CC3F5B" w:rsidRPr="00CF6E19" w:rsidRDefault="00CC3F5B" w:rsidP="00CC3F5B">
      <w:pPr>
        <w:spacing w:before="120" w:after="120" w:line="240" w:lineRule="auto"/>
      </w:pPr>
      <w:r w:rsidRPr="00CF6E19">
        <w:t>Those aged 50 and over received 74 per cent of the credits received by individuals with the cohort aged 75 and over accounting for the largest number of individual credit recipients (417,000), highest average amount received ($10,900), as well as the largest share of credits received in aggregate (20 per cent) (</w:t>
      </w:r>
      <w:r w:rsidR="003D3223">
        <w:t>Chart 2</w:t>
      </w:r>
      <w:r w:rsidRPr="00CF6E19">
        <w:t xml:space="preserve">.33). </w:t>
      </w:r>
    </w:p>
    <w:p w14:paraId="17A0668D" w14:textId="77777777" w:rsidR="00D96720" w:rsidRDefault="00D96720">
      <w:pPr>
        <w:spacing w:after="0" w:line="240" w:lineRule="auto"/>
        <w:jc w:val="left"/>
        <w:rPr>
          <w:sz w:val="16"/>
          <w:szCs w:val="16"/>
        </w:rPr>
      </w:pPr>
      <w:r>
        <w:rPr>
          <w:sz w:val="16"/>
          <w:szCs w:val="16"/>
        </w:rPr>
        <w:br w:type="page"/>
      </w:r>
    </w:p>
    <w:p w14:paraId="0ED4D2AF" w14:textId="30250FDA" w:rsidR="008E6CE8" w:rsidRPr="0061321F" w:rsidRDefault="003D3223" w:rsidP="00D96720">
      <w:pPr>
        <w:pStyle w:val="ChartHeading"/>
      </w:pPr>
      <w:r>
        <w:t>Chart 2</w:t>
      </w:r>
      <w:r w:rsidR="00A05340">
        <w:t>.33</w:t>
      </w:r>
      <w:r w:rsidR="008E6CE8" w:rsidRPr="00CB34A6">
        <w:t xml:space="preserve"> </w:t>
      </w:r>
      <w:r w:rsidR="008E6CE8">
        <w:t>Franking credits received by age, 2021</w:t>
      </w:r>
      <w:r w:rsidR="003C3D89">
        <w:t>–2</w:t>
      </w:r>
      <w:r w:rsidR="008E6CE8">
        <w:t>2</w:t>
      </w:r>
    </w:p>
    <w:p w14:paraId="598C684D" w14:textId="530101BA" w:rsidR="008D3D3D" w:rsidRDefault="004F49FD" w:rsidP="00611EEF">
      <w:pPr>
        <w:pStyle w:val="ChartGraphic"/>
      </w:pPr>
      <w:r>
        <w:object w:dxaOrig="7366" w:dyaOrig="4531" w14:anchorId="6DE15ADD">
          <v:shape id="_x0000_i1057" type="#_x0000_t75" alt="Bar chart showing the share of franking credits and number of recipients generally increases with age up to the 50-54 bracket. Share of franking credits remains high in older ages with a peak in the cohort aged 75 and over." style="width:370.5pt;height:225.75pt" o:ole="">
            <v:imagedata r:id="rId95" o:title=""/>
          </v:shape>
          <o:OLEObject Type="Link" ProgID="Excel.Sheet.12" ShapeID="_x0000_i1057" DrawAspect="Content" r:id="rId96" UpdateMode="Always">
            <o:LinkType>EnhancedMetaFile</o:LinkType>
            <o:LockedField/>
          </o:OLEObject>
        </w:object>
      </w:r>
    </w:p>
    <w:p w14:paraId="5B2CE53A" w14:textId="77777777" w:rsidR="00372237" w:rsidRDefault="008E6CE8" w:rsidP="00D96720">
      <w:pPr>
        <w:pStyle w:val="ChartandTableFootnote"/>
        <w:sectPr w:rsidR="00372237" w:rsidSect="007D0910">
          <w:headerReference w:type="even" r:id="rId97"/>
          <w:headerReference w:type="default" r:id="rId98"/>
          <w:footerReference w:type="even" r:id="rId99"/>
          <w:footerReference w:type="default" r:id="rId100"/>
          <w:headerReference w:type="first" r:id="rId101"/>
          <w:footerReference w:type="first" r:id="rId102"/>
          <w:pgSz w:w="11907" w:h="16840" w:code="9"/>
          <w:pgMar w:top="2466" w:right="2098" w:bottom="2466" w:left="2098" w:header="1899" w:footer="1899" w:gutter="0"/>
          <w:cols w:space="720"/>
          <w:titlePg/>
          <w:docGrid w:linePitch="360"/>
        </w:sectPr>
      </w:pPr>
      <w:r w:rsidRPr="00CB34A6">
        <w:t>Source: Treasury</w:t>
      </w:r>
    </w:p>
    <w:p w14:paraId="64C662D0" w14:textId="33D55541" w:rsidR="00044D21" w:rsidRPr="00B14A4C" w:rsidRDefault="00044D21" w:rsidP="00372237">
      <w:pPr>
        <w:pStyle w:val="Heading1"/>
      </w:pPr>
      <w:bookmarkStart w:id="66" w:name="_Toc184287664"/>
      <w:r w:rsidRPr="00372237">
        <w:t>Appendix</w:t>
      </w:r>
      <w:bookmarkEnd w:id="66"/>
      <w:r w:rsidRPr="00B14A4C">
        <w:t xml:space="preserve"> </w:t>
      </w:r>
    </w:p>
    <w:p w14:paraId="29C9BE80" w14:textId="77777777" w:rsidR="00044D21" w:rsidRPr="00CF6E19" w:rsidRDefault="00044D21" w:rsidP="00CF6E19">
      <w:pPr>
        <w:spacing w:before="120" w:after="120" w:line="240" w:lineRule="auto"/>
      </w:pPr>
      <w:bookmarkStart w:id="67" w:name="_Toc441066993"/>
      <w:r w:rsidRPr="00CF6E19">
        <w:t xml:space="preserve">This appendix provides further detailed information about the estimates of tax expenditures and the benchmark tax treatments used in the Statement. </w:t>
      </w:r>
    </w:p>
    <w:p w14:paraId="3B9DEE6C" w14:textId="66DF23D8" w:rsidR="00044D21" w:rsidRPr="001174D8" w:rsidRDefault="006443EA" w:rsidP="0003254D">
      <w:pPr>
        <w:pStyle w:val="Heading2-notnumbered"/>
      </w:pPr>
      <w:bookmarkStart w:id="68" w:name="_Toc2041250446"/>
      <w:bookmarkStart w:id="69" w:name="_Toc2131563234"/>
      <w:bookmarkStart w:id="70" w:name="_Toc183832504"/>
      <w:bookmarkStart w:id="71" w:name="_Toc126933891"/>
      <w:bookmarkEnd w:id="67"/>
      <w:r>
        <w:t xml:space="preserve"> </w:t>
      </w:r>
      <w:bookmarkStart w:id="72" w:name="_Toc184287665"/>
      <w:r w:rsidR="00044D21" w:rsidRPr="001174D8">
        <w:t>A.1</w:t>
      </w:r>
      <w:r w:rsidR="00044D21" w:rsidRPr="001174D8">
        <w:tab/>
        <w:t>Revenue forgone estimates for all tax expenditures</w:t>
      </w:r>
      <w:bookmarkEnd w:id="68"/>
      <w:bookmarkEnd w:id="69"/>
      <w:bookmarkEnd w:id="70"/>
      <w:bookmarkEnd w:id="71"/>
      <w:bookmarkEnd w:id="72"/>
    </w:p>
    <w:p w14:paraId="34D0685F" w14:textId="77777777" w:rsidR="00044D21" w:rsidRPr="00CF6E19" w:rsidRDefault="00044D21" w:rsidP="00CF6E19">
      <w:pPr>
        <w:spacing w:before="120" w:after="120" w:line="240" w:lineRule="auto"/>
      </w:pPr>
      <w:r w:rsidRPr="00CF6E19">
        <w:t xml:space="preserve">Appendix A.1 contains disaggregated estimates of revenue forgone over the forward estimates period due to all identified tax expenditures, consistent with the requirements outlined in Section 16 of the </w:t>
      </w:r>
      <w:r w:rsidRPr="00C77FAC">
        <w:rPr>
          <w:rStyle w:val="Emphasis"/>
        </w:rPr>
        <w:t>Charter of Budget Honesty Act 1998</w:t>
      </w:r>
      <w:r w:rsidRPr="00CF6E19">
        <w:rPr>
          <w:i/>
          <w:iCs/>
        </w:rPr>
        <w:t xml:space="preserve">. </w:t>
      </w:r>
      <w:r w:rsidRPr="00CF6E19">
        <w:t xml:space="preserve">It also includes a description of the operation of the tax expenditure as well as legislative references and date of commencement. </w:t>
      </w:r>
    </w:p>
    <w:p w14:paraId="5CEAA4AB" w14:textId="68FA3A8F" w:rsidR="00CF6E19" w:rsidRPr="00CF6E19" w:rsidRDefault="00044D21" w:rsidP="00CF6E19">
      <w:pPr>
        <w:spacing w:before="120" w:after="120" w:line="240" w:lineRule="auto"/>
      </w:pPr>
      <w:r w:rsidRPr="00CF6E19">
        <w:t xml:space="preserve">Tax expenditures have been grouped in this appendix by the type of taxpayer affected. Table A1.1 disaggregates tax expenditures by the type of taxpayer affected. </w:t>
      </w:r>
    </w:p>
    <w:p w14:paraId="642F04EB" w14:textId="77777777" w:rsidR="00044D21" w:rsidRPr="00273AA1" w:rsidRDefault="00044D21" w:rsidP="00044D21">
      <w:pPr>
        <w:pStyle w:val="TableHeading"/>
        <w:rPr>
          <w:rFonts w:cs="Arial"/>
          <w:b w:val="0"/>
        </w:rPr>
      </w:pPr>
      <w:r w:rsidRPr="00273AA1">
        <w:t>Table A1.1 Number of tax expenditures by category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w:tblPr>
      <w:tblGrid>
        <w:gridCol w:w="3850"/>
        <w:gridCol w:w="3851"/>
      </w:tblGrid>
      <w:tr w:rsidR="00044D21" w:rsidRPr="00686DCE" w14:paraId="60945CF1" w14:textId="77777777">
        <w:tc>
          <w:tcPr>
            <w:tcW w:w="3850" w:type="dxa"/>
            <w:tcBorders>
              <w:top w:val="single" w:sz="4" w:space="0" w:color="auto"/>
              <w:bottom w:val="single" w:sz="4" w:space="0" w:color="auto"/>
            </w:tcBorders>
          </w:tcPr>
          <w:p w14:paraId="7ADCA188" w14:textId="77777777" w:rsidR="00044D21" w:rsidRPr="00C670D6" w:rsidRDefault="00044D21">
            <w:pPr>
              <w:pStyle w:val="TableColumnHeadingLeft"/>
            </w:pPr>
            <w:r w:rsidRPr="00C670D6">
              <w:t>Tax expenditure category</w:t>
            </w:r>
          </w:p>
        </w:tc>
        <w:tc>
          <w:tcPr>
            <w:tcW w:w="3851" w:type="dxa"/>
            <w:tcBorders>
              <w:top w:val="single" w:sz="4" w:space="0" w:color="auto"/>
              <w:bottom w:val="single" w:sz="4" w:space="0" w:color="auto"/>
            </w:tcBorders>
          </w:tcPr>
          <w:p w14:paraId="7D2DC967" w14:textId="77777777" w:rsidR="00044D21" w:rsidRPr="00C670D6" w:rsidRDefault="00044D21">
            <w:pPr>
              <w:pStyle w:val="TableColumnHeadingRight"/>
            </w:pPr>
            <w:r w:rsidRPr="00C670D6">
              <w:t>Number of tax expenditures</w:t>
            </w:r>
          </w:p>
        </w:tc>
      </w:tr>
      <w:tr w:rsidR="00E54AF6" w:rsidRPr="00686DCE" w14:paraId="23502486" w14:textId="77777777">
        <w:tc>
          <w:tcPr>
            <w:tcW w:w="3850" w:type="dxa"/>
            <w:tcBorders>
              <w:top w:val="single" w:sz="4" w:space="0" w:color="auto"/>
            </w:tcBorders>
          </w:tcPr>
          <w:p w14:paraId="36BE7260" w14:textId="77777777" w:rsidR="00E54AF6" w:rsidRPr="00C670D6" w:rsidRDefault="00E54AF6" w:rsidP="00E54AF6">
            <w:pPr>
              <w:pStyle w:val="TableTextLeft"/>
            </w:pPr>
            <w:r w:rsidRPr="00C670D6">
              <w:t>Personal income tax</w:t>
            </w:r>
          </w:p>
        </w:tc>
        <w:tc>
          <w:tcPr>
            <w:tcW w:w="3851" w:type="dxa"/>
            <w:tcBorders>
              <w:top w:val="single" w:sz="4" w:space="0" w:color="auto"/>
            </w:tcBorders>
          </w:tcPr>
          <w:p w14:paraId="4336AB23" w14:textId="04F1DDEE" w:rsidR="00E54AF6" w:rsidRPr="00C670D6" w:rsidRDefault="00E54AF6" w:rsidP="00E54AF6">
            <w:pPr>
              <w:pStyle w:val="TableTextRight"/>
            </w:pPr>
            <w:r w:rsidRPr="00C670D6" w:rsidDel="00903DEC">
              <w:t>63</w:t>
            </w:r>
          </w:p>
        </w:tc>
      </w:tr>
      <w:tr w:rsidR="00E54AF6" w:rsidRPr="00686DCE" w14:paraId="5E77ADDF" w14:textId="77777777">
        <w:tc>
          <w:tcPr>
            <w:tcW w:w="3850" w:type="dxa"/>
          </w:tcPr>
          <w:p w14:paraId="5495F51B" w14:textId="77777777" w:rsidR="00E54AF6" w:rsidRPr="00C670D6" w:rsidRDefault="00E54AF6" w:rsidP="00E54AF6">
            <w:pPr>
              <w:pStyle w:val="TableTextLeft"/>
            </w:pPr>
            <w:r w:rsidRPr="00C670D6">
              <w:t>Business income tax</w:t>
            </w:r>
          </w:p>
        </w:tc>
        <w:tc>
          <w:tcPr>
            <w:tcW w:w="3851" w:type="dxa"/>
          </w:tcPr>
          <w:p w14:paraId="17E8F124" w14:textId="37BB5D5D" w:rsidR="00E54AF6" w:rsidRPr="00C670D6" w:rsidRDefault="00E54AF6" w:rsidP="00E54AF6">
            <w:pPr>
              <w:pStyle w:val="TableTextRight"/>
            </w:pPr>
            <w:r w:rsidRPr="00C670D6" w:rsidDel="00903DEC">
              <w:t>9</w:t>
            </w:r>
            <w:r w:rsidR="00772EBE" w:rsidRPr="00C670D6">
              <w:t>3</w:t>
            </w:r>
          </w:p>
        </w:tc>
      </w:tr>
      <w:tr w:rsidR="00E54AF6" w:rsidRPr="00686DCE" w14:paraId="31FB2DE2" w14:textId="77777777">
        <w:tc>
          <w:tcPr>
            <w:tcW w:w="3850" w:type="dxa"/>
          </w:tcPr>
          <w:p w14:paraId="30561BE7" w14:textId="77777777" w:rsidR="00E54AF6" w:rsidRPr="00C670D6" w:rsidRDefault="00E54AF6" w:rsidP="00E54AF6">
            <w:pPr>
              <w:pStyle w:val="TableTextLeft"/>
            </w:pPr>
            <w:r w:rsidRPr="00C670D6">
              <w:t>Superannuation tax</w:t>
            </w:r>
          </w:p>
        </w:tc>
        <w:tc>
          <w:tcPr>
            <w:tcW w:w="3851" w:type="dxa"/>
          </w:tcPr>
          <w:p w14:paraId="7279493A" w14:textId="6CE2F60E" w:rsidR="00E54AF6" w:rsidRPr="00C670D6" w:rsidRDefault="00E54AF6" w:rsidP="00E54AF6">
            <w:pPr>
              <w:pStyle w:val="TableTextRight"/>
            </w:pPr>
            <w:r w:rsidRPr="00C670D6" w:rsidDel="00903DEC">
              <w:t>12</w:t>
            </w:r>
          </w:p>
        </w:tc>
      </w:tr>
      <w:tr w:rsidR="00E54AF6" w:rsidRPr="00686DCE" w14:paraId="13114E27" w14:textId="77777777">
        <w:tc>
          <w:tcPr>
            <w:tcW w:w="3850" w:type="dxa"/>
          </w:tcPr>
          <w:p w14:paraId="0C1BFBAA" w14:textId="77777777" w:rsidR="00E54AF6" w:rsidRPr="00C670D6" w:rsidRDefault="00E54AF6" w:rsidP="00E54AF6">
            <w:pPr>
              <w:pStyle w:val="TableTextLeft"/>
            </w:pPr>
            <w:r w:rsidRPr="00C670D6">
              <w:t>Fringe benefits tax</w:t>
            </w:r>
          </w:p>
        </w:tc>
        <w:tc>
          <w:tcPr>
            <w:tcW w:w="3851" w:type="dxa"/>
          </w:tcPr>
          <w:p w14:paraId="289263F4" w14:textId="3715CA52" w:rsidR="00E54AF6" w:rsidRPr="00C670D6" w:rsidRDefault="00E54AF6" w:rsidP="00E54AF6">
            <w:pPr>
              <w:pStyle w:val="TableTextRight"/>
            </w:pPr>
            <w:r w:rsidRPr="00C670D6">
              <w:t>52</w:t>
            </w:r>
          </w:p>
        </w:tc>
      </w:tr>
      <w:tr w:rsidR="00E54AF6" w:rsidRPr="00686DCE" w14:paraId="132466B1" w14:textId="77777777">
        <w:tc>
          <w:tcPr>
            <w:tcW w:w="3850" w:type="dxa"/>
          </w:tcPr>
          <w:p w14:paraId="19EFDEB9" w14:textId="77777777" w:rsidR="00E54AF6" w:rsidRPr="00C670D6" w:rsidRDefault="00E54AF6" w:rsidP="00E54AF6">
            <w:pPr>
              <w:pStyle w:val="TableTextLeft"/>
            </w:pPr>
            <w:r w:rsidRPr="00C670D6">
              <w:t>Capital gains tax</w:t>
            </w:r>
          </w:p>
        </w:tc>
        <w:tc>
          <w:tcPr>
            <w:tcW w:w="3851" w:type="dxa"/>
          </w:tcPr>
          <w:p w14:paraId="22402DA9" w14:textId="3F3BBA24" w:rsidR="00E54AF6" w:rsidRPr="00C670D6" w:rsidRDefault="00E54AF6" w:rsidP="00E54AF6">
            <w:pPr>
              <w:pStyle w:val="TableTextRight"/>
            </w:pPr>
            <w:r w:rsidRPr="00C670D6" w:rsidDel="00903DEC">
              <w:t>33</w:t>
            </w:r>
          </w:p>
        </w:tc>
      </w:tr>
      <w:tr w:rsidR="00E54AF6" w:rsidRPr="00686DCE" w14:paraId="45B6D568" w14:textId="77777777">
        <w:tc>
          <w:tcPr>
            <w:tcW w:w="3850" w:type="dxa"/>
          </w:tcPr>
          <w:p w14:paraId="768453E9" w14:textId="77777777" w:rsidR="00E54AF6" w:rsidRPr="00C670D6" w:rsidRDefault="00E54AF6" w:rsidP="00E54AF6">
            <w:pPr>
              <w:pStyle w:val="TableTextLeft"/>
            </w:pPr>
            <w:r w:rsidRPr="00C670D6">
              <w:t>Indirect taxes excluding GST</w:t>
            </w:r>
          </w:p>
        </w:tc>
        <w:tc>
          <w:tcPr>
            <w:tcW w:w="3851" w:type="dxa"/>
          </w:tcPr>
          <w:p w14:paraId="4D941A03" w14:textId="703333E5" w:rsidR="00E54AF6" w:rsidRPr="00C670D6" w:rsidRDefault="00E54AF6" w:rsidP="00E54AF6">
            <w:pPr>
              <w:pStyle w:val="TableTextRight"/>
            </w:pPr>
            <w:r w:rsidRPr="00C670D6" w:rsidDel="00903DEC">
              <w:t>21</w:t>
            </w:r>
          </w:p>
        </w:tc>
      </w:tr>
      <w:tr w:rsidR="00E54AF6" w:rsidRPr="00686DCE" w14:paraId="5B80E314" w14:textId="77777777">
        <w:tc>
          <w:tcPr>
            <w:tcW w:w="3850" w:type="dxa"/>
          </w:tcPr>
          <w:p w14:paraId="1225DB57" w14:textId="77777777" w:rsidR="00E54AF6" w:rsidRPr="00C670D6" w:rsidRDefault="00E54AF6" w:rsidP="00E54AF6">
            <w:pPr>
              <w:pStyle w:val="TableTextLeft"/>
            </w:pPr>
            <w:r w:rsidRPr="00C670D6">
              <w:t>Natural resource taxes</w:t>
            </w:r>
          </w:p>
        </w:tc>
        <w:tc>
          <w:tcPr>
            <w:tcW w:w="3851" w:type="dxa"/>
          </w:tcPr>
          <w:p w14:paraId="515C42F0" w14:textId="375D6F23" w:rsidR="00E54AF6" w:rsidRPr="00C670D6" w:rsidRDefault="00E54AF6" w:rsidP="00E54AF6">
            <w:pPr>
              <w:pStyle w:val="TableTextRight"/>
            </w:pPr>
            <w:r w:rsidRPr="00C670D6" w:rsidDel="00903DEC">
              <w:t>8</w:t>
            </w:r>
          </w:p>
        </w:tc>
      </w:tr>
      <w:tr w:rsidR="00E54AF6" w:rsidRPr="00686DCE" w14:paraId="0BC43BFA" w14:textId="77777777">
        <w:tc>
          <w:tcPr>
            <w:tcW w:w="3850" w:type="dxa"/>
          </w:tcPr>
          <w:p w14:paraId="7A9453B3" w14:textId="77777777" w:rsidR="00E54AF6" w:rsidRPr="00C670D6" w:rsidRDefault="00E54AF6" w:rsidP="00E54AF6">
            <w:pPr>
              <w:pStyle w:val="TableTextLeft"/>
            </w:pPr>
            <w:r w:rsidRPr="00C670D6">
              <w:t>Goods and services tax</w:t>
            </w:r>
          </w:p>
        </w:tc>
        <w:tc>
          <w:tcPr>
            <w:tcW w:w="3851" w:type="dxa"/>
          </w:tcPr>
          <w:p w14:paraId="275BE746" w14:textId="54C8C758" w:rsidR="00E54AF6" w:rsidRPr="00C670D6" w:rsidRDefault="00E54AF6" w:rsidP="00E54AF6">
            <w:pPr>
              <w:pStyle w:val="TableTextRight"/>
            </w:pPr>
            <w:r w:rsidRPr="00C670D6">
              <w:t>2</w:t>
            </w:r>
            <w:r w:rsidR="00545288" w:rsidRPr="00C670D6">
              <w:t>5</w:t>
            </w:r>
          </w:p>
        </w:tc>
      </w:tr>
      <w:tr w:rsidR="00044D21" w:rsidRPr="00273AA1" w14:paraId="2A9D1DEB" w14:textId="77777777">
        <w:tc>
          <w:tcPr>
            <w:tcW w:w="3850" w:type="dxa"/>
            <w:tcBorders>
              <w:bottom w:val="single" w:sz="4" w:space="0" w:color="auto"/>
            </w:tcBorders>
          </w:tcPr>
          <w:p w14:paraId="023DAD9B" w14:textId="77777777" w:rsidR="00044D21" w:rsidRPr="00C670D6" w:rsidRDefault="00044D21">
            <w:pPr>
              <w:pStyle w:val="TableTextLeft"/>
              <w:rPr>
                <w:b/>
              </w:rPr>
            </w:pPr>
            <w:r w:rsidRPr="00C670D6">
              <w:rPr>
                <w:b/>
              </w:rPr>
              <w:t>Total</w:t>
            </w:r>
          </w:p>
        </w:tc>
        <w:tc>
          <w:tcPr>
            <w:tcW w:w="3851" w:type="dxa"/>
            <w:tcBorders>
              <w:bottom w:val="single" w:sz="4" w:space="0" w:color="auto"/>
            </w:tcBorders>
          </w:tcPr>
          <w:p w14:paraId="1339C73D" w14:textId="486F3A29" w:rsidR="00044D21" w:rsidRPr="00273AA1" w:rsidRDefault="00044D21">
            <w:pPr>
              <w:pStyle w:val="TableTextRight"/>
              <w:rPr>
                <w:b/>
                <w:bCs/>
              </w:rPr>
            </w:pPr>
            <w:r w:rsidRPr="00C670D6">
              <w:rPr>
                <w:b/>
              </w:rPr>
              <w:t>30</w:t>
            </w:r>
            <w:r w:rsidR="00831B16" w:rsidRPr="00C670D6">
              <w:rPr>
                <w:b/>
              </w:rPr>
              <w:t>7</w:t>
            </w:r>
          </w:p>
        </w:tc>
      </w:tr>
    </w:tbl>
    <w:p w14:paraId="68919809" w14:textId="77777777" w:rsidR="00044D21" w:rsidRPr="00273AA1" w:rsidRDefault="00044D21" w:rsidP="00044D21">
      <w:pPr>
        <w:pStyle w:val="SingleParagraph"/>
      </w:pPr>
    </w:p>
    <w:p w14:paraId="34827F0A" w14:textId="77777777" w:rsidR="00044D21" w:rsidRPr="00CF6E19" w:rsidRDefault="00044D21" w:rsidP="00CF6E19">
      <w:pPr>
        <w:spacing w:before="120" w:after="120" w:line="240" w:lineRule="auto"/>
        <w:rPr>
          <w:lang w:eastAsia="en-US"/>
        </w:rPr>
      </w:pPr>
      <w:r w:rsidRPr="00CF6E19">
        <w:t>For each tax expenditure, the reliability of the estimate (where quantified) has been assessed b</w:t>
      </w:r>
      <w:r w:rsidRPr="00CF6E19">
        <w:rPr>
          <w:lang w:eastAsia="en-US"/>
        </w:rPr>
        <w:t>y considering:</w:t>
      </w:r>
    </w:p>
    <w:p w14:paraId="0D508072" w14:textId="77777777" w:rsidR="00044D21" w:rsidRPr="00273AA1" w:rsidRDefault="00044D21" w:rsidP="00044D21">
      <w:pPr>
        <w:pStyle w:val="Bullet"/>
      </w:pPr>
      <w:r w:rsidRPr="00273AA1">
        <w:t>the reliability of the available data</w:t>
      </w:r>
    </w:p>
    <w:p w14:paraId="645C58C6" w14:textId="77777777" w:rsidR="00044D21" w:rsidRPr="00273AA1" w:rsidRDefault="00044D21" w:rsidP="00044D21">
      <w:pPr>
        <w:pStyle w:val="Bullet"/>
      </w:pPr>
      <w:r w:rsidRPr="00273AA1">
        <w:t>the underlying assumptions made where no data, or insufficient data, is available</w:t>
      </w:r>
    </w:p>
    <w:p w14:paraId="45C68915" w14:textId="77777777" w:rsidR="00044D21" w:rsidRPr="00273AA1" w:rsidRDefault="00044D21" w:rsidP="00044D21">
      <w:pPr>
        <w:pStyle w:val="Bullet"/>
      </w:pPr>
      <w:r w:rsidRPr="00273AA1">
        <w:t xml:space="preserve">other relevant factors (for example, the volatility of growth rates over time). </w:t>
      </w:r>
    </w:p>
    <w:p w14:paraId="6C85CCB5" w14:textId="77777777" w:rsidR="00044D21" w:rsidRPr="00CF6E19" w:rsidRDefault="00044D21" w:rsidP="00CF6E19">
      <w:pPr>
        <w:spacing w:before="120" w:after="120" w:line="240" w:lineRule="auto"/>
      </w:pPr>
      <w:r w:rsidRPr="00CF6E19">
        <w:t>The following codes apply where a point estimate is not available:</w:t>
      </w:r>
    </w:p>
    <w:p w14:paraId="640B330A" w14:textId="77777777" w:rsidR="00044D21" w:rsidRPr="00273AA1" w:rsidRDefault="00044D21" w:rsidP="00044D21">
      <w:pPr>
        <w:pStyle w:val="NormalIndent"/>
      </w:pPr>
      <w:r w:rsidRPr="00273AA1">
        <w:noBreakHyphen/>
        <w:t xml:space="preserve"> </w:t>
      </w:r>
      <w:r w:rsidRPr="00273AA1">
        <w:tab/>
        <w:t>nil</w:t>
      </w:r>
    </w:p>
    <w:p w14:paraId="1CB1E711" w14:textId="77777777" w:rsidR="00044D21" w:rsidRPr="00273AA1" w:rsidRDefault="00044D21" w:rsidP="00044D21">
      <w:pPr>
        <w:pStyle w:val="NormalIndent"/>
      </w:pPr>
      <w:r w:rsidRPr="00273AA1">
        <w:t xml:space="preserve">.. </w:t>
      </w:r>
      <w:r w:rsidRPr="00273AA1">
        <w:tab/>
        <w:t>not zero but rounded to zero</w:t>
      </w:r>
    </w:p>
    <w:p w14:paraId="6FFA483F" w14:textId="77777777" w:rsidR="00044D21" w:rsidRPr="00273AA1" w:rsidRDefault="00044D21" w:rsidP="00044D21">
      <w:pPr>
        <w:pStyle w:val="NormalIndent"/>
      </w:pPr>
      <w:r w:rsidRPr="00273AA1">
        <w:t xml:space="preserve">* </w:t>
      </w:r>
      <w:r w:rsidRPr="00273AA1">
        <w:tab/>
        <w:t>unquantifiable</w:t>
      </w:r>
    </w:p>
    <w:p w14:paraId="6FB28741" w14:textId="77777777" w:rsidR="00044D21" w:rsidRPr="00273AA1" w:rsidRDefault="00044D21" w:rsidP="00044D21">
      <w:pPr>
        <w:pStyle w:val="NormalIndent"/>
      </w:pPr>
      <w:r w:rsidRPr="00273AA1">
        <w:t xml:space="preserve">nfp </w:t>
      </w:r>
      <w:r w:rsidRPr="00273AA1">
        <w:tab/>
        <w:t>not for publication due to commercial sensitivities</w:t>
      </w:r>
    </w:p>
    <w:p w14:paraId="2EFBB7E2" w14:textId="77777777" w:rsidR="00044D21" w:rsidRPr="00CF6E19" w:rsidRDefault="00044D21" w:rsidP="00CF6E19">
      <w:pPr>
        <w:spacing w:before="120" w:after="120" w:line="240" w:lineRule="auto"/>
      </w:pPr>
      <w:r w:rsidRPr="00CF6E19">
        <w:t>Where tax expenditures are not quantifiable, an order of magnitude is provided using the categories set out below, with a sign indicating whether it is a positive or negative tax expenditure.</w:t>
      </w:r>
    </w:p>
    <w:p w14:paraId="09CA28E7" w14:textId="77777777" w:rsidR="00044D21" w:rsidRPr="00273AA1" w:rsidRDefault="00044D21" w:rsidP="00044D21">
      <w:pPr>
        <w:pStyle w:val="NormalIndent"/>
        <w:rPr>
          <w:b/>
          <w:bCs/>
        </w:rPr>
      </w:pPr>
      <w:r w:rsidRPr="00273AA1">
        <w:rPr>
          <w:b/>
          <w:bCs/>
        </w:rPr>
        <w:t>Category</w:t>
      </w:r>
      <w:r w:rsidRPr="00273AA1">
        <w:rPr>
          <w:b/>
          <w:bCs/>
        </w:rPr>
        <w:tab/>
        <w:t>Expected expenditure ($m)</w:t>
      </w:r>
    </w:p>
    <w:p w14:paraId="2B8FEA8E" w14:textId="77777777" w:rsidR="00044D21" w:rsidRPr="00273AA1" w:rsidRDefault="00044D21" w:rsidP="00044D21">
      <w:pPr>
        <w:pStyle w:val="NormalIndent"/>
      </w:pPr>
      <w:r w:rsidRPr="00273AA1">
        <w:t>0</w:t>
      </w:r>
      <w:r w:rsidRPr="00273AA1">
        <w:tab/>
      </w:r>
      <w:r w:rsidRPr="00273AA1">
        <w:tab/>
        <w:t>0 on average over reporting period</w:t>
      </w:r>
    </w:p>
    <w:p w14:paraId="4B260BBF" w14:textId="77777777" w:rsidR="00044D21" w:rsidRPr="00273AA1" w:rsidRDefault="00044D21" w:rsidP="00044D21">
      <w:pPr>
        <w:pStyle w:val="NormalIndent"/>
      </w:pPr>
      <w:r w:rsidRPr="00273AA1">
        <w:t>1</w:t>
      </w:r>
      <w:r w:rsidRPr="00273AA1">
        <w:tab/>
      </w:r>
      <w:r w:rsidRPr="00273AA1">
        <w:tab/>
        <w:t>0–10</w:t>
      </w:r>
    </w:p>
    <w:p w14:paraId="0D9D8724" w14:textId="77777777" w:rsidR="00044D21" w:rsidRPr="00273AA1" w:rsidRDefault="00044D21" w:rsidP="00044D21">
      <w:pPr>
        <w:pStyle w:val="NormalIndent"/>
      </w:pPr>
      <w:r w:rsidRPr="00273AA1">
        <w:t>2</w:t>
      </w:r>
      <w:r w:rsidRPr="00273AA1">
        <w:tab/>
      </w:r>
      <w:r w:rsidRPr="00273AA1">
        <w:tab/>
        <w:t>10–100</w:t>
      </w:r>
    </w:p>
    <w:p w14:paraId="6F562101" w14:textId="77777777" w:rsidR="00044D21" w:rsidRPr="00273AA1" w:rsidRDefault="00044D21" w:rsidP="00044D21">
      <w:pPr>
        <w:pStyle w:val="NormalIndent"/>
      </w:pPr>
      <w:r w:rsidRPr="00273AA1">
        <w:t>3</w:t>
      </w:r>
      <w:r w:rsidRPr="00273AA1">
        <w:tab/>
      </w:r>
      <w:r w:rsidRPr="00273AA1">
        <w:tab/>
        <w:t>100–1,000</w:t>
      </w:r>
    </w:p>
    <w:p w14:paraId="563D14A7" w14:textId="77777777" w:rsidR="00044D21" w:rsidRPr="00273AA1" w:rsidRDefault="00044D21" w:rsidP="00044D21">
      <w:pPr>
        <w:pStyle w:val="NormalIndent"/>
      </w:pPr>
      <w:r w:rsidRPr="00273AA1">
        <w:t>4</w:t>
      </w:r>
      <w:r w:rsidRPr="00273AA1">
        <w:tab/>
      </w:r>
      <w:r w:rsidRPr="00273AA1">
        <w:tab/>
        <w:t>1,000 +</w:t>
      </w:r>
    </w:p>
    <w:p w14:paraId="004E3D16" w14:textId="77777777" w:rsidR="00044D21" w:rsidRPr="00273AA1" w:rsidRDefault="00044D21" w:rsidP="00044D21">
      <w:pPr>
        <w:pStyle w:val="NormalIndent"/>
      </w:pPr>
      <w:r w:rsidRPr="00273AA1">
        <w:t>NA</w:t>
      </w:r>
      <w:r w:rsidRPr="00273AA1">
        <w:tab/>
      </w:r>
      <w:r w:rsidRPr="00273AA1">
        <w:tab/>
        <w:t>not available</w:t>
      </w:r>
    </w:p>
    <w:p w14:paraId="37010B47" w14:textId="5ED6E72D" w:rsidR="006E40C9" w:rsidRDefault="00641DC0" w:rsidP="003218AC">
      <w:pPr>
        <w:pStyle w:val="Heading3"/>
      </w:pPr>
      <w:r>
        <w:br w:type="page"/>
      </w:r>
      <w:bookmarkStart w:id="73" w:name="_Toc183710291"/>
      <w:bookmarkStart w:id="74" w:name="_Toc127902486"/>
      <w:r w:rsidR="006E40C9">
        <w:t>Personal income</w:t>
      </w:r>
      <w:bookmarkEnd w:id="73"/>
    </w:p>
    <w:p w14:paraId="3E1A6A5A" w14:textId="77777777" w:rsidR="006E40C9" w:rsidRDefault="006E40C9" w:rsidP="0003254D">
      <w:pPr>
        <w:pStyle w:val="Heading3"/>
      </w:pPr>
      <w:bookmarkStart w:id="75" w:name="_Hlk184036937"/>
      <w:r>
        <w:t xml:space="preserve">Tax expenditures </w:t>
      </w:r>
      <w:r w:rsidRPr="0003254D">
        <w:t>for</w:t>
      </w:r>
      <w:r>
        <w:t xml:space="preserve"> general public services</w:t>
      </w:r>
    </w:p>
    <w:bookmarkEnd w:id="75"/>
    <w:p w14:paraId="166EC415" w14:textId="69BD59B7" w:rsidR="006E40C9" w:rsidRDefault="006E40C9" w:rsidP="0003254D">
      <w:pPr>
        <w:pStyle w:val="Heading4"/>
      </w:pPr>
      <w:r>
        <w:t>A1</w:t>
      </w:r>
      <w:r>
        <w:tab/>
        <w:t>Deduction for expenses incurred by election candidates</w:t>
      </w:r>
    </w:p>
    <w:p w14:paraId="326514C0" w14:textId="1EE4E0F9" w:rsidR="006E40C9" w:rsidRDefault="006E40C9" w:rsidP="006E40C9">
      <w:pPr>
        <w:pStyle w:val="MeasureTableHeading"/>
      </w:pPr>
      <w:bookmarkStart w:id="76" w:name="_Hlk184036981"/>
      <w:r>
        <w:t>General public services</w:t>
      </w:r>
      <w:r w:rsidR="009F5E3D">
        <w:t xml:space="preserve"> – </w:t>
      </w:r>
      <w:r>
        <w:t>Legislative and executive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4EFBA7" w14:textId="77777777">
        <w:trPr>
          <w:cantSplit/>
          <w:jc w:val="center"/>
        </w:trPr>
        <w:tc>
          <w:tcPr>
            <w:tcW w:w="967" w:type="dxa"/>
            <w:tcBorders>
              <w:top w:val="single" w:sz="2" w:space="0" w:color="auto"/>
              <w:bottom w:val="single" w:sz="2" w:space="0" w:color="auto"/>
            </w:tcBorders>
          </w:tcPr>
          <w:bookmarkEnd w:id="76"/>
          <w:p w14:paraId="6AD9C949" w14:textId="77777777" w:rsidR="006E40C9" w:rsidRDefault="006E40C9">
            <w:pPr>
              <w:pStyle w:val="MeasureTableTextRightAligned"/>
            </w:pPr>
            <w:r>
              <w:t>2020</w:t>
            </w:r>
            <w:r w:rsidR="003C3D89">
              <w:t>-2</w:t>
            </w:r>
            <w:r>
              <w:t>1</w:t>
            </w:r>
          </w:p>
        </w:tc>
        <w:tc>
          <w:tcPr>
            <w:tcW w:w="967" w:type="dxa"/>
            <w:tcBorders>
              <w:top w:val="single" w:sz="2" w:space="0" w:color="auto"/>
              <w:bottom w:val="single" w:sz="2" w:space="0" w:color="auto"/>
            </w:tcBorders>
          </w:tcPr>
          <w:p w14:paraId="400BF6E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0C89E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A128E4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4E7FD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EF1F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A5532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3739CB1" w14:textId="77777777" w:rsidR="006E40C9" w:rsidRDefault="006E40C9">
            <w:pPr>
              <w:pStyle w:val="MeasureTableTextRightAligned"/>
            </w:pPr>
            <w:r>
              <w:t>2027-28</w:t>
            </w:r>
          </w:p>
        </w:tc>
      </w:tr>
      <w:tr w:rsidR="006E40C9" w14:paraId="49C903AA" w14:textId="77777777">
        <w:trPr>
          <w:cantSplit/>
          <w:jc w:val="center"/>
        </w:trPr>
        <w:tc>
          <w:tcPr>
            <w:tcW w:w="967" w:type="dxa"/>
            <w:tcBorders>
              <w:top w:val="single" w:sz="2" w:space="0" w:color="auto"/>
              <w:bottom w:val="single" w:sz="2" w:space="0" w:color="auto"/>
            </w:tcBorders>
          </w:tcPr>
          <w:p w14:paraId="72192F33" w14:textId="77777777" w:rsidR="006E40C9" w:rsidRDefault="006E40C9">
            <w:pPr>
              <w:pStyle w:val="MeasureTableTextRightAligned"/>
            </w:pPr>
            <w:r>
              <w:t>3</w:t>
            </w:r>
          </w:p>
        </w:tc>
        <w:tc>
          <w:tcPr>
            <w:tcW w:w="967" w:type="dxa"/>
            <w:tcBorders>
              <w:top w:val="single" w:sz="2" w:space="0" w:color="auto"/>
              <w:bottom w:val="single" w:sz="2" w:space="0" w:color="auto"/>
            </w:tcBorders>
          </w:tcPr>
          <w:p w14:paraId="4B34A958"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E516B83"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5496528F"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25EA2D37"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23D554B9"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4A200A75"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4A3E0EC2" w14:textId="77777777" w:rsidR="006E40C9" w:rsidRDefault="006E40C9">
            <w:pPr>
              <w:pStyle w:val="MeasureTableTextRightAligned"/>
            </w:pPr>
            <w:r>
              <w:t>4</w:t>
            </w:r>
          </w:p>
        </w:tc>
      </w:tr>
      <w:tr w:rsidR="006E40C9" w14:paraId="05654A50" w14:textId="77777777">
        <w:trPr>
          <w:cantSplit/>
          <w:jc w:val="center"/>
        </w:trPr>
        <w:tc>
          <w:tcPr>
            <w:tcW w:w="1934" w:type="dxa"/>
            <w:gridSpan w:val="2"/>
            <w:tcBorders>
              <w:top w:val="single" w:sz="2" w:space="0" w:color="auto"/>
              <w:bottom w:val="nil"/>
            </w:tcBorders>
          </w:tcPr>
          <w:p w14:paraId="3F9E6CC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BBF9D81" w14:textId="77777777" w:rsidR="006E40C9" w:rsidRDefault="006E40C9">
            <w:pPr>
              <w:pStyle w:val="MeasureTableTextLeftAligned"/>
            </w:pPr>
            <w:r>
              <w:t>Deduction</w:t>
            </w:r>
          </w:p>
        </w:tc>
        <w:tc>
          <w:tcPr>
            <w:tcW w:w="1500" w:type="dxa"/>
            <w:gridSpan w:val="2"/>
            <w:tcBorders>
              <w:top w:val="single" w:sz="2" w:space="0" w:color="auto"/>
              <w:bottom w:val="nil"/>
            </w:tcBorders>
          </w:tcPr>
          <w:p w14:paraId="410A32D5" w14:textId="1EDA80C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4CEE78" w14:textId="77777777" w:rsidR="006E40C9" w:rsidRDefault="006E40C9">
            <w:pPr>
              <w:pStyle w:val="MeasureTableTextLeftAligned"/>
            </w:pPr>
            <w:r>
              <w:t>A1</w:t>
            </w:r>
          </w:p>
        </w:tc>
      </w:tr>
      <w:tr w:rsidR="006E40C9" w14:paraId="75FC632B" w14:textId="77777777">
        <w:trPr>
          <w:cantSplit/>
          <w:jc w:val="center"/>
        </w:trPr>
        <w:tc>
          <w:tcPr>
            <w:tcW w:w="1934" w:type="dxa"/>
            <w:gridSpan w:val="2"/>
            <w:tcBorders>
              <w:top w:val="nil"/>
              <w:bottom w:val="nil"/>
            </w:tcBorders>
          </w:tcPr>
          <w:p w14:paraId="19E094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BE85AA" w14:textId="77777777" w:rsidR="006E40C9" w:rsidRPr="00584CA7" w:rsidRDefault="006E40C9">
            <w:pPr>
              <w:pStyle w:val="MeasureTableTextLeftAligned"/>
            </w:pPr>
            <w:r>
              <w:t>Medium</w:t>
            </w:r>
          </w:p>
        </w:tc>
        <w:tc>
          <w:tcPr>
            <w:tcW w:w="1500" w:type="dxa"/>
            <w:gridSpan w:val="2"/>
            <w:tcBorders>
              <w:top w:val="nil"/>
              <w:bottom w:val="nil"/>
            </w:tcBorders>
          </w:tcPr>
          <w:p w14:paraId="431AB9BA" w14:textId="77777777" w:rsidR="006E40C9" w:rsidRDefault="006E40C9">
            <w:pPr>
              <w:pStyle w:val="MeasureTableTextItalic"/>
            </w:pPr>
          </w:p>
        </w:tc>
        <w:tc>
          <w:tcPr>
            <w:tcW w:w="1124" w:type="dxa"/>
            <w:gridSpan w:val="2"/>
            <w:tcBorders>
              <w:top w:val="nil"/>
              <w:bottom w:val="nil"/>
            </w:tcBorders>
          </w:tcPr>
          <w:p w14:paraId="7353EEC8" w14:textId="77777777" w:rsidR="006E40C9" w:rsidRDefault="006E40C9">
            <w:pPr>
              <w:pStyle w:val="MeasureTableTextLeftAligned"/>
            </w:pPr>
          </w:p>
        </w:tc>
      </w:tr>
      <w:tr w:rsidR="006E40C9" w14:paraId="08E2F2E3" w14:textId="77777777">
        <w:trPr>
          <w:cantSplit/>
          <w:jc w:val="center"/>
        </w:trPr>
        <w:tc>
          <w:tcPr>
            <w:tcW w:w="1934" w:type="dxa"/>
            <w:gridSpan w:val="2"/>
            <w:tcBorders>
              <w:top w:val="nil"/>
              <w:bottom w:val="nil"/>
            </w:tcBorders>
          </w:tcPr>
          <w:p w14:paraId="6E7553D7" w14:textId="77777777" w:rsidR="006E40C9" w:rsidRDefault="006E40C9">
            <w:pPr>
              <w:pStyle w:val="MeasureTableTextItalic"/>
            </w:pPr>
            <w:r>
              <w:t>Commencement date:</w:t>
            </w:r>
          </w:p>
        </w:tc>
        <w:tc>
          <w:tcPr>
            <w:tcW w:w="3179" w:type="dxa"/>
            <w:gridSpan w:val="4"/>
            <w:tcBorders>
              <w:top w:val="nil"/>
              <w:bottom w:val="nil"/>
            </w:tcBorders>
          </w:tcPr>
          <w:p w14:paraId="261E5C9D" w14:textId="77777777" w:rsidR="006E40C9" w:rsidRDefault="006E40C9">
            <w:pPr>
              <w:pStyle w:val="MeasureTableTextLeftAligned"/>
            </w:pPr>
            <w:r>
              <w:t>Introduced before 1985</w:t>
            </w:r>
          </w:p>
        </w:tc>
        <w:tc>
          <w:tcPr>
            <w:tcW w:w="1500" w:type="dxa"/>
            <w:gridSpan w:val="2"/>
            <w:tcBorders>
              <w:top w:val="nil"/>
              <w:bottom w:val="nil"/>
            </w:tcBorders>
          </w:tcPr>
          <w:p w14:paraId="75D3B019" w14:textId="77777777" w:rsidR="006E40C9" w:rsidRPr="00F32057" w:rsidRDefault="006E40C9">
            <w:pPr>
              <w:pStyle w:val="MeasureTableTextItalic"/>
            </w:pPr>
            <w:r>
              <w:t>Expiry date:</w:t>
            </w:r>
          </w:p>
        </w:tc>
        <w:tc>
          <w:tcPr>
            <w:tcW w:w="1124" w:type="dxa"/>
            <w:gridSpan w:val="2"/>
            <w:tcBorders>
              <w:top w:val="nil"/>
              <w:bottom w:val="nil"/>
            </w:tcBorders>
          </w:tcPr>
          <w:p w14:paraId="5517B0B5" w14:textId="77777777" w:rsidR="006E40C9" w:rsidRPr="00F32057" w:rsidRDefault="006E40C9">
            <w:pPr>
              <w:pStyle w:val="MeasureTableTextLeftAligned"/>
            </w:pPr>
          </w:p>
        </w:tc>
      </w:tr>
      <w:tr w:rsidR="006E40C9" w14:paraId="0A5964B7" w14:textId="77777777">
        <w:trPr>
          <w:cantSplit/>
          <w:jc w:val="center"/>
        </w:trPr>
        <w:tc>
          <w:tcPr>
            <w:tcW w:w="1934" w:type="dxa"/>
            <w:gridSpan w:val="2"/>
            <w:tcBorders>
              <w:top w:val="nil"/>
            </w:tcBorders>
          </w:tcPr>
          <w:p w14:paraId="058CADDC" w14:textId="77777777" w:rsidR="006E40C9" w:rsidRDefault="006E40C9">
            <w:pPr>
              <w:pStyle w:val="MeasureTableTextItalic"/>
            </w:pPr>
            <w:r>
              <w:t>Legislative reference:</w:t>
            </w:r>
          </w:p>
        </w:tc>
        <w:tc>
          <w:tcPr>
            <w:tcW w:w="5803" w:type="dxa"/>
            <w:gridSpan w:val="8"/>
            <w:tcBorders>
              <w:top w:val="nil"/>
            </w:tcBorders>
          </w:tcPr>
          <w:p w14:paraId="00F677A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25-60, 25-65 and 25-70 of the </w:t>
            </w:r>
            <w:r>
              <w:rPr>
                <w:rFonts w:ascii="Arial" w:hAnsi="Arial" w:cs="Arial"/>
                <w:i/>
                <w:iCs/>
                <w:color w:val="000000"/>
                <w:sz w:val="16"/>
                <w:szCs w:val="16"/>
              </w:rPr>
              <w:t>Income Tax Assessment Act 1997</w:t>
            </w:r>
          </w:p>
        </w:tc>
      </w:tr>
    </w:tbl>
    <w:p w14:paraId="22797D8D" w14:textId="77777777" w:rsidR="006E40C9" w:rsidRPr="00540040" w:rsidRDefault="006E40C9" w:rsidP="006E40C9">
      <w:pPr>
        <w:pStyle w:val="MeasureTableHeading"/>
      </w:pPr>
    </w:p>
    <w:p w14:paraId="29D24AA0" w14:textId="77777777" w:rsidR="006E40C9" w:rsidRDefault="006E40C9" w:rsidP="006E40C9">
      <w:r>
        <w:t>Under the benchmark, expenses are only deductible if they are connected to income earning activity. However, certain expenses incurred by candidates</w:t>
      </w:r>
      <w:r>
        <w:fldChar w:fldCharType="begin"/>
      </w:r>
      <w:r>
        <w:instrText xml:space="preserve"> XE "Election candidates" </w:instrText>
      </w:r>
      <w:r>
        <w:fldChar w:fldCharType="end"/>
      </w:r>
      <w:r>
        <w:t xml:space="preserve"> contesting federal, state and territory government elections are tax deductible, irrespective of whether they are successful or not. For local government elections, candidates can deduct expenses of up to $1,000 per election. Candidates cannot usually deduct expenditure in respect of providing entertainment.</w:t>
      </w:r>
    </w:p>
    <w:p w14:paraId="0385A765" w14:textId="77777777" w:rsidR="006E40C9" w:rsidRDefault="006E40C9" w:rsidP="0003254D">
      <w:pPr>
        <w:pStyle w:val="Heading4"/>
      </w:pPr>
      <w:r>
        <w:t>A2</w:t>
      </w:r>
      <w:r>
        <w:tab/>
        <w:t>Exemption of certain income earned by Australians working overseas</w:t>
      </w:r>
    </w:p>
    <w:p w14:paraId="39737F8F" w14:textId="416A2307"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2D691D" w14:textId="77777777">
        <w:trPr>
          <w:cantSplit/>
          <w:jc w:val="center"/>
        </w:trPr>
        <w:tc>
          <w:tcPr>
            <w:tcW w:w="967" w:type="dxa"/>
            <w:tcBorders>
              <w:top w:val="single" w:sz="2" w:space="0" w:color="auto"/>
              <w:bottom w:val="single" w:sz="2" w:space="0" w:color="auto"/>
            </w:tcBorders>
          </w:tcPr>
          <w:p w14:paraId="1EF1531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0CD2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E20D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1A2E5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6FA76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76DD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2B066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A1C5C8" w14:textId="77777777" w:rsidR="006E40C9" w:rsidRDefault="006E40C9">
            <w:pPr>
              <w:pStyle w:val="MeasureTableTextRightAligned"/>
            </w:pPr>
            <w:r>
              <w:t>2027-28</w:t>
            </w:r>
          </w:p>
        </w:tc>
      </w:tr>
      <w:tr w:rsidR="006E40C9" w14:paraId="4E84E644" w14:textId="77777777">
        <w:trPr>
          <w:cantSplit/>
          <w:jc w:val="center"/>
        </w:trPr>
        <w:tc>
          <w:tcPr>
            <w:tcW w:w="967" w:type="dxa"/>
            <w:tcBorders>
              <w:top w:val="single" w:sz="2" w:space="0" w:color="auto"/>
              <w:bottom w:val="single" w:sz="2" w:space="0" w:color="auto"/>
            </w:tcBorders>
          </w:tcPr>
          <w:p w14:paraId="4726671C"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4E7477"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07D6C42A"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553024F2"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33063FC4" w14:textId="77777777" w:rsidR="006E40C9" w:rsidRDefault="006E40C9">
            <w:pPr>
              <w:pStyle w:val="MeasureTableTextRightAligned"/>
            </w:pPr>
            <w:r>
              <w:t>30</w:t>
            </w:r>
          </w:p>
        </w:tc>
        <w:tc>
          <w:tcPr>
            <w:tcW w:w="967" w:type="dxa"/>
            <w:gridSpan w:val="2"/>
            <w:tcBorders>
              <w:top w:val="single" w:sz="2" w:space="0" w:color="auto"/>
              <w:bottom w:val="single" w:sz="2" w:space="0" w:color="auto"/>
            </w:tcBorders>
            <w:vAlign w:val="bottom"/>
          </w:tcPr>
          <w:p w14:paraId="11C9129B"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69DB73F6"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22FC924A" w14:textId="77777777" w:rsidR="006E40C9" w:rsidRDefault="006E40C9">
            <w:pPr>
              <w:pStyle w:val="MeasureTableTextRightAligned"/>
            </w:pPr>
            <w:r>
              <w:t>25</w:t>
            </w:r>
          </w:p>
        </w:tc>
      </w:tr>
      <w:tr w:rsidR="006E40C9" w14:paraId="644894D0" w14:textId="77777777">
        <w:trPr>
          <w:cantSplit/>
          <w:jc w:val="center"/>
        </w:trPr>
        <w:tc>
          <w:tcPr>
            <w:tcW w:w="1934" w:type="dxa"/>
            <w:gridSpan w:val="2"/>
            <w:tcBorders>
              <w:top w:val="single" w:sz="2" w:space="0" w:color="auto"/>
              <w:bottom w:val="nil"/>
            </w:tcBorders>
          </w:tcPr>
          <w:p w14:paraId="5B82A0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4810FA" w14:textId="77777777" w:rsidR="006E40C9" w:rsidRDefault="006E40C9">
            <w:pPr>
              <w:pStyle w:val="MeasureTableTextLeftAligned"/>
            </w:pPr>
            <w:r>
              <w:t>Exemption</w:t>
            </w:r>
          </w:p>
        </w:tc>
        <w:tc>
          <w:tcPr>
            <w:tcW w:w="1500" w:type="dxa"/>
            <w:gridSpan w:val="2"/>
            <w:tcBorders>
              <w:top w:val="single" w:sz="2" w:space="0" w:color="auto"/>
              <w:bottom w:val="nil"/>
            </w:tcBorders>
          </w:tcPr>
          <w:p w14:paraId="10C021DD" w14:textId="7BA198F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DFC300" w14:textId="77777777" w:rsidR="006E40C9" w:rsidRDefault="006E40C9">
            <w:pPr>
              <w:pStyle w:val="MeasureTableTextLeftAligned"/>
            </w:pPr>
            <w:r>
              <w:t>A2</w:t>
            </w:r>
          </w:p>
        </w:tc>
      </w:tr>
      <w:tr w:rsidR="006E40C9" w14:paraId="1A41D10B" w14:textId="77777777">
        <w:trPr>
          <w:cantSplit/>
          <w:jc w:val="center"/>
        </w:trPr>
        <w:tc>
          <w:tcPr>
            <w:tcW w:w="1934" w:type="dxa"/>
            <w:gridSpan w:val="2"/>
            <w:tcBorders>
              <w:top w:val="nil"/>
              <w:bottom w:val="nil"/>
            </w:tcBorders>
          </w:tcPr>
          <w:p w14:paraId="4F81EA2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6006D93" w14:textId="77777777" w:rsidR="006E40C9" w:rsidRPr="00584CA7" w:rsidRDefault="006E40C9">
            <w:pPr>
              <w:pStyle w:val="MeasureTableTextLeftAligned"/>
            </w:pPr>
            <w:r>
              <w:t>Medium</w:t>
            </w:r>
          </w:p>
        </w:tc>
        <w:tc>
          <w:tcPr>
            <w:tcW w:w="1500" w:type="dxa"/>
            <w:gridSpan w:val="2"/>
            <w:tcBorders>
              <w:top w:val="nil"/>
              <w:bottom w:val="nil"/>
            </w:tcBorders>
          </w:tcPr>
          <w:p w14:paraId="19787BF8" w14:textId="77777777" w:rsidR="006E40C9" w:rsidRDefault="006E40C9">
            <w:pPr>
              <w:pStyle w:val="MeasureTableTextItalic"/>
            </w:pPr>
          </w:p>
        </w:tc>
        <w:tc>
          <w:tcPr>
            <w:tcW w:w="1124" w:type="dxa"/>
            <w:gridSpan w:val="2"/>
            <w:tcBorders>
              <w:top w:val="nil"/>
              <w:bottom w:val="nil"/>
            </w:tcBorders>
          </w:tcPr>
          <w:p w14:paraId="3E388B39" w14:textId="77777777" w:rsidR="006E40C9" w:rsidRDefault="006E40C9">
            <w:pPr>
              <w:pStyle w:val="MeasureTableTextLeftAligned"/>
            </w:pPr>
          </w:p>
        </w:tc>
      </w:tr>
      <w:tr w:rsidR="006E40C9" w14:paraId="69F3DFB9" w14:textId="77777777">
        <w:trPr>
          <w:cantSplit/>
          <w:jc w:val="center"/>
        </w:trPr>
        <w:tc>
          <w:tcPr>
            <w:tcW w:w="1934" w:type="dxa"/>
            <w:gridSpan w:val="2"/>
            <w:tcBorders>
              <w:top w:val="nil"/>
              <w:bottom w:val="nil"/>
            </w:tcBorders>
          </w:tcPr>
          <w:p w14:paraId="69FD4379" w14:textId="77777777" w:rsidR="006E40C9" w:rsidRDefault="006E40C9">
            <w:pPr>
              <w:pStyle w:val="MeasureTableTextItalic"/>
            </w:pPr>
            <w:r>
              <w:t>Commencement date:</w:t>
            </w:r>
          </w:p>
        </w:tc>
        <w:tc>
          <w:tcPr>
            <w:tcW w:w="3179" w:type="dxa"/>
            <w:gridSpan w:val="4"/>
            <w:tcBorders>
              <w:top w:val="nil"/>
              <w:bottom w:val="nil"/>
            </w:tcBorders>
          </w:tcPr>
          <w:p w14:paraId="341266CE" w14:textId="77777777" w:rsidR="006E40C9" w:rsidRDefault="006E40C9">
            <w:pPr>
              <w:pStyle w:val="MeasureTableTextLeftAligned"/>
            </w:pPr>
            <w:r>
              <w:t>Introduced before 1985</w:t>
            </w:r>
          </w:p>
        </w:tc>
        <w:tc>
          <w:tcPr>
            <w:tcW w:w="1500" w:type="dxa"/>
            <w:gridSpan w:val="2"/>
            <w:tcBorders>
              <w:top w:val="nil"/>
              <w:bottom w:val="nil"/>
            </w:tcBorders>
          </w:tcPr>
          <w:p w14:paraId="40FEAB40" w14:textId="77777777" w:rsidR="006E40C9" w:rsidRPr="00F32057" w:rsidRDefault="006E40C9">
            <w:pPr>
              <w:pStyle w:val="MeasureTableTextItalic"/>
            </w:pPr>
            <w:r>
              <w:t>Expiry date:</w:t>
            </w:r>
          </w:p>
        </w:tc>
        <w:tc>
          <w:tcPr>
            <w:tcW w:w="1124" w:type="dxa"/>
            <w:gridSpan w:val="2"/>
            <w:tcBorders>
              <w:top w:val="nil"/>
              <w:bottom w:val="nil"/>
            </w:tcBorders>
          </w:tcPr>
          <w:p w14:paraId="04FC9BDB" w14:textId="77777777" w:rsidR="006E40C9" w:rsidRPr="00F32057" w:rsidRDefault="006E40C9">
            <w:pPr>
              <w:pStyle w:val="MeasureTableTextLeftAligned"/>
            </w:pPr>
          </w:p>
        </w:tc>
      </w:tr>
      <w:tr w:rsidR="006E40C9" w14:paraId="17834769" w14:textId="77777777">
        <w:trPr>
          <w:cantSplit/>
          <w:jc w:val="center"/>
        </w:trPr>
        <w:tc>
          <w:tcPr>
            <w:tcW w:w="1934" w:type="dxa"/>
            <w:gridSpan w:val="2"/>
            <w:tcBorders>
              <w:top w:val="nil"/>
            </w:tcBorders>
          </w:tcPr>
          <w:p w14:paraId="4BDA9AC4" w14:textId="77777777" w:rsidR="006E40C9" w:rsidRDefault="006E40C9">
            <w:pPr>
              <w:pStyle w:val="MeasureTableTextItalic"/>
            </w:pPr>
            <w:r>
              <w:t>Legislative reference:</w:t>
            </w:r>
          </w:p>
        </w:tc>
        <w:tc>
          <w:tcPr>
            <w:tcW w:w="5803" w:type="dxa"/>
            <w:gridSpan w:val="8"/>
            <w:tcBorders>
              <w:top w:val="nil"/>
            </w:tcBorders>
          </w:tcPr>
          <w:p w14:paraId="1C7033E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23AF and 23AG of the </w:t>
            </w:r>
            <w:r>
              <w:rPr>
                <w:rFonts w:ascii="Arial" w:hAnsi="Arial" w:cs="Arial"/>
                <w:i/>
                <w:iCs/>
                <w:color w:val="000000"/>
                <w:sz w:val="16"/>
                <w:szCs w:val="16"/>
              </w:rPr>
              <w:t>Income Tax Assessment Act 1936</w:t>
            </w:r>
          </w:p>
        </w:tc>
      </w:tr>
    </w:tbl>
    <w:p w14:paraId="2257469C" w14:textId="77777777" w:rsidR="006E40C9" w:rsidRPr="00540040" w:rsidRDefault="006E40C9" w:rsidP="006E40C9">
      <w:pPr>
        <w:pStyle w:val="MeasureTableHeading"/>
      </w:pPr>
    </w:p>
    <w:p w14:paraId="093CA2BF" w14:textId="77777777" w:rsidR="006E40C9" w:rsidRDefault="006E40C9" w:rsidP="006E40C9">
      <w:r>
        <w:t>The benchmark tax treatment is that income tax is paid on the taxable income of a taxpayer for an income year at their applicable rate of tax. However, income earned by Australians working overseas for a continuous period of 91 days or more may be exempt from income tax if they are employed to work on certain approved overseas projects or if their foreign employment is directly attributable to:</w:t>
      </w:r>
    </w:p>
    <w:p w14:paraId="763C2537" w14:textId="756F8954" w:rsidR="006E40C9" w:rsidRDefault="006E40C9" w:rsidP="00D96720">
      <w:pPr>
        <w:pStyle w:val="Bullet"/>
      </w:pPr>
      <w:r>
        <w:t>the activities of the individual’s employer in operating a developing country relief fund or a public disaster relief fund;</w:t>
      </w:r>
    </w:p>
    <w:p w14:paraId="7C6CB925" w14:textId="77777777" w:rsidR="006E40C9" w:rsidRDefault="006E40C9" w:rsidP="00D96720">
      <w:pPr>
        <w:pStyle w:val="Bullet"/>
      </w:pPr>
      <w:r>
        <w:t>the activities of the individual’s employer being a prescribed institution that is exempt from Australian income tax;</w:t>
      </w:r>
    </w:p>
    <w:p w14:paraId="7207BE8B" w14:textId="77777777" w:rsidR="006E40C9" w:rsidRDefault="006E40C9" w:rsidP="00D96720">
      <w:pPr>
        <w:pStyle w:val="Bullet"/>
      </w:pPr>
      <w:r>
        <w:t>the individual’s deployment outside Australia by an Australian government (or an authority thereof) as a member of a disciplined force; or</w:t>
      </w:r>
    </w:p>
    <w:p w14:paraId="2E25CF50" w14:textId="77777777" w:rsidR="006E40C9" w:rsidRDefault="006E40C9" w:rsidP="00D96720">
      <w:pPr>
        <w:pStyle w:val="Bullet"/>
      </w:pPr>
      <w:r>
        <w:t>an activity of a kind specified in the regulations.</w:t>
      </w:r>
    </w:p>
    <w:p w14:paraId="7B8EEA6E" w14:textId="77777777" w:rsidR="006E40C9" w:rsidRDefault="006E40C9" w:rsidP="006E40C9">
      <w:r>
        <w:t>This exemption may not apply where the foreign earnings are exempt from income tax in the foreign country.</w:t>
      </w:r>
      <w:r>
        <w:fldChar w:fldCharType="begin"/>
      </w:r>
      <w:r>
        <w:instrText xml:space="preserve"> XE "Australians working overseas" </w:instrText>
      </w:r>
      <w:r>
        <w:fldChar w:fldCharType="end"/>
      </w:r>
    </w:p>
    <w:p w14:paraId="34C46AE8" w14:textId="77777777" w:rsidR="006E40C9" w:rsidRDefault="006E40C9" w:rsidP="0003254D">
      <w:pPr>
        <w:pStyle w:val="Heading4"/>
      </w:pPr>
      <w:r>
        <w:t>A3</w:t>
      </w:r>
      <w:r>
        <w:tab/>
        <w:t>Exemption of income of certain visitors to Australia</w:t>
      </w:r>
    </w:p>
    <w:p w14:paraId="6E462450" w14:textId="569D9192"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DD857CC" w14:textId="77777777">
        <w:trPr>
          <w:cantSplit/>
          <w:jc w:val="center"/>
        </w:trPr>
        <w:tc>
          <w:tcPr>
            <w:tcW w:w="967" w:type="dxa"/>
            <w:tcBorders>
              <w:top w:val="single" w:sz="2" w:space="0" w:color="auto"/>
              <w:bottom w:val="single" w:sz="2" w:space="0" w:color="auto"/>
            </w:tcBorders>
          </w:tcPr>
          <w:p w14:paraId="13EC0FB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222D23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CE85F4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9CF1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E7B8F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AEF28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9B24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CE351D" w14:textId="77777777" w:rsidR="006E40C9" w:rsidRDefault="006E40C9">
            <w:pPr>
              <w:pStyle w:val="MeasureTableTextRightAligned"/>
            </w:pPr>
            <w:r>
              <w:t>2027-28</w:t>
            </w:r>
          </w:p>
        </w:tc>
      </w:tr>
      <w:tr w:rsidR="006E40C9" w14:paraId="0965A1D1" w14:textId="77777777">
        <w:trPr>
          <w:cantSplit/>
          <w:jc w:val="center"/>
        </w:trPr>
        <w:tc>
          <w:tcPr>
            <w:tcW w:w="967" w:type="dxa"/>
            <w:tcBorders>
              <w:top w:val="single" w:sz="2" w:space="0" w:color="auto"/>
              <w:bottom w:val="single" w:sz="2" w:space="0" w:color="auto"/>
            </w:tcBorders>
          </w:tcPr>
          <w:p w14:paraId="6FAD2B2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15CCBA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FCF1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D03B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9821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4E12B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310DC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9E9CCE1" w14:textId="77777777" w:rsidR="006E40C9" w:rsidRDefault="006E40C9">
            <w:pPr>
              <w:pStyle w:val="MeasureTableTextRightAligned"/>
            </w:pPr>
            <w:r>
              <w:t>*</w:t>
            </w:r>
          </w:p>
        </w:tc>
      </w:tr>
      <w:tr w:rsidR="006E40C9" w14:paraId="63D74EDB" w14:textId="77777777">
        <w:trPr>
          <w:cantSplit/>
          <w:jc w:val="center"/>
        </w:trPr>
        <w:tc>
          <w:tcPr>
            <w:tcW w:w="1934" w:type="dxa"/>
            <w:gridSpan w:val="2"/>
            <w:tcBorders>
              <w:top w:val="single" w:sz="2" w:space="0" w:color="auto"/>
              <w:bottom w:val="nil"/>
            </w:tcBorders>
          </w:tcPr>
          <w:p w14:paraId="1AFD8C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0D293F" w14:textId="77777777" w:rsidR="006E40C9" w:rsidRDefault="006E40C9">
            <w:pPr>
              <w:pStyle w:val="MeasureTableTextLeftAligned"/>
            </w:pPr>
            <w:r>
              <w:t>Exemption</w:t>
            </w:r>
          </w:p>
        </w:tc>
        <w:tc>
          <w:tcPr>
            <w:tcW w:w="1500" w:type="dxa"/>
            <w:gridSpan w:val="2"/>
            <w:tcBorders>
              <w:top w:val="single" w:sz="2" w:space="0" w:color="auto"/>
              <w:bottom w:val="nil"/>
            </w:tcBorders>
          </w:tcPr>
          <w:p w14:paraId="6FF40FA7" w14:textId="538F76D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097B99" w14:textId="77777777" w:rsidR="006E40C9" w:rsidRDefault="006E40C9">
            <w:pPr>
              <w:pStyle w:val="MeasureTableTextLeftAligned"/>
            </w:pPr>
            <w:r>
              <w:t>A3</w:t>
            </w:r>
          </w:p>
        </w:tc>
      </w:tr>
      <w:tr w:rsidR="006E40C9" w14:paraId="15E5D76A" w14:textId="77777777">
        <w:trPr>
          <w:cantSplit/>
          <w:jc w:val="center"/>
        </w:trPr>
        <w:tc>
          <w:tcPr>
            <w:tcW w:w="1934" w:type="dxa"/>
            <w:gridSpan w:val="2"/>
            <w:tcBorders>
              <w:top w:val="nil"/>
              <w:bottom w:val="nil"/>
            </w:tcBorders>
          </w:tcPr>
          <w:p w14:paraId="55F923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C7E8DD" w14:textId="77777777" w:rsidR="006E40C9" w:rsidRPr="00584CA7" w:rsidRDefault="006E40C9">
            <w:pPr>
              <w:pStyle w:val="MeasureTableTextLeftAligned"/>
            </w:pPr>
            <w:r>
              <w:t>Not Applicable</w:t>
            </w:r>
          </w:p>
        </w:tc>
        <w:tc>
          <w:tcPr>
            <w:tcW w:w="1500" w:type="dxa"/>
            <w:gridSpan w:val="2"/>
            <w:tcBorders>
              <w:top w:val="nil"/>
              <w:bottom w:val="nil"/>
            </w:tcBorders>
          </w:tcPr>
          <w:p w14:paraId="7D3D4CDC" w14:textId="77777777" w:rsidR="006E40C9" w:rsidRDefault="006E40C9">
            <w:pPr>
              <w:pStyle w:val="MeasureTableTextItalic"/>
            </w:pPr>
            <w:r>
              <w:t>* Category</w:t>
            </w:r>
          </w:p>
        </w:tc>
        <w:tc>
          <w:tcPr>
            <w:tcW w:w="1124" w:type="dxa"/>
            <w:gridSpan w:val="2"/>
            <w:tcBorders>
              <w:top w:val="nil"/>
              <w:bottom w:val="nil"/>
            </w:tcBorders>
          </w:tcPr>
          <w:p w14:paraId="33BA8750" w14:textId="77777777" w:rsidR="006E40C9" w:rsidRDefault="006E40C9">
            <w:pPr>
              <w:pStyle w:val="MeasureTableTextLeftAligned"/>
            </w:pPr>
            <w:r>
              <w:t>1+</w:t>
            </w:r>
          </w:p>
        </w:tc>
      </w:tr>
      <w:tr w:rsidR="006E40C9" w14:paraId="0F2924F6" w14:textId="77777777">
        <w:trPr>
          <w:cantSplit/>
          <w:jc w:val="center"/>
        </w:trPr>
        <w:tc>
          <w:tcPr>
            <w:tcW w:w="1934" w:type="dxa"/>
            <w:gridSpan w:val="2"/>
            <w:tcBorders>
              <w:top w:val="nil"/>
              <w:bottom w:val="nil"/>
            </w:tcBorders>
          </w:tcPr>
          <w:p w14:paraId="2D85BEB2" w14:textId="77777777" w:rsidR="006E40C9" w:rsidRDefault="006E40C9">
            <w:pPr>
              <w:pStyle w:val="MeasureTableTextItalic"/>
            </w:pPr>
            <w:r>
              <w:t>Commencement date:</w:t>
            </w:r>
          </w:p>
        </w:tc>
        <w:tc>
          <w:tcPr>
            <w:tcW w:w="3179" w:type="dxa"/>
            <w:gridSpan w:val="4"/>
            <w:tcBorders>
              <w:top w:val="nil"/>
              <w:bottom w:val="nil"/>
            </w:tcBorders>
          </w:tcPr>
          <w:p w14:paraId="7EF18D8C" w14:textId="77777777" w:rsidR="006E40C9" w:rsidRDefault="006E40C9">
            <w:pPr>
              <w:pStyle w:val="MeasureTableTextLeftAligned"/>
            </w:pPr>
            <w:r>
              <w:t>Introduced before 1985</w:t>
            </w:r>
          </w:p>
        </w:tc>
        <w:tc>
          <w:tcPr>
            <w:tcW w:w="1500" w:type="dxa"/>
            <w:gridSpan w:val="2"/>
            <w:tcBorders>
              <w:top w:val="nil"/>
              <w:bottom w:val="nil"/>
            </w:tcBorders>
          </w:tcPr>
          <w:p w14:paraId="13D040BA" w14:textId="77777777" w:rsidR="006E40C9" w:rsidRPr="00F32057" w:rsidRDefault="006E40C9">
            <w:pPr>
              <w:pStyle w:val="MeasureTableTextItalic"/>
            </w:pPr>
            <w:r>
              <w:t>Expiry date:</w:t>
            </w:r>
          </w:p>
        </w:tc>
        <w:tc>
          <w:tcPr>
            <w:tcW w:w="1124" w:type="dxa"/>
            <w:gridSpan w:val="2"/>
            <w:tcBorders>
              <w:top w:val="nil"/>
              <w:bottom w:val="nil"/>
            </w:tcBorders>
          </w:tcPr>
          <w:p w14:paraId="374FE5A1" w14:textId="77777777" w:rsidR="006E40C9" w:rsidRPr="00F32057" w:rsidRDefault="006E40C9">
            <w:pPr>
              <w:pStyle w:val="MeasureTableTextLeftAligned"/>
            </w:pPr>
          </w:p>
        </w:tc>
      </w:tr>
      <w:tr w:rsidR="006E40C9" w14:paraId="59BA1301" w14:textId="77777777">
        <w:trPr>
          <w:cantSplit/>
          <w:jc w:val="center"/>
        </w:trPr>
        <w:tc>
          <w:tcPr>
            <w:tcW w:w="1934" w:type="dxa"/>
            <w:gridSpan w:val="2"/>
            <w:tcBorders>
              <w:top w:val="nil"/>
            </w:tcBorders>
          </w:tcPr>
          <w:p w14:paraId="387BB22E" w14:textId="77777777" w:rsidR="006E40C9" w:rsidRDefault="006E40C9">
            <w:pPr>
              <w:pStyle w:val="MeasureTableTextItalic"/>
            </w:pPr>
            <w:r>
              <w:t>Legislative reference:</w:t>
            </w:r>
          </w:p>
        </w:tc>
        <w:tc>
          <w:tcPr>
            <w:tcW w:w="5803" w:type="dxa"/>
            <w:gridSpan w:val="8"/>
            <w:tcBorders>
              <w:top w:val="nil"/>
            </w:tcBorders>
          </w:tcPr>
          <w:p w14:paraId="7C6F6D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842-105 and 768-100 of the</w:t>
            </w:r>
            <w:r>
              <w:rPr>
                <w:rFonts w:ascii="Arial" w:hAnsi="Arial" w:cs="Arial"/>
                <w:i/>
                <w:iCs/>
                <w:color w:val="000000"/>
                <w:sz w:val="16"/>
                <w:szCs w:val="16"/>
              </w:rPr>
              <w:t xml:space="preserve"> Income Tax Assessment Act 1997</w:t>
            </w:r>
          </w:p>
        </w:tc>
      </w:tr>
    </w:tbl>
    <w:p w14:paraId="5277F7FC" w14:textId="77777777" w:rsidR="006E40C9" w:rsidRPr="00540040" w:rsidRDefault="006E40C9" w:rsidP="006E40C9">
      <w:pPr>
        <w:pStyle w:val="MeasureTableHeading"/>
      </w:pPr>
    </w:p>
    <w:p w14:paraId="5F716A98" w14:textId="77777777" w:rsidR="006E40C9" w:rsidRDefault="006E40C9" w:rsidP="006E40C9">
      <w:r>
        <w:t>The benchmark tax treatment is that income tax is paid on the taxable income of a taxpayer for an income year at their applicable rate of tax. However, certain Australian</w:t>
      </w:r>
      <w:r>
        <w:noBreakHyphen/>
        <w:t>sourced income of some visitors to Australia (for example, visiting foreign government representatives and their entourages) is exempt from income tax. In addition, the official salary and foreign</w:t>
      </w:r>
      <w:r>
        <w:noBreakHyphen/>
        <w:t xml:space="preserve">sourced income of, for example, foreign government representatives visiting Australia when the Vienna Conventions on Consular or Diplomatic Relations do not apply, are exempt from income tax where their home countries provide a reciprocal exemption. </w:t>
      </w:r>
      <w:r>
        <w:fldChar w:fldCharType="begin"/>
      </w:r>
      <w:r>
        <w:instrText xml:space="preserve"> XE "Visitors to Australia" </w:instrText>
      </w:r>
      <w:r>
        <w:fldChar w:fldCharType="end"/>
      </w:r>
    </w:p>
    <w:p w14:paraId="1D132037" w14:textId="77777777" w:rsidR="006E40C9" w:rsidRDefault="006E40C9" w:rsidP="0003254D">
      <w:pPr>
        <w:pStyle w:val="Heading4"/>
      </w:pPr>
      <w:r>
        <w:t>A4</w:t>
      </w:r>
      <w:r>
        <w:tab/>
        <w:t>Exemption of official remuneration of officials of prescribed international organisations</w:t>
      </w:r>
    </w:p>
    <w:p w14:paraId="01C78D0A" w14:textId="25E0B53F"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EF222C" w14:textId="77777777">
        <w:trPr>
          <w:cantSplit/>
          <w:jc w:val="center"/>
        </w:trPr>
        <w:tc>
          <w:tcPr>
            <w:tcW w:w="967" w:type="dxa"/>
            <w:tcBorders>
              <w:top w:val="single" w:sz="2" w:space="0" w:color="auto"/>
              <w:bottom w:val="single" w:sz="2" w:space="0" w:color="auto"/>
            </w:tcBorders>
          </w:tcPr>
          <w:p w14:paraId="5F7A6EC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6F9BB3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58F15E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48F7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551B4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0431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F7A2D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2E3D36" w14:textId="77777777" w:rsidR="006E40C9" w:rsidRDefault="006E40C9">
            <w:pPr>
              <w:pStyle w:val="MeasureTableTextRightAligned"/>
            </w:pPr>
            <w:r>
              <w:t>2027-28</w:t>
            </w:r>
          </w:p>
        </w:tc>
      </w:tr>
      <w:tr w:rsidR="006E40C9" w14:paraId="136C3921" w14:textId="77777777">
        <w:trPr>
          <w:cantSplit/>
          <w:jc w:val="center"/>
        </w:trPr>
        <w:tc>
          <w:tcPr>
            <w:tcW w:w="967" w:type="dxa"/>
            <w:tcBorders>
              <w:top w:val="single" w:sz="2" w:space="0" w:color="auto"/>
              <w:bottom w:val="single" w:sz="2" w:space="0" w:color="auto"/>
            </w:tcBorders>
          </w:tcPr>
          <w:p w14:paraId="01FEDED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9B84E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A76C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04B9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42C2F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43EFA0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0A355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5ACDB77" w14:textId="77777777" w:rsidR="006E40C9" w:rsidRDefault="006E40C9">
            <w:pPr>
              <w:pStyle w:val="MeasureTableTextRightAligned"/>
            </w:pPr>
            <w:r>
              <w:t>*</w:t>
            </w:r>
          </w:p>
        </w:tc>
      </w:tr>
      <w:tr w:rsidR="006E40C9" w14:paraId="6E0563EB" w14:textId="77777777">
        <w:trPr>
          <w:cantSplit/>
          <w:jc w:val="center"/>
        </w:trPr>
        <w:tc>
          <w:tcPr>
            <w:tcW w:w="1934" w:type="dxa"/>
            <w:gridSpan w:val="2"/>
            <w:tcBorders>
              <w:top w:val="single" w:sz="2" w:space="0" w:color="auto"/>
              <w:bottom w:val="nil"/>
            </w:tcBorders>
          </w:tcPr>
          <w:p w14:paraId="39D852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EB4639" w14:textId="77777777" w:rsidR="006E40C9" w:rsidRDefault="006E40C9">
            <w:pPr>
              <w:pStyle w:val="MeasureTableTextLeftAligned"/>
            </w:pPr>
            <w:r>
              <w:t>Exemption</w:t>
            </w:r>
          </w:p>
        </w:tc>
        <w:tc>
          <w:tcPr>
            <w:tcW w:w="1500" w:type="dxa"/>
            <w:gridSpan w:val="2"/>
            <w:tcBorders>
              <w:top w:val="single" w:sz="2" w:space="0" w:color="auto"/>
              <w:bottom w:val="nil"/>
            </w:tcBorders>
          </w:tcPr>
          <w:p w14:paraId="6EF1D491" w14:textId="2F5598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74B30A" w14:textId="77777777" w:rsidR="006E40C9" w:rsidRDefault="006E40C9">
            <w:pPr>
              <w:pStyle w:val="MeasureTableTextLeftAligned"/>
            </w:pPr>
            <w:r>
              <w:t>A4</w:t>
            </w:r>
          </w:p>
        </w:tc>
      </w:tr>
      <w:tr w:rsidR="006E40C9" w14:paraId="78CD26CB" w14:textId="77777777">
        <w:trPr>
          <w:cantSplit/>
          <w:jc w:val="center"/>
        </w:trPr>
        <w:tc>
          <w:tcPr>
            <w:tcW w:w="1934" w:type="dxa"/>
            <w:gridSpan w:val="2"/>
            <w:tcBorders>
              <w:top w:val="nil"/>
              <w:bottom w:val="nil"/>
            </w:tcBorders>
          </w:tcPr>
          <w:p w14:paraId="5FD70DA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34A7D9" w14:textId="77777777" w:rsidR="006E40C9" w:rsidRPr="00584CA7" w:rsidRDefault="006E40C9">
            <w:pPr>
              <w:pStyle w:val="MeasureTableTextLeftAligned"/>
            </w:pPr>
            <w:r>
              <w:t>Not Applicable</w:t>
            </w:r>
          </w:p>
        </w:tc>
        <w:tc>
          <w:tcPr>
            <w:tcW w:w="1500" w:type="dxa"/>
            <w:gridSpan w:val="2"/>
            <w:tcBorders>
              <w:top w:val="nil"/>
              <w:bottom w:val="nil"/>
            </w:tcBorders>
          </w:tcPr>
          <w:p w14:paraId="77180F4A" w14:textId="77777777" w:rsidR="006E40C9" w:rsidRDefault="006E40C9">
            <w:pPr>
              <w:pStyle w:val="MeasureTableTextItalic"/>
            </w:pPr>
            <w:r>
              <w:t>* Category</w:t>
            </w:r>
          </w:p>
        </w:tc>
        <w:tc>
          <w:tcPr>
            <w:tcW w:w="1124" w:type="dxa"/>
            <w:gridSpan w:val="2"/>
            <w:tcBorders>
              <w:top w:val="nil"/>
              <w:bottom w:val="nil"/>
            </w:tcBorders>
          </w:tcPr>
          <w:p w14:paraId="710F7374" w14:textId="77777777" w:rsidR="006E40C9" w:rsidRDefault="006E40C9">
            <w:pPr>
              <w:pStyle w:val="MeasureTableTextLeftAligned"/>
            </w:pPr>
            <w:r>
              <w:t>1+</w:t>
            </w:r>
          </w:p>
        </w:tc>
      </w:tr>
      <w:tr w:rsidR="006E40C9" w14:paraId="2A168A1E" w14:textId="77777777">
        <w:trPr>
          <w:cantSplit/>
          <w:jc w:val="center"/>
        </w:trPr>
        <w:tc>
          <w:tcPr>
            <w:tcW w:w="1934" w:type="dxa"/>
            <w:gridSpan w:val="2"/>
            <w:tcBorders>
              <w:top w:val="nil"/>
              <w:bottom w:val="nil"/>
            </w:tcBorders>
          </w:tcPr>
          <w:p w14:paraId="71562B1C" w14:textId="77777777" w:rsidR="006E40C9" w:rsidRDefault="006E40C9">
            <w:pPr>
              <w:pStyle w:val="MeasureTableTextItalic"/>
            </w:pPr>
            <w:r>
              <w:t>Commencement date:</w:t>
            </w:r>
          </w:p>
        </w:tc>
        <w:tc>
          <w:tcPr>
            <w:tcW w:w="3179" w:type="dxa"/>
            <w:gridSpan w:val="4"/>
            <w:tcBorders>
              <w:top w:val="nil"/>
              <w:bottom w:val="nil"/>
            </w:tcBorders>
          </w:tcPr>
          <w:p w14:paraId="11C0CAA2" w14:textId="77777777" w:rsidR="006E40C9" w:rsidRDefault="006E40C9">
            <w:pPr>
              <w:pStyle w:val="MeasureTableTextLeftAligned"/>
            </w:pPr>
            <w:r>
              <w:t>Introduced before 1985</w:t>
            </w:r>
          </w:p>
        </w:tc>
        <w:tc>
          <w:tcPr>
            <w:tcW w:w="1500" w:type="dxa"/>
            <w:gridSpan w:val="2"/>
            <w:tcBorders>
              <w:top w:val="nil"/>
              <w:bottom w:val="nil"/>
            </w:tcBorders>
          </w:tcPr>
          <w:p w14:paraId="2C2A6D43" w14:textId="77777777" w:rsidR="006E40C9" w:rsidRPr="00F32057" w:rsidRDefault="006E40C9">
            <w:pPr>
              <w:pStyle w:val="MeasureTableTextItalic"/>
            </w:pPr>
            <w:r>
              <w:t>Expiry date:</w:t>
            </w:r>
          </w:p>
        </w:tc>
        <w:tc>
          <w:tcPr>
            <w:tcW w:w="1124" w:type="dxa"/>
            <w:gridSpan w:val="2"/>
            <w:tcBorders>
              <w:top w:val="nil"/>
              <w:bottom w:val="nil"/>
            </w:tcBorders>
          </w:tcPr>
          <w:p w14:paraId="72AE76F5" w14:textId="77777777" w:rsidR="006E40C9" w:rsidRPr="00F32057" w:rsidRDefault="006E40C9">
            <w:pPr>
              <w:pStyle w:val="MeasureTableTextLeftAligned"/>
            </w:pPr>
          </w:p>
        </w:tc>
      </w:tr>
      <w:tr w:rsidR="006E40C9" w14:paraId="4A069984" w14:textId="77777777">
        <w:trPr>
          <w:cantSplit/>
          <w:jc w:val="center"/>
        </w:trPr>
        <w:tc>
          <w:tcPr>
            <w:tcW w:w="1934" w:type="dxa"/>
            <w:gridSpan w:val="2"/>
            <w:tcBorders>
              <w:top w:val="nil"/>
            </w:tcBorders>
          </w:tcPr>
          <w:p w14:paraId="3DBD7724" w14:textId="77777777" w:rsidR="006E40C9" w:rsidRDefault="006E40C9">
            <w:pPr>
              <w:pStyle w:val="MeasureTableTextItalic"/>
            </w:pPr>
            <w:r>
              <w:t>Legislative reference:</w:t>
            </w:r>
          </w:p>
        </w:tc>
        <w:tc>
          <w:tcPr>
            <w:tcW w:w="5803" w:type="dxa"/>
            <w:gridSpan w:val="8"/>
            <w:tcBorders>
              <w:top w:val="nil"/>
            </w:tcBorders>
          </w:tcPr>
          <w:p w14:paraId="28907C8B"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International Organisations (Privileges and Immunities) Act 1963</w:t>
            </w:r>
          </w:p>
        </w:tc>
      </w:tr>
    </w:tbl>
    <w:p w14:paraId="7A3C3F8E" w14:textId="77777777" w:rsidR="006E40C9" w:rsidRPr="00540040" w:rsidRDefault="006E40C9" w:rsidP="006E40C9">
      <w:pPr>
        <w:pStyle w:val="MeasureTableHeading"/>
      </w:pPr>
    </w:p>
    <w:p w14:paraId="745F2C49" w14:textId="77777777" w:rsidR="006E40C9" w:rsidRDefault="006E40C9" w:rsidP="006E40C9">
      <w:r>
        <w:t>The benchmark tax treatment is that personal services income derived by individuals is included in their assessable income and taxed at the applicable rate. However, the official remuneration of officials of prescribed international organisations (such as the Organisation for Economic Cooperation and Development)</w:t>
      </w:r>
      <w:r>
        <w:fldChar w:fldCharType="begin"/>
      </w:r>
      <w:r>
        <w:instrText xml:space="preserve"> XE "International organisations" </w:instrText>
      </w:r>
      <w:r>
        <w:fldChar w:fldCharType="end"/>
      </w:r>
      <w:r>
        <w:t xml:space="preserve"> may be exempt from income tax as part of the privileges and immunities required under the terms of certain international agreements. </w:t>
      </w:r>
    </w:p>
    <w:p w14:paraId="0232D68C" w14:textId="77777777" w:rsidR="006E40C9" w:rsidRDefault="006E40C9" w:rsidP="0003254D">
      <w:pPr>
        <w:pStyle w:val="Heading3"/>
      </w:pPr>
      <w:r>
        <w:t>International tax expenditures</w:t>
      </w:r>
    </w:p>
    <w:p w14:paraId="735D6D3B" w14:textId="77777777" w:rsidR="006E40C9" w:rsidRDefault="006E40C9" w:rsidP="0003254D">
      <w:pPr>
        <w:pStyle w:val="Heading4"/>
      </w:pPr>
      <w:r>
        <w:t>A5</w:t>
      </w:r>
      <w:r>
        <w:tab/>
        <w:t>Exemption for New Zealand sporting teams and support staff</w:t>
      </w:r>
    </w:p>
    <w:p w14:paraId="62346F5D"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F0701EA" w14:textId="77777777">
        <w:trPr>
          <w:cantSplit/>
          <w:jc w:val="center"/>
        </w:trPr>
        <w:tc>
          <w:tcPr>
            <w:tcW w:w="967" w:type="dxa"/>
            <w:tcBorders>
              <w:top w:val="single" w:sz="2" w:space="0" w:color="auto"/>
              <w:bottom w:val="single" w:sz="2" w:space="0" w:color="auto"/>
            </w:tcBorders>
          </w:tcPr>
          <w:p w14:paraId="10A1282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18EA3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31D9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7809F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229C2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5CD34B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6C6B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6AECB1" w14:textId="77777777" w:rsidR="006E40C9" w:rsidRDefault="006E40C9">
            <w:pPr>
              <w:pStyle w:val="MeasureTableTextRightAligned"/>
            </w:pPr>
            <w:r>
              <w:t>2027-28</w:t>
            </w:r>
          </w:p>
        </w:tc>
      </w:tr>
      <w:tr w:rsidR="006E40C9" w14:paraId="4B56E3DC" w14:textId="77777777">
        <w:trPr>
          <w:cantSplit/>
          <w:jc w:val="center"/>
        </w:trPr>
        <w:tc>
          <w:tcPr>
            <w:tcW w:w="967" w:type="dxa"/>
            <w:tcBorders>
              <w:top w:val="single" w:sz="2" w:space="0" w:color="auto"/>
              <w:bottom w:val="single" w:sz="2" w:space="0" w:color="auto"/>
            </w:tcBorders>
          </w:tcPr>
          <w:p w14:paraId="5AE15003"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C773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A3415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0E50F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43F91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B751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C62D4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6C3A9D2" w14:textId="77777777" w:rsidR="006E40C9" w:rsidRDefault="006E40C9">
            <w:pPr>
              <w:pStyle w:val="MeasureTableTextRightAligned"/>
            </w:pPr>
            <w:r>
              <w:t>-</w:t>
            </w:r>
          </w:p>
        </w:tc>
      </w:tr>
      <w:tr w:rsidR="006E40C9" w14:paraId="7B0AA191" w14:textId="77777777">
        <w:trPr>
          <w:cantSplit/>
          <w:jc w:val="center"/>
        </w:trPr>
        <w:tc>
          <w:tcPr>
            <w:tcW w:w="1934" w:type="dxa"/>
            <w:gridSpan w:val="2"/>
            <w:tcBorders>
              <w:top w:val="single" w:sz="2" w:space="0" w:color="auto"/>
              <w:bottom w:val="nil"/>
            </w:tcBorders>
          </w:tcPr>
          <w:p w14:paraId="5F70517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F1A382" w14:textId="77777777" w:rsidR="006E40C9" w:rsidRDefault="006E40C9">
            <w:pPr>
              <w:pStyle w:val="MeasureTableTextLeftAligned"/>
            </w:pPr>
            <w:r>
              <w:t>Exemption</w:t>
            </w:r>
          </w:p>
        </w:tc>
        <w:tc>
          <w:tcPr>
            <w:tcW w:w="1500" w:type="dxa"/>
            <w:gridSpan w:val="2"/>
            <w:tcBorders>
              <w:top w:val="single" w:sz="2" w:space="0" w:color="auto"/>
              <w:bottom w:val="nil"/>
            </w:tcBorders>
          </w:tcPr>
          <w:p w14:paraId="3B1AA04C" w14:textId="1AAB24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7845702" w14:textId="77777777" w:rsidR="006E40C9" w:rsidRDefault="006E40C9">
            <w:pPr>
              <w:pStyle w:val="MeasureTableTextLeftAligned"/>
            </w:pPr>
            <w:r>
              <w:t>A5</w:t>
            </w:r>
          </w:p>
        </w:tc>
      </w:tr>
      <w:tr w:rsidR="006E40C9" w14:paraId="4EC05B78" w14:textId="77777777">
        <w:trPr>
          <w:cantSplit/>
          <w:jc w:val="center"/>
        </w:trPr>
        <w:tc>
          <w:tcPr>
            <w:tcW w:w="1934" w:type="dxa"/>
            <w:gridSpan w:val="2"/>
            <w:tcBorders>
              <w:top w:val="nil"/>
              <w:bottom w:val="nil"/>
            </w:tcBorders>
          </w:tcPr>
          <w:p w14:paraId="61E5409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EAF57C" w14:textId="77777777" w:rsidR="006E40C9" w:rsidRPr="00584CA7" w:rsidRDefault="006E40C9">
            <w:pPr>
              <w:pStyle w:val="MeasureTableTextLeftAligned"/>
            </w:pPr>
            <w:r>
              <w:t>Not Applicable</w:t>
            </w:r>
          </w:p>
        </w:tc>
        <w:tc>
          <w:tcPr>
            <w:tcW w:w="1500" w:type="dxa"/>
            <w:gridSpan w:val="2"/>
            <w:tcBorders>
              <w:top w:val="nil"/>
              <w:bottom w:val="nil"/>
            </w:tcBorders>
          </w:tcPr>
          <w:p w14:paraId="7AD864B8" w14:textId="77777777" w:rsidR="006E40C9" w:rsidRDefault="006E40C9">
            <w:pPr>
              <w:pStyle w:val="MeasureTableTextItalic"/>
            </w:pPr>
            <w:r>
              <w:t>* Category</w:t>
            </w:r>
          </w:p>
        </w:tc>
        <w:tc>
          <w:tcPr>
            <w:tcW w:w="1124" w:type="dxa"/>
            <w:gridSpan w:val="2"/>
            <w:tcBorders>
              <w:top w:val="nil"/>
              <w:bottom w:val="nil"/>
            </w:tcBorders>
          </w:tcPr>
          <w:p w14:paraId="5A9CDC68" w14:textId="77777777" w:rsidR="006E40C9" w:rsidRDefault="006E40C9">
            <w:pPr>
              <w:pStyle w:val="MeasureTableTextLeftAligned"/>
            </w:pPr>
            <w:r>
              <w:t>1+</w:t>
            </w:r>
          </w:p>
        </w:tc>
      </w:tr>
      <w:tr w:rsidR="006E40C9" w14:paraId="1CFF0565" w14:textId="77777777">
        <w:trPr>
          <w:cantSplit/>
          <w:jc w:val="center"/>
        </w:trPr>
        <w:tc>
          <w:tcPr>
            <w:tcW w:w="1934" w:type="dxa"/>
            <w:gridSpan w:val="2"/>
            <w:tcBorders>
              <w:top w:val="nil"/>
              <w:bottom w:val="nil"/>
            </w:tcBorders>
          </w:tcPr>
          <w:p w14:paraId="4481F4B1" w14:textId="77777777" w:rsidR="006E40C9" w:rsidRDefault="006E40C9">
            <w:pPr>
              <w:pStyle w:val="MeasureTableTextItalic"/>
            </w:pPr>
            <w:r>
              <w:t>Commencement date:</w:t>
            </w:r>
          </w:p>
        </w:tc>
        <w:tc>
          <w:tcPr>
            <w:tcW w:w="3179" w:type="dxa"/>
            <w:gridSpan w:val="4"/>
            <w:tcBorders>
              <w:top w:val="nil"/>
              <w:bottom w:val="nil"/>
            </w:tcBorders>
          </w:tcPr>
          <w:p w14:paraId="48950BEF" w14:textId="77777777" w:rsidR="006E40C9" w:rsidRDefault="006E40C9">
            <w:pPr>
              <w:pStyle w:val="MeasureTableTextLeftAligned"/>
            </w:pPr>
            <w:r>
              <w:t>1 July 2020</w:t>
            </w:r>
          </w:p>
        </w:tc>
        <w:tc>
          <w:tcPr>
            <w:tcW w:w="1500" w:type="dxa"/>
            <w:gridSpan w:val="2"/>
            <w:tcBorders>
              <w:top w:val="nil"/>
              <w:bottom w:val="nil"/>
            </w:tcBorders>
          </w:tcPr>
          <w:p w14:paraId="18F79D4E" w14:textId="77777777" w:rsidR="006E40C9" w:rsidRPr="00F32057" w:rsidRDefault="006E40C9">
            <w:pPr>
              <w:pStyle w:val="MeasureTableTextItalic"/>
            </w:pPr>
            <w:r>
              <w:t>Expiry date:</w:t>
            </w:r>
          </w:p>
        </w:tc>
        <w:tc>
          <w:tcPr>
            <w:tcW w:w="1124" w:type="dxa"/>
            <w:gridSpan w:val="2"/>
            <w:tcBorders>
              <w:top w:val="nil"/>
              <w:bottom w:val="nil"/>
            </w:tcBorders>
          </w:tcPr>
          <w:p w14:paraId="6E5A65C4" w14:textId="77777777" w:rsidR="006E40C9" w:rsidRPr="00F32057" w:rsidRDefault="006E40C9">
            <w:pPr>
              <w:pStyle w:val="MeasureTableTextLeftAligned"/>
            </w:pPr>
          </w:p>
        </w:tc>
      </w:tr>
      <w:tr w:rsidR="006E40C9" w14:paraId="2CDFBFFA" w14:textId="77777777">
        <w:trPr>
          <w:cantSplit/>
          <w:jc w:val="center"/>
        </w:trPr>
        <w:tc>
          <w:tcPr>
            <w:tcW w:w="1934" w:type="dxa"/>
            <w:gridSpan w:val="2"/>
            <w:tcBorders>
              <w:top w:val="nil"/>
            </w:tcBorders>
          </w:tcPr>
          <w:p w14:paraId="7E7EAA76" w14:textId="77777777" w:rsidR="006E40C9" w:rsidRDefault="006E40C9">
            <w:pPr>
              <w:pStyle w:val="MeasureTableTextItalic"/>
            </w:pPr>
            <w:r>
              <w:t>Legislative reference:</w:t>
            </w:r>
          </w:p>
        </w:tc>
        <w:tc>
          <w:tcPr>
            <w:tcW w:w="5803" w:type="dxa"/>
            <w:gridSpan w:val="8"/>
            <w:tcBorders>
              <w:top w:val="nil"/>
            </w:tcBorders>
          </w:tcPr>
          <w:p w14:paraId="5C5E689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6B of the </w:t>
            </w:r>
            <w:r>
              <w:rPr>
                <w:rFonts w:ascii="Arial" w:hAnsi="Arial" w:cs="Arial"/>
                <w:i/>
                <w:iCs/>
                <w:color w:val="000000"/>
                <w:sz w:val="16"/>
                <w:szCs w:val="16"/>
              </w:rPr>
              <w:t>International Tax Agreements Act 1953</w:t>
            </w:r>
          </w:p>
        </w:tc>
      </w:tr>
    </w:tbl>
    <w:p w14:paraId="1ED4A01B" w14:textId="77777777" w:rsidR="006E40C9" w:rsidRPr="00540040" w:rsidRDefault="006E40C9" w:rsidP="006E40C9">
      <w:pPr>
        <w:pStyle w:val="MeasureTableHeading"/>
      </w:pPr>
    </w:p>
    <w:p w14:paraId="5E0EEDD2" w14:textId="019AE89A" w:rsidR="006E40C9" w:rsidRDefault="006E40C9" w:rsidP="006E40C9">
      <w:r w:rsidRPr="00D85DA3">
        <w:t>The benchmark tax treatment under the Australia</w:t>
      </w:r>
      <w:r w:rsidRPr="00D85DA3">
        <w:noBreakHyphen/>
        <w:t>New Zealand Double Tax Convention are that income tax and any associated fringe benefits tax liabilities is paid where New Zealand sportspersons</w:t>
      </w:r>
      <w:r>
        <w:t xml:space="preserve"> </w:t>
      </w:r>
      <w:r w:rsidRPr="00D85DA3">
        <w:fldChar w:fldCharType="begin"/>
      </w:r>
      <w:r w:rsidRPr="00D85DA3">
        <w:instrText xml:space="preserve"> XE "Sportspersons:New Zealand" </w:instrText>
      </w:r>
      <w:r w:rsidRPr="00D85DA3">
        <w:fldChar w:fldCharType="end"/>
      </w:r>
      <w:r w:rsidRPr="00D85DA3">
        <w:t>and support staff spend more than 183 days in Australia in a 12</w:t>
      </w:r>
      <w:r w:rsidRPr="00D85DA3">
        <w:noBreakHyphen/>
        <w:t>month period. However, employment income and associated fringe benefits for the 2020</w:t>
      </w:r>
      <w:r w:rsidRPr="00D85DA3">
        <w:noBreakHyphen/>
        <w:t>21 and 2021</w:t>
      </w:r>
      <w:r w:rsidRPr="00D85DA3">
        <w:noBreakHyphen/>
        <w:t>22 income and fringe benefits tax years for sportspersons and support staff of New Zealand sporting teams are exempt from tax in Australia where they have been required to spend an extended time in Australia to compete in league competitions due to COVID</w:t>
      </w:r>
      <w:r w:rsidRPr="00D85DA3">
        <w:noBreakHyphen/>
        <w:t>19</w:t>
      </w:r>
      <w:r w:rsidRPr="00D85DA3">
        <w:fldChar w:fldCharType="begin"/>
      </w:r>
      <w:r w:rsidRPr="00D85DA3">
        <w:instrText xml:space="preserve"> XE "COVID-19:Response" </w:instrText>
      </w:r>
      <w:r w:rsidRPr="00D85DA3">
        <w:fldChar w:fldCharType="end"/>
      </w:r>
      <w:r w:rsidRPr="00D85DA3">
        <w:t xml:space="preserve">. </w:t>
      </w:r>
      <w:r w:rsidRPr="00D85DA3">
        <w:fldChar w:fldCharType="begin"/>
      </w:r>
      <w:r w:rsidRPr="00D85DA3">
        <w:instrText xml:space="preserve"> XE "New Zealand sporting teams" </w:instrText>
      </w:r>
      <w:r w:rsidRPr="00D85DA3">
        <w:fldChar w:fldCharType="end"/>
      </w:r>
    </w:p>
    <w:p w14:paraId="7DC66C19" w14:textId="77777777" w:rsidR="006E40C9" w:rsidRDefault="006E40C9" w:rsidP="0003254D">
      <w:pPr>
        <w:pStyle w:val="Heading3"/>
      </w:pPr>
      <w:r>
        <w:t>Tax expenditures for defence</w:t>
      </w:r>
    </w:p>
    <w:p w14:paraId="402E00FB" w14:textId="1248825A" w:rsidR="006E40C9" w:rsidRDefault="006E40C9" w:rsidP="0003254D">
      <w:pPr>
        <w:pStyle w:val="Heading4"/>
      </w:pPr>
      <w:r>
        <w:t>A6</w:t>
      </w:r>
      <w:r>
        <w:tab/>
        <w:t xml:space="preserve">Australian Defence Force personnel </w:t>
      </w:r>
      <w:r w:rsidR="000A4999">
        <w:t>–</w:t>
      </w:r>
      <w:r>
        <w:t xml:space="preserve"> exemption of certain allowances</w:t>
      </w:r>
    </w:p>
    <w:p w14:paraId="3FE86770"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7DFB7" w14:textId="77777777">
        <w:trPr>
          <w:cantSplit/>
          <w:jc w:val="center"/>
        </w:trPr>
        <w:tc>
          <w:tcPr>
            <w:tcW w:w="967" w:type="dxa"/>
            <w:tcBorders>
              <w:top w:val="single" w:sz="2" w:space="0" w:color="auto"/>
              <w:bottom w:val="single" w:sz="2" w:space="0" w:color="auto"/>
            </w:tcBorders>
          </w:tcPr>
          <w:p w14:paraId="51D50DC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7D65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A5148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11E7D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7F8310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77D67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004AE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345F941" w14:textId="77777777" w:rsidR="006E40C9" w:rsidRDefault="006E40C9">
            <w:pPr>
              <w:pStyle w:val="MeasureTableTextRightAligned"/>
            </w:pPr>
            <w:r>
              <w:t>2027-28</w:t>
            </w:r>
          </w:p>
        </w:tc>
      </w:tr>
      <w:tr w:rsidR="006E40C9" w14:paraId="15991E6C" w14:textId="77777777">
        <w:trPr>
          <w:cantSplit/>
          <w:jc w:val="center"/>
        </w:trPr>
        <w:tc>
          <w:tcPr>
            <w:tcW w:w="967" w:type="dxa"/>
            <w:tcBorders>
              <w:top w:val="single" w:sz="2" w:space="0" w:color="auto"/>
              <w:bottom w:val="single" w:sz="2" w:space="0" w:color="auto"/>
            </w:tcBorders>
          </w:tcPr>
          <w:p w14:paraId="57CE7D05"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9F074E"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1AE7F0B0"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4F095000"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334EF574"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772B3ABB"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5078FEBC"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4CD1543A" w14:textId="77777777" w:rsidR="006E40C9" w:rsidRDefault="006E40C9">
            <w:pPr>
              <w:pStyle w:val="MeasureTableTextRightAligned"/>
            </w:pPr>
            <w:r>
              <w:t>15</w:t>
            </w:r>
          </w:p>
        </w:tc>
      </w:tr>
      <w:tr w:rsidR="006E40C9" w14:paraId="190FF859" w14:textId="77777777">
        <w:trPr>
          <w:cantSplit/>
          <w:jc w:val="center"/>
        </w:trPr>
        <w:tc>
          <w:tcPr>
            <w:tcW w:w="1934" w:type="dxa"/>
            <w:gridSpan w:val="2"/>
            <w:tcBorders>
              <w:top w:val="single" w:sz="2" w:space="0" w:color="auto"/>
              <w:bottom w:val="nil"/>
            </w:tcBorders>
          </w:tcPr>
          <w:p w14:paraId="2E30D78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C9E62F" w14:textId="77777777" w:rsidR="006E40C9" w:rsidRDefault="006E40C9">
            <w:pPr>
              <w:pStyle w:val="MeasureTableTextLeftAligned"/>
            </w:pPr>
            <w:r>
              <w:t>Exemption</w:t>
            </w:r>
          </w:p>
        </w:tc>
        <w:tc>
          <w:tcPr>
            <w:tcW w:w="1500" w:type="dxa"/>
            <w:gridSpan w:val="2"/>
            <w:tcBorders>
              <w:top w:val="single" w:sz="2" w:space="0" w:color="auto"/>
              <w:bottom w:val="nil"/>
            </w:tcBorders>
          </w:tcPr>
          <w:p w14:paraId="36906820" w14:textId="5F50BB6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F75F4D" w14:textId="77777777" w:rsidR="006E40C9" w:rsidRDefault="006E40C9">
            <w:pPr>
              <w:pStyle w:val="MeasureTableTextLeftAligned"/>
            </w:pPr>
            <w:r>
              <w:t>A6</w:t>
            </w:r>
          </w:p>
        </w:tc>
      </w:tr>
      <w:tr w:rsidR="006E40C9" w14:paraId="1D6E8BAD" w14:textId="77777777">
        <w:trPr>
          <w:cantSplit/>
          <w:jc w:val="center"/>
        </w:trPr>
        <w:tc>
          <w:tcPr>
            <w:tcW w:w="1934" w:type="dxa"/>
            <w:gridSpan w:val="2"/>
            <w:tcBorders>
              <w:top w:val="nil"/>
              <w:bottom w:val="nil"/>
            </w:tcBorders>
          </w:tcPr>
          <w:p w14:paraId="14B72C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45209A" w14:textId="77777777" w:rsidR="006E40C9" w:rsidRPr="00584CA7" w:rsidRDefault="006E40C9">
            <w:pPr>
              <w:pStyle w:val="MeasureTableTextLeftAligned"/>
            </w:pPr>
            <w:r>
              <w:t>Medium</w:t>
            </w:r>
          </w:p>
        </w:tc>
        <w:tc>
          <w:tcPr>
            <w:tcW w:w="1500" w:type="dxa"/>
            <w:gridSpan w:val="2"/>
            <w:tcBorders>
              <w:top w:val="nil"/>
              <w:bottom w:val="nil"/>
            </w:tcBorders>
          </w:tcPr>
          <w:p w14:paraId="41008D1C" w14:textId="77777777" w:rsidR="006E40C9" w:rsidRDefault="006E40C9">
            <w:pPr>
              <w:pStyle w:val="MeasureTableTextItalic"/>
            </w:pPr>
          </w:p>
        </w:tc>
        <w:tc>
          <w:tcPr>
            <w:tcW w:w="1124" w:type="dxa"/>
            <w:gridSpan w:val="2"/>
            <w:tcBorders>
              <w:top w:val="nil"/>
              <w:bottom w:val="nil"/>
            </w:tcBorders>
          </w:tcPr>
          <w:p w14:paraId="4D324ADB" w14:textId="77777777" w:rsidR="006E40C9" w:rsidRDefault="006E40C9">
            <w:pPr>
              <w:pStyle w:val="MeasureTableTextLeftAligned"/>
            </w:pPr>
          </w:p>
        </w:tc>
      </w:tr>
      <w:tr w:rsidR="006E40C9" w14:paraId="4CAFC196" w14:textId="77777777">
        <w:trPr>
          <w:cantSplit/>
          <w:jc w:val="center"/>
        </w:trPr>
        <w:tc>
          <w:tcPr>
            <w:tcW w:w="1934" w:type="dxa"/>
            <w:gridSpan w:val="2"/>
            <w:tcBorders>
              <w:top w:val="nil"/>
              <w:bottom w:val="nil"/>
            </w:tcBorders>
          </w:tcPr>
          <w:p w14:paraId="34F136B4" w14:textId="77777777" w:rsidR="006E40C9" w:rsidRDefault="006E40C9">
            <w:pPr>
              <w:pStyle w:val="MeasureTableTextItalic"/>
            </w:pPr>
            <w:r>
              <w:t>Commencement date:</w:t>
            </w:r>
          </w:p>
        </w:tc>
        <w:tc>
          <w:tcPr>
            <w:tcW w:w="3179" w:type="dxa"/>
            <w:gridSpan w:val="4"/>
            <w:tcBorders>
              <w:top w:val="nil"/>
              <w:bottom w:val="nil"/>
            </w:tcBorders>
          </w:tcPr>
          <w:p w14:paraId="24CC5C7A" w14:textId="77777777" w:rsidR="006E40C9" w:rsidRDefault="006E40C9">
            <w:pPr>
              <w:pStyle w:val="MeasureTableTextLeftAligned"/>
            </w:pPr>
            <w:r>
              <w:t>Introduced before 1985</w:t>
            </w:r>
          </w:p>
        </w:tc>
        <w:tc>
          <w:tcPr>
            <w:tcW w:w="1500" w:type="dxa"/>
            <w:gridSpan w:val="2"/>
            <w:tcBorders>
              <w:top w:val="nil"/>
              <w:bottom w:val="nil"/>
            </w:tcBorders>
          </w:tcPr>
          <w:p w14:paraId="4F0479EE" w14:textId="77777777" w:rsidR="006E40C9" w:rsidRPr="00F32057" w:rsidRDefault="006E40C9">
            <w:pPr>
              <w:pStyle w:val="MeasureTableTextItalic"/>
            </w:pPr>
            <w:r>
              <w:t>Expiry date:</w:t>
            </w:r>
          </w:p>
        </w:tc>
        <w:tc>
          <w:tcPr>
            <w:tcW w:w="1124" w:type="dxa"/>
            <w:gridSpan w:val="2"/>
            <w:tcBorders>
              <w:top w:val="nil"/>
              <w:bottom w:val="nil"/>
            </w:tcBorders>
          </w:tcPr>
          <w:p w14:paraId="79C66F7B" w14:textId="77777777" w:rsidR="006E40C9" w:rsidRPr="00F32057" w:rsidRDefault="006E40C9">
            <w:pPr>
              <w:pStyle w:val="MeasureTableTextLeftAligned"/>
            </w:pPr>
          </w:p>
        </w:tc>
      </w:tr>
      <w:tr w:rsidR="006E40C9" w14:paraId="517CE0C0" w14:textId="77777777">
        <w:trPr>
          <w:cantSplit/>
          <w:jc w:val="center"/>
        </w:trPr>
        <w:tc>
          <w:tcPr>
            <w:tcW w:w="1934" w:type="dxa"/>
            <w:gridSpan w:val="2"/>
            <w:tcBorders>
              <w:top w:val="nil"/>
            </w:tcBorders>
          </w:tcPr>
          <w:p w14:paraId="0DA273BB" w14:textId="77777777" w:rsidR="006E40C9" w:rsidRDefault="006E40C9">
            <w:pPr>
              <w:pStyle w:val="MeasureTableTextItalic"/>
            </w:pPr>
            <w:r>
              <w:t>Legislative reference:</w:t>
            </w:r>
          </w:p>
        </w:tc>
        <w:tc>
          <w:tcPr>
            <w:tcW w:w="5803" w:type="dxa"/>
            <w:gridSpan w:val="8"/>
            <w:tcBorders>
              <w:top w:val="nil"/>
            </w:tcBorders>
          </w:tcPr>
          <w:p w14:paraId="2C3E976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51-5 of the </w:t>
            </w:r>
            <w:r>
              <w:rPr>
                <w:rFonts w:ascii="Arial" w:hAnsi="Arial" w:cs="Arial"/>
                <w:i/>
                <w:iCs/>
                <w:color w:val="000000"/>
                <w:sz w:val="16"/>
                <w:szCs w:val="16"/>
              </w:rPr>
              <w:t>Income Tax Assessment Act 1997</w:t>
            </w:r>
          </w:p>
          <w:p w14:paraId="784386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 51-5.01 of the </w:t>
            </w:r>
            <w:r>
              <w:rPr>
                <w:rFonts w:ascii="Arial" w:hAnsi="Arial" w:cs="Arial"/>
                <w:i/>
                <w:iCs/>
                <w:color w:val="000000"/>
                <w:sz w:val="16"/>
                <w:szCs w:val="16"/>
              </w:rPr>
              <w:t>Income Tax Assessment Regulations 1997</w:t>
            </w:r>
          </w:p>
        </w:tc>
      </w:tr>
    </w:tbl>
    <w:p w14:paraId="3EC6F3E7" w14:textId="77777777" w:rsidR="006E40C9" w:rsidRPr="00540040" w:rsidRDefault="006E40C9" w:rsidP="006E40C9">
      <w:pPr>
        <w:pStyle w:val="MeasureTableHeading"/>
      </w:pPr>
    </w:p>
    <w:p w14:paraId="7187A9B3" w14:textId="77777777" w:rsidR="006E40C9" w:rsidRDefault="006E40C9" w:rsidP="006E40C9">
      <w:r>
        <w:t xml:space="preserve">The benchmark tax treatment is that income tax is paid on the taxable income of a taxpayer for an income year at their applicable rate of tax. However, certain allowances payable to Australian Defence Force personnel </w:t>
      </w:r>
      <w:r>
        <w:fldChar w:fldCharType="begin"/>
      </w:r>
      <w:r>
        <w:instrText xml:space="preserve"> XE "Australian Defence Force personnel" </w:instrText>
      </w:r>
      <w:r>
        <w:fldChar w:fldCharType="end"/>
      </w:r>
      <w:r>
        <w:t>are exempt from income tax. These include separation allowance, disturbance allowance, transfer allowance, deployment allowance and prescribed parts of rent allowance.</w:t>
      </w:r>
    </w:p>
    <w:p w14:paraId="7C862E7C" w14:textId="38CB565D" w:rsidR="006E40C9" w:rsidRDefault="006E40C9" w:rsidP="0003254D">
      <w:pPr>
        <w:pStyle w:val="Heading4"/>
      </w:pPr>
      <w:r>
        <w:t>A7</w:t>
      </w:r>
      <w:r>
        <w:tab/>
        <w:t xml:space="preserve">Australian Defence Force personnel </w:t>
      </w:r>
      <w:r w:rsidR="00130689">
        <w:rPr>
          <w:rFonts w:cs="Arial"/>
        </w:rPr>
        <w:t>–</w:t>
      </w:r>
      <w:r>
        <w:t xml:space="preserve"> exemption of compensation for lost deployment allowance</w:t>
      </w:r>
    </w:p>
    <w:p w14:paraId="42B251F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1EA884E" w14:textId="77777777">
        <w:trPr>
          <w:cantSplit/>
          <w:jc w:val="center"/>
        </w:trPr>
        <w:tc>
          <w:tcPr>
            <w:tcW w:w="967" w:type="dxa"/>
            <w:tcBorders>
              <w:top w:val="single" w:sz="2" w:space="0" w:color="auto"/>
              <w:bottom w:val="single" w:sz="2" w:space="0" w:color="auto"/>
            </w:tcBorders>
          </w:tcPr>
          <w:p w14:paraId="4E005C5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E3FC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4D4F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0285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C5DC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0989C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CF52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4645A5" w14:textId="77777777" w:rsidR="006E40C9" w:rsidRDefault="006E40C9">
            <w:pPr>
              <w:pStyle w:val="MeasureTableTextRightAligned"/>
            </w:pPr>
            <w:r>
              <w:t>2027-28</w:t>
            </w:r>
          </w:p>
        </w:tc>
      </w:tr>
      <w:tr w:rsidR="006E40C9" w14:paraId="1C41C96A" w14:textId="77777777">
        <w:trPr>
          <w:cantSplit/>
          <w:jc w:val="center"/>
        </w:trPr>
        <w:tc>
          <w:tcPr>
            <w:tcW w:w="967" w:type="dxa"/>
            <w:tcBorders>
              <w:top w:val="single" w:sz="2" w:space="0" w:color="auto"/>
              <w:bottom w:val="single" w:sz="2" w:space="0" w:color="auto"/>
            </w:tcBorders>
          </w:tcPr>
          <w:p w14:paraId="4D7C0F79"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6A679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1566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FE71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B56B2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FC13D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9140E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B746B35" w14:textId="77777777" w:rsidR="006E40C9" w:rsidRDefault="006E40C9">
            <w:pPr>
              <w:pStyle w:val="MeasureTableTextRightAligned"/>
            </w:pPr>
            <w:r>
              <w:t>*</w:t>
            </w:r>
          </w:p>
        </w:tc>
      </w:tr>
      <w:tr w:rsidR="006E40C9" w14:paraId="2A5F0BDC" w14:textId="77777777">
        <w:trPr>
          <w:cantSplit/>
          <w:jc w:val="center"/>
        </w:trPr>
        <w:tc>
          <w:tcPr>
            <w:tcW w:w="1934" w:type="dxa"/>
            <w:gridSpan w:val="2"/>
            <w:tcBorders>
              <w:top w:val="single" w:sz="2" w:space="0" w:color="auto"/>
              <w:bottom w:val="nil"/>
            </w:tcBorders>
          </w:tcPr>
          <w:p w14:paraId="22D8B65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ED7B803" w14:textId="77777777" w:rsidR="006E40C9" w:rsidRDefault="006E40C9">
            <w:pPr>
              <w:pStyle w:val="MeasureTableTextLeftAligned"/>
            </w:pPr>
            <w:r>
              <w:t>Exemption</w:t>
            </w:r>
          </w:p>
        </w:tc>
        <w:tc>
          <w:tcPr>
            <w:tcW w:w="1500" w:type="dxa"/>
            <w:gridSpan w:val="2"/>
            <w:tcBorders>
              <w:top w:val="single" w:sz="2" w:space="0" w:color="auto"/>
              <w:bottom w:val="nil"/>
            </w:tcBorders>
          </w:tcPr>
          <w:p w14:paraId="64BB42D3" w14:textId="1B0A00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EFF7CAE" w14:textId="77777777" w:rsidR="006E40C9" w:rsidRDefault="006E40C9">
            <w:pPr>
              <w:pStyle w:val="MeasureTableTextLeftAligned"/>
            </w:pPr>
            <w:r>
              <w:t>A7</w:t>
            </w:r>
          </w:p>
        </w:tc>
      </w:tr>
      <w:tr w:rsidR="006E40C9" w14:paraId="73895A4B" w14:textId="77777777">
        <w:trPr>
          <w:cantSplit/>
          <w:jc w:val="center"/>
        </w:trPr>
        <w:tc>
          <w:tcPr>
            <w:tcW w:w="1934" w:type="dxa"/>
            <w:gridSpan w:val="2"/>
            <w:tcBorders>
              <w:top w:val="nil"/>
              <w:bottom w:val="nil"/>
            </w:tcBorders>
          </w:tcPr>
          <w:p w14:paraId="1B56B91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074360" w14:textId="77777777" w:rsidR="006E40C9" w:rsidRPr="00584CA7" w:rsidRDefault="006E40C9">
            <w:pPr>
              <w:pStyle w:val="MeasureTableTextLeftAligned"/>
            </w:pPr>
            <w:r>
              <w:t>Not Applicable</w:t>
            </w:r>
          </w:p>
        </w:tc>
        <w:tc>
          <w:tcPr>
            <w:tcW w:w="1500" w:type="dxa"/>
            <w:gridSpan w:val="2"/>
            <w:tcBorders>
              <w:top w:val="nil"/>
              <w:bottom w:val="nil"/>
            </w:tcBorders>
          </w:tcPr>
          <w:p w14:paraId="56B0B787" w14:textId="77777777" w:rsidR="006E40C9" w:rsidRDefault="006E40C9">
            <w:pPr>
              <w:pStyle w:val="MeasureTableTextItalic"/>
            </w:pPr>
            <w:r>
              <w:t>* Category</w:t>
            </w:r>
          </w:p>
        </w:tc>
        <w:tc>
          <w:tcPr>
            <w:tcW w:w="1124" w:type="dxa"/>
            <w:gridSpan w:val="2"/>
            <w:tcBorders>
              <w:top w:val="nil"/>
              <w:bottom w:val="nil"/>
            </w:tcBorders>
          </w:tcPr>
          <w:p w14:paraId="547DA755" w14:textId="77777777" w:rsidR="006E40C9" w:rsidRDefault="006E40C9">
            <w:pPr>
              <w:pStyle w:val="MeasureTableTextLeftAligned"/>
            </w:pPr>
            <w:r>
              <w:t>1+</w:t>
            </w:r>
          </w:p>
        </w:tc>
      </w:tr>
      <w:tr w:rsidR="006E40C9" w14:paraId="3AA5AFF5" w14:textId="77777777">
        <w:trPr>
          <w:cantSplit/>
          <w:jc w:val="center"/>
        </w:trPr>
        <w:tc>
          <w:tcPr>
            <w:tcW w:w="1934" w:type="dxa"/>
            <w:gridSpan w:val="2"/>
            <w:tcBorders>
              <w:top w:val="nil"/>
              <w:bottom w:val="nil"/>
            </w:tcBorders>
          </w:tcPr>
          <w:p w14:paraId="7759D718" w14:textId="77777777" w:rsidR="006E40C9" w:rsidRDefault="006E40C9">
            <w:pPr>
              <w:pStyle w:val="MeasureTableTextItalic"/>
            </w:pPr>
            <w:r>
              <w:t>Commencement date:</w:t>
            </w:r>
          </w:p>
        </w:tc>
        <w:tc>
          <w:tcPr>
            <w:tcW w:w="3179" w:type="dxa"/>
            <w:gridSpan w:val="4"/>
            <w:tcBorders>
              <w:top w:val="nil"/>
              <w:bottom w:val="nil"/>
            </w:tcBorders>
          </w:tcPr>
          <w:p w14:paraId="4C9DAAA1" w14:textId="77777777" w:rsidR="006E40C9" w:rsidRDefault="006E40C9">
            <w:pPr>
              <w:pStyle w:val="MeasureTableTextLeftAligned"/>
            </w:pPr>
            <w:r>
              <w:t>1 July 1996</w:t>
            </w:r>
          </w:p>
        </w:tc>
        <w:tc>
          <w:tcPr>
            <w:tcW w:w="1500" w:type="dxa"/>
            <w:gridSpan w:val="2"/>
            <w:tcBorders>
              <w:top w:val="nil"/>
              <w:bottom w:val="nil"/>
            </w:tcBorders>
          </w:tcPr>
          <w:p w14:paraId="57A7C684" w14:textId="77777777" w:rsidR="006E40C9" w:rsidRPr="00F32057" w:rsidRDefault="006E40C9">
            <w:pPr>
              <w:pStyle w:val="MeasureTableTextItalic"/>
            </w:pPr>
            <w:r>
              <w:t>Expiry date:</w:t>
            </w:r>
          </w:p>
        </w:tc>
        <w:tc>
          <w:tcPr>
            <w:tcW w:w="1124" w:type="dxa"/>
            <w:gridSpan w:val="2"/>
            <w:tcBorders>
              <w:top w:val="nil"/>
              <w:bottom w:val="nil"/>
            </w:tcBorders>
          </w:tcPr>
          <w:p w14:paraId="5A77A299" w14:textId="77777777" w:rsidR="006E40C9" w:rsidRPr="00F32057" w:rsidRDefault="006E40C9">
            <w:pPr>
              <w:pStyle w:val="MeasureTableTextLeftAligned"/>
            </w:pPr>
          </w:p>
        </w:tc>
      </w:tr>
      <w:tr w:rsidR="006E40C9" w14:paraId="7D5E8A0B" w14:textId="77777777">
        <w:trPr>
          <w:cantSplit/>
          <w:jc w:val="center"/>
        </w:trPr>
        <w:tc>
          <w:tcPr>
            <w:tcW w:w="1934" w:type="dxa"/>
            <w:gridSpan w:val="2"/>
            <w:tcBorders>
              <w:top w:val="nil"/>
            </w:tcBorders>
          </w:tcPr>
          <w:p w14:paraId="015C24D2" w14:textId="77777777" w:rsidR="006E40C9" w:rsidRDefault="006E40C9">
            <w:pPr>
              <w:pStyle w:val="MeasureTableTextItalic"/>
            </w:pPr>
            <w:r>
              <w:t>Legislative reference:</w:t>
            </w:r>
          </w:p>
        </w:tc>
        <w:tc>
          <w:tcPr>
            <w:tcW w:w="5803" w:type="dxa"/>
            <w:gridSpan w:val="8"/>
            <w:tcBorders>
              <w:top w:val="nil"/>
            </w:tcBorders>
          </w:tcPr>
          <w:p w14:paraId="46FD457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51-5 and 51-32 of the</w:t>
            </w:r>
            <w:r>
              <w:rPr>
                <w:rFonts w:ascii="Arial" w:hAnsi="Arial" w:cs="Arial"/>
                <w:i/>
                <w:iCs/>
                <w:color w:val="000000"/>
                <w:sz w:val="16"/>
                <w:szCs w:val="16"/>
              </w:rPr>
              <w:t xml:space="preserve"> Income Tax Assessment Act 1997</w:t>
            </w:r>
          </w:p>
        </w:tc>
      </w:tr>
    </w:tbl>
    <w:p w14:paraId="2EE2CCEC" w14:textId="77777777" w:rsidR="006E40C9" w:rsidRPr="00540040" w:rsidRDefault="006E40C9" w:rsidP="006E40C9">
      <w:pPr>
        <w:pStyle w:val="MeasureTableHeading"/>
      </w:pPr>
    </w:p>
    <w:p w14:paraId="4DDC3633" w14:textId="2F61B0F3" w:rsidR="006E40C9" w:rsidRDefault="006E40C9" w:rsidP="006E40C9">
      <w:r>
        <w:t>The benchmark tax treatment is that income tax is paid on the taxable income of a taxpayer for an income year at their applicable rate of tax. However, Australian Defence Force personnel may receive compensation for the loss of deployment allowance where the deployment allowance ceases to be paid upon repatriation to Australia due to injuries sustained in a warlike situation. Such compensation payments are exempt from income tax.</w:t>
      </w:r>
    </w:p>
    <w:p w14:paraId="141832C6" w14:textId="772F6CE0" w:rsidR="006E40C9" w:rsidRDefault="006E40C9" w:rsidP="0003254D">
      <w:pPr>
        <w:pStyle w:val="Heading4"/>
      </w:pPr>
      <w:r>
        <w:t>A8</w:t>
      </w:r>
      <w:r>
        <w:tab/>
        <w:t xml:space="preserve">Australian Defence Force personnel </w:t>
      </w:r>
      <w:r w:rsidR="00130689">
        <w:rPr>
          <w:rFonts w:cs="Arial"/>
        </w:rPr>
        <w:t>–</w:t>
      </w:r>
      <w:r>
        <w:t xml:space="preserve"> exemption of pay and allowances earned while on eligible overseas duty</w:t>
      </w:r>
    </w:p>
    <w:p w14:paraId="7F608D26"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3D1C3A" w14:textId="77777777">
        <w:trPr>
          <w:cantSplit/>
          <w:jc w:val="center"/>
        </w:trPr>
        <w:tc>
          <w:tcPr>
            <w:tcW w:w="967" w:type="dxa"/>
            <w:tcBorders>
              <w:top w:val="single" w:sz="2" w:space="0" w:color="auto"/>
              <w:bottom w:val="single" w:sz="2" w:space="0" w:color="auto"/>
            </w:tcBorders>
          </w:tcPr>
          <w:p w14:paraId="3613E5F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46AE61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08D4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D7650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4C9B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8FA7B2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5251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FDD0B9" w14:textId="77777777" w:rsidR="006E40C9" w:rsidRDefault="006E40C9">
            <w:pPr>
              <w:pStyle w:val="MeasureTableTextRightAligned"/>
            </w:pPr>
            <w:r>
              <w:t>2027-28</w:t>
            </w:r>
          </w:p>
        </w:tc>
      </w:tr>
      <w:tr w:rsidR="006E40C9" w14:paraId="6029E245" w14:textId="77777777">
        <w:trPr>
          <w:cantSplit/>
          <w:jc w:val="center"/>
        </w:trPr>
        <w:tc>
          <w:tcPr>
            <w:tcW w:w="967" w:type="dxa"/>
            <w:tcBorders>
              <w:top w:val="single" w:sz="2" w:space="0" w:color="auto"/>
              <w:bottom w:val="single" w:sz="2" w:space="0" w:color="auto"/>
            </w:tcBorders>
          </w:tcPr>
          <w:p w14:paraId="5370C0CD" w14:textId="77777777" w:rsidR="006E40C9" w:rsidRDefault="006E40C9">
            <w:pPr>
              <w:pStyle w:val="MeasureTableTextRightAligned"/>
            </w:pPr>
            <w:r>
              <w:t>35</w:t>
            </w:r>
          </w:p>
        </w:tc>
        <w:tc>
          <w:tcPr>
            <w:tcW w:w="967" w:type="dxa"/>
            <w:tcBorders>
              <w:top w:val="single" w:sz="2" w:space="0" w:color="auto"/>
              <w:bottom w:val="single" w:sz="2" w:space="0" w:color="auto"/>
            </w:tcBorders>
          </w:tcPr>
          <w:p w14:paraId="27A1493F"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7183C861"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7AB30EA"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2D806E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20E65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3249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4363F5E" w14:textId="77777777" w:rsidR="006E40C9" w:rsidRDefault="006E40C9">
            <w:pPr>
              <w:pStyle w:val="MeasureTableTextRightAligned"/>
            </w:pPr>
            <w:r>
              <w:t>*</w:t>
            </w:r>
          </w:p>
        </w:tc>
      </w:tr>
      <w:tr w:rsidR="006E40C9" w14:paraId="781D1D61" w14:textId="77777777">
        <w:trPr>
          <w:cantSplit/>
          <w:jc w:val="center"/>
        </w:trPr>
        <w:tc>
          <w:tcPr>
            <w:tcW w:w="1934" w:type="dxa"/>
            <w:gridSpan w:val="2"/>
            <w:tcBorders>
              <w:top w:val="single" w:sz="2" w:space="0" w:color="auto"/>
              <w:bottom w:val="nil"/>
            </w:tcBorders>
          </w:tcPr>
          <w:p w14:paraId="41DA6B4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524015" w14:textId="77777777" w:rsidR="006E40C9" w:rsidRDefault="006E40C9">
            <w:pPr>
              <w:pStyle w:val="MeasureTableTextLeftAligned"/>
            </w:pPr>
            <w:r>
              <w:t>Exemption</w:t>
            </w:r>
          </w:p>
        </w:tc>
        <w:tc>
          <w:tcPr>
            <w:tcW w:w="1500" w:type="dxa"/>
            <w:gridSpan w:val="2"/>
            <w:tcBorders>
              <w:top w:val="single" w:sz="2" w:space="0" w:color="auto"/>
              <w:bottom w:val="nil"/>
            </w:tcBorders>
          </w:tcPr>
          <w:p w14:paraId="357155CC" w14:textId="44E117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F549CD" w14:textId="77777777" w:rsidR="006E40C9" w:rsidRDefault="006E40C9">
            <w:pPr>
              <w:pStyle w:val="MeasureTableTextLeftAligned"/>
            </w:pPr>
            <w:r>
              <w:t>A8</w:t>
            </w:r>
          </w:p>
        </w:tc>
      </w:tr>
      <w:tr w:rsidR="006E40C9" w14:paraId="01768583" w14:textId="77777777">
        <w:trPr>
          <w:cantSplit/>
          <w:jc w:val="center"/>
        </w:trPr>
        <w:tc>
          <w:tcPr>
            <w:tcW w:w="1934" w:type="dxa"/>
            <w:gridSpan w:val="2"/>
            <w:tcBorders>
              <w:top w:val="nil"/>
              <w:bottom w:val="nil"/>
            </w:tcBorders>
          </w:tcPr>
          <w:p w14:paraId="0FFCFF4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D96BE7" w14:textId="77777777" w:rsidR="006E40C9" w:rsidRPr="00584CA7" w:rsidRDefault="006E40C9">
            <w:pPr>
              <w:pStyle w:val="MeasureTableTextLeftAligned"/>
            </w:pPr>
            <w:r>
              <w:t>Not Applicable</w:t>
            </w:r>
          </w:p>
        </w:tc>
        <w:tc>
          <w:tcPr>
            <w:tcW w:w="1500" w:type="dxa"/>
            <w:gridSpan w:val="2"/>
            <w:tcBorders>
              <w:top w:val="nil"/>
              <w:bottom w:val="nil"/>
            </w:tcBorders>
          </w:tcPr>
          <w:p w14:paraId="6B0D7075" w14:textId="77777777" w:rsidR="006E40C9" w:rsidRDefault="006E40C9">
            <w:pPr>
              <w:pStyle w:val="MeasureTableTextItalic"/>
            </w:pPr>
            <w:r>
              <w:t>* Category</w:t>
            </w:r>
          </w:p>
        </w:tc>
        <w:tc>
          <w:tcPr>
            <w:tcW w:w="1124" w:type="dxa"/>
            <w:gridSpan w:val="2"/>
            <w:tcBorders>
              <w:top w:val="nil"/>
              <w:bottom w:val="nil"/>
            </w:tcBorders>
          </w:tcPr>
          <w:p w14:paraId="7DA015F0" w14:textId="77777777" w:rsidR="006E40C9" w:rsidRDefault="006E40C9">
            <w:pPr>
              <w:pStyle w:val="MeasureTableTextLeftAligned"/>
            </w:pPr>
            <w:r>
              <w:t>2+</w:t>
            </w:r>
          </w:p>
        </w:tc>
      </w:tr>
      <w:tr w:rsidR="006E40C9" w14:paraId="7214BDDF" w14:textId="77777777">
        <w:trPr>
          <w:cantSplit/>
          <w:jc w:val="center"/>
        </w:trPr>
        <w:tc>
          <w:tcPr>
            <w:tcW w:w="1934" w:type="dxa"/>
            <w:gridSpan w:val="2"/>
            <w:tcBorders>
              <w:top w:val="nil"/>
              <w:bottom w:val="nil"/>
            </w:tcBorders>
          </w:tcPr>
          <w:p w14:paraId="3AECA6AA" w14:textId="77777777" w:rsidR="006E40C9" w:rsidRDefault="006E40C9">
            <w:pPr>
              <w:pStyle w:val="MeasureTableTextItalic"/>
            </w:pPr>
            <w:r>
              <w:t>Commencement date:</w:t>
            </w:r>
          </w:p>
        </w:tc>
        <w:tc>
          <w:tcPr>
            <w:tcW w:w="3179" w:type="dxa"/>
            <w:gridSpan w:val="4"/>
            <w:tcBorders>
              <w:top w:val="nil"/>
              <w:bottom w:val="nil"/>
            </w:tcBorders>
          </w:tcPr>
          <w:p w14:paraId="23C2AAD1" w14:textId="77777777" w:rsidR="006E40C9" w:rsidRDefault="006E40C9">
            <w:pPr>
              <w:pStyle w:val="MeasureTableTextLeftAligned"/>
            </w:pPr>
            <w:r>
              <w:t>Introduced before 1985</w:t>
            </w:r>
          </w:p>
        </w:tc>
        <w:tc>
          <w:tcPr>
            <w:tcW w:w="1500" w:type="dxa"/>
            <w:gridSpan w:val="2"/>
            <w:tcBorders>
              <w:top w:val="nil"/>
              <w:bottom w:val="nil"/>
            </w:tcBorders>
          </w:tcPr>
          <w:p w14:paraId="7E1FD7CF" w14:textId="77777777" w:rsidR="006E40C9" w:rsidRPr="00F32057" w:rsidRDefault="006E40C9">
            <w:pPr>
              <w:pStyle w:val="MeasureTableTextItalic"/>
            </w:pPr>
            <w:r>
              <w:t>Expiry date:</w:t>
            </w:r>
          </w:p>
        </w:tc>
        <w:tc>
          <w:tcPr>
            <w:tcW w:w="1124" w:type="dxa"/>
            <w:gridSpan w:val="2"/>
            <w:tcBorders>
              <w:top w:val="nil"/>
              <w:bottom w:val="nil"/>
            </w:tcBorders>
          </w:tcPr>
          <w:p w14:paraId="26A70FC5" w14:textId="77777777" w:rsidR="006E40C9" w:rsidRPr="00F32057" w:rsidRDefault="006E40C9">
            <w:pPr>
              <w:pStyle w:val="MeasureTableTextLeftAligned"/>
            </w:pPr>
          </w:p>
        </w:tc>
      </w:tr>
      <w:tr w:rsidR="006E40C9" w14:paraId="1900C013" w14:textId="77777777">
        <w:trPr>
          <w:cantSplit/>
          <w:jc w:val="center"/>
        </w:trPr>
        <w:tc>
          <w:tcPr>
            <w:tcW w:w="1934" w:type="dxa"/>
            <w:gridSpan w:val="2"/>
            <w:tcBorders>
              <w:top w:val="nil"/>
            </w:tcBorders>
          </w:tcPr>
          <w:p w14:paraId="20C514E4" w14:textId="77777777" w:rsidR="006E40C9" w:rsidRDefault="006E40C9">
            <w:pPr>
              <w:pStyle w:val="MeasureTableTextItalic"/>
            </w:pPr>
            <w:r>
              <w:t>Legislative reference:</w:t>
            </w:r>
          </w:p>
        </w:tc>
        <w:tc>
          <w:tcPr>
            <w:tcW w:w="5803" w:type="dxa"/>
            <w:gridSpan w:val="8"/>
            <w:tcBorders>
              <w:top w:val="nil"/>
            </w:tcBorders>
          </w:tcPr>
          <w:p w14:paraId="43BF327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23AD of the </w:t>
            </w:r>
            <w:r>
              <w:rPr>
                <w:rFonts w:ascii="Arial" w:hAnsi="Arial" w:cs="Arial"/>
                <w:i/>
                <w:iCs/>
                <w:color w:val="000000"/>
                <w:sz w:val="16"/>
                <w:szCs w:val="16"/>
              </w:rPr>
              <w:t>Income Tax Assessment Act 1936</w:t>
            </w:r>
          </w:p>
        </w:tc>
      </w:tr>
    </w:tbl>
    <w:p w14:paraId="4CD56A80" w14:textId="77777777" w:rsidR="006E40C9" w:rsidRPr="00540040" w:rsidRDefault="006E40C9" w:rsidP="006E40C9">
      <w:pPr>
        <w:pStyle w:val="MeasureTableHeading"/>
      </w:pPr>
    </w:p>
    <w:p w14:paraId="326382EC" w14:textId="77777777" w:rsidR="006E40C9" w:rsidRDefault="006E40C9" w:rsidP="006E40C9">
      <w:r>
        <w:t>The benchmark tax treatment is that income tax is paid on the taxable income of a taxpayer for an income year at their applicable rate of tax. However, base pay and allowances made to Australian Defence Force personnel</w:t>
      </w:r>
      <w:r>
        <w:fldChar w:fldCharType="begin"/>
      </w:r>
      <w:r>
        <w:instrText xml:space="preserve"> XE "Australian Defence Force personnel" </w:instrText>
      </w:r>
      <w:r>
        <w:fldChar w:fldCharType="end"/>
      </w:r>
      <w:r>
        <w:t xml:space="preserve"> while on eligible overseas duty are exempt from income tax (provided they are not exempt from income tax under another provision of the income tax law). </w:t>
      </w:r>
    </w:p>
    <w:p w14:paraId="2EA26A15" w14:textId="0852E3B5" w:rsidR="006E40C9" w:rsidRDefault="006E40C9" w:rsidP="0003254D">
      <w:pPr>
        <w:pStyle w:val="Heading4"/>
      </w:pPr>
      <w:r>
        <w:t>A9</w:t>
      </w:r>
      <w:r>
        <w:tab/>
        <w:t xml:space="preserve">Australian Defence Force Reserve personnel </w:t>
      </w:r>
      <w:r w:rsidR="00130689">
        <w:rPr>
          <w:rFonts w:cs="Arial"/>
        </w:rPr>
        <w:t>–</w:t>
      </w:r>
      <w:r>
        <w:t xml:space="preserve"> exemption of compensation for loss of pay and allowances</w:t>
      </w:r>
    </w:p>
    <w:p w14:paraId="27CC7302"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4BA483" w14:textId="77777777">
        <w:trPr>
          <w:cantSplit/>
          <w:jc w:val="center"/>
        </w:trPr>
        <w:tc>
          <w:tcPr>
            <w:tcW w:w="967" w:type="dxa"/>
            <w:tcBorders>
              <w:top w:val="single" w:sz="2" w:space="0" w:color="auto"/>
              <w:bottom w:val="single" w:sz="2" w:space="0" w:color="auto"/>
            </w:tcBorders>
          </w:tcPr>
          <w:p w14:paraId="6964E33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6DF73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BB10B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1EEB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3B802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B04F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D976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F9431EA" w14:textId="77777777" w:rsidR="006E40C9" w:rsidRDefault="006E40C9">
            <w:pPr>
              <w:pStyle w:val="MeasureTableTextRightAligned"/>
            </w:pPr>
            <w:r>
              <w:t>2027-28</w:t>
            </w:r>
          </w:p>
        </w:tc>
      </w:tr>
      <w:tr w:rsidR="006E40C9" w14:paraId="14E1CEAF" w14:textId="77777777">
        <w:trPr>
          <w:cantSplit/>
          <w:jc w:val="center"/>
        </w:trPr>
        <w:tc>
          <w:tcPr>
            <w:tcW w:w="967" w:type="dxa"/>
            <w:tcBorders>
              <w:top w:val="single" w:sz="2" w:space="0" w:color="auto"/>
              <w:bottom w:val="single" w:sz="2" w:space="0" w:color="auto"/>
            </w:tcBorders>
          </w:tcPr>
          <w:p w14:paraId="67F332DE"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77F3637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4F3B8686"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39A4A8CF"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7CECD6C7"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24F8785F"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6B2E9386"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74DE72AA" w14:textId="77777777" w:rsidR="006E40C9" w:rsidRDefault="006E40C9">
            <w:pPr>
              <w:pStyle w:val="MeasureTableTextRightAligned"/>
            </w:pPr>
            <w:r>
              <w:t>15</w:t>
            </w:r>
          </w:p>
        </w:tc>
      </w:tr>
      <w:tr w:rsidR="006E40C9" w14:paraId="324745B0" w14:textId="77777777">
        <w:trPr>
          <w:cantSplit/>
          <w:jc w:val="center"/>
        </w:trPr>
        <w:tc>
          <w:tcPr>
            <w:tcW w:w="1934" w:type="dxa"/>
            <w:gridSpan w:val="2"/>
            <w:tcBorders>
              <w:top w:val="single" w:sz="2" w:space="0" w:color="auto"/>
              <w:bottom w:val="nil"/>
            </w:tcBorders>
          </w:tcPr>
          <w:p w14:paraId="35C2CAD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EC8DF3" w14:textId="77777777" w:rsidR="006E40C9" w:rsidRDefault="006E40C9">
            <w:pPr>
              <w:pStyle w:val="MeasureTableTextLeftAligned"/>
            </w:pPr>
            <w:r>
              <w:t>Exemption</w:t>
            </w:r>
          </w:p>
        </w:tc>
        <w:tc>
          <w:tcPr>
            <w:tcW w:w="1500" w:type="dxa"/>
            <w:gridSpan w:val="2"/>
            <w:tcBorders>
              <w:top w:val="single" w:sz="2" w:space="0" w:color="auto"/>
              <w:bottom w:val="nil"/>
            </w:tcBorders>
          </w:tcPr>
          <w:p w14:paraId="6A0E4FB5" w14:textId="65E722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14C7F1" w14:textId="77777777" w:rsidR="006E40C9" w:rsidRDefault="006E40C9">
            <w:pPr>
              <w:pStyle w:val="MeasureTableTextLeftAligned"/>
            </w:pPr>
            <w:r>
              <w:t>A9</w:t>
            </w:r>
          </w:p>
        </w:tc>
      </w:tr>
      <w:tr w:rsidR="006E40C9" w14:paraId="21E7C55C" w14:textId="77777777">
        <w:trPr>
          <w:cantSplit/>
          <w:jc w:val="center"/>
        </w:trPr>
        <w:tc>
          <w:tcPr>
            <w:tcW w:w="1934" w:type="dxa"/>
            <w:gridSpan w:val="2"/>
            <w:tcBorders>
              <w:top w:val="nil"/>
              <w:bottom w:val="nil"/>
            </w:tcBorders>
          </w:tcPr>
          <w:p w14:paraId="7349424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81B494" w14:textId="77777777" w:rsidR="006E40C9" w:rsidRPr="00584CA7" w:rsidRDefault="006E40C9">
            <w:pPr>
              <w:pStyle w:val="MeasureTableTextLeftAligned"/>
            </w:pPr>
            <w:r>
              <w:t>Medium</w:t>
            </w:r>
          </w:p>
        </w:tc>
        <w:tc>
          <w:tcPr>
            <w:tcW w:w="1500" w:type="dxa"/>
            <w:gridSpan w:val="2"/>
            <w:tcBorders>
              <w:top w:val="nil"/>
              <w:bottom w:val="nil"/>
            </w:tcBorders>
          </w:tcPr>
          <w:p w14:paraId="76F9708C" w14:textId="77777777" w:rsidR="006E40C9" w:rsidRDefault="006E40C9">
            <w:pPr>
              <w:pStyle w:val="MeasureTableTextItalic"/>
            </w:pPr>
          </w:p>
        </w:tc>
        <w:tc>
          <w:tcPr>
            <w:tcW w:w="1124" w:type="dxa"/>
            <w:gridSpan w:val="2"/>
            <w:tcBorders>
              <w:top w:val="nil"/>
              <w:bottom w:val="nil"/>
            </w:tcBorders>
          </w:tcPr>
          <w:p w14:paraId="5A5FA272" w14:textId="77777777" w:rsidR="006E40C9" w:rsidRDefault="006E40C9">
            <w:pPr>
              <w:pStyle w:val="MeasureTableTextLeftAligned"/>
            </w:pPr>
          </w:p>
        </w:tc>
      </w:tr>
      <w:tr w:rsidR="006E40C9" w14:paraId="0F256B0C" w14:textId="77777777">
        <w:trPr>
          <w:cantSplit/>
          <w:jc w:val="center"/>
        </w:trPr>
        <w:tc>
          <w:tcPr>
            <w:tcW w:w="1934" w:type="dxa"/>
            <w:gridSpan w:val="2"/>
            <w:tcBorders>
              <w:top w:val="nil"/>
              <w:bottom w:val="nil"/>
            </w:tcBorders>
          </w:tcPr>
          <w:p w14:paraId="538B1B02" w14:textId="77777777" w:rsidR="006E40C9" w:rsidRDefault="006E40C9">
            <w:pPr>
              <w:pStyle w:val="MeasureTableTextItalic"/>
            </w:pPr>
            <w:r>
              <w:t>Commencement date:</w:t>
            </w:r>
          </w:p>
        </w:tc>
        <w:tc>
          <w:tcPr>
            <w:tcW w:w="3179" w:type="dxa"/>
            <w:gridSpan w:val="4"/>
            <w:tcBorders>
              <w:top w:val="nil"/>
              <w:bottom w:val="nil"/>
            </w:tcBorders>
          </w:tcPr>
          <w:p w14:paraId="1A980B99" w14:textId="77777777" w:rsidR="006E40C9" w:rsidRDefault="006E40C9">
            <w:pPr>
              <w:pStyle w:val="MeasureTableTextLeftAligned"/>
            </w:pPr>
            <w:r>
              <w:t>1 July 1996</w:t>
            </w:r>
          </w:p>
        </w:tc>
        <w:tc>
          <w:tcPr>
            <w:tcW w:w="1500" w:type="dxa"/>
            <w:gridSpan w:val="2"/>
            <w:tcBorders>
              <w:top w:val="nil"/>
              <w:bottom w:val="nil"/>
            </w:tcBorders>
          </w:tcPr>
          <w:p w14:paraId="5601A753" w14:textId="77777777" w:rsidR="006E40C9" w:rsidRPr="00F32057" w:rsidRDefault="006E40C9">
            <w:pPr>
              <w:pStyle w:val="MeasureTableTextItalic"/>
            </w:pPr>
            <w:r>
              <w:t>Expiry date:</w:t>
            </w:r>
          </w:p>
        </w:tc>
        <w:tc>
          <w:tcPr>
            <w:tcW w:w="1124" w:type="dxa"/>
            <w:gridSpan w:val="2"/>
            <w:tcBorders>
              <w:top w:val="nil"/>
              <w:bottom w:val="nil"/>
            </w:tcBorders>
          </w:tcPr>
          <w:p w14:paraId="187D0494" w14:textId="77777777" w:rsidR="006E40C9" w:rsidRPr="00F32057" w:rsidRDefault="006E40C9">
            <w:pPr>
              <w:pStyle w:val="MeasureTableTextLeftAligned"/>
            </w:pPr>
          </w:p>
        </w:tc>
      </w:tr>
      <w:tr w:rsidR="006E40C9" w14:paraId="365980D1" w14:textId="77777777">
        <w:trPr>
          <w:cantSplit/>
          <w:jc w:val="center"/>
        </w:trPr>
        <w:tc>
          <w:tcPr>
            <w:tcW w:w="1934" w:type="dxa"/>
            <w:gridSpan w:val="2"/>
            <w:tcBorders>
              <w:top w:val="nil"/>
            </w:tcBorders>
          </w:tcPr>
          <w:p w14:paraId="29887790" w14:textId="77777777" w:rsidR="006E40C9" w:rsidRDefault="006E40C9">
            <w:pPr>
              <w:pStyle w:val="MeasureTableTextItalic"/>
            </w:pPr>
            <w:r>
              <w:t>Legislative reference:</w:t>
            </w:r>
          </w:p>
        </w:tc>
        <w:tc>
          <w:tcPr>
            <w:tcW w:w="5803" w:type="dxa"/>
            <w:gridSpan w:val="8"/>
            <w:tcBorders>
              <w:top w:val="nil"/>
            </w:tcBorders>
          </w:tcPr>
          <w:p w14:paraId="735F9E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51-5 and 51-33 of the</w:t>
            </w:r>
            <w:r>
              <w:rPr>
                <w:rFonts w:ascii="Arial" w:hAnsi="Arial" w:cs="Arial"/>
                <w:i/>
                <w:iCs/>
                <w:color w:val="000000"/>
                <w:sz w:val="16"/>
                <w:szCs w:val="16"/>
              </w:rPr>
              <w:t xml:space="preserve"> Income Tax Assessment Act 1997</w:t>
            </w:r>
          </w:p>
        </w:tc>
      </w:tr>
    </w:tbl>
    <w:p w14:paraId="22AFA8C5" w14:textId="77777777" w:rsidR="006E40C9" w:rsidRPr="00540040" w:rsidRDefault="006E40C9" w:rsidP="006E40C9">
      <w:pPr>
        <w:pStyle w:val="MeasureTableHeading"/>
      </w:pPr>
    </w:p>
    <w:p w14:paraId="47EA550C" w14:textId="77777777" w:rsidR="006E40C9" w:rsidRDefault="006E40C9" w:rsidP="006E40C9">
      <w:r w:rsidRPr="002848FA">
        <w:t xml:space="preserve">The benchmark tax treatment is that income tax is paid on the taxable income of a taxpayer for an income year at their applicable rate of tax. However, Australian Defence Force Reserve personnel </w:t>
      </w:r>
      <w:r w:rsidRPr="002848FA">
        <w:fldChar w:fldCharType="begin"/>
      </w:r>
      <w:r w:rsidRPr="002848FA">
        <w:instrText xml:space="preserve"> XE "Australian Defence Force Reserve personnel" </w:instrText>
      </w:r>
      <w:r w:rsidRPr="002848FA">
        <w:fldChar w:fldCharType="end"/>
      </w:r>
      <w:r w:rsidRPr="002848FA">
        <w:t>not engaged in continuous full</w:t>
      </w:r>
      <w:r w:rsidRPr="002848FA">
        <w:noBreakHyphen/>
        <w:t>time service who are forced to resign due to injuries sustained while employed by the Reserves may receive compensation for the loss of pay and allowances. Such compensation payments are exempt from income tax.</w:t>
      </w:r>
    </w:p>
    <w:p w14:paraId="03CD9224" w14:textId="05A6C1E4" w:rsidR="006E40C9" w:rsidRDefault="006E40C9" w:rsidP="0003254D">
      <w:pPr>
        <w:pStyle w:val="Heading4"/>
      </w:pPr>
      <w:r>
        <w:t>A10</w:t>
      </w:r>
      <w:r>
        <w:tab/>
        <w:t xml:space="preserve">Australian Defence Force Reserve personnel </w:t>
      </w:r>
      <w:r w:rsidR="00130689">
        <w:rPr>
          <w:rFonts w:cs="Arial"/>
        </w:rPr>
        <w:t>–</w:t>
      </w:r>
      <w:r>
        <w:t xml:space="preserve"> exemption of pay and allowances for part-time personnel</w:t>
      </w:r>
    </w:p>
    <w:p w14:paraId="006C2E52"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29E9DB" w14:textId="77777777">
        <w:trPr>
          <w:cantSplit/>
          <w:jc w:val="center"/>
        </w:trPr>
        <w:tc>
          <w:tcPr>
            <w:tcW w:w="967" w:type="dxa"/>
            <w:tcBorders>
              <w:top w:val="single" w:sz="2" w:space="0" w:color="auto"/>
              <w:bottom w:val="single" w:sz="2" w:space="0" w:color="auto"/>
            </w:tcBorders>
          </w:tcPr>
          <w:p w14:paraId="5139BEF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5F75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2013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9F87C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288C2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946F5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37FE33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C3BF4C4" w14:textId="77777777" w:rsidR="006E40C9" w:rsidRDefault="006E40C9">
            <w:pPr>
              <w:pStyle w:val="MeasureTableTextRightAligned"/>
            </w:pPr>
            <w:r>
              <w:t>2027-28</w:t>
            </w:r>
          </w:p>
        </w:tc>
      </w:tr>
      <w:tr w:rsidR="006E40C9" w14:paraId="409A1D77" w14:textId="77777777">
        <w:trPr>
          <w:cantSplit/>
          <w:jc w:val="center"/>
        </w:trPr>
        <w:tc>
          <w:tcPr>
            <w:tcW w:w="967" w:type="dxa"/>
            <w:tcBorders>
              <w:top w:val="single" w:sz="2" w:space="0" w:color="auto"/>
              <w:bottom w:val="single" w:sz="2" w:space="0" w:color="auto"/>
            </w:tcBorders>
          </w:tcPr>
          <w:p w14:paraId="69FD4A8D" w14:textId="77777777" w:rsidR="006E40C9" w:rsidRDefault="006E40C9">
            <w:pPr>
              <w:pStyle w:val="MeasureTableTextRightAligned"/>
            </w:pPr>
            <w:r>
              <w:t>100</w:t>
            </w:r>
          </w:p>
        </w:tc>
        <w:tc>
          <w:tcPr>
            <w:tcW w:w="967" w:type="dxa"/>
            <w:tcBorders>
              <w:top w:val="single" w:sz="2" w:space="0" w:color="auto"/>
              <w:bottom w:val="single" w:sz="2" w:space="0" w:color="auto"/>
            </w:tcBorders>
          </w:tcPr>
          <w:p w14:paraId="3521F4D1"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72B9B77C" w14:textId="77777777" w:rsidR="006E40C9" w:rsidRDefault="006E40C9">
            <w:pPr>
              <w:pStyle w:val="MeasureTableTextRightAligned"/>
            </w:pPr>
            <w:r>
              <w:t>115</w:t>
            </w:r>
          </w:p>
        </w:tc>
        <w:tc>
          <w:tcPr>
            <w:tcW w:w="967" w:type="dxa"/>
            <w:tcBorders>
              <w:top w:val="single" w:sz="2" w:space="0" w:color="auto"/>
              <w:bottom w:val="single" w:sz="2" w:space="0" w:color="auto"/>
            </w:tcBorders>
            <w:vAlign w:val="bottom"/>
          </w:tcPr>
          <w:p w14:paraId="59C10DC6"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5E3A5D57"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001BA87A" w14:textId="77777777" w:rsidR="006E40C9" w:rsidRDefault="006E40C9">
            <w:pPr>
              <w:pStyle w:val="MeasureTableTextRightAligned"/>
            </w:pPr>
            <w:r>
              <w:t>125</w:t>
            </w:r>
          </w:p>
        </w:tc>
        <w:tc>
          <w:tcPr>
            <w:tcW w:w="967" w:type="dxa"/>
            <w:gridSpan w:val="2"/>
            <w:tcBorders>
              <w:top w:val="single" w:sz="2" w:space="0" w:color="auto"/>
              <w:bottom w:val="single" w:sz="2" w:space="0" w:color="auto"/>
            </w:tcBorders>
            <w:vAlign w:val="bottom"/>
          </w:tcPr>
          <w:p w14:paraId="401B09F1" w14:textId="77777777" w:rsidR="006E40C9" w:rsidRDefault="006E40C9">
            <w:pPr>
              <w:pStyle w:val="MeasureTableTextRightAligned"/>
            </w:pPr>
            <w:r>
              <w:t>125</w:t>
            </w:r>
          </w:p>
        </w:tc>
        <w:tc>
          <w:tcPr>
            <w:tcW w:w="968" w:type="dxa"/>
            <w:tcBorders>
              <w:top w:val="single" w:sz="2" w:space="0" w:color="auto"/>
              <w:bottom w:val="single" w:sz="2" w:space="0" w:color="auto"/>
            </w:tcBorders>
            <w:vAlign w:val="bottom"/>
          </w:tcPr>
          <w:p w14:paraId="6859302D" w14:textId="77777777" w:rsidR="006E40C9" w:rsidRDefault="006E40C9">
            <w:pPr>
              <w:pStyle w:val="MeasureTableTextRightAligned"/>
            </w:pPr>
            <w:r>
              <w:t>130</w:t>
            </w:r>
          </w:p>
        </w:tc>
      </w:tr>
      <w:tr w:rsidR="006E40C9" w14:paraId="4A516CC3" w14:textId="77777777">
        <w:trPr>
          <w:cantSplit/>
          <w:jc w:val="center"/>
        </w:trPr>
        <w:tc>
          <w:tcPr>
            <w:tcW w:w="1934" w:type="dxa"/>
            <w:gridSpan w:val="2"/>
            <w:tcBorders>
              <w:top w:val="single" w:sz="2" w:space="0" w:color="auto"/>
              <w:bottom w:val="nil"/>
            </w:tcBorders>
          </w:tcPr>
          <w:p w14:paraId="7369466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BDE383" w14:textId="77777777" w:rsidR="006E40C9" w:rsidRDefault="006E40C9">
            <w:pPr>
              <w:pStyle w:val="MeasureTableTextLeftAligned"/>
            </w:pPr>
            <w:r>
              <w:t>Exemption</w:t>
            </w:r>
          </w:p>
        </w:tc>
        <w:tc>
          <w:tcPr>
            <w:tcW w:w="1500" w:type="dxa"/>
            <w:gridSpan w:val="2"/>
            <w:tcBorders>
              <w:top w:val="single" w:sz="2" w:space="0" w:color="auto"/>
              <w:bottom w:val="nil"/>
            </w:tcBorders>
          </w:tcPr>
          <w:p w14:paraId="17CDDE33" w14:textId="25A990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FD21A8D" w14:textId="77777777" w:rsidR="006E40C9" w:rsidRDefault="006E40C9">
            <w:pPr>
              <w:pStyle w:val="MeasureTableTextLeftAligned"/>
            </w:pPr>
            <w:r>
              <w:t>A10</w:t>
            </w:r>
          </w:p>
        </w:tc>
      </w:tr>
      <w:tr w:rsidR="006E40C9" w14:paraId="061CA145" w14:textId="77777777">
        <w:trPr>
          <w:cantSplit/>
          <w:jc w:val="center"/>
        </w:trPr>
        <w:tc>
          <w:tcPr>
            <w:tcW w:w="1934" w:type="dxa"/>
            <w:gridSpan w:val="2"/>
            <w:tcBorders>
              <w:top w:val="nil"/>
              <w:bottom w:val="nil"/>
            </w:tcBorders>
          </w:tcPr>
          <w:p w14:paraId="30C651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1E56E0" w14:textId="77777777" w:rsidR="006E40C9" w:rsidRPr="00584CA7" w:rsidRDefault="006E40C9">
            <w:pPr>
              <w:pStyle w:val="MeasureTableTextLeftAligned"/>
            </w:pPr>
            <w:r>
              <w:t>Medium</w:t>
            </w:r>
          </w:p>
        </w:tc>
        <w:tc>
          <w:tcPr>
            <w:tcW w:w="1500" w:type="dxa"/>
            <w:gridSpan w:val="2"/>
            <w:tcBorders>
              <w:top w:val="nil"/>
              <w:bottom w:val="nil"/>
            </w:tcBorders>
          </w:tcPr>
          <w:p w14:paraId="7DF79C19" w14:textId="77777777" w:rsidR="006E40C9" w:rsidRDefault="006E40C9">
            <w:pPr>
              <w:pStyle w:val="MeasureTableTextItalic"/>
            </w:pPr>
          </w:p>
        </w:tc>
        <w:tc>
          <w:tcPr>
            <w:tcW w:w="1124" w:type="dxa"/>
            <w:gridSpan w:val="2"/>
            <w:tcBorders>
              <w:top w:val="nil"/>
              <w:bottom w:val="nil"/>
            </w:tcBorders>
          </w:tcPr>
          <w:p w14:paraId="1F2C6B49" w14:textId="77777777" w:rsidR="006E40C9" w:rsidRDefault="006E40C9">
            <w:pPr>
              <w:pStyle w:val="MeasureTableTextLeftAligned"/>
            </w:pPr>
          </w:p>
        </w:tc>
      </w:tr>
      <w:tr w:rsidR="006E40C9" w14:paraId="7FA81547" w14:textId="77777777">
        <w:trPr>
          <w:cantSplit/>
          <w:jc w:val="center"/>
        </w:trPr>
        <w:tc>
          <w:tcPr>
            <w:tcW w:w="1934" w:type="dxa"/>
            <w:gridSpan w:val="2"/>
            <w:tcBorders>
              <w:top w:val="nil"/>
              <w:bottom w:val="nil"/>
            </w:tcBorders>
          </w:tcPr>
          <w:p w14:paraId="13638E10" w14:textId="77777777" w:rsidR="006E40C9" w:rsidRDefault="006E40C9">
            <w:pPr>
              <w:pStyle w:val="MeasureTableTextItalic"/>
            </w:pPr>
            <w:r>
              <w:t>Commencement date:</w:t>
            </w:r>
          </w:p>
        </w:tc>
        <w:tc>
          <w:tcPr>
            <w:tcW w:w="3179" w:type="dxa"/>
            <w:gridSpan w:val="4"/>
            <w:tcBorders>
              <w:top w:val="nil"/>
              <w:bottom w:val="nil"/>
            </w:tcBorders>
          </w:tcPr>
          <w:p w14:paraId="6D4DC5EA" w14:textId="77777777" w:rsidR="006E40C9" w:rsidRDefault="006E40C9">
            <w:pPr>
              <w:pStyle w:val="MeasureTableTextLeftAligned"/>
            </w:pPr>
            <w:r>
              <w:t>Introduced before 1985</w:t>
            </w:r>
          </w:p>
        </w:tc>
        <w:tc>
          <w:tcPr>
            <w:tcW w:w="1500" w:type="dxa"/>
            <w:gridSpan w:val="2"/>
            <w:tcBorders>
              <w:top w:val="nil"/>
              <w:bottom w:val="nil"/>
            </w:tcBorders>
          </w:tcPr>
          <w:p w14:paraId="5BAE947F" w14:textId="77777777" w:rsidR="006E40C9" w:rsidRPr="00F32057" w:rsidRDefault="006E40C9">
            <w:pPr>
              <w:pStyle w:val="MeasureTableTextItalic"/>
            </w:pPr>
            <w:r>
              <w:t>Expiry date:</w:t>
            </w:r>
          </w:p>
        </w:tc>
        <w:tc>
          <w:tcPr>
            <w:tcW w:w="1124" w:type="dxa"/>
            <w:gridSpan w:val="2"/>
            <w:tcBorders>
              <w:top w:val="nil"/>
              <w:bottom w:val="nil"/>
            </w:tcBorders>
          </w:tcPr>
          <w:p w14:paraId="5383BAF4" w14:textId="77777777" w:rsidR="006E40C9" w:rsidRPr="00F32057" w:rsidRDefault="006E40C9">
            <w:pPr>
              <w:pStyle w:val="MeasureTableTextLeftAligned"/>
            </w:pPr>
          </w:p>
        </w:tc>
      </w:tr>
      <w:tr w:rsidR="006E40C9" w14:paraId="32C4D511" w14:textId="77777777">
        <w:trPr>
          <w:cantSplit/>
          <w:jc w:val="center"/>
        </w:trPr>
        <w:tc>
          <w:tcPr>
            <w:tcW w:w="1934" w:type="dxa"/>
            <w:gridSpan w:val="2"/>
            <w:tcBorders>
              <w:top w:val="nil"/>
            </w:tcBorders>
          </w:tcPr>
          <w:p w14:paraId="6E45418C" w14:textId="77777777" w:rsidR="006E40C9" w:rsidRDefault="006E40C9">
            <w:pPr>
              <w:pStyle w:val="MeasureTableTextItalic"/>
            </w:pPr>
            <w:r>
              <w:t>Legislative reference:</w:t>
            </w:r>
          </w:p>
        </w:tc>
        <w:tc>
          <w:tcPr>
            <w:tcW w:w="5803" w:type="dxa"/>
            <w:gridSpan w:val="8"/>
            <w:tcBorders>
              <w:top w:val="nil"/>
            </w:tcBorders>
          </w:tcPr>
          <w:p w14:paraId="71F0825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51-5 of the </w:t>
            </w:r>
            <w:r>
              <w:rPr>
                <w:rFonts w:ascii="Arial" w:hAnsi="Arial" w:cs="Arial"/>
                <w:i/>
                <w:iCs/>
                <w:color w:val="000000"/>
                <w:sz w:val="16"/>
                <w:szCs w:val="16"/>
              </w:rPr>
              <w:t>Income Tax Assessment Act 1997</w:t>
            </w:r>
          </w:p>
        </w:tc>
      </w:tr>
    </w:tbl>
    <w:p w14:paraId="442EAD17" w14:textId="77777777" w:rsidR="006E40C9" w:rsidRPr="00540040" w:rsidRDefault="006E40C9" w:rsidP="006E40C9">
      <w:pPr>
        <w:pStyle w:val="MeasureTableHeading"/>
      </w:pPr>
    </w:p>
    <w:p w14:paraId="4DB322DF" w14:textId="77777777" w:rsidR="006E40C9" w:rsidRDefault="006E40C9" w:rsidP="006E40C9">
      <w:r w:rsidRPr="002F1CD8">
        <w:t>The benchmark tax treatment is that income tax is paid on the taxable income of a taxpayer for an income year at their applicable rate of tax. However, the pay and allowances made to part</w:t>
      </w:r>
      <w:r w:rsidRPr="002F1CD8">
        <w:noBreakHyphen/>
        <w:t xml:space="preserve">time Australian Defence Force Reserve personnel </w:t>
      </w:r>
      <w:r w:rsidRPr="002F1CD8">
        <w:fldChar w:fldCharType="begin"/>
      </w:r>
      <w:r w:rsidRPr="002F1CD8">
        <w:instrText xml:space="preserve"> XE "Australian Defence Force Reserve personnel" </w:instrText>
      </w:r>
      <w:r w:rsidRPr="002F1CD8">
        <w:fldChar w:fldCharType="end"/>
      </w:r>
      <w:r w:rsidRPr="002F1CD8">
        <w:t>are exempt from income tax.</w:t>
      </w:r>
    </w:p>
    <w:p w14:paraId="6C4DA4D8" w14:textId="77777777" w:rsidR="006E40C9" w:rsidRDefault="006E40C9" w:rsidP="0003254D">
      <w:pPr>
        <w:pStyle w:val="Heading4"/>
      </w:pPr>
      <w:r>
        <w:t>A11</w:t>
      </w:r>
      <w:r>
        <w:tab/>
        <w:t>Exemption of some payments to Australian Federal Police and civilian personnel on service with an armed force of the United Nations</w:t>
      </w:r>
    </w:p>
    <w:p w14:paraId="79B9D885"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2880C7" w14:textId="77777777">
        <w:trPr>
          <w:cantSplit/>
          <w:jc w:val="center"/>
        </w:trPr>
        <w:tc>
          <w:tcPr>
            <w:tcW w:w="967" w:type="dxa"/>
            <w:tcBorders>
              <w:top w:val="single" w:sz="2" w:space="0" w:color="auto"/>
              <w:bottom w:val="single" w:sz="2" w:space="0" w:color="auto"/>
            </w:tcBorders>
          </w:tcPr>
          <w:p w14:paraId="69B44F7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5875E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AFB5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E00F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C4B6E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A9C23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28B98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64A55B" w14:textId="77777777" w:rsidR="006E40C9" w:rsidRDefault="006E40C9">
            <w:pPr>
              <w:pStyle w:val="MeasureTableTextRightAligned"/>
            </w:pPr>
            <w:r>
              <w:t>2027-28</w:t>
            </w:r>
          </w:p>
        </w:tc>
      </w:tr>
      <w:tr w:rsidR="006E40C9" w14:paraId="3FC58F5D" w14:textId="77777777">
        <w:trPr>
          <w:cantSplit/>
          <w:jc w:val="center"/>
        </w:trPr>
        <w:tc>
          <w:tcPr>
            <w:tcW w:w="967" w:type="dxa"/>
            <w:tcBorders>
              <w:top w:val="single" w:sz="2" w:space="0" w:color="auto"/>
              <w:bottom w:val="single" w:sz="2" w:space="0" w:color="auto"/>
            </w:tcBorders>
          </w:tcPr>
          <w:p w14:paraId="0CE141B7"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A2C0C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CA6E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EDE2A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71D4EB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620D8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AE243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AF93CA" w14:textId="77777777" w:rsidR="006E40C9" w:rsidRDefault="006E40C9">
            <w:pPr>
              <w:pStyle w:val="MeasureTableTextRightAligned"/>
            </w:pPr>
            <w:r>
              <w:t>..</w:t>
            </w:r>
          </w:p>
        </w:tc>
      </w:tr>
      <w:tr w:rsidR="006E40C9" w14:paraId="2A44F65D" w14:textId="77777777">
        <w:trPr>
          <w:cantSplit/>
          <w:jc w:val="center"/>
        </w:trPr>
        <w:tc>
          <w:tcPr>
            <w:tcW w:w="1934" w:type="dxa"/>
            <w:gridSpan w:val="2"/>
            <w:tcBorders>
              <w:top w:val="single" w:sz="2" w:space="0" w:color="auto"/>
              <w:bottom w:val="nil"/>
            </w:tcBorders>
          </w:tcPr>
          <w:p w14:paraId="1919BA9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187B4B" w14:textId="77777777" w:rsidR="006E40C9" w:rsidRDefault="006E40C9">
            <w:pPr>
              <w:pStyle w:val="MeasureTableTextLeftAligned"/>
            </w:pPr>
            <w:r>
              <w:t>Exemption</w:t>
            </w:r>
          </w:p>
        </w:tc>
        <w:tc>
          <w:tcPr>
            <w:tcW w:w="1500" w:type="dxa"/>
            <w:gridSpan w:val="2"/>
            <w:tcBorders>
              <w:top w:val="single" w:sz="2" w:space="0" w:color="auto"/>
              <w:bottom w:val="nil"/>
            </w:tcBorders>
          </w:tcPr>
          <w:p w14:paraId="453E9B73" w14:textId="399CA4C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DE7541" w14:textId="77777777" w:rsidR="006E40C9" w:rsidRDefault="006E40C9">
            <w:pPr>
              <w:pStyle w:val="MeasureTableTextLeftAligned"/>
            </w:pPr>
            <w:r>
              <w:t>A11</w:t>
            </w:r>
          </w:p>
        </w:tc>
      </w:tr>
      <w:tr w:rsidR="006E40C9" w14:paraId="225FDDF8" w14:textId="77777777">
        <w:trPr>
          <w:cantSplit/>
          <w:jc w:val="center"/>
        </w:trPr>
        <w:tc>
          <w:tcPr>
            <w:tcW w:w="1934" w:type="dxa"/>
            <w:gridSpan w:val="2"/>
            <w:tcBorders>
              <w:top w:val="nil"/>
              <w:bottom w:val="nil"/>
            </w:tcBorders>
          </w:tcPr>
          <w:p w14:paraId="32AC06A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C882FB4" w14:textId="77777777" w:rsidR="006E40C9" w:rsidRPr="00584CA7" w:rsidRDefault="006E40C9">
            <w:pPr>
              <w:pStyle w:val="MeasureTableTextLeftAligned"/>
            </w:pPr>
            <w:r>
              <w:t>Low</w:t>
            </w:r>
          </w:p>
        </w:tc>
        <w:tc>
          <w:tcPr>
            <w:tcW w:w="1500" w:type="dxa"/>
            <w:gridSpan w:val="2"/>
            <w:tcBorders>
              <w:top w:val="nil"/>
              <w:bottom w:val="nil"/>
            </w:tcBorders>
          </w:tcPr>
          <w:p w14:paraId="5F9AC99B" w14:textId="77777777" w:rsidR="006E40C9" w:rsidRDefault="006E40C9">
            <w:pPr>
              <w:pStyle w:val="MeasureTableTextItalic"/>
            </w:pPr>
          </w:p>
        </w:tc>
        <w:tc>
          <w:tcPr>
            <w:tcW w:w="1124" w:type="dxa"/>
            <w:gridSpan w:val="2"/>
            <w:tcBorders>
              <w:top w:val="nil"/>
              <w:bottom w:val="nil"/>
            </w:tcBorders>
          </w:tcPr>
          <w:p w14:paraId="50352882" w14:textId="77777777" w:rsidR="006E40C9" w:rsidRDefault="006E40C9">
            <w:pPr>
              <w:pStyle w:val="MeasureTableTextLeftAligned"/>
            </w:pPr>
          </w:p>
        </w:tc>
      </w:tr>
      <w:tr w:rsidR="006E40C9" w14:paraId="0DCD3CA0" w14:textId="77777777">
        <w:trPr>
          <w:cantSplit/>
          <w:jc w:val="center"/>
        </w:trPr>
        <w:tc>
          <w:tcPr>
            <w:tcW w:w="1934" w:type="dxa"/>
            <w:gridSpan w:val="2"/>
            <w:tcBorders>
              <w:top w:val="nil"/>
              <w:bottom w:val="nil"/>
            </w:tcBorders>
          </w:tcPr>
          <w:p w14:paraId="52D3254B" w14:textId="77777777" w:rsidR="006E40C9" w:rsidRDefault="006E40C9">
            <w:pPr>
              <w:pStyle w:val="MeasureTableTextItalic"/>
            </w:pPr>
            <w:r>
              <w:t>Commencement date:</w:t>
            </w:r>
          </w:p>
        </w:tc>
        <w:tc>
          <w:tcPr>
            <w:tcW w:w="3179" w:type="dxa"/>
            <w:gridSpan w:val="4"/>
            <w:tcBorders>
              <w:top w:val="nil"/>
              <w:bottom w:val="nil"/>
            </w:tcBorders>
          </w:tcPr>
          <w:p w14:paraId="094AA2EA" w14:textId="77777777" w:rsidR="006E40C9" w:rsidRDefault="006E40C9">
            <w:pPr>
              <w:pStyle w:val="MeasureTableTextLeftAligned"/>
            </w:pPr>
            <w:r>
              <w:t>Introduced before 1985</w:t>
            </w:r>
          </w:p>
        </w:tc>
        <w:tc>
          <w:tcPr>
            <w:tcW w:w="1500" w:type="dxa"/>
            <w:gridSpan w:val="2"/>
            <w:tcBorders>
              <w:top w:val="nil"/>
              <w:bottom w:val="nil"/>
            </w:tcBorders>
          </w:tcPr>
          <w:p w14:paraId="0F58975E" w14:textId="77777777" w:rsidR="006E40C9" w:rsidRPr="00F32057" w:rsidRDefault="006E40C9">
            <w:pPr>
              <w:pStyle w:val="MeasureTableTextItalic"/>
            </w:pPr>
            <w:r>
              <w:t>Expiry date:</w:t>
            </w:r>
          </w:p>
        </w:tc>
        <w:tc>
          <w:tcPr>
            <w:tcW w:w="1124" w:type="dxa"/>
            <w:gridSpan w:val="2"/>
            <w:tcBorders>
              <w:top w:val="nil"/>
              <w:bottom w:val="nil"/>
            </w:tcBorders>
          </w:tcPr>
          <w:p w14:paraId="54B3B901" w14:textId="77777777" w:rsidR="006E40C9" w:rsidRPr="00F32057" w:rsidRDefault="006E40C9">
            <w:pPr>
              <w:pStyle w:val="MeasureTableTextLeftAligned"/>
            </w:pPr>
          </w:p>
        </w:tc>
      </w:tr>
      <w:tr w:rsidR="006E40C9" w14:paraId="7D1EE9B0" w14:textId="77777777">
        <w:trPr>
          <w:cantSplit/>
          <w:jc w:val="center"/>
        </w:trPr>
        <w:tc>
          <w:tcPr>
            <w:tcW w:w="1934" w:type="dxa"/>
            <w:gridSpan w:val="2"/>
            <w:tcBorders>
              <w:top w:val="nil"/>
            </w:tcBorders>
          </w:tcPr>
          <w:p w14:paraId="159B70C3" w14:textId="77777777" w:rsidR="006E40C9" w:rsidRDefault="006E40C9">
            <w:pPr>
              <w:pStyle w:val="MeasureTableTextItalic"/>
            </w:pPr>
            <w:r>
              <w:t>Legislative reference:</w:t>
            </w:r>
          </w:p>
        </w:tc>
        <w:tc>
          <w:tcPr>
            <w:tcW w:w="5803" w:type="dxa"/>
            <w:gridSpan w:val="8"/>
            <w:tcBorders>
              <w:top w:val="nil"/>
            </w:tcBorders>
          </w:tcPr>
          <w:p w14:paraId="0741A9E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23AB of the </w:t>
            </w:r>
            <w:r>
              <w:rPr>
                <w:rFonts w:ascii="Arial" w:hAnsi="Arial" w:cs="Arial"/>
                <w:i/>
                <w:iCs/>
                <w:color w:val="000000"/>
                <w:sz w:val="16"/>
                <w:szCs w:val="16"/>
              </w:rPr>
              <w:t>Income Tax Assessment Act 1936</w:t>
            </w:r>
          </w:p>
        </w:tc>
      </w:tr>
    </w:tbl>
    <w:p w14:paraId="25F7F3AF" w14:textId="77777777" w:rsidR="006E40C9" w:rsidRPr="00540040" w:rsidRDefault="006E40C9" w:rsidP="006E40C9">
      <w:pPr>
        <w:pStyle w:val="MeasureTableHeading"/>
      </w:pPr>
    </w:p>
    <w:p w14:paraId="344C4609" w14:textId="7626F568" w:rsidR="00014432" w:rsidRDefault="006E40C9" w:rsidP="006E40C9">
      <w:r w:rsidRPr="00B1476C">
        <w:t>The benchmark tax treatment is that income tax is paid on the taxable income of a taxpayer for an income year at their applicable rate of tax. However, Australian Federal Police</w:t>
      </w:r>
      <w:r w:rsidRPr="00B1476C">
        <w:fldChar w:fldCharType="begin"/>
      </w:r>
      <w:r w:rsidRPr="00B1476C">
        <w:instrText xml:space="preserve"> XE "Australian Federal Police personnel" </w:instrText>
      </w:r>
      <w:r w:rsidRPr="00B1476C">
        <w:fldChar w:fldCharType="end"/>
      </w:r>
      <w:r w:rsidRPr="00B1476C">
        <w:t xml:space="preserve"> and civilian personnel contributed by Australia to a United Nations armed force may receive compensation for death, impairment or incapacity resulting from their service. Such compensation payments are exempt from income tax. Associated payments, including to the estate of a deceased civilian, may also receive tax relief.</w:t>
      </w:r>
      <w:r w:rsidRPr="00B1476C">
        <w:fldChar w:fldCharType="begin"/>
      </w:r>
      <w:r w:rsidRPr="00B1476C">
        <w:instrText xml:space="preserve"> XE "United Nations service" </w:instrText>
      </w:r>
      <w:r w:rsidRPr="00B1476C">
        <w:fldChar w:fldCharType="end"/>
      </w:r>
    </w:p>
    <w:p w14:paraId="4FA18DFE" w14:textId="77777777" w:rsidR="00014432" w:rsidRDefault="00014432">
      <w:pPr>
        <w:spacing w:after="0" w:line="240" w:lineRule="auto"/>
        <w:jc w:val="left"/>
      </w:pPr>
      <w:r>
        <w:br w:type="page"/>
      </w:r>
    </w:p>
    <w:p w14:paraId="6D27895B" w14:textId="1F1C6443" w:rsidR="006E40C9" w:rsidRDefault="006E40C9" w:rsidP="0003254D">
      <w:pPr>
        <w:pStyle w:val="Heading4"/>
      </w:pPr>
      <w:r>
        <w:t>A12</w:t>
      </w:r>
      <w:r>
        <w:tab/>
        <w:t>Medicare levy exemption for current and veteran Australian Defence Force personnel and their relatives and associates</w:t>
      </w:r>
    </w:p>
    <w:p w14:paraId="20CD49D8"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938857C" w14:textId="77777777">
        <w:trPr>
          <w:cantSplit/>
          <w:jc w:val="center"/>
        </w:trPr>
        <w:tc>
          <w:tcPr>
            <w:tcW w:w="967" w:type="dxa"/>
            <w:tcBorders>
              <w:top w:val="single" w:sz="2" w:space="0" w:color="auto"/>
              <w:bottom w:val="single" w:sz="2" w:space="0" w:color="auto"/>
            </w:tcBorders>
          </w:tcPr>
          <w:p w14:paraId="7E96989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268D0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1CD47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1022D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164A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2B950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00F9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65C4B7" w14:textId="77777777" w:rsidR="006E40C9" w:rsidRDefault="006E40C9">
            <w:pPr>
              <w:pStyle w:val="MeasureTableTextRightAligned"/>
            </w:pPr>
            <w:r>
              <w:t>2027-28</w:t>
            </w:r>
          </w:p>
        </w:tc>
      </w:tr>
      <w:tr w:rsidR="006E40C9" w14:paraId="1746C18E" w14:textId="77777777">
        <w:trPr>
          <w:cantSplit/>
          <w:jc w:val="center"/>
        </w:trPr>
        <w:tc>
          <w:tcPr>
            <w:tcW w:w="967" w:type="dxa"/>
            <w:tcBorders>
              <w:top w:val="single" w:sz="2" w:space="0" w:color="auto"/>
              <w:bottom w:val="single" w:sz="2" w:space="0" w:color="auto"/>
            </w:tcBorders>
          </w:tcPr>
          <w:p w14:paraId="1865BA32" w14:textId="77777777" w:rsidR="006E40C9" w:rsidRDefault="006E40C9">
            <w:pPr>
              <w:pStyle w:val="MeasureTableTextRightAligned"/>
            </w:pPr>
            <w:r>
              <w:t>120</w:t>
            </w:r>
          </w:p>
        </w:tc>
        <w:tc>
          <w:tcPr>
            <w:tcW w:w="967" w:type="dxa"/>
            <w:tcBorders>
              <w:top w:val="single" w:sz="2" w:space="0" w:color="auto"/>
              <w:bottom w:val="single" w:sz="2" w:space="0" w:color="auto"/>
            </w:tcBorders>
          </w:tcPr>
          <w:p w14:paraId="11A4C2F8"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78D85D69"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1F8483A0"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39BA5BFB"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3D677145"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447129AD" w14:textId="77777777" w:rsidR="006E40C9" w:rsidRDefault="006E40C9">
            <w:pPr>
              <w:pStyle w:val="MeasureTableTextRightAligned"/>
            </w:pPr>
            <w:r>
              <w:t>170</w:t>
            </w:r>
          </w:p>
        </w:tc>
        <w:tc>
          <w:tcPr>
            <w:tcW w:w="968" w:type="dxa"/>
            <w:tcBorders>
              <w:top w:val="single" w:sz="2" w:space="0" w:color="auto"/>
              <w:bottom w:val="single" w:sz="2" w:space="0" w:color="auto"/>
            </w:tcBorders>
            <w:vAlign w:val="bottom"/>
          </w:tcPr>
          <w:p w14:paraId="4458A1DF" w14:textId="77777777" w:rsidR="006E40C9" w:rsidRDefault="006E40C9">
            <w:pPr>
              <w:pStyle w:val="MeasureTableTextRightAligned"/>
            </w:pPr>
            <w:r>
              <w:t>180</w:t>
            </w:r>
          </w:p>
        </w:tc>
      </w:tr>
      <w:tr w:rsidR="006E40C9" w14:paraId="5ACC7833" w14:textId="77777777">
        <w:trPr>
          <w:cantSplit/>
          <w:jc w:val="center"/>
        </w:trPr>
        <w:tc>
          <w:tcPr>
            <w:tcW w:w="1934" w:type="dxa"/>
            <w:gridSpan w:val="2"/>
            <w:tcBorders>
              <w:top w:val="single" w:sz="2" w:space="0" w:color="auto"/>
              <w:bottom w:val="nil"/>
            </w:tcBorders>
          </w:tcPr>
          <w:p w14:paraId="107C1A6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0D0B7B" w14:textId="77777777" w:rsidR="006E40C9" w:rsidRDefault="006E40C9">
            <w:pPr>
              <w:pStyle w:val="MeasureTableTextLeftAligned"/>
            </w:pPr>
            <w:r>
              <w:t>Exemption</w:t>
            </w:r>
          </w:p>
        </w:tc>
        <w:tc>
          <w:tcPr>
            <w:tcW w:w="1500" w:type="dxa"/>
            <w:gridSpan w:val="2"/>
            <w:tcBorders>
              <w:top w:val="single" w:sz="2" w:space="0" w:color="auto"/>
              <w:bottom w:val="nil"/>
            </w:tcBorders>
          </w:tcPr>
          <w:p w14:paraId="037E140D" w14:textId="1DD1DEB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D3EA34" w14:textId="77777777" w:rsidR="006E40C9" w:rsidRDefault="006E40C9">
            <w:pPr>
              <w:pStyle w:val="MeasureTableTextLeftAligned"/>
            </w:pPr>
            <w:r>
              <w:t>A12</w:t>
            </w:r>
          </w:p>
        </w:tc>
      </w:tr>
      <w:tr w:rsidR="006E40C9" w14:paraId="654D5739" w14:textId="77777777">
        <w:trPr>
          <w:cantSplit/>
          <w:jc w:val="center"/>
        </w:trPr>
        <w:tc>
          <w:tcPr>
            <w:tcW w:w="1934" w:type="dxa"/>
            <w:gridSpan w:val="2"/>
            <w:tcBorders>
              <w:top w:val="nil"/>
              <w:bottom w:val="nil"/>
            </w:tcBorders>
          </w:tcPr>
          <w:p w14:paraId="712C15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51A699" w14:textId="6A226BBB"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2E710756" w14:textId="77777777" w:rsidR="006E40C9" w:rsidRDefault="006E40C9">
            <w:pPr>
              <w:pStyle w:val="MeasureTableTextItalic"/>
            </w:pPr>
          </w:p>
        </w:tc>
        <w:tc>
          <w:tcPr>
            <w:tcW w:w="1124" w:type="dxa"/>
            <w:gridSpan w:val="2"/>
            <w:tcBorders>
              <w:top w:val="nil"/>
              <w:bottom w:val="nil"/>
            </w:tcBorders>
          </w:tcPr>
          <w:p w14:paraId="41333A38" w14:textId="77777777" w:rsidR="006E40C9" w:rsidRDefault="006E40C9">
            <w:pPr>
              <w:pStyle w:val="MeasureTableTextLeftAligned"/>
            </w:pPr>
          </w:p>
        </w:tc>
      </w:tr>
      <w:tr w:rsidR="006E40C9" w14:paraId="715045B8" w14:textId="77777777">
        <w:trPr>
          <w:cantSplit/>
          <w:jc w:val="center"/>
        </w:trPr>
        <w:tc>
          <w:tcPr>
            <w:tcW w:w="1934" w:type="dxa"/>
            <w:gridSpan w:val="2"/>
            <w:tcBorders>
              <w:top w:val="nil"/>
              <w:bottom w:val="nil"/>
            </w:tcBorders>
          </w:tcPr>
          <w:p w14:paraId="63182096" w14:textId="77777777" w:rsidR="006E40C9" w:rsidRDefault="006E40C9">
            <w:pPr>
              <w:pStyle w:val="MeasureTableTextItalic"/>
            </w:pPr>
            <w:r>
              <w:t>Commencement date:</w:t>
            </w:r>
          </w:p>
        </w:tc>
        <w:tc>
          <w:tcPr>
            <w:tcW w:w="3179" w:type="dxa"/>
            <w:gridSpan w:val="4"/>
            <w:tcBorders>
              <w:top w:val="nil"/>
              <w:bottom w:val="nil"/>
            </w:tcBorders>
          </w:tcPr>
          <w:p w14:paraId="2FA71680" w14:textId="77777777" w:rsidR="006E40C9" w:rsidRDefault="006E40C9">
            <w:pPr>
              <w:pStyle w:val="MeasureTableTextLeftAligned"/>
            </w:pPr>
            <w:r>
              <w:t>Introduced before 1985</w:t>
            </w:r>
          </w:p>
        </w:tc>
        <w:tc>
          <w:tcPr>
            <w:tcW w:w="1500" w:type="dxa"/>
            <w:gridSpan w:val="2"/>
            <w:tcBorders>
              <w:top w:val="nil"/>
              <w:bottom w:val="nil"/>
            </w:tcBorders>
          </w:tcPr>
          <w:p w14:paraId="3816F794" w14:textId="77777777" w:rsidR="006E40C9" w:rsidRPr="00F32057" w:rsidRDefault="006E40C9">
            <w:pPr>
              <w:pStyle w:val="MeasureTableTextItalic"/>
            </w:pPr>
            <w:r>
              <w:t>Expiry date:</w:t>
            </w:r>
          </w:p>
        </w:tc>
        <w:tc>
          <w:tcPr>
            <w:tcW w:w="1124" w:type="dxa"/>
            <w:gridSpan w:val="2"/>
            <w:tcBorders>
              <w:top w:val="nil"/>
              <w:bottom w:val="nil"/>
            </w:tcBorders>
          </w:tcPr>
          <w:p w14:paraId="6424C2C1" w14:textId="77777777" w:rsidR="006E40C9" w:rsidRPr="00F32057" w:rsidRDefault="006E40C9">
            <w:pPr>
              <w:pStyle w:val="MeasureTableTextLeftAligned"/>
            </w:pPr>
          </w:p>
        </w:tc>
      </w:tr>
      <w:tr w:rsidR="006E40C9" w14:paraId="62C81AD9" w14:textId="77777777">
        <w:trPr>
          <w:cantSplit/>
          <w:jc w:val="center"/>
        </w:trPr>
        <w:tc>
          <w:tcPr>
            <w:tcW w:w="1934" w:type="dxa"/>
            <w:gridSpan w:val="2"/>
            <w:tcBorders>
              <w:top w:val="nil"/>
            </w:tcBorders>
          </w:tcPr>
          <w:p w14:paraId="2F8F9B5B" w14:textId="77777777" w:rsidR="006E40C9" w:rsidRDefault="006E40C9">
            <w:pPr>
              <w:pStyle w:val="MeasureTableTextItalic"/>
            </w:pPr>
            <w:r>
              <w:t>Legislative reference:</w:t>
            </w:r>
          </w:p>
        </w:tc>
        <w:tc>
          <w:tcPr>
            <w:tcW w:w="5803" w:type="dxa"/>
            <w:gridSpan w:val="8"/>
            <w:tcBorders>
              <w:top w:val="nil"/>
            </w:tcBorders>
          </w:tcPr>
          <w:p w14:paraId="3347C1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4FFBC10C" w14:textId="627284D4" w:rsidR="00B14A4C" w:rsidRDefault="00B14A4C">
      <w:pPr>
        <w:spacing w:after="0" w:line="240" w:lineRule="auto"/>
        <w:jc w:val="left"/>
      </w:pPr>
    </w:p>
    <w:p w14:paraId="6984C9E4" w14:textId="3F3E3172" w:rsidR="006E40C9" w:rsidRDefault="006E40C9" w:rsidP="006E40C9">
      <w:r>
        <w:t>The benchmark tax treatment is that the Medicare levy is paid on the taxable income of a resident for an income year. However, a Medicare levy exemption applies to income earned by current and veteran Australian Defence Force personnel</w:t>
      </w:r>
      <w:r>
        <w:fldChar w:fldCharType="begin"/>
      </w:r>
      <w:r>
        <w:instrText xml:space="preserve"> XE "Australian Defence Force personnel" </w:instrText>
      </w:r>
      <w:r>
        <w:fldChar w:fldCharType="end"/>
      </w:r>
      <w:r>
        <w:t xml:space="preserve"> and certain others, for example, relatives and associates of Australian Defence Force personnel who are entitled to free medical treatment</w:t>
      </w:r>
      <w:r>
        <w:fldChar w:fldCharType="begin"/>
      </w:r>
      <w:r>
        <w:instrText xml:space="preserve"> XE "Medicare levy:Exemption" </w:instrText>
      </w:r>
      <w:r>
        <w:fldChar w:fldCharType="end"/>
      </w:r>
      <w:r>
        <w:t>.</w:t>
      </w:r>
    </w:p>
    <w:p w14:paraId="26422A56" w14:textId="77777777" w:rsidR="006E40C9" w:rsidRDefault="006E40C9" w:rsidP="0003254D">
      <w:pPr>
        <w:pStyle w:val="Heading4"/>
      </w:pPr>
      <w:r>
        <w:t>A13</w:t>
      </w:r>
      <w:r>
        <w:tab/>
        <w:t>Tax offsets for Australian Defence Force personnel serving overseas and for Australian Federal Police and civilians serving with United Nations forces</w:t>
      </w:r>
    </w:p>
    <w:p w14:paraId="535EFE68" w14:textId="77777777" w:rsidR="006E40C9" w:rsidRDefault="006E40C9" w:rsidP="006E40C9">
      <w:pPr>
        <w:pStyle w:val="MeasureTableHeading"/>
      </w:pPr>
      <w:r>
        <w:t>Defence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E50985" w14:textId="77777777">
        <w:trPr>
          <w:cantSplit/>
          <w:jc w:val="center"/>
        </w:trPr>
        <w:tc>
          <w:tcPr>
            <w:tcW w:w="967" w:type="dxa"/>
            <w:tcBorders>
              <w:top w:val="single" w:sz="2" w:space="0" w:color="auto"/>
              <w:bottom w:val="single" w:sz="2" w:space="0" w:color="auto"/>
            </w:tcBorders>
          </w:tcPr>
          <w:p w14:paraId="7E52BB7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6EE9C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AF0CD2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FC6F8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94F2D4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893FE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56580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20BD486" w14:textId="77777777" w:rsidR="006E40C9" w:rsidRDefault="006E40C9">
            <w:pPr>
              <w:pStyle w:val="MeasureTableTextRightAligned"/>
            </w:pPr>
            <w:r>
              <w:t>2027-28</w:t>
            </w:r>
          </w:p>
        </w:tc>
      </w:tr>
      <w:tr w:rsidR="006E40C9" w14:paraId="234F24CF" w14:textId="77777777">
        <w:trPr>
          <w:cantSplit/>
          <w:jc w:val="center"/>
        </w:trPr>
        <w:tc>
          <w:tcPr>
            <w:tcW w:w="7737" w:type="dxa"/>
            <w:gridSpan w:val="10"/>
            <w:tcBorders>
              <w:top w:val="single" w:sz="2" w:space="0" w:color="auto"/>
              <w:bottom w:val="single" w:sz="2" w:space="0" w:color="auto"/>
            </w:tcBorders>
          </w:tcPr>
          <w:p w14:paraId="3FAB2249" w14:textId="77777777" w:rsidR="006E40C9" w:rsidRDefault="006E40C9">
            <w:pPr>
              <w:pStyle w:val="MeasureTableTextRightAligned"/>
              <w:jc w:val="center"/>
            </w:pPr>
            <w:r>
              <w:t>Included in A44</w:t>
            </w:r>
          </w:p>
        </w:tc>
      </w:tr>
      <w:tr w:rsidR="006E40C9" w14:paraId="71477F5B" w14:textId="77777777">
        <w:trPr>
          <w:cantSplit/>
          <w:jc w:val="center"/>
        </w:trPr>
        <w:tc>
          <w:tcPr>
            <w:tcW w:w="1934" w:type="dxa"/>
            <w:gridSpan w:val="2"/>
            <w:tcBorders>
              <w:top w:val="single" w:sz="2" w:space="0" w:color="auto"/>
              <w:bottom w:val="nil"/>
            </w:tcBorders>
          </w:tcPr>
          <w:p w14:paraId="2E43EE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1A8073" w14:textId="77777777" w:rsidR="006E40C9" w:rsidRDefault="006E40C9">
            <w:pPr>
              <w:pStyle w:val="MeasureTableTextLeftAligned"/>
            </w:pPr>
            <w:r>
              <w:t>Offset</w:t>
            </w:r>
          </w:p>
        </w:tc>
        <w:tc>
          <w:tcPr>
            <w:tcW w:w="1500" w:type="dxa"/>
            <w:gridSpan w:val="2"/>
            <w:tcBorders>
              <w:top w:val="single" w:sz="2" w:space="0" w:color="auto"/>
              <w:bottom w:val="nil"/>
            </w:tcBorders>
          </w:tcPr>
          <w:p w14:paraId="36BEB29D" w14:textId="7BFD8B0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D70E2C" w14:textId="77777777" w:rsidR="006E40C9" w:rsidRDefault="006E40C9">
            <w:pPr>
              <w:pStyle w:val="MeasureTableTextLeftAligned"/>
            </w:pPr>
            <w:r>
              <w:t>A13</w:t>
            </w:r>
          </w:p>
        </w:tc>
      </w:tr>
      <w:tr w:rsidR="006E40C9" w14:paraId="36E66F1F" w14:textId="77777777">
        <w:trPr>
          <w:cantSplit/>
          <w:jc w:val="center"/>
        </w:trPr>
        <w:tc>
          <w:tcPr>
            <w:tcW w:w="1934" w:type="dxa"/>
            <w:gridSpan w:val="2"/>
            <w:tcBorders>
              <w:top w:val="nil"/>
              <w:bottom w:val="nil"/>
            </w:tcBorders>
          </w:tcPr>
          <w:p w14:paraId="5EEDA9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9D3AF8" w14:textId="77777777" w:rsidR="006E40C9" w:rsidRPr="00584CA7" w:rsidRDefault="006E40C9">
            <w:pPr>
              <w:pStyle w:val="MeasureTableTextLeftAligned"/>
            </w:pPr>
          </w:p>
        </w:tc>
        <w:tc>
          <w:tcPr>
            <w:tcW w:w="1500" w:type="dxa"/>
            <w:gridSpan w:val="2"/>
            <w:tcBorders>
              <w:top w:val="nil"/>
              <w:bottom w:val="nil"/>
            </w:tcBorders>
          </w:tcPr>
          <w:p w14:paraId="50EC33AE" w14:textId="77777777" w:rsidR="006E40C9" w:rsidRDefault="006E40C9">
            <w:pPr>
              <w:pStyle w:val="MeasureTableTextItalic"/>
            </w:pPr>
          </w:p>
        </w:tc>
        <w:tc>
          <w:tcPr>
            <w:tcW w:w="1124" w:type="dxa"/>
            <w:gridSpan w:val="2"/>
            <w:tcBorders>
              <w:top w:val="nil"/>
              <w:bottom w:val="nil"/>
            </w:tcBorders>
          </w:tcPr>
          <w:p w14:paraId="10877028" w14:textId="77777777" w:rsidR="006E40C9" w:rsidRDefault="006E40C9">
            <w:pPr>
              <w:pStyle w:val="MeasureTableTextLeftAligned"/>
            </w:pPr>
          </w:p>
        </w:tc>
      </w:tr>
      <w:tr w:rsidR="006E40C9" w14:paraId="7DE1E57B" w14:textId="77777777">
        <w:trPr>
          <w:cantSplit/>
          <w:jc w:val="center"/>
        </w:trPr>
        <w:tc>
          <w:tcPr>
            <w:tcW w:w="1934" w:type="dxa"/>
            <w:gridSpan w:val="2"/>
            <w:tcBorders>
              <w:top w:val="nil"/>
              <w:bottom w:val="nil"/>
            </w:tcBorders>
          </w:tcPr>
          <w:p w14:paraId="4141C1C4" w14:textId="77777777" w:rsidR="006E40C9" w:rsidRDefault="006E40C9">
            <w:pPr>
              <w:pStyle w:val="MeasureTableTextItalic"/>
            </w:pPr>
            <w:r>
              <w:t>Commencement date:</w:t>
            </w:r>
          </w:p>
        </w:tc>
        <w:tc>
          <w:tcPr>
            <w:tcW w:w="3179" w:type="dxa"/>
            <w:gridSpan w:val="4"/>
            <w:tcBorders>
              <w:top w:val="nil"/>
              <w:bottom w:val="nil"/>
            </w:tcBorders>
          </w:tcPr>
          <w:p w14:paraId="12B35D50" w14:textId="77777777" w:rsidR="006E40C9" w:rsidRDefault="006E40C9">
            <w:pPr>
              <w:pStyle w:val="MeasureTableTextLeftAligned"/>
            </w:pPr>
            <w:r>
              <w:t>Introduced before 1985</w:t>
            </w:r>
          </w:p>
        </w:tc>
        <w:tc>
          <w:tcPr>
            <w:tcW w:w="1500" w:type="dxa"/>
            <w:gridSpan w:val="2"/>
            <w:tcBorders>
              <w:top w:val="nil"/>
              <w:bottom w:val="nil"/>
            </w:tcBorders>
          </w:tcPr>
          <w:p w14:paraId="060F8921" w14:textId="77777777" w:rsidR="006E40C9" w:rsidRPr="00F32057" w:rsidRDefault="006E40C9">
            <w:pPr>
              <w:pStyle w:val="MeasureTableTextItalic"/>
            </w:pPr>
            <w:r>
              <w:t>Expiry date:</w:t>
            </w:r>
          </w:p>
        </w:tc>
        <w:tc>
          <w:tcPr>
            <w:tcW w:w="1124" w:type="dxa"/>
            <w:gridSpan w:val="2"/>
            <w:tcBorders>
              <w:top w:val="nil"/>
              <w:bottom w:val="nil"/>
            </w:tcBorders>
          </w:tcPr>
          <w:p w14:paraId="1D0C59E8" w14:textId="77777777" w:rsidR="006E40C9" w:rsidRPr="00F32057" w:rsidRDefault="006E40C9">
            <w:pPr>
              <w:pStyle w:val="MeasureTableTextLeftAligned"/>
            </w:pPr>
          </w:p>
        </w:tc>
      </w:tr>
      <w:tr w:rsidR="006E40C9" w14:paraId="4FD32E4D" w14:textId="77777777">
        <w:trPr>
          <w:cantSplit/>
          <w:jc w:val="center"/>
        </w:trPr>
        <w:tc>
          <w:tcPr>
            <w:tcW w:w="1934" w:type="dxa"/>
            <w:gridSpan w:val="2"/>
            <w:tcBorders>
              <w:top w:val="nil"/>
            </w:tcBorders>
          </w:tcPr>
          <w:p w14:paraId="5E2D9578" w14:textId="77777777" w:rsidR="006E40C9" w:rsidRDefault="006E40C9">
            <w:pPr>
              <w:pStyle w:val="MeasureTableTextItalic"/>
            </w:pPr>
            <w:r>
              <w:t>Legislative reference:</w:t>
            </w:r>
          </w:p>
        </w:tc>
        <w:tc>
          <w:tcPr>
            <w:tcW w:w="5803" w:type="dxa"/>
            <w:gridSpan w:val="8"/>
            <w:tcBorders>
              <w:top w:val="nil"/>
            </w:tcBorders>
          </w:tcPr>
          <w:p w14:paraId="15CC0B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79B and 23AB(7) of the </w:t>
            </w:r>
            <w:r>
              <w:rPr>
                <w:rFonts w:ascii="Arial" w:hAnsi="Arial" w:cs="Arial"/>
                <w:i/>
                <w:iCs/>
                <w:color w:val="000000"/>
                <w:sz w:val="16"/>
                <w:szCs w:val="16"/>
              </w:rPr>
              <w:t>Income Tax Assessment Act 1936</w:t>
            </w:r>
          </w:p>
        </w:tc>
      </w:tr>
    </w:tbl>
    <w:p w14:paraId="73A426D9" w14:textId="77777777" w:rsidR="006E40C9" w:rsidRPr="00540040" w:rsidRDefault="006E40C9" w:rsidP="006E40C9">
      <w:pPr>
        <w:pStyle w:val="MeasureTableHeading"/>
      </w:pPr>
    </w:p>
    <w:p w14:paraId="7B733BBA" w14:textId="77777777" w:rsidR="006E40C9" w:rsidRDefault="006E40C9" w:rsidP="006E40C9">
      <w:r>
        <w:t xml:space="preserve">The benchmark tax treatment is that income tax is paid on the taxable income of a taxpayer for an income year at their applicable rate of tax. However, Australian Defence Force personnel </w:t>
      </w:r>
      <w:r>
        <w:fldChar w:fldCharType="begin"/>
      </w:r>
      <w:r>
        <w:instrText xml:space="preserve"> XE "Australian Defence Force personnel" </w:instrText>
      </w:r>
      <w:r>
        <w:fldChar w:fldCharType="end"/>
      </w:r>
      <w:r>
        <w:t xml:space="preserve">who serve overseas in a locality specified by the Minister (because of its isolation and uncongenial nature), as well as civilian and Australian Federal Police personnel contributed by Australia to an armed force of the United Nations, </w:t>
      </w:r>
      <w:r>
        <w:fldChar w:fldCharType="begin"/>
      </w:r>
      <w:r>
        <w:instrText xml:space="preserve"> XE "United Nations service" </w:instrText>
      </w:r>
      <w:r>
        <w:fldChar w:fldCharType="end"/>
      </w:r>
      <w:r>
        <w:t>may be eligible for a tax offset. The offset includes additional entitlements for individuals who maintain dependants.</w:t>
      </w:r>
    </w:p>
    <w:p w14:paraId="0EC75A2A" w14:textId="77777777" w:rsidR="006E40C9" w:rsidRDefault="006E40C9" w:rsidP="0003254D">
      <w:pPr>
        <w:pStyle w:val="Heading3"/>
      </w:pPr>
      <w:r>
        <w:t>Tax expenditures for education</w:t>
      </w:r>
    </w:p>
    <w:p w14:paraId="10DAC006" w14:textId="43008B26" w:rsidR="006E40C9" w:rsidRDefault="006E40C9" w:rsidP="0003254D">
      <w:pPr>
        <w:pStyle w:val="Heading4"/>
      </w:pPr>
      <w:r>
        <w:t>A14</w:t>
      </w:r>
      <w:r>
        <w:tab/>
        <w:t>Denial of deductibility for HECS-HELP expenses</w:t>
      </w:r>
    </w:p>
    <w:p w14:paraId="33055396"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A34033" w14:textId="77777777">
        <w:trPr>
          <w:cantSplit/>
          <w:jc w:val="center"/>
        </w:trPr>
        <w:tc>
          <w:tcPr>
            <w:tcW w:w="967" w:type="dxa"/>
            <w:tcBorders>
              <w:top w:val="single" w:sz="2" w:space="0" w:color="auto"/>
              <w:bottom w:val="single" w:sz="2" w:space="0" w:color="auto"/>
            </w:tcBorders>
          </w:tcPr>
          <w:p w14:paraId="6E647E2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4978A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A5DB7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E0F3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FC2A1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E87D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15A96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113175" w14:textId="77777777" w:rsidR="006E40C9" w:rsidRDefault="006E40C9">
            <w:pPr>
              <w:pStyle w:val="MeasureTableTextRightAligned"/>
            </w:pPr>
            <w:r>
              <w:t>2027-28</w:t>
            </w:r>
          </w:p>
        </w:tc>
      </w:tr>
      <w:tr w:rsidR="006E40C9" w14:paraId="168FEDE8" w14:textId="77777777">
        <w:trPr>
          <w:cantSplit/>
          <w:jc w:val="center"/>
        </w:trPr>
        <w:tc>
          <w:tcPr>
            <w:tcW w:w="967" w:type="dxa"/>
            <w:tcBorders>
              <w:top w:val="single" w:sz="2" w:space="0" w:color="auto"/>
              <w:bottom w:val="single" w:sz="2" w:space="0" w:color="auto"/>
            </w:tcBorders>
          </w:tcPr>
          <w:p w14:paraId="4DE2D78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73C27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F745C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3E117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3087B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D2C1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262E01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63CD3A2" w14:textId="77777777" w:rsidR="006E40C9" w:rsidRDefault="006E40C9">
            <w:pPr>
              <w:pStyle w:val="MeasureTableTextRightAligned"/>
            </w:pPr>
            <w:r>
              <w:t>*</w:t>
            </w:r>
          </w:p>
        </w:tc>
      </w:tr>
      <w:tr w:rsidR="006E40C9" w14:paraId="44C5F1AC" w14:textId="77777777">
        <w:trPr>
          <w:cantSplit/>
          <w:jc w:val="center"/>
        </w:trPr>
        <w:tc>
          <w:tcPr>
            <w:tcW w:w="1934" w:type="dxa"/>
            <w:gridSpan w:val="2"/>
            <w:tcBorders>
              <w:top w:val="single" w:sz="2" w:space="0" w:color="auto"/>
              <w:bottom w:val="nil"/>
            </w:tcBorders>
          </w:tcPr>
          <w:p w14:paraId="2AA6A1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57ED7F4"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7E2F9B5B" w14:textId="28E125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67EB99" w14:textId="77777777" w:rsidR="006E40C9" w:rsidRDefault="006E40C9">
            <w:pPr>
              <w:pStyle w:val="MeasureTableTextLeftAligned"/>
            </w:pPr>
            <w:r>
              <w:t>A14</w:t>
            </w:r>
          </w:p>
        </w:tc>
      </w:tr>
      <w:tr w:rsidR="006E40C9" w14:paraId="6B7B42BE" w14:textId="77777777">
        <w:trPr>
          <w:cantSplit/>
          <w:jc w:val="center"/>
        </w:trPr>
        <w:tc>
          <w:tcPr>
            <w:tcW w:w="1934" w:type="dxa"/>
            <w:gridSpan w:val="2"/>
            <w:tcBorders>
              <w:top w:val="nil"/>
              <w:bottom w:val="nil"/>
            </w:tcBorders>
          </w:tcPr>
          <w:p w14:paraId="78D529F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B740A5" w14:textId="77777777" w:rsidR="006E40C9" w:rsidRPr="00584CA7" w:rsidRDefault="006E40C9">
            <w:pPr>
              <w:pStyle w:val="MeasureTableTextLeftAligned"/>
            </w:pPr>
            <w:r>
              <w:t>Not Applicable</w:t>
            </w:r>
          </w:p>
        </w:tc>
        <w:tc>
          <w:tcPr>
            <w:tcW w:w="1500" w:type="dxa"/>
            <w:gridSpan w:val="2"/>
            <w:tcBorders>
              <w:top w:val="nil"/>
              <w:bottom w:val="nil"/>
            </w:tcBorders>
          </w:tcPr>
          <w:p w14:paraId="2537CD0A" w14:textId="77777777" w:rsidR="006E40C9" w:rsidRDefault="006E40C9">
            <w:pPr>
              <w:pStyle w:val="MeasureTableTextItalic"/>
            </w:pPr>
            <w:r>
              <w:t>* Category</w:t>
            </w:r>
          </w:p>
        </w:tc>
        <w:tc>
          <w:tcPr>
            <w:tcW w:w="1124" w:type="dxa"/>
            <w:gridSpan w:val="2"/>
            <w:tcBorders>
              <w:top w:val="nil"/>
              <w:bottom w:val="nil"/>
            </w:tcBorders>
          </w:tcPr>
          <w:p w14:paraId="68C1BCF7" w14:textId="77777777" w:rsidR="006E40C9" w:rsidRDefault="006E40C9">
            <w:pPr>
              <w:pStyle w:val="MeasureTableTextLeftAligned"/>
            </w:pPr>
            <w:r>
              <w:t>3-</w:t>
            </w:r>
          </w:p>
        </w:tc>
      </w:tr>
      <w:tr w:rsidR="006E40C9" w14:paraId="1F3B8408" w14:textId="77777777">
        <w:trPr>
          <w:cantSplit/>
          <w:jc w:val="center"/>
        </w:trPr>
        <w:tc>
          <w:tcPr>
            <w:tcW w:w="1934" w:type="dxa"/>
            <w:gridSpan w:val="2"/>
            <w:tcBorders>
              <w:top w:val="nil"/>
              <w:bottom w:val="nil"/>
            </w:tcBorders>
          </w:tcPr>
          <w:p w14:paraId="72BC6C41" w14:textId="77777777" w:rsidR="006E40C9" w:rsidRDefault="006E40C9">
            <w:pPr>
              <w:pStyle w:val="MeasureTableTextItalic"/>
            </w:pPr>
            <w:r>
              <w:t>Commencement date:</w:t>
            </w:r>
          </w:p>
        </w:tc>
        <w:tc>
          <w:tcPr>
            <w:tcW w:w="3179" w:type="dxa"/>
            <w:gridSpan w:val="4"/>
            <w:tcBorders>
              <w:top w:val="nil"/>
              <w:bottom w:val="nil"/>
            </w:tcBorders>
          </w:tcPr>
          <w:p w14:paraId="4191F5EB" w14:textId="77777777" w:rsidR="006E40C9" w:rsidRDefault="006E40C9">
            <w:pPr>
              <w:pStyle w:val="MeasureTableTextLeftAligned"/>
            </w:pPr>
            <w:r>
              <w:t>1997</w:t>
            </w:r>
          </w:p>
        </w:tc>
        <w:tc>
          <w:tcPr>
            <w:tcW w:w="1500" w:type="dxa"/>
            <w:gridSpan w:val="2"/>
            <w:tcBorders>
              <w:top w:val="nil"/>
              <w:bottom w:val="nil"/>
            </w:tcBorders>
          </w:tcPr>
          <w:p w14:paraId="17941F66" w14:textId="77777777" w:rsidR="006E40C9" w:rsidRPr="00F32057" w:rsidRDefault="006E40C9">
            <w:pPr>
              <w:pStyle w:val="MeasureTableTextItalic"/>
            </w:pPr>
            <w:r>
              <w:t>Expiry date:</w:t>
            </w:r>
          </w:p>
        </w:tc>
        <w:tc>
          <w:tcPr>
            <w:tcW w:w="1124" w:type="dxa"/>
            <w:gridSpan w:val="2"/>
            <w:tcBorders>
              <w:top w:val="nil"/>
              <w:bottom w:val="nil"/>
            </w:tcBorders>
          </w:tcPr>
          <w:p w14:paraId="28855C88" w14:textId="77777777" w:rsidR="006E40C9" w:rsidRPr="00F32057" w:rsidRDefault="006E40C9">
            <w:pPr>
              <w:pStyle w:val="MeasureTableTextLeftAligned"/>
            </w:pPr>
          </w:p>
        </w:tc>
      </w:tr>
      <w:tr w:rsidR="006E40C9" w14:paraId="4BD27888" w14:textId="77777777">
        <w:trPr>
          <w:cantSplit/>
          <w:jc w:val="center"/>
        </w:trPr>
        <w:tc>
          <w:tcPr>
            <w:tcW w:w="1934" w:type="dxa"/>
            <w:gridSpan w:val="2"/>
            <w:tcBorders>
              <w:top w:val="nil"/>
            </w:tcBorders>
          </w:tcPr>
          <w:p w14:paraId="4944EA57" w14:textId="77777777" w:rsidR="006E40C9" w:rsidRDefault="006E40C9">
            <w:pPr>
              <w:pStyle w:val="MeasureTableTextItalic"/>
            </w:pPr>
            <w:r>
              <w:t>Legislative reference:</w:t>
            </w:r>
          </w:p>
        </w:tc>
        <w:tc>
          <w:tcPr>
            <w:tcW w:w="5803" w:type="dxa"/>
            <w:gridSpan w:val="8"/>
            <w:tcBorders>
              <w:top w:val="nil"/>
            </w:tcBorders>
          </w:tcPr>
          <w:p w14:paraId="73DEF7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26-20 of the </w:t>
            </w:r>
            <w:r>
              <w:rPr>
                <w:rFonts w:ascii="Arial" w:hAnsi="Arial" w:cs="Arial"/>
                <w:i/>
                <w:iCs/>
                <w:color w:val="000000"/>
                <w:sz w:val="16"/>
                <w:szCs w:val="16"/>
              </w:rPr>
              <w:t>Income Tax Assessment Act 1997</w:t>
            </w:r>
          </w:p>
        </w:tc>
      </w:tr>
    </w:tbl>
    <w:p w14:paraId="6466CADA" w14:textId="77777777" w:rsidR="006E40C9" w:rsidRPr="00540040" w:rsidRDefault="006E40C9" w:rsidP="006E40C9">
      <w:pPr>
        <w:pStyle w:val="MeasureTableHeading"/>
      </w:pPr>
    </w:p>
    <w:p w14:paraId="5680F80B" w14:textId="77777777" w:rsidR="006E40C9" w:rsidRDefault="006E40C9" w:rsidP="006E40C9">
      <w:r>
        <w:t xml:space="preserve">Under the benchmark, expenses </w:t>
      </w:r>
      <w:r>
        <w:fldChar w:fldCharType="begin"/>
      </w:r>
      <w:r>
        <w:instrText xml:space="preserve"> XE "E</w:instrText>
      </w:r>
      <w:r w:rsidRPr="0056569A">
        <w:instrText>ducation</w:instrText>
      </w:r>
      <w:r>
        <w:instrText xml:space="preserve">:Expenses" </w:instrText>
      </w:r>
      <w:r>
        <w:fldChar w:fldCharType="end"/>
      </w:r>
      <w:r>
        <w:t>are only deductible if they are connected to income earning activity. However, course fees and repayments for a Higher Education Contribution Scheme Higher Education Loan</w:t>
      </w:r>
      <w:r>
        <w:fldChar w:fldCharType="begin"/>
      </w:r>
      <w:r>
        <w:instrText xml:space="preserve"> XE "Higher Education Contribution Scheme Higher Education Loan Program" </w:instrText>
      </w:r>
      <w:r>
        <w:fldChar w:fldCharType="end"/>
      </w:r>
      <w:r>
        <w:t xml:space="preserve"> Program (HECS</w:t>
      </w:r>
      <w:r>
        <w:noBreakHyphen/>
        <w:t>HELP) place funded by the individual and some other loan schemes are not tax deductible, even for the proportion that relates to income earning activities.</w:t>
      </w:r>
    </w:p>
    <w:p w14:paraId="2CB89896" w14:textId="77777777" w:rsidR="006E40C9" w:rsidRDefault="006E40C9" w:rsidP="0003254D">
      <w:pPr>
        <w:pStyle w:val="Heading4"/>
      </w:pPr>
      <w:r>
        <w:t>A15</w:t>
      </w:r>
      <w:r>
        <w:tab/>
        <w:t>Exemption of income from certain educational scholarships, payments to apprentices or similar forms of assistance</w:t>
      </w:r>
    </w:p>
    <w:p w14:paraId="40C27D1F"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23D5BB5" w14:textId="77777777">
        <w:trPr>
          <w:cantSplit/>
          <w:jc w:val="center"/>
        </w:trPr>
        <w:tc>
          <w:tcPr>
            <w:tcW w:w="967" w:type="dxa"/>
            <w:tcBorders>
              <w:top w:val="single" w:sz="2" w:space="0" w:color="auto"/>
              <w:bottom w:val="single" w:sz="2" w:space="0" w:color="auto"/>
            </w:tcBorders>
          </w:tcPr>
          <w:p w14:paraId="0046E4C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C484C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27C8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34599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05D24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5BD83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E81F2E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510BC6" w14:textId="77777777" w:rsidR="006E40C9" w:rsidRDefault="006E40C9">
            <w:pPr>
              <w:pStyle w:val="MeasureTableTextRightAligned"/>
            </w:pPr>
            <w:r>
              <w:t>2027-28</w:t>
            </w:r>
          </w:p>
        </w:tc>
      </w:tr>
      <w:tr w:rsidR="006E40C9" w14:paraId="165343B7" w14:textId="77777777">
        <w:trPr>
          <w:cantSplit/>
          <w:jc w:val="center"/>
        </w:trPr>
        <w:tc>
          <w:tcPr>
            <w:tcW w:w="967" w:type="dxa"/>
            <w:tcBorders>
              <w:top w:val="single" w:sz="2" w:space="0" w:color="auto"/>
              <w:bottom w:val="single" w:sz="2" w:space="0" w:color="auto"/>
            </w:tcBorders>
          </w:tcPr>
          <w:p w14:paraId="66F4121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6790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1E0C5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CBF05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CF52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A59AB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2D1C9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EAEE34F" w14:textId="77777777" w:rsidR="006E40C9" w:rsidRDefault="006E40C9">
            <w:pPr>
              <w:pStyle w:val="MeasureTableTextRightAligned"/>
            </w:pPr>
            <w:r>
              <w:t>*</w:t>
            </w:r>
          </w:p>
        </w:tc>
      </w:tr>
      <w:tr w:rsidR="006E40C9" w14:paraId="600003F4" w14:textId="77777777">
        <w:trPr>
          <w:cantSplit/>
          <w:jc w:val="center"/>
        </w:trPr>
        <w:tc>
          <w:tcPr>
            <w:tcW w:w="1934" w:type="dxa"/>
            <w:gridSpan w:val="2"/>
            <w:tcBorders>
              <w:top w:val="single" w:sz="2" w:space="0" w:color="auto"/>
              <w:bottom w:val="nil"/>
            </w:tcBorders>
          </w:tcPr>
          <w:p w14:paraId="13597A4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B3E0FC" w14:textId="77777777" w:rsidR="006E40C9" w:rsidRDefault="006E40C9">
            <w:pPr>
              <w:pStyle w:val="MeasureTableTextLeftAligned"/>
            </w:pPr>
            <w:r>
              <w:t>Exemption</w:t>
            </w:r>
          </w:p>
        </w:tc>
        <w:tc>
          <w:tcPr>
            <w:tcW w:w="1500" w:type="dxa"/>
            <w:gridSpan w:val="2"/>
            <w:tcBorders>
              <w:top w:val="single" w:sz="2" w:space="0" w:color="auto"/>
              <w:bottom w:val="nil"/>
            </w:tcBorders>
          </w:tcPr>
          <w:p w14:paraId="11CB076E" w14:textId="06FA333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E8BF4F" w14:textId="77777777" w:rsidR="006E40C9" w:rsidRDefault="006E40C9">
            <w:pPr>
              <w:pStyle w:val="MeasureTableTextLeftAligned"/>
            </w:pPr>
            <w:r>
              <w:t>A15</w:t>
            </w:r>
          </w:p>
        </w:tc>
      </w:tr>
      <w:tr w:rsidR="006E40C9" w14:paraId="38C650FC" w14:textId="77777777">
        <w:trPr>
          <w:cantSplit/>
          <w:jc w:val="center"/>
        </w:trPr>
        <w:tc>
          <w:tcPr>
            <w:tcW w:w="1934" w:type="dxa"/>
            <w:gridSpan w:val="2"/>
            <w:tcBorders>
              <w:top w:val="nil"/>
              <w:bottom w:val="nil"/>
            </w:tcBorders>
          </w:tcPr>
          <w:p w14:paraId="7BA481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110BCF7" w14:textId="77777777" w:rsidR="006E40C9" w:rsidRPr="00584CA7" w:rsidRDefault="006E40C9">
            <w:pPr>
              <w:pStyle w:val="MeasureTableTextLeftAligned"/>
            </w:pPr>
            <w:r>
              <w:t>Not Applicable</w:t>
            </w:r>
          </w:p>
        </w:tc>
        <w:tc>
          <w:tcPr>
            <w:tcW w:w="1500" w:type="dxa"/>
            <w:gridSpan w:val="2"/>
            <w:tcBorders>
              <w:top w:val="nil"/>
              <w:bottom w:val="nil"/>
            </w:tcBorders>
          </w:tcPr>
          <w:p w14:paraId="2A2E4332" w14:textId="77777777" w:rsidR="006E40C9" w:rsidRDefault="006E40C9">
            <w:pPr>
              <w:pStyle w:val="MeasureTableTextItalic"/>
            </w:pPr>
            <w:r>
              <w:t>* Category</w:t>
            </w:r>
          </w:p>
        </w:tc>
        <w:tc>
          <w:tcPr>
            <w:tcW w:w="1124" w:type="dxa"/>
            <w:gridSpan w:val="2"/>
            <w:tcBorders>
              <w:top w:val="nil"/>
              <w:bottom w:val="nil"/>
            </w:tcBorders>
          </w:tcPr>
          <w:p w14:paraId="4BD4AB8E" w14:textId="77777777" w:rsidR="006E40C9" w:rsidRDefault="006E40C9">
            <w:pPr>
              <w:pStyle w:val="MeasureTableTextLeftAligned"/>
            </w:pPr>
            <w:r>
              <w:t>2+</w:t>
            </w:r>
          </w:p>
        </w:tc>
      </w:tr>
      <w:tr w:rsidR="006E40C9" w14:paraId="7B93683C" w14:textId="77777777">
        <w:trPr>
          <w:cantSplit/>
          <w:jc w:val="center"/>
        </w:trPr>
        <w:tc>
          <w:tcPr>
            <w:tcW w:w="1934" w:type="dxa"/>
            <w:gridSpan w:val="2"/>
            <w:tcBorders>
              <w:top w:val="nil"/>
              <w:bottom w:val="nil"/>
            </w:tcBorders>
          </w:tcPr>
          <w:p w14:paraId="2B1DAAB1" w14:textId="77777777" w:rsidR="006E40C9" w:rsidRDefault="006E40C9">
            <w:pPr>
              <w:pStyle w:val="MeasureTableTextItalic"/>
            </w:pPr>
            <w:r>
              <w:t>Commencement date:</w:t>
            </w:r>
          </w:p>
        </w:tc>
        <w:tc>
          <w:tcPr>
            <w:tcW w:w="3179" w:type="dxa"/>
            <w:gridSpan w:val="4"/>
            <w:tcBorders>
              <w:top w:val="nil"/>
              <w:bottom w:val="nil"/>
            </w:tcBorders>
          </w:tcPr>
          <w:p w14:paraId="2C2A054B" w14:textId="77777777" w:rsidR="006E40C9" w:rsidRDefault="006E40C9">
            <w:pPr>
              <w:pStyle w:val="MeasureTableTextLeftAligned"/>
            </w:pPr>
            <w:r>
              <w:t>Introduced before 1985</w:t>
            </w:r>
          </w:p>
        </w:tc>
        <w:tc>
          <w:tcPr>
            <w:tcW w:w="1500" w:type="dxa"/>
            <w:gridSpan w:val="2"/>
            <w:tcBorders>
              <w:top w:val="nil"/>
              <w:bottom w:val="nil"/>
            </w:tcBorders>
          </w:tcPr>
          <w:p w14:paraId="6319E28A" w14:textId="77777777" w:rsidR="006E40C9" w:rsidRPr="00F32057" w:rsidRDefault="006E40C9">
            <w:pPr>
              <w:pStyle w:val="MeasureTableTextItalic"/>
            </w:pPr>
            <w:r>
              <w:t>Expiry date:</w:t>
            </w:r>
          </w:p>
        </w:tc>
        <w:tc>
          <w:tcPr>
            <w:tcW w:w="1124" w:type="dxa"/>
            <w:gridSpan w:val="2"/>
            <w:tcBorders>
              <w:top w:val="nil"/>
              <w:bottom w:val="nil"/>
            </w:tcBorders>
          </w:tcPr>
          <w:p w14:paraId="7314AF3B" w14:textId="77777777" w:rsidR="006E40C9" w:rsidRPr="00F32057" w:rsidRDefault="006E40C9">
            <w:pPr>
              <w:pStyle w:val="MeasureTableTextLeftAligned"/>
            </w:pPr>
          </w:p>
        </w:tc>
      </w:tr>
      <w:tr w:rsidR="006E40C9" w14:paraId="7875EC0E" w14:textId="77777777">
        <w:trPr>
          <w:cantSplit/>
          <w:jc w:val="center"/>
        </w:trPr>
        <w:tc>
          <w:tcPr>
            <w:tcW w:w="1934" w:type="dxa"/>
            <w:gridSpan w:val="2"/>
            <w:tcBorders>
              <w:top w:val="nil"/>
            </w:tcBorders>
          </w:tcPr>
          <w:p w14:paraId="6112C519" w14:textId="77777777" w:rsidR="006E40C9" w:rsidRDefault="006E40C9">
            <w:pPr>
              <w:pStyle w:val="MeasureTableTextItalic"/>
            </w:pPr>
            <w:r>
              <w:t>Legislative reference:</w:t>
            </w:r>
          </w:p>
        </w:tc>
        <w:tc>
          <w:tcPr>
            <w:tcW w:w="5803" w:type="dxa"/>
            <w:gridSpan w:val="8"/>
            <w:tcBorders>
              <w:top w:val="nil"/>
            </w:tcBorders>
          </w:tcPr>
          <w:p w14:paraId="2820414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51-10, 51-35, 51-40, 51-42 and 842-105 of the </w:t>
            </w:r>
            <w:r>
              <w:rPr>
                <w:rFonts w:ascii="Arial" w:hAnsi="Arial" w:cs="Arial"/>
                <w:i/>
                <w:iCs/>
                <w:color w:val="000000"/>
                <w:sz w:val="16"/>
                <w:szCs w:val="16"/>
              </w:rPr>
              <w:t>Income Tax Assessment Act 1997</w:t>
            </w:r>
          </w:p>
        </w:tc>
      </w:tr>
    </w:tbl>
    <w:p w14:paraId="5EEDC10E" w14:textId="77777777" w:rsidR="006E40C9" w:rsidRPr="00540040" w:rsidRDefault="006E40C9" w:rsidP="006E40C9">
      <w:pPr>
        <w:pStyle w:val="MeasureTableHeading"/>
      </w:pPr>
    </w:p>
    <w:p w14:paraId="62142C8C" w14:textId="77777777" w:rsidR="006E40C9" w:rsidRDefault="006E40C9" w:rsidP="006E40C9">
      <w:pPr>
        <w:rPr>
          <w:i/>
          <w:iCs/>
        </w:rPr>
      </w:pPr>
      <w:r>
        <w:t>The benchmark tax treatment is that income tax is paid on the taxable income of a taxpayer for an income year at their applicable rate of tax. However, scholarships and other education allowances paid to full</w:t>
      </w:r>
      <w:r>
        <w:noBreakHyphen/>
        <w:t>time</w:t>
      </w:r>
      <w:r>
        <w:fldChar w:fldCharType="begin"/>
      </w:r>
      <w:r>
        <w:instrText xml:space="preserve"> XE "Educational allowance income" </w:instrText>
      </w:r>
      <w:r>
        <w:fldChar w:fldCharType="end"/>
      </w:r>
      <w:r>
        <w:t xml:space="preserve"> students at a school, college or university may be exempt from income tax. Income derived as part of an Australian Government scheme to assist secondary education or the education of isolated children is exempt from income tax (excluding federal education, training or education entry payments provided under the </w:t>
      </w:r>
      <w:r>
        <w:rPr>
          <w:i/>
        </w:rPr>
        <w:t>Social Security Act 1991</w:t>
      </w:r>
      <w:r>
        <w:t>)</w:t>
      </w:r>
      <w:r>
        <w:rPr>
          <w:i/>
        </w:rPr>
        <w:t>.</w:t>
      </w:r>
      <w:r>
        <w:t xml:space="preserve"> A number of other exempt educational payments are listed in the </w:t>
      </w:r>
      <w:r>
        <w:rPr>
          <w:i/>
          <w:iCs/>
        </w:rPr>
        <w:t>Income Tax Assessment Act 1997.</w:t>
      </w:r>
    </w:p>
    <w:p w14:paraId="3AFDD75E" w14:textId="77777777" w:rsidR="006E40C9" w:rsidRDefault="006E40C9" w:rsidP="0003254D">
      <w:pPr>
        <w:pStyle w:val="Heading4"/>
      </w:pPr>
      <w:r>
        <w:t>A16</w:t>
      </w:r>
      <w:r>
        <w:tab/>
        <w:t>Threshold for the deductibility of self-education expenses</w:t>
      </w:r>
    </w:p>
    <w:p w14:paraId="373C0931"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29A962D" w14:textId="77777777">
        <w:trPr>
          <w:cantSplit/>
          <w:jc w:val="center"/>
        </w:trPr>
        <w:tc>
          <w:tcPr>
            <w:tcW w:w="967" w:type="dxa"/>
            <w:tcBorders>
              <w:top w:val="single" w:sz="2" w:space="0" w:color="auto"/>
              <w:bottom w:val="single" w:sz="2" w:space="0" w:color="auto"/>
            </w:tcBorders>
          </w:tcPr>
          <w:p w14:paraId="153960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53F09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4E95A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D0E16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63A7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1F871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8F5A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9EEA99" w14:textId="77777777" w:rsidR="006E40C9" w:rsidRDefault="006E40C9">
            <w:pPr>
              <w:pStyle w:val="MeasureTableTextRightAligned"/>
            </w:pPr>
            <w:r>
              <w:t>2027-28</w:t>
            </w:r>
          </w:p>
        </w:tc>
      </w:tr>
      <w:tr w:rsidR="006E40C9" w14:paraId="6A8DC884" w14:textId="77777777">
        <w:trPr>
          <w:cantSplit/>
          <w:jc w:val="center"/>
        </w:trPr>
        <w:tc>
          <w:tcPr>
            <w:tcW w:w="967" w:type="dxa"/>
            <w:tcBorders>
              <w:top w:val="single" w:sz="2" w:space="0" w:color="auto"/>
              <w:bottom w:val="single" w:sz="2" w:space="0" w:color="auto"/>
            </w:tcBorders>
          </w:tcPr>
          <w:p w14:paraId="7F7FDE5D" w14:textId="77777777" w:rsidR="006E40C9" w:rsidRDefault="006E40C9">
            <w:pPr>
              <w:pStyle w:val="MeasureTableTextRightAligned"/>
            </w:pPr>
            <w:r>
              <w:t>-3</w:t>
            </w:r>
          </w:p>
        </w:tc>
        <w:tc>
          <w:tcPr>
            <w:tcW w:w="967" w:type="dxa"/>
            <w:tcBorders>
              <w:top w:val="single" w:sz="2" w:space="0" w:color="auto"/>
              <w:bottom w:val="single" w:sz="2" w:space="0" w:color="auto"/>
            </w:tcBorders>
          </w:tcPr>
          <w:p w14:paraId="67828175"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14AD5706"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58F03B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31F6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EC7386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CB462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04ECFFD" w14:textId="77777777" w:rsidR="006E40C9" w:rsidRDefault="006E40C9">
            <w:pPr>
              <w:pStyle w:val="MeasureTableTextRightAligned"/>
            </w:pPr>
            <w:r>
              <w:t>-</w:t>
            </w:r>
          </w:p>
        </w:tc>
      </w:tr>
      <w:tr w:rsidR="006E40C9" w14:paraId="35434A6A" w14:textId="77777777">
        <w:trPr>
          <w:cantSplit/>
          <w:jc w:val="center"/>
        </w:trPr>
        <w:tc>
          <w:tcPr>
            <w:tcW w:w="1934" w:type="dxa"/>
            <w:gridSpan w:val="2"/>
            <w:tcBorders>
              <w:top w:val="single" w:sz="2" w:space="0" w:color="auto"/>
              <w:bottom w:val="nil"/>
            </w:tcBorders>
          </w:tcPr>
          <w:p w14:paraId="5C52653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01E178"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4333A76A" w14:textId="425E47F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FAA59C9" w14:textId="77777777" w:rsidR="006E40C9" w:rsidRDefault="006E40C9">
            <w:pPr>
              <w:pStyle w:val="MeasureTableTextLeftAligned"/>
            </w:pPr>
            <w:r>
              <w:t>A16</w:t>
            </w:r>
          </w:p>
        </w:tc>
      </w:tr>
      <w:tr w:rsidR="006E40C9" w14:paraId="4D46FDDF" w14:textId="77777777">
        <w:trPr>
          <w:cantSplit/>
          <w:jc w:val="center"/>
        </w:trPr>
        <w:tc>
          <w:tcPr>
            <w:tcW w:w="1934" w:type="dxa"/>
            <w:gridSpan w:val="2"/>
            <w:tcBorders>
              <w:top w:val="nil"/>
              <w:bottom w:val="nil"/>
            </w:tcBorders>
          </w:tcPr>
          <w:p w14:paraId="718A88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AA513A3" w14:textId="77777777" w:rsidR="006E40C9" w:rsidRPr="00584CA7" w:rsidRDefault="006E40C9">
            <w:pPr>
              <w:pStyle w:val="MeasureTableTextLeftAligned"/>
            </w:pPr>
            <w:r>
              <w:t>Low</w:t>
            </w:r>
          </w:p>
        </w:tc>
        <w:tc>
          <w:tcPr>
            <w:tcW w:w="1500" w:type="dxa"/>
            <w:gridSpan w:val="2"/>
            <w:tcBorders>
              <w:top w:val="nil"/>
              <w:bottom w:val="nil"/>
            </w:tcBorders>
          </w:tcPr>
          <w:p w14:paraId="59EF37A5" w14:textId="77777777" w:rsidR="006E40C9" w:rsidRDefault="006E40C9">
            <w:pPr>
              <w:pStyle w:val="MeasureTableTextItalic"/>
            </w:pPr>
          </w:p>
        </w:tc>
        <w:tc>
          <w:tcPr>
            <w:tcW w:w="1124" w:type="dxa"/>
            <w:gridSpan w:val="2"/>
            <w:tcBorders>
              <w:top w:val="nil"/>
              <w:bottom w:val="nil"/>
            </w:tcBorders>
          </w:tcPr>
          <w:p w14:paraId="49369034" w14:textId="77777777" w:rsidR="006E40C9" w:rsidRDefault="006E40C9">
            <w:pPr>
              <w:pStyle w:val="MeasureTableTextLeftAligned"/>
            </w:pPr>
          </w:p>
        </w:tc>
      </w:tr>
      <w:tr w:rsidR="006E40C9" w14:paraId="569BBCB6" w14:textId="77777777">
        <w:trPr>
          <w:cantSplit/>
          <w:jc w:val="center"/>
        </w:trPr>
        <w:tc>
          <w:tcPr>
            <w:tcW w:w="1934" w:type="dxa"/>
            <w:gridSpan w:val="2"/>
            <w:tcBorders>
              <w:top w:val="nil"/>
              <w:bottom w:val="nil"/>
            </w:tcBorders>
          </w:tcPr>
          <w:p w14:paraId="37862BD4" w14:textId="77777777" w:rsidR="006E40C9" w:rsidRDefault="006E40C9">
            <w:pPr>
              <w:pStyle w:val="MeasureTableTextItalic"/>
            </w:pPr>
            <w:r>
              <w:t>Commencement date:</w:t>
            </w:r>
          </w:p>
        </w:tc>
        <w:tc>
          <w:tcPr>
            <w:tcW w:w="3179" w:type="dxa"/>
            <w:gridSpan w:val="4"/>
            <w:tcBorders>
              <w:top w:val="nil"/>
              <w:bottom w:val="nil"/>
            </w:tcBorders>
          </w:tcPr>
          <w:p w14:paraId="314C395C" w14:textId="77777777" w:rsidR="006E40C9" w:rsidRDefault="006E40C9">
            <w:pPr>
              <w:pStyle w:val="MeasureTableTextLeftAligned"/>
            </w:pPr>
            <w:r>
              <w:t>Introduced before 1985</w:t>
            </w:r>
          </w:p>
        </w:tc>
        <w:tc>
          <w:tcPr>
            <w:tcW w:w="1500" w:type="dxa"/>
            <w:gridSpan w:val="2"/>
            <w:tcBorders>
              <w:top w:val="nil"/>
              <w:bottom w:val="nil"/>
            </w:tcBorders>
          </w:tcPr>
          <w:p w14:paraId="544153FD" w14:textId="77777777" w:rsidR="006E40C9" w:rsidRPr="00F32057" w:rsidRDefault="006E40C9">
            <w:pPr>
              <w:pStyle w:val="MeasureTableTextItalic"/>
            </w:pPr>
            <w:r>
              <w:t>Expiry date:</w:t>
            </w:r>
          </w:p>
        </w:tc>
        <w:tc>
          <w:tcPr>
            <w:tcW w:w="1124" w:type="dxa"/>
            <w:gridSpan w:val="2"/>
            <w:tcBorders>
              <w:top w:val="nil"/>
              <w:bottom w:val="nil"/>
            </w:tcBorders>
          </w:tcPr>
          <w:p w14:paraId="693FFB62" w14:textId="77777777" w:rsidR="006E40C9" w:rsidRPr="00F32057" w:rsidRDefault="006E40C9">
            <w:pPr>
              <w:pStyle w:val="MeasureTableTextLeftAligned"/>
            </w:pPr>
          </w:p>
        </w:tc>
      </w:tr>
      <w:tr w:rsidR="006E40C9" w14:paraId="3C70F95E" w14:textId="77777777">
        <w:trPr>
          <w:cantSplit/>
          <w:jc w:val="center"/>
        </w:trPr>
        <w:tc>
          <w:tcPr>
            <w:tcW w:w="1934" w:type="dxa"/>
            <w:gridSpan w:val="2"/>
            <w:tcBorders>
              <w:top w:val="nil"/>
            </w:tcBorders>
          </w:tcPr>
          <w:p w14:paraId="2FA3715A" w14:textId="77777777" w:rsidR="006E40C9" w:rsidRDefault="006E40C9">
            <w:pPr>
              <w:pStyle w:val="MeasureTableTextItalic"/>
            </w:pPr>
            <w:r>
              <w:t>Legislative reference:</w:t>
            </w:r>
          </w:p>
        </w:tc>
        <w:tc>
          <w:tcPr>
            <w:tcW w:w="5803" w:type="dxa"/>
            <w:gridSpan w:val="8"/>
            <w:tcBorders>
              <w:top w:val="nil"/>
            </w:tcBorders>
          </w:tcPr>
          <w:p w14:paraId="2C405E5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82A of the </w:t>
            </w:r>
            <w:r>
              <w:rPr>
                <w:rFonts w:ascii="Arial" w:hAnsi="Arial" w:cs="Arial"/>
                <w:i/>
                <w:iCs/>
                <w:color w:val="000000"/>
                <w:sz w:val="16"/>
                <w:szCs w:val="16"/>
              </w:rPr>
              <w:t>Income Tax Assessment Act 1936</w:t>
            </w:r>
          </w:p>
        </w:tc>
      </w:tr>
    </w:tbl>
    <w:p w14:paraId="551B4DFC" w14:textId="77777777" w:rsidR="006E40C9" w:rsidRPr="00540040" w:rsidRDefault="006E40C9" w:rsidP="006E40C9">
      <w:pPr>
        <w:pStyle w:val="MeasureTableHeading"/>
      </w:pPr>
    </w:p>
    <w:p w14:paraId="138B974A" w14:textId="77777777" w:rsidR="006E40C9" w:rsidRDefault="006E40C9" w:rsidP="006E40C9">
      <w:r>
        <w:t>Under the benchmark, expenses are only deductible if they are connected to income earning activity. As such, self</w:t>
      </w:r>
      <w:r>
        <w:noBreakHyphen/>
        <w:t>education expenses for the purpose of maintaining or improving skills or knowledge which the taxpayer uses in their current income earning activities are deductible. However, in certain circumstances the $250 non</w:t>
      </w:r>
      <w:r>
        <w:noBreakHyphen/>
        <w:t>deductible threshold for work</w:t>
      </w:r>
      <w:r>
        <w:noBreakHyphen/>
        <w:t>related self</w:t>
      </w:r>
      <w:r>
        <w:noBreakHyphen/>
        <w:t>education expenses requires taxpayers to reduce their self</w:t>
      </w:r>
      <w:r>
        <w:noBreakHyphen/>
        <w:t>education deduction claims by $250. Taxpayers can reduce the $250 non</w:t>
      </w:r>
      <w:r>
        <w:noBreakHyphen/>
        <w:t>deductible threshold using certain other self</w:t>
      </w:r>
      <w:r>
        <w:noBreakHyphen/>
        <w:t>education expenses that are non</w:t>
      </w:r>
      <w:r>
        <w:noBreakHyphen/>
        <w:t>deductible, such as child care costs</w:t>
      </w:r>
      <w:r>
        <w:fldChar w:fldCharType="begin"/>
      </w:r>
      <w:r>
        <w:instrText xml:space="preserve"> XE "C</w:instrText>
      </w:r>
      <w:r w:rsidRPr="00E15A2C">
        <w:instrText>hild care:</w:instrText>
      </w:r>
      <w:r>
        <w:instrText xml:space="preserve">Expenses" </w:instrText>
      </w:r>
      <w:r>
        <w:fldChar w:fldCharType="end"/>
      </w:r>
      <w:r>
        <w:t>.</w:t>
      </w:r>
    </w:p>
    <w:p w14:paraId="6D37A415" w14:textId="6062C44D" w:rsidR="006E40C9" w:rsidRDefault="006E40C9" w:rsidP="006E40C9">
      <w:r>
        <w:t>The $250 non</w:t>
      </w:r>
      <w:r>
        <w:noBreakHyphen/>
        <w:t>deductible threshold for work</w:t>
      </w:r>
      <w:r>
        <w:noBreakHyphen/>
        <w:t>related self</w:t>
      </w:r>
      <w:r>
        <w:noBreakHyphen/>
        <w:t>education expenses has been</w:t>
      </w:r>
      <w:r w:rsidR="00C77FAC">
        <w:t xml:space="preserve"> </w:t>
      </w:r>
      <w:r>
        <w:t>removed for assessments for the 2022-23 income year and later income years.</w:t>
      </w:r>
      <w:r>
        <w:fldChar w:fldCharType="begin"/>
      </w:r>
      <w:r>
        <w:instrText xml:space="preserve"> XE "</w:instrText>
      </w:r>
      <w:r w:rsidRPr="006A7DAF">
        <w:instrText>Education</w:instrText>
      </w:r>
      <w:r>
        <w:instrText xml:space="preserve">:Expenses" </w:instrText>
      </w:r>
      <w:r>
        <w:fldChar w:fldCharType="end"/>
      </w:r>
    </w:p>
    <w:p w14:paraId="0A9EAE4C" w14:textId="77777777" w:rsidR="006E40C9" w:rsidRDefault="006E40C9" w:rsidP="0003254D">
      <w:pPr>
        <w:pStyle w:val="Heading3"/>
      </w:pPr>
      <w:r>
        <w:t>Tax expenditures for health</w:t>
      </w:r>
    </w:p>
    <w:p w14:paraId="5438E2D2" w14:textId="6BE2F882" w:rsidR="006E40C9" w:rsidRDefault="006E40C9" w:rsidP="0003254D">
      <w:pPr>
        <w:pStyle w:val="Heading4"/>
      </w:pPr>
      <w:r>
        <w:t>A17</w:t>
      </w:r>
      <w:r>
        <w:tab/>
        <w:t>Exempting lump sum payments in arrears from the Medicare levy</w:t>
      </w:r>
    </w:p>
    <w:p w14:paraId="25626F6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052DDB6" w14:textId="77777777" w:rsidTr="5D6497FE">
        <w:trPr>
          <w:cantSplit/>
          <w:jc w:val="center"/>
        </w:trPr>
        <w:tc>
          <w:tcPr>
            <w:tcW w:w="967" w:type="dxa"/>
            <w:tcBorders>
              <w:top w:val="single" w:sz="2" w:space="0" w:color="auto"/>
              <w:bottom w:val="single" w:sz="2" w:space="0" w:color="auto"/>
            </w:tcBorders>
          </w:tcPr>
          <w:p w14:paraId="4C5979F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A902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E3E92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F74E0E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E3CB7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006E4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A92F3B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9D1C48" w14:textId="77777777" w:rsidR="006E40C9" w:rsidRDefault="006E40C9">
            <w:pPr>
              <w:pStyle w:val="MeasureTableTextRightAligned"/>
            </w:pPr>
            <w:r>
              <w:t>2027-28</w:t>
            </w:r>
          </w:p>
        </w:tc>
      </w:tr>
      <w:tr w:rsidR="006E40C9" w14:paraId="6BF43147" w14:textId="77777777" w:rsidTr="5D6497FE">
        <w:trPr>
          <w:cantSplit/>
          <w:jc w:val="center"/>
        </w:trPr>
        <w:tc>
          <w:tcPr>
            <w:tcW w:w="967" w:type="dxa"/>
            <w:tcBorders>
              <w:top w:val="single" w:sz="2" w:space="0" w:color="auto"/>
              <w:bottom w:val="single" w:sz="2" w:space="0" w:color="auto"/>
            </w:tcBorders>
          </w:tcPr>
          <w:p w14:paraId="261043A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8FFD1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04D8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9F9AB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319B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38E47D"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DA26B33"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2AF74A90" w14:textId="77777777" w:rsidR="006E40C9" w:rsidRDefault="006E40C9">
            <w:pPr>
              <w:pStyle w:val="MeasureTableTextRightAligned"/>
            </w:pPr>
            <w:r>
              <w:t>1</w:t>
            </w:r>
          </w:p>
        </w:tc>
      </w:tr>
      <w:tr w:rsidR="006E40C9" w14:paraId="1CEDC011" w14:textId="77777777" w:rsidTr="5D6497FE">
        <w:trPr>
          <w:cantSplit/>
          <w:jc w:val="center"/>
        </w:trPr>
        <w:tc>
          <w:tcPr>
            <w:tcW w:w="1934" w:type="dxa"/>
            <w:gridSpan w:val="2"/>
            <w:tcBorders>
              <w:top w:val="single" w:sz="2" w:space="0" w:color="auto"/>
              <w:bottom w:val="nil"/>
            </w:tcBorders>
          </w:tcPr>
          <w:p w14:paraId="12136F2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E9ADBB2" w14:textId="77777777" w:rsidR="006E40C9" w:rsidRDefault="006E40C9">
            <w:pPr>
              <w:pStyle w:val="MeasureTableTextLeftAligned"/>
            </w:pPr>
            <w:r>
              <w:t>Exemption</w:t>
            </w:r>
          </w:p>
        </w:tc>
        <w:tc>
          <w:tcPr>
            <w:tcW w:w="1500" w:type="dxa"/>
            <w:gridSpan w:val="2"/>
            <w:tcBorders>
              <w:top w:val="single" w:sz="2" w:space="0" w:color="auto"/>
              <w:bottom w:val="nil"/>
            </w:tcBorders>
          </w:tcPr>
          <w:p w14:paraId="65EAF090" w14:textId="39DF95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1BA74C" w14:textId="77777777" w:rsidR="006E40C9" w:rsidRDefault="006E40C9">
            <w:pPr>
              <w:pStyle w:val="MeasureTableTextLeftAligned"/>
            </w:pPr>
            <w:r>
              <w:t>A17</w:t>
            </w:r>
          </w:p>
        </w:tc>
      </w:tr>
      <w:tr w:rsidR="006E40C9" w14:paraId="214A9F14" w14:textId="77777777" w:rsidTr="5D6497FE">
        <w:trPr>
          <w:cantSplit/>
          <w:jc w:val="center"/>
        </w:trPr>
        <w:tc>
          <w:tcPr>
            <w:tcW w:w="1934" w:type="dxa"/>
            <w:gridSpan w:val="2"/>
            <w:tcBorders>
              <w:top w:val="nil"/>
              <w:bottom w:val="nil"/>
            </w:tcBorders>
          </w:tcPr>
          <w:p w14:paraId="67EDFB2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C90E9A" w14:textId="77777777" w:rsidR="006E40C9" w:rsidRPr="00584CA7" w:rsidRDefault="006E40C9">
            <w:pPr>
              <w:pStyle w:val="MeasureTableTextLeftAligned"/>
            </w:pPr>
            <w:r>
              <w:t>Medium</w:t>
            </w:r>
          </w:p>
        </w:tc>
        <w:tc>
          <w:tcPr>
            <w:tcW w:w="1500" w:type="dxa"/>
            <w:gridSpan w:val="2"/>
            <w:tcBorders>
              <w:top w:val="nil"/>
              <w:bottom w:val="nil"/>
            </w:tcBorders>
          </w:tcPr>
          <w:p w14:paraId="4F41FCAA" w14:textId="77777777" w:rsidR="006E40C9" w:rsidRDefault="006E40C9">
            <w:pPr>
              <w:pStyle w:val="MeasureTableTextItalic"/>
            </w:pPr>
          </w:p>
        </w:tc>
        <w:tc>
          <w:tcPr>
            <w:tcW w:w="1124" w:type="dxa"/>
            <w:gridSpan w:val="2"/>
            <w:tcBorders>
              <w:top w:val="nil"/>
              <w:bottom w:val="nil"/>
            </w:tcBorders>
          </w:tcPr>
          <w:p w14:paraId="3186F3FB" w14:textId="77777777" w:rsidR="006E40C9" w:rsidRDefault="006E40C9">
            <w:pPr>
              <w:pStyle w:val="MeasureTableTextLeftAligned"/>
            </w:pPr>
          </w:p>
        </w:tc>
      </w:tr>
      <w:tr w:rsidR="006E40C9" w14:paraId="74345859" w14:textId="77777777" w:rsidTr="5D6497FE">
        <w:trPr>
          <w:cantSplit/>
          <w:jc w:val="center"/>
        </w:trPr>
        <w:tc>
          <w:tcPr>
            <w:tcW w:w="1934" w:type="dxa"/>
            <w:gridSpan w:val="2"/>
            <w:tcBorders>
              <w:top w:val="nil"/>
              <w:bottom w:val="nil"/>
            </w:tcBorders>
          </w:tcPr>
          <w:p w14:paraId="46C59343" w14:textId="77777777" w:rsidR="006E40C9" w:rsidRDefault="006E40C9">
            <w:pPr>
              <w:pStyle w:val="MeasureTableTextItalic"/>
            </w:pPr>
            <w:r>
              <w:t>Commencement date:</w:t>
            </w:r>
          </w:p>
        </w:tc>
        <w:tc>
          <w:tcPr>
            <w:tcW w:w="3179" w:type="dxa"/>
            <w:gridSpan w:val="4"/>
            <w:tcBorders>
              <w:top w:val="nil"/>
              <w:bottom w:val="nil"/>
            </w:tcBorders>
          </w:tcPr>
          <w:p w14:paraId="24AF58BE" w14:textId="77777777" w:rsidR="006E40C9" w:rsidRDefault="006E40C9">
            <w:pPr>
              <w:pStyle w:val="MeasureTableTextLeftAligned"/>
            </w:pPr>
            <w:r>
              <w:t>1 July 2024</w:t>
            </w:r>
          </w:p>
        </w:tc>
        <w:tc>
          <w:tcPr>
            <w:tcW w:w="1500" w:type="dxa"/>
            <w:gridSpan w:val="2"/>
            <w:tcBorders>
              <w:top w:val="nil"/>
              <w:bottom w:val="nil"/>
            </w:tcBorders>
          </w:tcPr>
          <w:p w14:paraId="75EC3DF9" w14:textId="77777777" w:rsidR="006E40C9" w:rsidRPr="00F32057" w:rsidRDefault="006E40C9">
            <w:pPr>
              <w:pStyle w:val="MeasureTableTextItalic"/>
            </w:pPr>
            <w:r>
              <w:t>Expiry date:</w:t>
            </w:r>
          </w:p>
        </w:tc>
        <w:tc>
          <w:tcPr>
            <w:tcW w:w="1124" w:type="dxa"/>
            <w:gridSpan w:val="2"/>
            <w:tcBorders>
              <w:top w:val="nil"/>
              <w:bottom w:val="nil"/>
            </w:tcBorders>
          </w:tcPr>
          <w:p w14:paraId="03126835" w14:textId="77777777" w:rsidR="006E40C9" w:rsidRPr="00F32057" w:rsidRDefault="006E40C9">
            <w:pPr>
              <w:pStyle w:val="MeasureTableTextLeftAligned"/>
            </w:pPr>
          </w:p>
        </w:tc>
      </w:tr>
      <w:tr w:rsidR="006E40C9" w14:paraId="74A69444" w14:textId="77777777" w:rsidTr="5D6497FE">
        <w:trPr>
          <w:cantSplit/>
          <w:jc w:val="center"/>
        </w:trPr>
        <w:tc>
          <w:tcPr>
            <w:tcW w:w="1934" w:type="dxa"/>
            <w:gridSpan w:val="2"/>
            <w:tcBorders>
              <w:top w:val="nil"/>
            </w:tcBorders>
          </w:tcPr>
          <w:p w14:paraId="172E36CA" w14:textId="77777777" w:rsidR="006E40C9" w:rsidRDefault="006E40C9">
            <w:pPr>
              <w:pStyle w:val="MeasureTableTextItalic"/>
            </w:pPr>
            <w:r>
              <w:t>Legislative reference:</w:t>
            </w:r>
          </w:p>
        </w:tc>
        <w:tc>
          <w:tcPr>
            <w:tcW w:w="5803" w:type="dxa"/>
            <w:gridSpan w:val="8"/>
            <w:tcBorders>
              <w:top w:val="nil"/>
            </w:tcBorders>
          </w:tcPr>
          <w:p w14:paraId="62F88F84" w14:textId="2C3BAA11" w:rsidR="006E40C9" w:rsidRPr="00F32057" w:rsidRDefault="006E40C9">
            <w:pPr>
              <w:widowControl w:val="0"/>
              <w:autoSpaceDE w:val="0"/>
              <w:autoSpaceDN w:val="0"/>
              <w:adjustRightInd w:val="0"/>
              <w:spacing w:after="0" w:line="240" w:lineRule="auto"/>
            </w:pPr>
            <w:r w:rsidRPr="5D6497FE">
              <w:rPr>
                <w:rFonts w:ascii="Arial" w:hAnsi="Arial" w:cs="Arial"/>
                <w:sz w:val="17"/>
                <w:szCs w:val="17"/>
              </w:rPr>
              <w:t>Not yet legislated</w:t>
            </w:r>
          </w:p>
        </w:tc>
      </w:tr>
    </w:tbl>
    <w:p w14:paraId="3592E253" w14:textId="77777777" w:rsidR="006E40C9" w:rsidRPr="00540040" w:rsidRDefault="006E40C9" w:rsidP="006E40C9">
      <w:pPr>
        <w:pStyle w:val="MeasureTableHeading"/>
      </w:pPr>
    </w:p>
    <w:p w14:paraId="5F015A19" w14:textId="129E6F2D" w:rsidR="006E40C9" w:rsidRDefault="006E40C9" w:rsidP="006E40C9">
      <w:r w:rsidRPr="0096157F">
        <w:t>Under the benchmark, the Medicare levy is paid on the taxable income of a taxpayer for an income year. However, eligible lump sum payments will be exempt from a taxpayer’s income for Medicare levy purposes if it results in a Medicare levy liability, or an increased liability. Taxpayers must satisfy the eligibility requirements for the existing lump sum payment in arrears tax offset and been eligible for a reduction in the Medicare levy in the 2 most recent years to which the lump sum accrues.</w:t>
      </w:r>
    </w:p>
    <w:p w14:paraId="51EA6A04" w14:textId="77777777" w:rsidR="006E40C9" w:rsidRDefault="006E40C9" w:rsidP="0003254D">
      <w:pPr>
        <w:pStyle w:val="Heading4"/>
      </w:pPr>
      <w:r>
        <w:t>A18</w:t>
      </w:r>
      <w:r>
        <w:tab/>
        <w:t>Exemption of the Private Health Insurance Rebate</w:t>
      </w:r>
    </w:p>
    <w:p w14:paraId="28F1FBB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247AC2" w14:textId="77777777">
        <w:trPr>
          <w:cantSplit/>
          <w:jc w:val="center"/>
        </w:trPr>
        <w:tc>
          <w:tcPr>
            <w:tcW w:w="967" w:type="dxa"/>
            <w:tcBorders>
              <w:top w:val="single" w:sz="2" w:space="0" w:color="auto"/>
              <w:bottom w:val="single" w:sz="2" w:space="0" w:color="auto"/>
            </w:tcBorders>
          </w:tcPr>
          <w:p w14:paraId="665344C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383165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6FD8F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7717A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D3997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FB359C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88D2B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083D4C" w14:textId="77777777" w:rsidR="006E40C9" w:rsidRDefault="006E40C9">
            <w:pPr>
              <w:pStyle w:val="MeasureTableTextRightAligned"/>
            </w:pPr>
            <w:r>
              <w:t>2027-28</w:t>
            </w:r>
          </w:p>
        </w:tc>
      </w:tr>
      <w:tr w:rsidR="006E40C9" w14:paraId="479717AA" w14:textId="77777777">
        <w:trPr>
          <w:cantSplit/>
          <w:jc w:val="center"/>
        </w:trPr>
        <w:tc>
          <w:tcPr>
            <w:tcW w:w="967" w:type="dxa"/>
            <w:tcBorders>
              <w:top w:val="single" w:sz="2" w:space="0" w:color="auto"/>
              <w:bottom w:val="single" w:sz="2" w:space="0" w:color="auto"/>
            </w:tcBorders>
          </w:tcPr>
          <w:p w14:paraId="0F861868" w14:textId="77777777" w:rsidR="006E40C9" w:rsidRDefault="006E40C9">
            <w:pPr>
              <w:pStyle w:val="MeasureTableTextRightAligned"/>
            </w:pPr>
            <w:r>
              <w:t>1,550</w:t>
            </w:r>
          </w:p>
        </w:tc>
        <w:tc>
          <w:tcPr>
            <w:tcW w:w="967" w:type="dxa"/>
            <w:tcBorders>
              <w:top w:val="single" w:sz="2" w:space="0" w:color="auto"/>
              <w:bottom w:val="single" w:sz="2" w:space="0" w:color="auto"/>
            </w:tcBorders>
          </w:tcPr>
          <w:p w14:paraId="2662FC8A" w14:textId="77777777" w:rsidR="006E40C9" w:rsidRDefault="006E40C9">
            <w:pPr>
              <w:pStyle w:val="MeasureTableTextRightAligned"/>
            </w:pPr>
            <w:r>
              <w:t>1,500</w:t>
            </w:r>
          </w:p>
        </w:tc>
        <w:tc>
          <w:tcPr>
            <w:tcW w:w="967" w:type="dxa"/>
            <w:tcBorders>
              <w:top w:val="single" w:sz="2" w:space="0" w:color="auto"/>
              <w:bottom w:val="single" w:sz="2" w:space="0" w:color="auto"/>
            </w:tcBorders>
            <w:vAlign w:val="bottom"/>
          </w:tcPr>
          <w:p w14:paraId="3E7EFACC" w14:textId="77777777" w:rsidR="006E40C9" w:rsidRDefault="006E40C9">
            <w:pPr>
              <w:pStyle w:val="MeasureTableTextRightAligned"/>
            </w:pPr>
            <w:r>
              <w:t>1,450</w:t>
            </w:r>
          </w:p>
        </w:tc>
        <w:tc>
          <w:tcPr>
            <w:tcW w:w="967" w:type="dxa"/>
            <w:tcBorders>
              <w:top w:val="single" w:sz="2" w:space="0" w:color="auto"/>
              <w:bottom w:val="single" w:sz="2" w:space="0" w:color="auto"/>
            </w:tcBorders>
            <w:vAlign w:val="bottom"/>
          </w:tcPr>
          <w:p w14:paraId="28683496" w14:textId="77777777" w:rsidR="006E40C9" w:rsidRDefault="006E40C9">
            <w:pPr>
              <w:pStyle w:val="MeasureTableTextRightAligned"/>
            </w:pPr>
            <w:r>
              <w:t>1,550</w:t>
            </w:r>
          </w:p>
        </w:tc>
        <w:tc>
          <w:tcPr>
            <w:tcW w:w="967" w:type="dxa"/>
            <w:tcBorders>
              <w:top w:val="single" w:sz="2" w:space="0" w:color="auto"/>
              <w:bottom w:val="single" w:sz="2" w:space="0" w:color="auto"/>
            </w:tcBorders>
            <w:vAlign w:val="bottom"/>
          </w:tcPr>
          <w:p w14:paraId="40B6151D" w14:textId="77777777" w:rsidR="006E40C9" w:rsidRDefault="006E40C9">
            <w:pPr>
              <w:pStyle w:val="MeasureTableTextRightAligned"/>
            </w:pPr>
            <w:r>
              <w:t>1,600</w:t>
            </w:r>
          </w:p>
        </w:tc>
        <w:tc>
          <w:tcPr>
            <w:tcW w:w="967" w:type="dxa"/>
            <w:gridSpan w:val="2"/>
            <w:tcBorders>
              <w:top w:val="single" w:sz="2" w:space="0" w:color="auto"/>
              <w:bottom w:val="single" w:sz="2" w:space="0" w:color="auto"/>
            </w:tcBorders>
            <w:vAlign w:val="bottom"/>
          </w:tcPr>
          <w:p w14:paraId="2454E356" w14:textId="77777777" w:rsidR="006E40C9" w:rsidRDefault="006E40C9">
            <w:pPr>
              <w:pStyle w:val="MeasureTableTextRightAligned"/>
            </w:pPr>
            <w:r>
              <w:t>1,550</w:t>
            </w:r>
          </w:p>
        </w:tc>
        <w:tc>
          <w:tcPr>
            <w:tcW w:w="967" w:type="dxa"/>
            <w:gridSpan w:val="2"/>
            <w:tcBorders>
              <w:top w:val="single" w:sz="2" w:space="0" w:color="auto"/>
              <w:bottom w:val="single" w:sz="2" w:space="0" w:color="auto"/>
            </w:tcBorders>
            <w:vAlign w:val="bottom"/>
          </w:tcPr>
          <w:p w14:paraId="67A22000" w14:textId="77777777" w:rsidR="006E40C9" w:rsidRDefault="006E40C9">
            <w:pPr>
              <w:pStyle w:val="MeasureTableTextRightAligned"/>
            </w:pPr>
            <w:r>
              <w:t>1,650</w:t>
            </w:r>
          </w:p>
        </w:tc>
        <w:tc>
          <w:tcPr>
            <w:tcW w:w="968" w:type="dxa"/>
            <w:tcBorders>
              <w:top w:val="single" w:sz="2" w:space="0" w:color="auto"/>
              <w:bottom w:val="single" w:sz="2" w:space="0" w:color="auto"/>
            </w:tcBorders>
            <w:vAlign w:val="bottom"/>
          </w:tcPr>
          <w:p w14:paraId="51B27DF6" w14:textId="77777777" w:rsidR="006E40C9" w:rsidRDefault="006E40C9">
            <w:pPr>
              <w:pStyle w:val="MeasureTableTextRightAligned"/>
            </w:pPr>
            <w:r>
              <w:t>1,700</w:t>
            </w:r>
          </w:p>
        </w:tc>
      </w:tr>
      <w:tr w:rsidR="006E40C9" w14:paraId="3B67E6BD" w14:textId="77777777">
        <w:trPr>
          <w:cantSplit/>
          <w:jc w:val="center"/>
        </w:trPr>
        <w:tc>
          <w:tcPr>
            <w:tcW w:w="1934" w:type="dxa"/>
            <w:gridSpan w:val="2"/>
            <w:tcBorders>
              <w:top w:val="single" w:sz="2" w:space="0" w:color="auto"/>
              <w:bottom w:val="nil"/>
            </w:tcBorders>
          </w:tcPr>
          <w:p w14:paraId="0A73B1A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373CFF4" w14:textId="77777777" w:rsidR="006E40C9" w:rsidRDefault="006E40C9">
            <w:pPr>
              <w:pStyle w:val="MeasureTableTextLeftAligned"/>
            </w:pPr>
            <w:r>
              <w:t>Exemption</w:t>
            </w:r>
          </w:p>
        </w:tc>
        <w:tc>
          <w:tcPr>
            <w:tcW w:w="1500" w:type="dxa"/>
            <w:gridSpan w:val="2"/>
            <w:tcBorders>
              <w:top w:val="single" w:sz="2" w:space="0" w:color="auto"/>
              <w:bottom w:val="nil"/>
            </w:tcBorders>
          </w:tcPr>
          <w:p w14:paraId="5CFD8D85" w14:textId="768E4D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2B04E8" w14:textId="77777777" w:rsidR="006E40C9" w:rsidRDefault="006E40C9">
            <w:pPr>
              <w:pStyle w:val="MeasureTableTextLeftAligned"/>
            </w:pPr>
            <w:r>
              <w:t>A18</w:t>
            </w:r>
          </w:p>
        </w:tc>
      </w:tr>
      <w:tr w:rsidR="006E40C9" w14:paraId="3ACC2CE0" w14:textId="77777777">
        <w:trPr>
          <w:cantSplit/>
          <w:jc w:val="center"/>
        </w:trPr>
        <w:tc>
          <w:tcPr>
            <w:tcW w:w="1934" w:type="dxa"/>
            <w:gridSpan w:val="2"/>
            <w:tcBorders>
              <w:top w:val="nil"/>
              <w:bottom w:val="nil"/>
            </w:tcBorders>
          </w:tcPr>
          <w:p w14:paraId="1C0BAB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CB2B86" w14:textId="1F72A8F6"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B5168CE" w14:textId="77777777" w:rsidR="006E40C9" w:rsidRDefault="006E40C9">
            <w:pPr>
              <w:pStyle w:val="MeasureTableTextItalic"/>
            </w:pPr>
          </w:p>
        </w:tc>
        <w:tc>
          <w:tcPr>
            <w:tcW w:w="1124" w:type="dxa"/>
            <w:gridSpan w:val="2"/>
            <w:tcBorders>
              <w:top w:val="nil"/>
              <w:bottom w:val="nil"/>
            </w:tcBorders>
          </w:tcPr>
          <w:p w14:paraId="3D2E785C" w14:textId="77777777" w:rsidR="006E40C9" w:rsidRDefault="006E40C9">
            <w:pPr>
              <w:pStyle w:val="MeasureTableTextLeftAligned"/>
            </w:pPr>
          </w:p>
        </w:tc>
      </w:tr>
      <w:tr w:rsidR="006E40C9" w14:paraId="45CBD7FF" w14:textId="77777777">
        <w:trPr>
          <w:cantSplit/>
          <w:jc w:val="center"/>
        </w:trPr>
        <w:tc>
          <w:tcPr>
            <w:tcW w:w="1934" w:type="dxa"/>
            <w:gridSpan w:val="2"/>
            <w:tcBorders>
              <w:top w:val="nil"/>
              <w:bottom w:val="nil"/>
            </w:tcBorders>
          </w:tcPr>
          <w:p w14:paraId="45E263D8" w14:textId="77777777" w:rsidR="006E40C9" w:rsidRDefault="006E40C9">
            <w:pPr>
              <w:pStyle w:val="MeasureTableTextItalic"/>
            </w:pPr>
            <w:r>
              <w:t>Commencement date:</w:t>
            </w:r>
          </w:p>
        </w:tc>
        <w:tc>
          <w:tcPr>
            <w:tcW w:w="3179" w:type="dxa"/>
            <w:gridSpan w:val="4"/>
            <w:tcBorders>
              <w:top w:val="nil"/>
              <w:bottom w:val="nil"/>
            </w:tcBorders>
          </w:tcPr>
          <w:p w14:paraId="191D207A" w14:textId="77777777" w:rsidR="006E40C9" w:rsidRDefault="006E40C9">
            <w:pPr>
              <w:pStyle w:val="MeasureTableTextLeftAligned"/>
            </w:pPr>
            <w:r>
              <w:t>1998</w:t>
            </w:r>
          </w:p>
        </w:tc>
        <w:tc>
          <w:tcPr>
            <w:tcW w:w="1500" w:type="dxa"/>
            <w:gridSpan w:val="2"/>
            <w:tcBorders>
              <w:top w:val="nil"/>
              <w:bottom w:val="nil"/>
            </w:tcBorders>
          </w:tcPr>
          <w:p w14:paraId="0D7394FB" w14:textId="77777777" w:rsidR="006E40C9" w:rsidRPr="00F32057" w:rsidRDefault="006E40C9">
            <w:pPr>
              <w:pStyle w:val="MeasureTableTextItalic"/>
            </w:pPr>
            <w:r>
              <w:t>Expiry date:</w:t>
            </w:r>
          </w:p>
        </w:tc>
        <w:tc>
          <w:tcPr>
            <w:tcW w:w="1124" w:type="dxa"/>
            <w:gridSpan w:val="2"/>
            <w:tcBorders>
              <w:top w:val="nil"/>
              <w:bottom w:val="nil"/>
            </w:tcBorders>
          </w:tcPr>
          <w:p w14:paraId="26271E8D" w14:textId="77777777" w:rsidR="006E40C9" w:rsidRPr="00F32057" w:rsidRDefault="006E40C9">
            <w:pPr>
              <w:pStyle w:val="MeasureTableTextLeftAligned"/>
            </w:pPr>
          </w:p>
        </w:tc>
      </w:tr>
      <w:tr w:rsidR="006E40C9" w14:paraId="2B4EB11D" w14:textId="77777777">
        <w:trPr>
          <w:cantSplit/>
          <w:jc w:val="center"/>
        </w:trPr>
        <w:tc>
          <w:tcPr>
            <w:tcW w:w="1934" w:type="dxa"/>
            <w:gridSpan w:val="2"/>
            <w:tcBorders>
              <w:top w:val="nil"/>
            </w:tcBorders>
          </w:tcPr>
          <w:p w14:paraId="382A2422" w14:textId="77777777" w:rsidR="006E40C9" w:rsidRDefault="006E40C9">
            <w:pPr>
              <w:pStyle w:val="MeasureTableTextItalic"/>
            </w:pPr>
            <w:r>
              <w:t>Legislative reference:</w:t>
            </w:r>
          </w:p>
        </w:tc>
        <w:tc>
          <w:tcPr>
            <w:tcW w:w="5803" w:type="dxa"/>
            <w:gridSpan w:val="8"/>
            <w:tcBorders>
              <w:top w:val="nil"/>
            </w:tcBorders>
          </w:tcPr>
          <w:p w14:paraId="43B905AB"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Subdivision 61-G of the</w:t>
            </w:r>
            <w:r>
              <w:rPr>
                <w:rFonts w:ascii="Arial" w:hAnsi="Arial" w:cs="Arial"/>
                <w:i/>
                <w:iCs/>
                <w:color w:val="000000"/>
                <w:sz w:val="16"/>
                <w:szCs w:val="16"/>
              </w:rPr>
              <w:t xml:space="preserve"> Income Tax Assessment Act 1997</w:t>
            </w:r>
          </w:p>
          <w:p w14:paraId="2C1B386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2-2 of the </w:t>
            </w:r>
            <w:r>
              <w:rPr>
                <w:rFonts w:ascii="Arial" w:hAnsi="Arial" w:cs="Arial"/>
                <w:i/>
                <w:iCs/>
                <w:color w:val="000000"/>
                <w:sz w:val="16"/>
                <w:szCs w:val="16"/>
              </w:rPr>
              <w:t>Private Health Insurance Act 2007</w:t>
            </w:r>
          </w:p>
        </w:tc>
      </w:tr>
    </w:tbl>
    <w:p w14:paraId="04ED7124" w14:textId="77777777" w:rsidR="006E40C9" w:rsidRPr="00540040" w:rsidRDefault="006E40C9" w:rsidP="006E40C9">
      <w:pPr>
        <w:pStyle w:val="MeasureTableHeading"/>
      </w:pPr>
    </w:p>
    <w:p w14:paraId="241A301F" w14:textId="77777777" w:rsidR="006E40C9" w:rsidRDefault="006E40C9" w:rsidP="006E40C9">
      <w:r>
        <w:t>Under the benchmark, government payments to individuals are included as part of taxable income; income tax is paid on the taxable income of a taxpayer for an income year at their applicable rate. However, the Private Health Insurance Rebate, whether provided directly to individuals through a refundable tax offset or through premium reductions, is not subject to income tax.</w:t>
      </w:r>
      <w:r>
        <w:fldChar w:fldCharType="begin"/>
      </w:r>
      <w:r>
        <w:instrText xml:space="preserve"> XE "Private health insurance" </w:instrText>
      </w:r>
      <w:r>
        <w:fldChar w:fldCharType="end"/>
      </w:r>
      <w:r>
        <w:t xml:space="preserve"> </w:t>
      </w:r>
    </w:p>
    <w:p w14:paraId="1BB4D806" w14:textId="77777777" w:rsidR="006E40C9" w:rsidRDefault="006E40C9" w:rsidP="0003254D">
      <w:pPr>
        <w:pStyle w:val="Heading4"/>
      </w:pPr>
      <w:r>
        <w:t>A19</w:t>
      </w:r>
      <w:r>
        <w:tab/>
        <w:t>Medicare levy exemption for blind pensioners, persons not entitled to Medicare benefits and foreign government representatives</w:t>
      </w:r>
    </w:p>
    <w:p w14:paraId="03D031F4"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B9A358" w14:textId="77777777">
        <w:trPr>
          <w:cantSplit/>
          <w:jc w:val="center"/>
        </w:trPr>
        <w:tc>
          <w:tcPr>
            <w:tcW w:w="967" w:type="dxa"/>
            <w:tcBorders>
              <w:top w:val="single" w:sz="2" w:space="0" w:color="auto"/>
              <w:bottom w:val="single" w:sz="2" w:space="0" w:color="auto"/>
            </w:tcBorders>
          </w:tcPr>
          <w:p w14:paraId="651913F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1FB8A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FBDB4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17E8E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E4E525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BA83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656DD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332259" w14:textId="77777777" w:rsidR="006E40C9" w:rsidRDefault="006E40C9">
            <w:pPr>
              <w:pStyle w:val="MeasureTableTextRightAligned"/>
            </w:pPr>
            <w:r>
              <w:t>2027-28</w:t>
            </w:r>
          </w:p>
        </w:tc>
      </w:tr>
      <w:tr w:rsidR="006E40C9" w14:paraId="5803922E" w14:textId="77777777">
        <w:trPr>
          <w:cantSplit/>
          <w:jc w:val="center"/>
        </w:trPr>
        <w:tc>
          <w:tcPr>
            <w:tcW w:w="967" w:type="dxa"/>
            <w:tcBorders>
              <w:top w:val="single" w:sz="2" w:space="0" w:color="auto"/>
              <w:bottom w:val="single" w:sz="2" w:space="0" w:color="auto"/>
            </w:tcBorders>
          </w:tcPr>
          <w:p w14:paraId="11BC6035" w14:textId="77777777" w:rsidR="006E40C9" w:rsidRDefault="006E40C9">
            <w:pPr>
              <w:pStyle w:val="MeasureTableTextRightAligned"/>
            </w:pPr>
            <w:r>
              <w:t>390</w:t>
            </w:r>
          </w:p>
        </w:tc>
        <w:tc>
          <w:tcPr>
            <w:tcW w:w="967" w:type="dxa"/>
            <w:tcBorders>
              <w:top w:val="single" w:sz="2" w:space="0" w:color="auto"/>
              <w:bottom w:val="single" w:sz="2" w:space="0" w:color="auto"/>
            </w:tcBorders>
          </w:tcPr>
          <w:p w14:paraId="02C380B0" w14:textId="77777777" w:rsidR="006E40C9" w:rsidRDefault="006E40C9">
            <w:pPr>
              <w:pStyle w:val="MeasureTableTextRightAligned"/>
            </w:pPr>
            <w:r>
              <w:t>440</w:t>
            </w:r>
          </w:p>
        </w:tc>
        <w:tc>
          <w:tcPr>
            <w:tcW w:w="967" w:type="dxa"/>
            <w:tcBorders>
              <w:top w:val="single" w:sz="2" w:space="0" w:color="auto"/>
              <w:bottom w:val="single" w:sz="2" w:space="0" w:color="auto"/>
            </w:tcBorders>
            <w:vAlign w:val="bottom"/>
          </w:tcPr>
          <w:p w14:paraId="212C9297" w14:textId="77777777" w:rsidR="006E40C9" w:rsidRDefault="006E40C9">
            <w:pPr>
              <w:pStyle w:val="MeasureTableTextRightAligned"/>
            </w:pPr>
            <w:r>
              <w:t>600</w:t>
            </w:r>
          </w:p>
        </w:tc>
        <w:tc>
          <w:tcPr>
            <w:tcW w:w="967" w:type="dxa"/>
            <w:tcBorders>
              <w:top w:val="single" w:sz="2" w:space="0" w:color="auto"/>
              <w:bottom w:val="single" w:sz="2" w:space="0" w:color="auto"/>
            </w:tcBorders>
            <w:vAlign w:val="bottom"/>
          </w:tcPr>
          <w:p w14:paraId="46007C9B"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1BB9174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BFF2B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D009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D946A" w14:textId="77777777" w:rsidR="006E40C9" w:rsidRDefault="006E40C9">
            <w:pPr>
              <w:pStyle w:val="MeasureTableTextRightAligned"/>
            </w:pPr>
            <w:r>
              <w:t>*</w:t>
            </w:r>
          </w:p>
        </w:tc>
      </w:tr>
      <w:tr w:rsidR="006E40C9" w14:paraId="0F6B5723" w14:textId="77777777">
        <w:trPr>
          <w:cantSplit/>
          <w:jc w:val="center"/>
        </w:trPr>
        <w:tc>
          <w:tcPr>
            <w:tcW w:w="1934" w:type="dxa"/>
            <w:gridSpan w:val="2"/>
            <w:tcBorders>
              <w:top w:val="single" w:sz="2" w:space="0" w:color="auto"/>
              <w:bottom w:val="nil"/>
            </w:tcBorders>
          </w:tcPr>
          <w:p w14:paraId="1C0BC93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3379BC" w14:textId="77777777" w:rsidR="006E40C9" w:rsidRDefault="006E40C9">
            <w:pPr>
              <w:pStyle w:val="MeasureTableTextLeftAligned"/>
            </w:pPr>
            <w:r>
              <w:t>Exemption</w:t>
            </w:r>
          </w:p>
        </w:tc>
        <w:tc>
          <w:tcPr>
            <w:tcW w:w="1500" w:type="dxa"/>
            <w:gridSpan w:val="2"/>
            <w:tcBorders>
              <w:top w:val="single" w:sz="2" w:space="0" w:color="auto"/>
              <w:bottom w:val="nil"/>
            </w:tcBorders>
          </w:tcPr>
          <w:p w14:paraId="50D1D599" w14:textId="1D44CD3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CFC202E" w14:textId="77777777" w:rsidR="006E40C9" w:rsidRDefault="006E40C9">
            <w:pPr>
              <w:pStyle w:val="MeasureTableTextLeftAligned"/>
            </w:pPr>
            <w:r>
              <w:t>A19</w:t>
            </w:r>
          </w:p>
        </w:tc>
      </w:tr>
      <w:tr w:rsidR="006E40C9" w14:paraId="0E7C29CE" w14:textId="77777777">
        <w:trPr>
          <w:cantSplit/>
          <w:jc w:val="center"/>
        </w:trPr>
        <w:tc>
          <w:tcPr>
            <w:tcW w:w="1934" w:type="dxa"/>
            <w:gridSpan w:val="2"/>
            <w:tcBorders>
              <w:top w:val="nil"/>
              <w:bottom w:val="nil"/>
            </w:tcBorders>
          </w:tcPr>
          <w:p w14:paraId="23FA85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E7EF67" w14:textId="0B8D2F3E"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8D83848" w14:textId="77777777" w:rsidR="006E40C9" w:rsidRDefault="006E40C9">
            <w:pPr>
              <w:pStyle w:val="MeasureTableTextItalic"/>
            </w:pPr>
            <w:r>
              <w:t>* Category</w:t>
            </w:r>
          </w:p>
        </w:tc>
        <w:tc>
          <w:tcPr>
            <w:tcW w:w="1124" w:type="dxa"/>
            <w:gridSpan w:val="2"/>
            <w:tcBorders>
              <w:top w:val="nil"/>
              <w:bottom w:val="nil"/>
            </w:tcBorders>
          </w:tcPr>
          <w:p w14:paraId="29F3F148" w14:textId="77777777" w:rsidR="006E40C9" w:rsidRDefault="006E40C9">
            <w:pPr>
              <w:pStyle w:val="MeasureTableTextLeftAligned"/>
            </w:pPr>
            <w:r>
              <w:t>3+</w:t>
            </w:r>
          </w:p>
        </w:tc>
      </w:tr>
      <w:tr w:rsidR="006E40C9" w14:paraId="60497E0F" w14:textId="77777777">
        <w:trPr>
          <w:cantSplit/>
          <w:jc w:val="center"/>
        </w:trPr>
        <w:tc>
          <w:tcPr>
            <w:tcW w:w="1934" w:type="dxa"/>
            <w:gridSpan w:val="2"/>
            <w:tcBorders>
              <w:top w:val="nil"/>
              <w:bottom w:val="nil"/>
            </w:tcBorders>
          </w:tcPr>
          <w:p w14:paraId="4C5C84B9" w14:textId="77777777" w:rsidR="006E40C9" w:rsidRDefault="006E40C9">
            <w:pPr>
              <w:pStyle w:val="MeasureTableTextItalic"/>
            </w:pPr>
            <w:r>
              <w:t>Commencement date:</w:t>
            </w:r>
          </w:p>
        </w:tc>
        <w:tc>
          <w:tcPr>
            <w:tcW w:w="3179" w:type="dxa"/>
            <w:gridSpan w:val="4"/>
            <w:tcBorders>
              <w:top w:val="nil"/>
              <w:bottom w:val="nil"/>
            </w:tcBorders>
          </w:tcPr>
          <w:p w14:paraId="145C9297" w14:textId="77777777" w:rsidR="006E40C9" w:rsidRDefault="006E40C9">
            <w:pPr>
              <w:pStyle w:val="MeasureTableTextLeftAligned"/>
            </w:pPr>
            <w:r>
              <w:t>Introduced before 1985</w:t>
            </w:r>
          </w:p>
        </w:tc>
        <w:tc>
          <w:tcPr>
            <w:tcW w:w="1500" w:type="dxa"/>
            <w:gridSpan w:val="2"/>
            <w:tcBorders>
              <w:top w:val="nil"/>
              <w:bottom w:val="nil"/>
            </w:tcBorders>
          </w:tcPr>
          <w:p w14:paraId="3E70551E" w14:textId="77777777" w:rsidR="006E40C9" w:rsidRPr="00F32057" w:rsidRDefault="006E40C9">
            <w:pPr>
              <w:pStyle w:val="MeasureTableTextItalic"/>
            </w:pPr>
            <w:r>
              <w:t>Expiry date:</w:t>
            </w:r>
          </w:p>
        </w:tc>
        <w:tc>
          <w:tcPr>
            <w:tcW w:w="1124" w:type="dxa"/>
            <w:gridSpan w:val="2"/>
            <w:tcBorders>
              <w:top w:val="nil"/>
              <w:bottom w:val="nil"/>
            </w:tcBorders>
          </w:tcPr>
          <w:p w14:paraId="767E2474" w14:textId="77777777" w:rsidR="006E40C9" w:rsidRPr="00F32057" w:rsidRDefault="006E40C9">
            <w:pPr>
              <w:pStyle w:val="MeasureTableTextLeftAligned"/>
            </w:pPr>
          </w:p>
        </w:tc>
      </w:tr>
      <w:tr w:rsidR="006E40C9" w14:paraId="76DA6422" w14:textId="77777777">
        <w:trPr>
          <w:cantSplit/>
          <w:jc w:val="center"/>
        </w:trPr>
        <w:tc>
          <w:tcPr>
            <w:tcW w:w="1934" w:type="dxa"/>
            <w:gridSpan w:val="2"/>
            <w:tcBorders>
              <w:top w:val="nil"/>
            </w:tcBorders>
          </w:tcPr>
          <w:p w14:paraId="7E75F277" w14:textId="77777777" w:rsidR="006E40C9" w:rsidRDefault="006E40C9">
            <w:pPr>
              <w:pStyle w:val="MeasureTableTextItalic"/>
            </w:pPr>
            <w:r>
              <w:t>Legislative reference:</w:t>
            </w:r>
          </w:p>
        </w:tc>
        <w:tc>
          <w:tcPr>
            <w:tcW w:w="5803" w:type="dxa"/>
            <w:gridSpan w:val="8"/>
            <w:tcBorders>
              <w:top w:val="nil"/>
            </w:tcBorders>
          </w:tcPr>
          <w:p w14:paraId="0DE3CA7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251T and 251U of the </w:t>
            </w:r>
            <w:r>
              <w:rPr>
                <w:rFonts w:ascii="Arial" w:hAnsi="Arial" w:cs="Arial"/>
                <w:i/>
                <w:iCs/>
                <w:color w:val="000000"/>
                <w:sz w:val="16"/>
                <w:szCs w:val="16"/>
              </w:rPr>
              <w:t>Income Tax Assessment Act 1936</w:t>
            </w:r>
          </w:p>
        </w:tc>
      </w:tr>
    </w:tbl>
    <w:p w14:paraId="33405BB2" w14:textId="77777777" w:rsidR="006E40C9" w:rsidRPr="00540040" w:rsidRDefault="006E40C9" w:rsidP="006E40C9">
      <w:pPr>
        <w:pStyle w:val="MeasureTableHeading"/>
      </w:pPr>
    </w:p>
    <w:p w14:paraId="4BC6C294" w14:textId="77777777" w:rsidR="00B14A4C" w:rsidRDefault="00B14A4C">
      <w:pPr>
        <w:spacing w:after="0" w:line="240" w:lineRule="auto"/>
        <w:jc w:val="left"/>
      </w:pPr>
      <w:r>
        <w:br w:type="page"/>
      </w:r>
    </w:p>
    <w:p w14:paraId="470A9281" w14:textId="3DFDC6F7" w:rsidR="006E40C9" w:rsidRDefault="006E40C9" w:rsidP="006E40C9">
      <w:r>
        <w:t xml:space="preserve">The benchmark tax treatment is that the Medicare levy is paid on the taxable income of a resident for an income year. However, the income of certain prescribed persons is exempt from the Medicare levy. The list of prescribed persons includes recipients of specified payments made under the </w:t>
      </w:r>
      <w:r w:rsidRPr="00CF38BC">
        <w:rPr>
          <w:rStyle w:val="Emphasis"/>
        </w:rPr>
        <w:t>Social Security Act 1991</w:t>
      </w:r>
      <w:r>
        <w:rPr>
          <w:i/>
        </w:rPr>
        <w:t xml:space="preserve">, </w:t>
      </w:r>
      <w:r>
        <w:t>certain permanent residents who qualify for an exemption because of their absence from Australia,</w:t>
      </w:r>
      <w:r w:rsidR="00CF38BC">
        <w:t xml:space="preserve"> </w:t>
      </w:r>
      <w:r>
        <w:t>temporary residents whose home country does not have a Reciprocal Health Care Agreement with Australia and foreign government representatives</w:t>
      </w:r>
      <w:r>
        <w:fldChar w:fldCharType="begin"/>
      </w:r>
      <w:r>
        <w:instrText xml:space="preserve"> XE "Medicare levy:Exemption" </w:instrText>
      </w:r>
      <w:r>
        <w:fldChar w:fldCharType="end"/>
      </w:r>
      <w:r>
        <w:t xml:space="preserve">. </w:t>
      </w:r>
    </w:p>
    <w:p w14:paraId="7BA34CB4" w14:textId="77777777" w:rsidR="006E40C9" w:rsidRDefault="006E40C9" w:rsidP="0003254D">
      <w:pPr>
        <w:pStyle w:val="Heading4"/>
      </w:pPr>
      <w:r>
        <w:t>A20</w:t>
      </w:r>
      <w:r>
        <w:tab/>
        <w:t>Medicare levy exemption for residents with taxable income below the low</w:t>
      </w:r>
      <w:r>
        <w:softHyphen/>
      </w:r>
      <w:r>
        <w:softHyphen/>
      </w:r>
      <w:r>
        <w:softHyphen/>
        <w:t>-income thresholds</w:t>
      </w:r>
    </w:p>
    <w:p w14:paraId="42C2A088"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7F734E" w14:textId="77777777">
        <w:trPr>
          <w:cantSplit/>
          <w:jc w:val="center"/>
        </w:trPr>
        <w:tc>
          <w:tcPr>
            <w:tcW w:w="967" w:type="dxa"/>
            <w:tcBorders>
              <w:top w:val="single" w:sz="2" w:space="0" w:color="auto"/>
              <w:bottom w:val="single" w:sz="2" w:space="0" w:color="auto"/>
            </w:tcBorders>
          </w:tcPr>
          <w:p w14:paraId="3F9567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1A07D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ED0F1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67BBD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9F126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92FDA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1899A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0CC3E51" w14:textId="77777777" w:rsidR="006E40C9" w:rsidRDefault="006E40C9">
            <w:pPr>
              <w:pStyle w:val="MeasureTableTextRightAligned"/>
            </w:pPr>
            <w:r>
              <w:t>2027-28</w:t>
            </w:r>
          </w:p>
        </w:tc>
      </w:tr>
      <w:tr w:rsidR="006E40C9" w14:paraId="08A8FBD3" w14:textId="77777777">
        <w:trPr>
          <w:cantSplit/>
          <w:jc w:val="center"/>
        </w:trPr>
        <w:tc>
          <w:tcPr>
            <w:tcW w:w="967" w:type="dxa"/>
            <w:tcBorders>
              <w:top w:val="single" w:sz="2" w:space="0" w:color="auto"/>
              <w:bottom w:val="single" w:sz="2" w:space="0" w:color="auto"/>
            </w:tcBorders>
          </w:tcPr>
          <w:p w14:paraId="727754EB" w14:textId="77777777" w:rsidR="006E40C9" w:rsidRDefault="006E40C9">
            <w:pPr>
              <w:pStyle w:val="MeasureTableTextRightAligned"/>
            </w:pPr>
            <w:r>
              <w:t>2,600</w:t>
            </w:r>
          </w:p>
        </w:tc>
        <w:tc>
          <w:tcPr>
            <w:tcW w:w="967" w:type="dxa"/>
            <w:tcBorders>
              <w:top w:val="single" w:sz="2" w:space="0" w:color="auto"/>
              <w:bottom w:val="single" w:sz="2" w:space="0" w:color="auto"/>
            </w:tcBorders>
          </w:tcPr>
          <w:p w14:paraId="6701B68D" w14:textId="77777777" w:rsidR="006E40C9" w:rsidRDefault="006E40C9">
            <w:pPr>
              <w:pStyle w:val="MeasureTableTextRightAligned"/>
            </w:pPr>
            <w:r>
              <w:t>2,550</w:t>
            </w:r>
          </w:p>
        </w:tc>
        <w:tc>
          <w:tcPr>
            <w:tcW w:w="967" w:type="dxa"/>
            <w:tcBorders>
              <w:top w:val="single" w:sz="2" w:space="0" w:color="auto"/>
              <w:bottom w:val="single" w:sz="2" w:space="0" w:color="auto"/>
            </w:tcBorders>
            <w:vAlign w:val="bottom"/>
          </w:tcPr>
          <w:p w14:paraId="47C530BD" w14:textId="77777777" w:rsidR="006E40C9" w:rsidRDefault="006E40C9">
            <w:pPr>
              <w:pStyle w:val="MeasureTableTextRightAligned"/>
            </w:pPr>
            <w:r>
              <w:t>2,650</w:t>
            </w:r>
          </w:p>
        </w:tc>
        <w:tc>
          <w:tcPr>
            <w:tcW w:w="967" w:type="dxa"/>
            <w:tcBorders>
              <w:top w:val="single" w:sz="2" w:space="0" w:color="auto"/>
              <w:bottom w:val="single" w:sz="2" w:space="0" w:color="auto"/>
            </w:tcBorders>
            <w:vAlign w:val="bottom"/>
          </w:tcPr>
          <w:p w14:paraId="72EBA39D" w14:textId="77777777" w:rsidR="006E40C9" w:rsidRDefault="006E40C9">
            <w:pPr>
              <w:pStyle w:val="MeasureTableTextRightAligned"/>
            </w:pPr>
            <w:r>
              <w:t>2,750</w:t>
            </w:r>
          </w:p>
        </w:tc>
        <w:tc>
          <w:tcPr>
            <w:tcW w:w="967" w:type="dxa"/>
            <w:tcBorders>
              <w:top w:val="single" w:sz="2" w:space="0" w:color="auto"/>
              <w:bottom w:val="single" w:sz="2" w:space="0" w:color="auto"/>
            </w:tcBorders>
            <w:vAlign w:val="bottom"/>
          </w:tcPr>
          <w:p w14:paraId="54F0BFE3" w14:textId="77777777" w:rsidR="006E40C9" w:rsidRDefault="006E40C9">
            <w:pPr>
              <w:pStyle w:val="MeasureTableTextRightAligned"/>
            </w:pPr>
            <w:r>
              <w:t>2,750</w:t>
            </w:r>
          </w:p>
        </w:tc>
        <w:tc>
          <w:tcPr>
            <w:tcW w:w="967" w:type="dxa"/>
            <w:gridSpan w:val="2"/>
            <w:tcBorders>
              <w:top w:val="single" w:sz="2" w:space="0" w:color="auto"/>
              <w:bottom w:val="single" w:sz="2" w:space="0" w:color="auto"/>
            </w:tcBorders>
            <w:vAlign w:val="bottom"/>
          </w:tcPr>
          <w:p w14:paraId="32FE3910" w14:textId="77777777" w:rsidR="006E40C9" w:rsidRDefault="006E40C9">
            <w:pPr>
              <w:pStyle w:val="MeasureTableTextRightAligned"/>
            </w:pPr>
            <w:r>
              <w:t>2,800</w:t>
            </w:r>
          </w:p>
        </w:tc>
        <w:tc>
          <w:tcPr>
            <w:tcW w:w="967" w:type="dxa"/>
            <w:gridSpan w:val="2"/>
            <w:tcBorders>
              <w:top w:val="single" w:sz="2" w:space="0" w:color="auto"/>
              <w:bottom w:val="single" w:sz="2" w:space="0" w:color="auto"/>
            </w:tcBorders>
            <w:vAlign w:val="bottom"/>
          </w:tcPr>
          <w:p w14:paraId="5DDFED3B" w14:textId="77777777" w:rsidR="006E40C9" w:rsidRDefault="006E40C9">
            <w:pPr>
              <w:pStyle w:val="MeasureTableTextRightAligned"/>
            </w:pPr>
            <w:r>
              <w:t>2,800</w:t>
            </w:r>
          </w:p>
        </w:tc>
        <w:tc>
          <w:tcPr>
            <w:tcW w:w="968" w:type="dxa"/>
            <w:tcBorders>
              <w:top w:val="single" w:sz="2" w:space="0" w:color="auto"/>
              <w:bottom w:val="single" w:sz="2" w:space="0" w:color="auto"/>
            </w:tcBorders>
            <w:vAlign w:val="bottom"/>
          </w:tcPr>
          <w:p w14:paraId="729CE924" w14:textId="77777777" w:rsidR="006E40C9" w:rsidRDefault="006E40C9">
            <w:pPr>
              <w:pStyle w:val="MeasureTableTextRightAligned"/>
            </w:pPr>
            <w:r>
              <w:t>2,800</w:t>
            </w:r>
          </w:p>
        </w:tc>
      </w:tr>
      <w:tr w:rsidR="006E40C9" w14:paraId="42809775" w14:textId="77777777">
        <w:trPr>
          <w:cantSplit/>
          <w:jc w:val="center"/>
        </w:trPr>
        <w:tc>
          <w:tcPr>
            <w:tcW w:w="1934" w:type="dxa"/>
            <w:gridSpan w:val="2"/>
            <w:tcBorders>
              <w:top w:val="single" w:sz="2" w:space="0" w:color="auto"/>
              <w:bottom w:val="nil"/>
            </w:tcBorders>
          </w:tcPr>
          <w:p w14:paraId="55D176F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FCCB23F" w14:textId="77777777" w:rsidR="006E40C9" w:rsidRDefault="006E40C9">
            <w:pPr>
              <w:pStyle w:val="MeasureTableTextLeftAligned"/>
            </w:pPr>
            <w:r>
              <w:t>Exemption</w:t>
            </w:r>
          </w:p>
        </w:tc>
        <w:tc>
          <w:tcPr>
            <w:tcW w:w="1500" w:type="dxa"/>
            <w:gridSpan w:val="2"/>
            <w:tcBorders>
              <w:top w:val="single" w:sz="2" w:space="0" w:color="auto"/>
              <w:bottom w:val="nil"/>
            </w:tcBorders>
          </w:tcPr>
          <w:p w14:paraId="4ADF0BA7" w14:textId="3FE4CC7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CEEDAB" w14:textId="77777777" w:rsidR="006E40C9" w:rsidRDefault="006E40C9">
            <w:pPr>
              <w:pStyle w:val="MeasureTableTextLeftAligned"/>
            </w:pPr>
            <w:r>
              <w:t>A20</w:t>
            </w:r>
          </w:p>
        </w:tc>
      </w:tr>
      <w:tr w:rsidR="006E40C9" w14:paraId="2B7C5923" w14:textId="77777777">
        <w:trPr>
          <w:cantSplit/>
          <w:jc w:val="center"/>
        </w:trPr>
        <w:tc>
          <w:tcPr>
            <w:tcW w:w="1934" w:type="dxa"/>
            <w:gridSpan w:val="2"/>
            <w:tcBorders>
              <w:top w:val="nil"/>
              <w:bottom w:val="nil"/>
            </w:tcBorders>
          </w:tcPr>
          <w:p w14:paraId="5A3F314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5525F76" w14:textId="77777777" w:rsidR="006E40C9" w:rsidRPr="00584CA7" w:rsidRDefault="006E40C9">
            <w:pPr>
              <w:pStyle w:val="MeasureTableTextLeftAligned"/>
            </w:pPr>
            <w:r>
              <w:t>Medium</w:t>
            </w:r>
          </w:p>
        </w:tc>
        <w:tc>
          <w:tcPr>
            <w:tcW w:w="1500" w:type="dxa"/>
            <w:gridSpan w:val="2"/>
            <w:tcBorders>
              <w:top w:val="nil"/>
              <w:bottom w:val="nil"/>
            </w:tcBorders>
          </w:tcPr>
          <w:p w14:paraId="04251693" w14:textId="77777777" w:rsidR="006E40C9" w:rsidRDefault="006E40C9">
            <w:pPr>
              <w:pStyle w:val="MeasureTableTextItalic"/>
            </w:pPr>
          </w:p>
        </w:tc>
        <w:tc>
          <w:tcPr>
            <w:tcW w:w="1124" w:type="dxa"/>
            <w:gridSpan w:val="2"/>
            <w:tcBorders>
              <w:top w:val="nil"/>
              <w:bottom w:val="nil"/>
            </w:tcBorders>
          </w:tcPr>
          <w:p w14:paraId="1DDFBDAD" w14:textId="77777777" w:rsidR="006E40C9" w:rsidRDefault="006E40C9">
            <w:pPr>
              <w:pStyle w:val="MeasureTableTextLeftAligned"/>
            </w:pPr>
          </w:p>
        </w:tc>
      </w:tr>
      <w:tr w:rsidR="006E40C9" w14:paraId="7AFACFF9" w14:textId="77777777">
        <w:trPr>
          <w:cantSplit/>
          <w:jc w:val="center"/>
        </w:trPr>
        <w:tc>
          <w:tcPr>
            <w:tcW w:w="1934" w:type="dxa"/>
            <w:gridSpan w:val="2"/>
            <w:tcBorders>
              <w:top w:val="nil"/>
              <w:bottom w:val="nil"/>
            </w:tcBorders>
          </w:tcPr>
          <w:p w14:paraId="5C744B89" w14:textId="77777777" w:rsidR="006E40C9" w:rsidRDefault="006E40C9">
            <w:pPr>
              <w:pStyle w:val="MeasureTableTextItalic"/>
            </w:pPr>
            <w:r>
              <w:t>Commencement date:</w:t>
            </w:r>
          </w:p>
        </w:tc>
        <w:tc>
          <w:tcPr>
            <w:tcW w:w="3179" w:type="dxa"/>
            <w:gridSpan w:val="4"/>
            <w:tcBorders>
              <w:top w:val="nil"/>
              <w:bottom w:val="nil"/>
            </w:tcBorders>
          </w:tcPr>
          <w:p w14:paraId="7482ACF8" w14:textId="77777777" w:rsidR="006E40C9" w:rsidRDefault="006E40C9">
            <w:pPr>
              <w:pStyle w:val="MeasureTableTextLeftAligned"/>
            </w:pPr>
            <w:r>
              <w:t>Introduced before 1985</w:t>
            </w:r>
          </w:p>
        </w:tc>
        <w:tc>
          <w:tcPr>
            <w:tcW w:w="1500" w:type="dxa"/>
            <w:gridSpan w:val="2"/>
            <w:tcBorders>
              <w:top w:val="nil"/>
              <w:bottom w:val="nil"/>
            </w:tcBorders>
          </w:tcPr>
          <w:p w14:paraId="54329D01" w14:textId="77777777" w:rsidR="006E40C9" w:rsidRPr="00F32057" w:rsidRDefault="006E40C9">
            <w:pPr>
              <w:pStyle w:val="MeasureTableTextItalic"/>
            </w:pPr>
            <w:r>
              <w:t>Expiry date:</w:t>
            </w:r>
          </w:p>
        </w:tc>
        <w:tc>
          <w:tcPr>
            <w:tcW w:w="1124" w:type="dxa"/>
            <w:gridSpan w:val="2"/>
            <w:tcBorders>
              <w:top w:val="nil"/>
              <w:bottom w:val="nil"/>
            </w:tcBorders>
          </w:tcPr>
          <w:p w14:paraId="34BE1365" w14:textId="77777777" w:rsidR="006E40C9" w:rsidRPr="00F32057" w:rsidRDefault="006E40C9">
            <w:pPr>
              <w:pStyle w:val="MeasureTableTextLeftAligned"/>
            </w:pPr>
          </w:p>
        </w:tc>
      </w:tr>
      <w:tr w:rsidR="006E40C9" w14:paraId="4B230835" w14:textId="77777777">
        <w:trPr>
          <w:cantSplit/>
          <w:jc w:val="center"/>
        </w:trPr>
        <w:tc>
          <w:tcPr>
            <w:tcW w:w="1934" w:type="dxa"/>
            <w:gridSpan w:val="2"/>
            <w:tcBorders>
              <w:top w:val="nil"/>
            </w:tcBorders>
          </w:tcPr>
          <w:p w14:paraId="03096BD6" w14:textId="77777777" w:rsidR="006E40C9" w:rsidRDefault="006E40C9">
            <w:pPr>
              <w:pStyle w:val="MeasureTableTextItalic"/>
            </w:pPr>
            <w:r>
              <w:t>Legislative reference:</w:t>
            </w:r>
          </w:p>
        </w:tc>
        <w:tc>
          <w:tcPr>
            <w:tcW w:w="5803" w:type="dxa"/>
            <w:gridSpan w:val="8"/>
            <w:tcBorders>
              <w:top w:val="nil"/>
            </w:tcBorders>
          </w:tcPr>
          <w:p w14:paraId="1B7AA54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 of the </w:t>
            </w:r>
            <w:r>
              <w:rPr>
                <w:rFonts w:ascii="Arial" w:hAnsi="Arial" w:cs="Arial"/>
                <w:i/>
                <w:iCs/>
                <w:color w:val="000000"/>
                <w:sz w:val="16"/>
                <w:szCs w:val="16"/>
              </w:rPr>
              <w:t>Medicare Levy Act 1986</w:t>
            </w:r>
          </w:p>
        </w:tc>
      </w:tr>
    </w:tbl>
    <w:p w14:paraId="19FEB651" w14:textId="77777777" w:rsidR="006E40C9" w:rsidRPr="00540040" w:rsidRDefault="006E40C9" w:rsidP="006E40C9">
      <w:pPr>
        <w:pStyle w:val="MeasureTableHeading"/>
      </w:pPr>
    </w:p>
    <w:p w14:paraId="5BA50BD4" w14:textId="77777777" w:rsidR="006E40C9" w:rsidRDefault="006E40C9" w:rsidP="006E40C9">
      <w:r>
        <w:t xml:space="preserve">The benchmark tax treatment is that the Medicare levy is paid on the taxable income of a resident for an income year. However, residents whose taxable income falls below prescribed thresholds are exempt from the Medicare levy, with the levy phased in once their income exceeds these thresholds. Different thresholds apply for individuals, families and seniors and pensioners. </w:t>
      </w:r>
      <w:r>
        <w:fldChar w:fldCharType="begin"/>
      </w:r>
      <w:r>
        <w:instrText xml:space="preserve"> XE "Medicare levy:Low-income threshold" </w:instrText>
      </w:r>
      <w:r>
        <w:fldChar w:fldCharType="end"/>
      </w:r>
    </w:p>
    <w:p w14:paraId="65C3AC04" w14:textId="77777777" w:rsidR="006E40C9" w:rsidRDefault="006E40C9" w:rsidP="0003254D">
      <w:pPr>
        <w:pStyle w:val="Heading4"/>
      </w:pPr>
      <w:r>
        <w:t>A21</w:t>
      </w:r>
      <w:r>
        <w:tab/>
        <w:t>Medicare levy surcharge</w:t>
      </w:r>
    </w:p>
    <w:p w14:paraId="1EAAF3CA"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D72BD7" w14:textId="77777777">
        <w:trPr>
          <w:cantSplit/>
          <w:jc w:val="center"/>
        </w:trPr>
        <w:tc>
          <w:tcPr>
            <w:tcW w:w="967" w:type="dxa"/>
            <w:tcBorders>
              <w:top w:val="single" w:sz="2" w:space="0" w:color="auto"/>
              <w:bottom w:val="single" w:sz="2" w:space="0" w:color="auto"/>
            </w:tcBorders>
          </w:tcPr>
          <w:p w14:paraId="1F575A2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2A9F3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F2A4C3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4BB521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1483FE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C83F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C40E4F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9D767A" w14:textId="77777777" w:rsidR="006E40C9" w:rsidRDefault="006E40C9">
            <w:pPr>
              <w:pStyle w:val="MeasureTableTextRightAligned"/>
            </w:pPr>
            <w:r>
              <w:t>2027-28</w:t>
            </w:r>
          </w:p>
        </w:tc>
      </w:tr>
      <w:tr w:rsidR="006E40C9" w14:paraId="24DF7BBD" w14:textId="77777777">
        <w:trPr>
          <w:cantSplit/>
          <w:jc w:val="center"/>
        </w:trPr>
        <w:tc>
          <w:tcPr>
            <w:tcW w:w="967" w:type="dxa"/>
            <w:tcBorders>
              <w:top w:val="single" w:sz="2" w:space="0" w:color="auto"/>
              <w:bottom w:val="single" w:sz="2" w:space="0" w:color="auto"/>
            </w:tcBorders>
          </w:tcPr>
          <w:p w14:paraId="50B9CB52" w14:textId="77777777" w:rsidR="006E40C9" w:rsidRDefault="006E40C9">
            <w:pPr>
              <w:pStyle w:val="MeasureTableTextRightAligned"/>
            </w:pPr>
            <w:r>
              <w:t>-540</w:t>
            </w:r>
          </w:p>
        </w:tc>
        <w:tc>
          <w:tcPr>
            <w:tcW w:w="967" w:type="dxa"/>
            <w:tcBorders>
              <w:top w:val="single" w:sz="2" w:space="0" w:color="auto"/>
              <w:bottom w:val="single" w:sz="2" w:space="0" w:color="auto"/>
            </w:tcBorders>
          </w:tcPr>
          <w:p w14:paraId="02B9D811" w14:textId="77777777" w:rsidR="006E40C9" w:rsidRDefault="006E40C9">
            <w:pPr>
              <w:pStyle w:val="MeasureTableTextRightAligned"/>
            </w:pPr>
            <w:r>
              <w:t>-720</w:t>
            </w:r>
          </w:p>
        </w:tc>
        <w:tc>
          <w:tcPr>
            <w:tcW w:w="967" w:type="dxa"/>
            <w:tcBorders>
              <w:top w:val="single" w:sz="2" w:space="0" w:color="auto"/>
              <w:bottom w:val="single" w:sz="2" w:space="0" w:color="auto"/>
            </w:tcBorders>
            <w:vAlign w:val="bottom"/>
          </w:tcPr>
          <w:p w14:paraId="2EA2BE65" w14:textId="77777777" w:rsidR="006E40C9" w:rsidRDefault="006E40C9">
            <w:pPr>
              <w:pStyle w:val="MeasureTableTextRightAligned"/>
            </w:pPr>
            <w:r>
              <w:t>-890</w:t>
            </w:r>
          </w:p>
        </w:tc>
        <w:tc>
          <w:tcPr>
            <w:tcW w:w="967" w:type="dxa"/>
            <w:tcBorders>
              <w:top w:val="single" w:sz="2" w:space="0" w:color="auto"/>
              <w:bottom w:val="single" w:sz="2" w:space="0" w:color="auto"/>
            </w:tcBorders>
            <w:vAlign w:val="bottom"/>
          </w:tcPr>
          <w:p w14:paraId="346F07B4" w14:textId="77777777" w:rsidR="006E40C9" w:rsidRDefault="006E40C9">
            <w:pPr>
              <w:pStyle w:val="MeasureTableTextRightAligned"/>
            </w:pPr>
            <w:r>
              <w:t>-1,050</w:t>
            </w:r>
          </w:p>
        </w:tc>
        <w:tc>
          <w:tcPr>
            <w:tcW w:w="967" w:type="dxa"/>
            <w:tcBorders>
              <w:top w:val="single" w:sz="2" w:space="0" w:color="auto"/>
              <w:bottom w:val="single" w:sz="2" w:space="0" w:color="auto"/>
            </w:tcBorders>
            <w:vAlign w:val="bottom"/>
          </w:tcPr>
          <w:p w14:paraId="22875B29" w14:textId="77777777" w:rsidR="006E40C9" w:rsidRDefault="006E40C9">
            <w:pPr>
              <w:pStyle w:val="MeasureTableTextRightAligned"/>
            </w:pPr>
            <w:r>
              <w:t>-1,100</w:t>
            </w:r>
          </w:p>
        </w:tc>
        <w:tc>
          <w:tcPr>
            <w:tcW w:w="967" w:type="dxa"/>
            <w:gridSpan w:val="2"/>
            <w:tcBorders>
              <w:top w:val="single" w:sz="2" w:space="0" w:color="auto"/>
              <w:bottom w:val="single" w:sz="2" w:space="0" w:color="auto"/>
            </w:tcBorders>
            <w:vAlign w:val="bottom"/>
          </w:tcPr>
          <w:p w14:paraId="3DC0F469" w14:textId="77777777" w:rsidR="006E40C9" w:rsidRDefault="006E40C9">
            <w:pPr>
              <w:pStyle w:val="MeasureTableTextRightAligned"/>
            </w:pPr>
            <w:r>
              <w:t>-1,150</w:t>
            </w:r>
          </w:p>
        </w:tc>
        <w:tc>
          <w:tcPr>
            <w:tcW w:w="967" w:type="dxa"/>
            <w:gridSpan w:val="2"/>
            <w:tcBorders>
              <w:top w:val="single" w:sz="2" w:space="0" w:color="auto"/>
              <w:bottom w:val="single" w:sz="2" w:space="0" w:color="auto"/>
            </w:tcBorders>
            <w:vAlign w:val="bottom"/>
          </w:tcPr>
          <w:p w14:paraId="2E6D22AF" w14:textId="77777777" w:rsidR="006E40C9" w:rsidRDefault="006E40C9">
            <w:pPr>
              <w:pStyle w:val="MeasureTableTextRightAligned"/>
            </w:pPr>
            <w:r>
              <w:t>-1,200</w:t>
            </w:r>
          </w:p>
        </w:tc>
        <w:tc>
          <w:tcPr>
            <w:tcW w:w="968" w:type="dxa"/>
            <w:tcBorders>
              <w:top w:val="single" w:sz="2" w:space="0" w:color="auto"/>
              <w:bottom w:val="single" w:sz="2" w:space="0" w:color="auto"/>
            </w:tcBorders>
            <w:vAlign w:val="bottom"/>
          </w:tcPr>
          <w:p w14:paraId="2BD85271" w14:textId="77777777" w:rsidR="006E40C9" w:rsidRDefault="006E40C9">
            <w:pPr>
              <w:pStyle w:val="MeasureTableTextRightAligned"/>
            </w:pPr>
            <w:r>
              <w:t>-1,250</w:t>
            </w:r>
          </w:p>
        </w:tc>
      </w:tr>
      <w:tr w:rsidR="006E40C9" w14:paraId="07BF9FFF" w14:textId="77777777">
        <w:trPr>
          <w:cantSplit/>
          <w:jc w:val="center"/>
        </w:trPr>
        <w:tc>
          <w:tcPr>
            <w:tcW w:w="1934" w:type="dxa"/>
            <w:gridSpan w:val="2"/>
            <w:tcBorders>
              <w:top w:val="single" w:sz="2" w:space="0" w:color="auto"/>
              <w:bottom w:val="nil"/>
            </w:tcBorders>
          </w:tcPr>
          <w:p w14:paraId="2C9ACE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EF65AD"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001C6B67" w14:textId="6D3309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D5101D1" w14:textId="77777777" w:rsidR="006E40C9" w:rsidRDefault="006E40C9">
            <w:pPr>
              <w:pStyle w:val="MeasureTableTextLeftAligned"/>
            </w:pPr>
            <w:r>
              <w:t>A21</w:t>
            </w:r>
          </w:p>
        </w:tc>
      </w:tr>
      <w:tr w:rsidR="006E40C9" w14:paraId="0FCC0E4E" w14:textId="77777777">
        <w:trPr>
          <w:cantSplit/>
          <w:jc w:val="center"/>
        </w:trPr>
        <w:tc>
          <w:tcPr>
            <w:tcW w:w="1934" w:type="dxa"/>
            <w:gridSpan w:val="2"/>
            <w:tcBorders>
              <w:top w:val="nil"/>
              <w:bottom w:val="nil"/>
            </w:tcBorders>
          </w:tcPr>
          <w:p w14:paraId="5D69BF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D7C40A" w14:textId="12B2D10A"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C88914B" w14:textId="77777777" w:rsidR="006E40C9" w:rsidRDefault="006E40C9">
            <w:pPr>
              <w:pStyle w:val="MeasureTableTextItalic"/>
            </w:pPr>
          </w:p>
        </w:tc>
        <w:tc>
          <w:tcPr>
            <w:tcW w:w="1124" w:type="dxa"/>
            <w:gridSpan w:val="2"/>
            <w:tcBorders>
              <w:top w:val="nil"/>
              <w:bottom w:val="nil"/>
            </w:tcBorders>
          </w:tcPr>
          <w:p w14:paraId="5E3AC608" w14:textId="77777777" w:rsidR="006E40C9" w:rsidRDefault="006E40C9">
            <w:pPr>
              <w:pStyle w:val="MeasureTableTextLeftAligned"/>
            </w:pPr>
          </w:p>
        </w:tc>
      </w:tr>
      <w:tr w:rsidR="006E40C9" w14:paraId="066B926A" w14:textId="77777777">
        <w:trPr>
          <w:cantSplit/>
          <w:jc w:val="center"/>
        </w:trPr>
        <w:tc>
          <w:tcPr>
            <w:tcW w:w="1934" w:type="dxa"/>
            <w:gridSpan w:val="2"/>
            <w:tcBorders>
              <w:top w:val="nil"/>
              <w:bottom w:val="nil"/>
            </w:tcBorders>
          </w:tcPr>
          <w:p w14:paraId="224D814F" w14:textId="77777777" w:rsidR="006E40C9" w:rsidRDefault="006E40C9">
            <w:pPr>
              <w:pStyle w:val="MeasureTableTextItalic"/>
            </w:pPr>
            <w:r>
              <w:t>Commencement date:</w:t>
            </w:r>
          </w:p>
        </w:tc>
        <w:tc>
          <w:tcPr>
            <w:tcW w:w="3179" w:type="dxa"/>
            <w:gridSpan w:val="4"/>
            <w:tcBorders>
              <w:top w:val="nil"/>
              <w:bottom w:val="nil"/>
            </w:tcBorders>
          </w:tcPr>
          <w:p w14:paraId="1266654E" w14:textId="77777777" w:rsidR="006E40C9" w:rsidRDefault="006E40C9">
            <w:pPr>
              <w:pStyle w:val="MeasureTableTextLeftAligned"/>
            </w:pPr>
            <w:r>
              <w:t>1 July 1997</w:t>
            </w:r>
          </w:p>
        </w:tc>
        <w:tc>
          <w:tcPr>
            <w:tcW w:w="1500" w:type="dxa"/>
            <w:gridSpan w:val="2"/>
            <w:tcBorders>
              <w:top w:val="nil"/>
              <w:bottom w:val="nil"/>
            </w:tcBorders>
          </w:tcPr>
          <w:p w14:paraId="7D491E40" w14:textId="77777777" w:rsidR="006E40C9" w:rsidRPr="00F32057" w:rsidRDefault="006E40C9">
            <w:pPr>
              <w:pStyle w:val="MeasureTableTextItalic"/>
            </w:pPr>
            <w:r>
              <w:t>Expiry date:</w:t>
            </w:r>
          </w:p>
        </w:tc>
        <w:tc>
          <w:tcPr>
            <w:tcW w:w="1124" w:type="dxa"/>
            <w:gridSpan w:val="2"/>
            <w:tcBorders>
              <w:top w:val="nil"/>
              <w:bottom w:val="nil"/>
            </w:tcBorders>
          </w:tcPr>
          <w:p w14:paraId="791A70F0" w14:textId="77777777" w:rsidR="006E40C9" w:rsidRPr="00F32057" w:rsidRDefault="006E40C9">
            <w:pPr>
              <w:pStyle w:val="MeasureTableTextLeftAligned"/>
            </w:pPr>
          </w:p>
        </w:tc>
      </w:tr>
      <w:tr w:rsidR="006E40C9" w14:paraId="7071F438" w14:textId="77777777">
        <w:trPr>
          <w:cantSplit/>
          <w:jc w:val="center"/>
        </w:trPr>
        <w:tc>
          <w:tcPr>
            <w:tcW w:w="1934" w:type="dxa"/>
            <w:gridSpan w:val="2"/>
            <w:tcBorders>
              <w:top w:val="nil"/>
            </w:tcBorders>
          </w:tcPr>
          <w:p w14:paraId="67DC9D49" w14:textId="77777777" w:rsidR="006E40C9" w:rsidRDefault="006E40C9">
            <w:pPr>
              <w:pStyle w:val="MeasureTableTextItalic"/>
            </w:pPr>
            <w:r>
              <w:t>Legislative reference:</w:t>
            </w:r>
          </w:p>
        </w:tc>
        <w:tc>
          <w:tcPr>
            <w:tcW w:w="5803" w:type="dxa"/>
            <w:gridSpan w:val="8"/>
            <w:tcBorders>
              <w:top w:val="nil"/>
            </w:tcBorders>
          </w:tcPr>
          <w:p w14:paraId="158ADCE1"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Sections 8B to 8D of the </w:t>
            </w:r>
            <w:r>
              <w:rPr>
                <w:rFonts w:ascii="Arial" w:hAnsi="Arial" w:cs="Arial"/>
                <w:i/>
                <w:iCs/>
                <w:color w:val="000000"/>
                <w:sz w:val="16"/>
                <w:szCs w:val="16"/>
              </w:rPr>
              <w:t>Medicare Levy Act 1986</w:t>
            </w:r>
          </w:p>
          <w:p w14:paraId="0B4851AC" w14:textId="2DE313CF"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 New Tax System (Medicare Levy Surcharge</w:t>
            </w:r>
            <w:r w:rsidR="009F5E3D">
              <w:rPr>
                <w:rFonts w:ascii="Arial" w:hAnsi="Arial" w:cs="Arial"/>
                <w:i/>
                <w:iCs/>
                <w:color w:val="000000"/>
                <w:sz w:val="16"/>
                <w:szCs w:val="16"/>
              </w:rPr>
              <w:t xml:space="preserve"> – </w:t>
            </w:r>
            <w:r>
              <w:rPr>
                <w:rFonts w:ascii="Arial" w:hAnsi="Arial" w:cs="Arial"/>
                <w:i/>
                <w:iCs/>
                <w:color w:val="000000"/>
                <w:sz w:val="16"/>
                <w:szCs w:val="16"/>
              </w:rPr>
              <w:t>Fringe Benefits) Act 1999</w:t>
            </w:r>
          </w:p>
        </w:tc>
      </w:tr>
    </w:tbl>
    <w:p w14:paraId="5EB30626" w14:textId="77777777" w:rsidR="006E40C9" w:rsidRPr="00540040" w:rsidRDefault="006E40C9" w:rsidP="006E40C9">
      <w:pPr>
        <w:pStyle w:val="MeasureTableHeading"/>
      </w:pPr>
    </w:p>
    <w:p w14:paraId="14FFB8BF" w14:textId="77777777" w:rsidR="006E40C9" w:rsidRDefault="006E40C9" w:rsidP="006E40C9">
      <w:r>
        <w:t>The benchmark tax treatment is that the Medicare levy is paid on the taxable income of a resident for an income year. Individuals and couples who do not have a specified level of private health insurance and whose income exceeds certain thresholds are subject to an increased Medicare levy, known as the Medicare levy surcharge.</w:t>
      </w:r>
      <w:r>
        <w:fldChar w:fldCharType="begin"/>
      </w:r>
      <w:r>
        <w:instrText xml:space="preserve"> XE "Medicare levy:Surcharge" </w:instrText>
      </w:r>
      <w:r>
        <w:fldChar w:fldCharType="end"/>
      </w:r>
      <w:r>
        <w:t xml:space="preserve"> </w:t>
      </w:r>
    </w:p>
    <w:p w14:paraId="315F422B" w14:textId="77777777" w:rsidR="006E40C9" w:rsidRDefault="006E40C9" w:rsidP="0003254D">
      <w:pPr>
        <w:pStyle w:val="Heading4"/>
      </w:pPr>
      <w:r>
        <w:t>A22</w:t>
      </w:r>
      <w:r>
        <w:tab/>
        <w:t>Medicare levy surcharge lump sum payment in arrears tax offset</w:t>
      </w:r>
    </w:p>
    <w:p w14:paraId="2E7A29BD"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F4C763" w14:textId="77777777">
        <w:trPr>
          <w:cantSplit/>
          <w:jc w:val="center"/>
        </w:trPr>
        <w:tc>
          <w:tcPr>
            <w:tcW w:w="967" w:type="dxa"/>
            <w:tcBorders>
              <w:top w:val="single" w:sz="2" w:space="0" w:color="auto"/>
              <w:bottom w:val="single" w:sz="2" w:space="0" w:color="auto"/>
            </w:tcBorders>
          </w:tcPr>
          <w:p w14:paraId="1FA001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86228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8CADBE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62378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F837D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83F79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9BF5C8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4DE271" w14:textId="77777777" w:rsidR="006E40C9" w:rsidRDefault="006E40C9">
            <w:pPr>
              <w:pStyle w:val="MeasureTableTextRightAligned"/>
            </w:pPr>
            <w:r>
              <w:t>2027-28</w:t>
            </w:r>
          </w:p>
        </w:tc>
      </w:tr>
      <w:tr w:rsidR="006E40C9" w14:paraId="1C3EC89C" w14:textId="77777777">
        <w:trPr>
          <w:cantSplit/>
          <w:jc w:val="center"/>
        </w:trPr>
        <w:tc>
          <w:tcPr>
            <w:tcW w:w="967" w:type="dxa"/>
            <w:tcBorders>
              <w:top w:val="single" w:sz="2" w:space="0" w:color="auto"/>
              <w:bottom w:val="single" w:sz="2" w:space="0" w:color="auto"/>
            </w:tcBorders>
          </w:tcPr>
          <w:p w14:paraId="6C9225F6" w14:textId="77777777" w:rsidR="006E40C9" w:rsidRDefault="006E40C9">
            <w:pPr>
              <w:pStyle w:val="MeasureTableTextRightAligned"/>
            </w:pPr>
            <w:r>
              <w:t>1</w:t>
            </w:r>
          </w:p>
        </w:tc>
        <w:tc>
          <w:tcPr>
            <w:tcW w:w="967" w:type="dxa"/>
            <w:tcBorders>
              <w:top w:val="single" w:sz="2" w:space="0" w:color="auto"/>
              <w:bottom w:val="single" w:sz="2" w:space="0" w:color="auto"/>
            </w:tcBorders>
          </w:tcPr>
          <w:p w14:paraId="3DC7381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BFAF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BFD02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A2418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B81F6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9959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A0F6912" w14:textId="77777777" w:rsidR="006E40C9" w:rsidRDefault="006E40C9">
            <w:pPr>
              <w:pStyle w:val="MeasureTableTextRightAligned"/>
            </w:pPr>
            <w:r>
              <w:t>..</w:t>
            </w:r>
          </w:p>
        </w:tc>
      </w:tr>
      <w:tr w:rsidR="006E40C9" w14:paraId="6A6C6CCD" w14:textId="77777777">
        <w:trPr>
          <w:cantSplit/>
          <w:jc w:val="center"/>
        </w:trPr>
        <w:tc>
          <w:tcPr>
            <w:tcW w:w="1934" w:type="dxa"/>
            <w:gridSpan w:val="2"/>
            <w:tcBorders>
              <w:top w:val="single" w:sz="2" w:space="0" w:color="auto"/>
              <w:bottom w:val="nil"/>
            </w:tcBorders>
          </w:tcPr>
          <w:p w14:paraId="2FA2BF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A5A925" w14:textId="77777777" w:rsidR="006E40C9" w:rsidRDefault="006E40C9">
            <w:pPr>
              <w:pStyle w:val="MeasureTableTextLeftAligned"/>
            </w:pPr>
            <w:r>
              <w:t>Offset</w:t>
            </w:r>
          </w:p>
        </w:tc>
        <w:tc>
          <w:tcPr>
            <w:tcW w:w="1500" w:type="dxa"/>
            <w:gridSpan w:val="2"/>
            <w:tcBorders>
              <w:top w:val="single" w:sz="2" w:space="0" w:color="auto"/>
              <w:bottom w:val="nil"/>
            </w:tcBorders>
          </w:tcPr>
          <w:p w14:paraId="1B56995B" w14:textId="4A1B72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45F247" w14:textId="77777777" w:rsidR="006E40C9" w:rsidRDefault="006E40C9">
            <w:pPr>
              <w:pStyle w:val="MeasureTableTextLeftAligned"/>
            </w:pPr>
            <w:r>
              <w:t>A22</w:t>
            </w:r>
          </w:p>
        </w:tc>
      </w:tr>
      <w:tr w:rsidR="006E40C9" w14:paraId="157EE688" w14:textId="77777777">
        <w:trPr>
          <w:cantSplit/>
          <w:jc w:val="center"/>
        </w:trPr>
        <w:tc>
          <w:tcPr>
            <w:tcW w:w="1934" w:type="dxa"/>
            <w:gridSpan w:val="2"/>
            <w:tcBorders>
              <w:top w:val="nil"/>
              <w:bottom w:val="nil"/>
            </w:tcBorders>
          </w:tcPr>
          <w:p w14:paraId="5C96DA9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4D0F87" w14:textId="77777777" w:rsidR="006E40C9" w:rsidRPr="00584CA7" w:rsidRDefault="006E40C9">
            <w:pPr>
              <w:pStyle w:val="MeasureTableTextLeftAligned"/>
            </w:pPr>
            <w:r>
              <w:t>High</w:t>
            </w:r>
          </w:p>
        </w:tc>
        <w:tc>
          <w:tcPr>
            <w:tcW w:w="1500" w:type="dxa"/>
            <w:gridSpan w:val="2"/>
            <w:tcBorders>
              <w:top w:val="nil"/>
              <w:bottom w:val="nil"/>
            </w:tcBorders>
          </w:tcPr>
          <w:p w14:paraId="01596FC2" w14:textId="77777777" w:rsidR="006E40C9" w:rsidRDefault="006E40C9">
            <w:pPr>
              <w:pStyle w:val="MeasureTableTextItalic"/>
            </w:pPr>
          </w:p>
        </w:tc>
        <w:tc>
          <w:tcPr>
            <w:tcW w:w="1124" w:type="dxa"/>
            <w:gridSpan w:val="2"/>
            <w:tcBorders>
              <w:top w:val="nil"/>
              <w:bottom w:val="nil"/>
            </w:tcBorders>
          </w:tcPr>
          <w:p w14:paraId="5F21246A" w14:textId="77777777" w:rsidR="006E40C9" w:rsidRDefault="006E40C9">
            <w:pPr>
              <w:pStyle w:val="MeasureTableTextLeftAligned"/>
            </w:pPr>
          </w:p>
        </w:tc>
      </w:tr>
      <w:tr w:rsidR="006E40C9" w14:paraId="46A04729" w14:textId="77777777">
        <w:trPr>
          <w:cantSplit/>
          <w:jc w:val="center"/>
        </w:trPr>
        <w:tc>
          <w:tcPr>
            <w:tcW w:w="1934" w:type="dxa"/>
            <w:gridSpan w:val="2"/>
            <w:tcBorders>
              <w:top w:val="nil"/>
              <w:bottom w:val="nil"/>
            </w:tcBorders>
          </w:tcPr>
          <w:p w14:paraId="405E9D30" w14:textId="77777777" w:rsidR="006E40C9" w:rsidRDefault="006E40C9">
            <w:pPr>
              <w:pStyle w:val="MeasureTableTextItalic"/>
            </w:pPr>
            <w:r>
              <w:t>Commencement date:</w:t>
            </w:r>
          </w:p>
        </w:tc>
        <w:tc>
          <w:tcPr>
            <w:tcW w:w="3179" w:type="dxa"/>
            <w:gridSpan w:val="4"/>
            <w:tcBorders>
              <w:top w:val="nil"/>
              <w:bottom w:val="nil"/>
            </w:tcBorders>
          </w:tcPr>
          <w:p w14:paraId="08C1139B" w14:textId="77777777" w:rsidR="006E40C9" w:rsidRDefault="006E40C9">
            <w:pPr>
              <w:pStyle w:val="MeasureTableTextLeftAligned"/>
            </w:pPr>
            <w:r>
              <w:t>1 July 2005</w:t>
            </w:r>
          </w:p>
        </w:tc>
        <w:tc>
          <w:tcPr>
            <w:tcW w:w="1500" w:type="dxa"/>
            <w:gridSpan w:val="2"/>
            <w:tcBorders>
              <w:top w:val="nil"/>
              <w:bottom w:val="nil"/>
            </w:tcBorders>
          </w:tcPr>
          <w:p w14:paraId="7219DAA0" w14:textId="77777777" w:rsidR="006E40C9" w:rsidRPr="00F32057" w:rsidRDefault="006E40C9">
            <w:pPr>
              <w:pStyle w:val="MeasureTableTextItalic"/>
            </w:pPr>
            <w:r>
              <w:t>Expiry date:</w:t>
            </w:r>
          </w:p>
        </w:tc>
        <w:tc>
          <w:tcPr>
            <w:tcW w:w="1124" w:type="dxa"/>
            <w:gridSpan w:val="2"/>
            <w:tcBorders>
              <w:top w:val="nil"/>
              <w:bottom w:val="nil"/>
            </w:tcBorders>
          </w:tcPr>
          <w:p w14:paraId="64E52A9A" w14:textId="77777777" w:rsidR="006E40C9" w:rsidRPr="00F32057" w:rsidRDefault="006E40C9">
            <w:pPr>
              <w:pStyle w:val="MeasureTableTextLeftAligned"/>
            </w:pPr>
          </w:p>
        </w:tc>
      </w:tr>
      <w:tr w:rsidR="006E40C9" w14:paraId="304FF1CA" w14:textId="77777777">
        <w:trPr>
          <w:cantSplit/>
          <w:jc w:val="center"/>
        </w:trPr>
        <w:tc>
          <w:tcPr>
            <w:tcW w:w="1934" w:type="dxa"/>
            <w:gridSpan w:val="2"/>
            <w:tcBorders>
              <w:top w:val="nil"/>
            </w:tcBorders>
          </w:tcPr>
          <w:p w14:paraId="0DD6DB58" w14:textId="77777777" w:rsidR="006E40C9" w:rsidRDefault="006E40C9">
            <w:pPr>
              <w:pStyle w:val="MeasureTableTextItalic"/>
            </w:pPr>
            <w:r>
              <w:t>Legislative reference:</w:t>
            </w:r>
          </w:p>
        </w:tc>
        <w:tc>
          <w:tcPr>
            <w:tcW w:w="5803" w:type="dxa"/>
            <w:gridSpan w:val="8"/>
            <w:tcBorders>
              <w:top w:val="nil"/>
            </w:tcBorders>
          </w:tcPr>
          <w:p w14:paraId="06A9849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61L of the </w:t>
            </w:r>
            <w:r>
              <w:rPr>
                <w:rFonts w:ascii="Arial" w:hAnsi="Arial" w:cs="Arial"/>
                <w:i/>
                <w:iCs/>
                <w:color w:val="000000"/>
                <w:sz w:val="16"/>
                <w:szCs w:val="16"/>
              </w:rPr>
              <w:t>Income Tax Assessment Act 1997</w:t>
            </w:r>
          </w:p>
        </w:tc>
      </w:tr>
    </w:tbl>
    <w:p w14:paraId="05FBABED" w14:textId="77777777" w:rsidR="006E40C9" w:rsidRPr="00540040" w:rsidRDefault="006E40C9" w:rsidP="006E40C9">
      <w:pPr>
        <w:pStyle w:val="MeasureTableHeading"/>
      </w:pPr>
    </w:p>
    <w:p w14:paraId="22FF58E6" w14:textId="77777777" w:rsidR="006E40C9" w:rsidRDefault="006E40C9" w:rsidP="006E40C9">
      <w:r>
        <w:t>The benchmark tax treatment is that the Medicare levy is paid on the taxable income of a resident for an income year. However, eligible taxpayers who incur a Medicare levy surcharge liability, or an increased liability, as a result of certain lump sum payments in arrears, for example, a Commonwealth education payment, receive concessional treatment in respect of their surcharge liability.</w:t>
      </w:r>
      <w:r>
        <w:fldChar w:fldCharType="begin"/>
      </w:r>
      <w:r>
        <w:instrText xml:space="preserve"> XE "Medicare levy:Surcharge" </w:instrText>
      </w:r>
      <w:r>
        <w:fldChar w:fldCharType="end"/>
      </w:r>
    </w:p>
    <w:p w14:paraId="39023311" w14:textId="77777777" w:rsidR="006E40C9" w:rsidRDefault="006E40C9" w:rsidP="0003254D">
      <w:pPr>
        <w:pStyle w:val="Heading3"/>
      </w:pPr>
      <w:r>
        <w:t>Tax expenditures for social security and welfare</w:t>
      </w:r>
    </w:p>
    <w:p w14:paraId="246DDFE8" w14:textId="77777777" w:rsidR="006E40C9" w:rsidRDefault="006E40C9" w:rsidP="0003254D">
      <w:pPr>
        <w:pStyle w:val="Heading4"/>
      </w:pPr>
      <w:r>
        <w:t>A23</w:t>
      </w:r>
      <w:r>
        <w:tab/>
        <w:t>Concessional taxation of lump sum payments for unused recreation and long service leave</w:t>
      </w:r>
    </w:p>
    <w:p w14:paraId="26337AC2"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9315CE" w14:textId="77777777">
        <w:trPr>
          <w:cantSplit/>
          <w:jc w:val="center"/>
        </w:trPr>
        <w:tc>
          <w:tcPr>
            <w:tcW w:w="967" w:type="dxa"/>
            <w:tcBorders>
              <w:top w:val="single" w:sz="2" w:space="0" w:color="auto"/>
              <w:bottom w:val="single" w:sz="2" w:space="0" w:color="auto"/>
            </w:tcBorders>
          </w:tcPr>
          <w:p w14:paraId="1FF9362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9F293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FC316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FFF95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07129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61A5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10DD0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FD7C36" w14:textId="77777777" w:rsidR="006E40C9" w:rsidRDefault="006E40C9">
            <w:pPr>
              <w:pStyle w:val="MeasureTableTextRightAligned"/>
            </w:pPr>
            <w:r>
              <w:t>2027-28</w:t>
            </w:r>
          </w:p>
        </w:tc>
      </w:tr>
      <w:tr w:rsidR="006E40C9" w14:paraId="22893C47" w14:textId="77777777">
        <w:trPr>
          <w:cantSplit/>
          <w:jc w:val="center"/>
        </w:trPr>
        <w:tc>
          <w:tcPr>
            <w:tcW w:w="967" w:type="dxa"/>
            <w:tcBorders>
              <w:top w:val="single" w:sz="2" w:space="0" w:color="auto"/>
              <w:bottom w:val="single" w:sz="2" w:space="0" w:color="auto"/>
            </w:tcBorders>
          </w:tcPr>
          <w:p w14:paraId="03B87926" w14:textId="77777777" w:rsidR="006E40C9" w:rsidRDefault="006E40C9">
            <w:pPr>
              <w:pStyle w:val="MeasureTableTextRightAligned"/>
            </w:pPr>
            <w:r>
              <w:t>220</w:t>
            </w:r>
          </w:p>
        </w:tc>
        <w:tc>
          <w:tcPr>
            <w:tcW w:w="967" w:type="dxa"/>
            <w:tcBorders>
              <w:top w:val="single" w:sz="2" w:space="0" w:color="auto"/>
              <w:bottom w:val="single" w:sz="2" w:space="0" w:color="auto"/>
            </w:tcBorders>
          </w:tcPr>
          <w:p w14:paraId="570C5D47"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106348A9"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4BE72308"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7D37C71D"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5FDEA23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02DDF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80B3F54" w14:textId="77777777" w:rsidR="006E40C9" w:rsidRDefault="006E40C9">
            <w:pPr>
              <w:pStyle w:val="MeasureTableTextRightAligned"/>
            </w:pPr>
            <w:r>
              <w:t>*</w:t>
            </w:r>
          </w:p>
        </w:tc>
      </w:tr>
      <w:tr w:rsidR="006E40C9" w14:paraId="57867511" w14:textId="77777777">
        <w:trPr>
          <w:cantSplit/>
          <w:jc w:val="center"/>
        </w:trPr>
        <w:tc>
          <w:tcPr>
            <w:tcW w:w="1934" w:type="dxa"/>
            <w:gridSpan w:val="2"/>
            <w:tcBorders>
              <w:top w:val="single" w:sz="2" w:space="0" w:color="auto"/>
              <w:bottom w:val="nil"/>
            </w:tcBorders>
          </w:tcPr>
          <w:p w14:paraId="05DA43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5EC80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4C2B75ED" w14:textId="5C8E37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57DB57" w14:textId="77777777" w:rsidR="006E40C9" w:rsidRDefault="006E40C9">
            <w:pPr>
              <w:pStyle w:val="MeasureTableTextLeftAligned"/>
            </w:pPr>
            <w:r>
              <w:t>A23</w:t>
            </w:r>
          </w:p>
        </w:tc>
      </w:tr>
      <w:tr w:rsidR="006E40C9" w14:paraId="4256D1C5" w14:textId="77777777">
        <w:trPr>
          <w:cantSplit/>
          <w:jc w:val="center"/>
        </w:trPr>
        <w:tc>
          <w:tcPr>
            <w:tcW w:w="1934" w:type="dxa"/>
            <w:gridSpan w:val="2"/>
            <w:tcBorders>
              <w:top w:val="nil"/>
              <w:bottom w:val="nil"/>
            </w:tcBorders>
          </w:tcPr>
          <w:p w14:paraId="5C45EC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910C8F" w14:textId="77777777" w:rsidR="006E40C9" w:rsidRPr="00584CA7" w:rsidRDefault="006E40C9">
            <w:pPr>
              <w:pStyle w:val="MeasureTableTextLeftAligned"/>
            </w:pPr>
            <w:r>
              <w:t>Medium</w:t>
            </w:r>
          </w:p>
        </w:tc>
        <w:tc>
          <w:tcPr>
            <w:tcW w:w="1500" w:type="dxa"/>
            <w:gridSpan w:val="2"/>
            <w:tcBorders>
              <w:top w:val="nil"/>
              <w:bottom w:val="nil"/>
            </w:tcBorders>
          </w:tcPr>
          <w:p w14:paraId="349B7EED" w14:textId="77777777" w:rsidR="006E40C9" w:rsidRDefault="006E40C9">
            <w:pPr>
              <w:pStyle w:val="MeasureTableTextItalic"/>
            </w:pPr>
            <w:r>
              <w:t>* Category</w:t>
            </w:r>
          </w:p>
        </w:tc>
        <w:tc>
          <w:tcPr>
            <w:tcW w:w="1124" w:type="dxa"/>
            <w:gridSpan w:val="2"/>
            <w:tcBorders>
              <w:top w:val="nil"/>
              <w:bottom w:val="nil"/>
            </w:tcBorders>
          </w:tcPr>
          <w:p w14:paraId="4C610DAF" w14:textId="77777777" w:rsidR="006E40C9" w:rsidRDefault="006E40C9">
            <w:pPr>
              <w:pStyle w:val="MeasureTableTextLeftAligned"/>
            </w:pPr>
            <w:r>
              <w:t>3+</w:t>
            </w:r>
          </w:p>
        </w:tc>
      </w:tr>
      <w:tr w:rsidR="006E40C9" w14:paraId="1BC126A3" w14:textId="77777777">
        <w:trPr>
          <w:cantSplit/>
          <w:jc w:val="center"/>
        </w:trPr>
        <w:tc>
          <w:tcPr>
            <w:tcW w:w="1934" w:type="dxa"/>
            <w:gridSpan w:val="2"/>
            <w:tcBorders>
              <w:top w:val="nil"/>
              <w:bottom w:val="nil"/>
            </w:tcBorders>
          </w:tcPr>
          <w:p w14:paraId="17BA56F9" w14:textId="77777777" w:rsidR="006E40C9" w:rsidRDefault="006E40C9">
            <w:pPr>
              <w:pStyle w:val="MeasureTableTextItalic"/>
            </w:pPr>
            <w:r>
              <w:t>Commencement date:</w:t>
            </w:r>
          </w:p>
        </w:tc>
        <w:tc>
          <w:tcPr>
            <w:tcW w:w="3179" w:type="dxa"/>
            <w:gridSpan w:val="4"/>
            <w:tcBorders>
              <w:top w:val="nil"/>
              <w:bottom w:val="nil"/>
            </w:tcBorders>
          </w:tcPr>
          <w:p w14:paraId="62A75137" w14:textId="77777777" w:rsidR="006E40C9" w:rsidRDefault="006E40C9">
            <w:pPr>
              <w:pStyle w:val="MeasureTableTextLeftAligned"/>
            </w:pPr>
            <w:r>
              <w:t>1993</w:t>
            </w:r>
          </w:p>
        </w:tc>
        <w:tc>
          <w:tcPr>
            <w:tcW w:w="1500" w:type="dxa"/>
            <w:gridSpan w:val="2"/>
            <w:tcBorders>
              <w:top w:val="nil"/>
              <w:bottom w:val="nil"/>
            </w:tcBorders>
          </w:tcPr>
          <w:p w14:paraId="47E3A51D" w14:textId="77777777" w:rsidR="006E40C9" w:rsidRPr="00F32057" w:rsidRDefault="006E40C9">
            <w:pPr>
              <w:pStyle w:val="MeasureTableTextItalic"/>
            </w:pPr>
            <w:r>
              <w:t>Expiry date:</w:t>
            </w:r>
          </w:p>
        </w:tc>
        <w:tc>
          <w:tcPr>
            <w:tcW w:w="1124" w:type="dxa"/>
            <w:gridSpan w:val="2"/>
            <w:tcBorders>
              <w:top w:val="nil"/>
              <w:bottom w:val="nil"/>
            </w:tcBorders>
          </w:tcPr>
          <w:p w14:paraId="0342263A" w14:textId="77777777" w:rsidR="006E40C9" w:rsidRPr="00F32057" w:rsidRDefault="006E40C9">
            <w:pPr>
              <w:pStyle w:val="MeasureTableTextLeftAligned"/>
            </w:pPr>
          </w:p>
        </w:tc>
      </w:tr>
      <w:tr w:rsidR="006E40C9" w14:paraId="00E14065" w14:textId="77777777">
        <w:trPr>
          <w:cantSplit/>
          <w:jc w:val="center"/>
        </w:trPr>
        <w:tc>
          <w:tcPr>
            <w:tcW w:w="1934" w:type="dxa"/>
            <w:gridSpan w:val="2"/>
            <w:tcBorders>
              <w:top w:val="nil"/>
            </w:tcBorders>
          </w:tcPr>
          <w:p w14:paraId="5BF3EB18" w14:textId="77777777" w:rsidR="006E40C9" w:rsidRDefault="006E40C9">
            <w:pPr>
              <w:pStyle w:val="MeasureTableTextItalic"/>
            </w:pPr>
            <w:r>
              <w:t>Legislative reference:</w:t>
            </w:r>
          </w:p>
        </w:tc>
        <w:tc>
          <w:tcPr>
            <w:tcW w:w="5803" w:type="dxa"/>
            <w:gridSpan w:val="8"/>
            <w:tcBorders>
              <w:top w:val="nil"/>
            </w:tcBorders>
          </w:tcPr>
          <w:p w14:paraId="378EEB2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83-A and 83-B of the </w:t>
            </w:r>
            <w:r>
              <w:rPr>
                <w:rFonts w:ascii="Arial" w:hAnsi="Arial" w:cs="Arial"/>
                <w:i/>
                <w:iCs/>
                <w:color w:val="000000"/>
                <w:sz w:val="16"/>
                <w:szCs w:val="16"/>
              </w:rPr>
              <w:t>Income Tax Assessment Act 1997</w:t>
            </w:r>
          </w:p>
        </w:tc>
      </w:tr>
    </w:tbl>
    <w:p w14:paraId="5C701FC2" w14:textId="77777777" w:rsidR="006E40C9" w:rsidRPr="00540040" w:rsidRDefault="006E40C9" w:rsidP="006E40C9">
      <w:pPr>
        <w:pStyle w:val="MeasureTableHeading"/>
      </w:pPr>
    </w:p>
    <w:p w14:paraId="547F30BD" w14:textId="77777777" w:rsidR="006E40C9" w:rsidRDefault="006E40C9" w:rsidP="006E40C9">
      <w:r>
        <w:t>The benchmark tax treatment is that income tax is paid on the taxable income of a taxpayer for an income year at their applicable rate of tax. However, a maximum tax rate of 30 per cent, excluding the Medicare levy, applies to lump sum payments in lieu of unused long service or annual leave</w:t>
      </w:r>
      <w:r>
        <w:fldChar w:fldCharType="begin"/>
      </w:r>
      <w:r>
        <w:instrText xml:space="preserve"> XE "Unused long service or annual leave" </w:instrText>
      </w:r>
      <w:r>
        <w:fldChar w:fldCharType="end"/>
      </w:r>
      <w:r>
        <w:t xml:space="preserve"> which accrued before 18 August 1993, or which are made in circumstances of bona fide redundancy, invalidity or under an early retirement scheme.</w:t>
      </w:r>
    </w:p>
    <w:p w14:paraId="2E7DB11B" w14:textId="77777777" w:rsidR="006E40C9" w:rsidRDefault="006E40C9" w:rsidP="0003254D">
      <w:pPr>
        <w:pStyle w:val="Heading4"/>
      </w:pPr>
      <w:r>
        <w:t>A24</w:t>
      </w:r>
      <w:r>
        <w:tab/>
        <w:t>Concessional taxation of non-superannuation termination benefits</w:t>
      </w:r>
    </w:p>
    <w:p w14:paraId="2700289C"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1DE9807" w14:textId="77777777">
        <w:trPr>
          <w:cantSplit/>
          <w:jc w:val="center"/>
        </w:trPr>
        <w:tc>
          <w:tcPr>
            <w:tcW w:w="967" w:type="dxa"/>
            <w:tcBorders>
              <w:top w:val="single" w:sz="2" w:space="0" w:color="auto"/>
              <w:bottom w:val="single" w:sz="2" w:space="0" w:color="auto"/>
            </w:tcBorders>
          </w:tcPr>
          <w:p w14:paraId="4C22AD4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5F7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9FEDA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6DB6C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B09BB3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F6045C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610B5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FC65EB" w14:textId="77777777" w:rsidR="006E40C9" w:rsidRDefault="006E40C9">
            <w:pPr>
              <w:pStyle w:val="MeasureTableTextRightAligned"/>
            </w:pPr>
            <w:r>
              <w:t>2027-28</w:t>
            </w:r>
          </w:p>
        </w:tc>
      </w:tr>
      <w:tr w:rsidR="006E40C9" w14:paraId="75A28962" w14:textId="77777777">
        <w:trPr>
          <w:cantSplit/>
          <w:jc w:val="center"/>
        </w:trPr>
        <w:tc>
          <w:tcPr>
            <w:tcW w:w="967" w:type="dxa"/>
            <w:tcBorders>
              <w:top w:val="single" w:sz="2" w:space="0" w:color="auto"/>
              <w:bottom w:val="single" w:sz="2" w:space="0" w:color="auto"/>
            </w:tcBorders>
          </w:tcPr>
          <w:p w14:paraId="437B0C19" w14:textId="77777777" w:rsidR="006E40C9" w:rsidRDefault="006E40C9">
            <w:pPr>
              <w:pStyle w:val="MeasureTableTextRightAligned"/>
            </w:pPr>
            <w:r>
              <w:t>2,550</w:t>
            </w:r>
          </w:p>
        </w:tc>
        <w:tc>
          <w:tcPr>
            <w:tcW w:w="967" w:type="dxa"/>
            <w:tcBorders>
              <w:top w:val="single" w:sz="2" w:space="0" w:color="auto"/>
              <w:bottom w:val="single" w:sz="2" w:space="0" w:color="auto"/>
            </w:tcBorders>
          </w:tcPr>
          <w:p w14:paraId="628C06D4" w14:textId="77777777" w:rsidR="006E40C9" w:rsidRDefault="006E40C9">
            <w:pPr>
              <w:pStyle w:val="MeasureTableTextRightAligned"/>
            </w:pPr>
            <w:r>
              <w:t>1,400</w:t>
            </w:r>
          </w:p>
        </w:tc>
        <w:tc>
          <w:tcPr>
            <w:tcW w:w="967" w:type="dxa"/>
            <w:tcBorders>
              <w:top w:val="single" w:sz="2" w:space="0" w:color="auto"/>
              <w:bottom w:val="single" w:sz="2" w:space="0" w:color="auto"/>
            </w:tcBorders>
            <w:vAlign w:val="bottom"/>
          </w:tcPr>
          <w:p w14:paraId="30EED480" w14:textId="77777777" w:rsidR="006E40C9" w:rsidRDefault="006E40C9">
            <w:pPr>
              <w:pStyle w:val="MeasureTableTextRightAligned"/>
            </w:pPr>
            <w:r>
              <w:t>1,550</w:t>
            </w:r>
          </w:p>
        </w:tc>
        <w:tc>
          <w:tcPr>
            <w:tcW w:w="967" w:type="dxa"/>
            <w:tcBorders>
              <w:top w:val="single" w:sz="2" w:space="0" w:color="auto"/>
              <w:bottom w:val="single" w:sz="2" w:space="0" w:color="auto"/>
            </w:tcBorders>
            <w:vAlign w:val="bottom"/>
          </w:tcPr>
          <w:p w14:paraId="555AF20A" w14:textId="77777777" w:rsidR="006E40C9" w:rsidRDefault="006E40C9">
            <w:pPr>
              <w:pStyle w:val="MeasureTableTextRightAligned"/>
            </w:pPr>
            <w:r>
              <w:t>2,150</w:t>
            </w:r>
          </w:p>
        </w:tc>
        <w:tc>
          <w:tcPr>
            <w:tcW w:w="967" w:type="dxa"/>
            <w:tcBorders>
              <w:top w:val="single" w:sz="2" w:space="0" w:color="auto"/>
              <w:bottom w:val="single" w:sz="2" w:space="0" w:color="auto"/>
            </w:tcBorders>
            <w:vAlign w:val="bottom"/>
          </w:tcPr>
          <w:p w14:paraId="1D0444AC" w14:textId="77777777" w:rsidR="006E40C9" w:rsidRDefault="006E40C9">
            <w:pPr>
              <w:pStyle w:val="MeasureTableTextRightAligned"/>
            </w:pPr>
            <w:r>
              <w:t>2,700</w:t>
            </w:r>
          </w:p>
        </w:tc>
        <w:tc>
          <w:tcPr>
            <w:tcW w:w="967" w:type="dxa"/>
            <w:gridSpan w:val="2"/>
            <w:tcBorders>
              <w:top w:val="single" w:sz="2" w:space="0" w:color="auto"/>
              <w:bottom w:val="single" w:sz="2" w:space="0" w:color="auto"/>
            </w:tcBorders>
            <w:vAlign w:val="bottom"/>
          </w:tcPr>
          <w:p w14:paraId="47CB488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B7A2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9791835" w14:textId="77777777" w:rsidR="006E40C9" w:rsidRDefault="006E40C9">
            <w:pPr>
              <w:pStyle w:val="MeasureTableTextRightAligned"/>
            </w:pPr>
            <w:r>
              <w:t>*</w:t>
            </w:r>
          </w:p>
        </w:tc>
      </w:tr>
      <w:tr w:rsidR="006E40C9" w14:paraId="05D1F0AA" w14:textId="77777777">
        <w:trPr>
          <w:cantSplit/>
          <w:jc w:val="center"/>
        </w:trPr>
        <w:tc>
          <w:tcPr>
            <w:tcW w:w="1934" w:type="dxa"/>
            <w:gridSpan w:val="2"/>
            <w:tcBorders>
              <w:top w:val="single" w:sz="2" w:space="0" w:color="auto"/>
              <w:bottom w:val="nil"/>
            </w:tcBorders>
          </w:tcPr>
          <w:p w14:paraId="777D768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38F1A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A9C9BEB" w14:textId="38CD48D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165BF0" w14:textId="77777777" w:rsidR="006E40C9" w:rsidRDefault="006E40C9">
            <w:pPr>
              <w:pStyle w:val="MeasureTableTextLeftAligned"/>
            </w:pPr>
            <w:r>
              <w:t>A24</w:t>
            </w:r>
          </w:p>
        </w:tc>
      </w:tr>
      <w:tr w:rsidR="006E40C9" w14:paraId="359D84B7" w14:textId="77777777">
        <w:trPr>
          <w:cantSplit/>
          <w:jc w:val="center"/>
        </w:trPr>
        <w:tc>
          <w:tcPr>
            <w:tcW w:w="1934" w:type="dxa"/>
            <w:gridSpan w:val="2"/>
            <w:tcBorders>
              <w:top w:val="nil"/>
              <w:bottom w:val="nil"/>
            </w:tcBorders>
          </w:tcPr>
          <w:p w14:paraId="620A618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4B7119" w14:textId="77777777" w:rsidR="006E40C9" w:rsidRPr="00584CA7" w:rsidRDefault="006E40C9">
            <w:pPr>
              <w:pStyle w:val="MeasureTableTextLeftAligned"/>
            </w:pPr>
            <w:r>
              <w:t>Low</w:t>
            </w:r>
          </w:p>
        </w:tc>
        <w:tc>
          <w:tcPr>
            <w:tcW w:w="1500" w:type="dxa"/>
            <w:gridSpan w:val="2"/>
            <w:tcBorders>
              <w:top w:val="nil"/>
              <w:bottom w:val="nil"/>
            </w:tcBorders>
          </w:tcPr>
          <w:p w14:paraId="403EA0C0" w14:textId="77777777" w:rsidR="006E40C9" w:rsidRDefault="006E40C9">
            <w:pPr>
              <w:pStyle w:val="MeasureTableTextItalic"/>
            </w:pPr>
            <w:r>
              <w:t>* Category</w:t>
            </w:r>
          </w:p>
        </w:tc>
        <w:tc>
          <w:tcPr>
            <w:tcW w:w="1124" w:type="dxa"/>
            <w:gridSpan w:val="2"/>
            <w:tcBorders>
              <w:top w:val="nil"/>
              <w:bottom w:val="nil"/>
            </w:tcBorders>
          </w:tcPr>
          <w:p w14:paraId="3DA9C955" w14:textId="77777777" w:rsidR="006E40C9" w:rsidRDefault="006E40C9">
            <w:pPr>
              <w:pStyle w:val="MeasureTableTextLeftAligned"/>
            </w:pPr>
            <w:r>
              <w:t>4+</w:t>
            </w:r>
          </w:p>
        </w:tc>
      </w:tr>
      <w:tr w:rsidR="006E40C9" w14:paraId="579AD5DA" w14:textId="77777777">
        <w:trPr>
          <w:cantSplit/>
          <w:jc w:val="center"/>
        </w:trPr>
        <w:tc>
          <w:tcPr>
            <w:tcW w:w="1934" w:type="dxa"/>
            <w:gridSpan w:val="2"/>
            <w:tcBorders>
              <w:top w:val="nil"/>
              <w:bottom w:val="nil"/>
            </w:tcBorders>
          </w:tcPr>
          <w:p w14:paraId="76F93B37" w14:textId="77777777" w:rsidR="006E40C9" w:rsidRDefault="006E40C9">
            <w:pPr>
              <w:pStyle w:val="MeasureTableTextItalic"/>
            </w:pPr>
            <w:r>
              <w:t>Commencement date:</w:t>
            </w:r>
          </w:p>
        </w:tc>
        <w:tc>
          <w:tcPr>
            <w:tcW w:w="3179" w:type="dxa"/>
            <w:gridSpan w:val="4"/>
            <w:tcBorders>
              <w:top w:val="nil"/>
              <w:bottom w:val="nil"/>
            </w:tcBorders>
          </w:tcPr>
          <w:p w14:paraId="5261ABE9" w14:textId="77777777" w:rsidR="006E40C9" w:rsidRDefault="006E40C9">
            <w:pPr>
              <w:pStyle w:val="MeasureTableTextLeftAligned"/>
            </w:pPr>
            <w:r>
              <w:t>Introduced before 1985</w:t>
            </w:r>
          </w:p>
        </w:tc>
        <w:tc>
          <w:tcPr>
            <w:tcW w:w="1500" w:type="dxa"/>
            <w:gridSpan w:val="2"/>
            <w:tcBorders>
              <w:top w:val="nil"/>
              <w:bottom w:val="nil"/>
            </w:tcBorders>
          </w:tcPr>
          <w:p w14:paraId="080CD819" w14:textId="77777777" w:rsidR="006E40C9" w:rsidRPr="00F32057" w:rsidRDefault="006E40C9">
            <w:pPr>
              <w:pStyle w:val="MeasureTableTextItalic"/>
            </w:pPr>
            <w:r>
              <w:t>Expiry date:</w:t>
            </w:r>
          </w:p>
        </w:tc>
        <w:tc>
          <w:tcPr>
            <w:tcW w:w="1124" w:type="dxa"/>
            <w:gridSpan w:val="2"/>
            <w:tcBorders>
              <w:top w:val="nil"/>
              <w:bottom w:val="nil"/>
            </w:tcBorders>
          </w:tcPr>
          <w:p w14:paraId="6FCAF160" w14:textId="77777777" w:rsidR="006E40C9" w:rsidRPr="00F32057" w:rsidRDefault="006E40C9">
            <w:pPr>
              <w:pStyle w:val="MeasureTableTextLeftAligned"/>
            </w:pPr>
          </w:p>
        </w:tc>
      </w:tr>
      <w:tr w:rsidR="006E40C9" w14:paraId="0C8445A3" w14:textId="77777777">
        <w:trPr>
          <w:cantSplit/>
          <w:jc w:val="center"/>
        </w:trPr>
        <w:tc>
          <w:tcPr>
            <w:tcW w:w="1934" w:type="dxa"/>
            <w:gridSpan w:val="2"/>
            <w:tcBorders>
              <w:top w:val="nil"/>
            </w:tcBorders>
          </w:tcPr>
          <w:p w14:paraId="6A0AEE46" w14:textId="77777777" w:rsidR="006E40C9" w:rsidRDefault="006E40C9">
            <w:pPr>
              <w:pStyle w:val="MeasureTableTextItalic"/>
            </w:pPr>
            <w:r>
              <w:t>Legislative reference:</w:t>
            </w:r>
          </w:p>
        </w:tc>
        <w:tc>
          <w:tcPr>
            <w:tcW w:w="5803" w:type="dxa"/>
            <w:gridSpan w:val="8"/>
            <w:tcBorders>
              <w:top w:val="nil"/>
            </w:tcBorders>
          </w:tcPr>
          <w:p w14:paraId="4063EAB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82 of the </w:t>
            </w:r>
            <w:r>
              <w:rPr>
                <w:rFonts w:ascii="Arial" w:hAnsi="Arial" w:cs="Arial"/>
                <w:i/>
                <w:iCs/>
                <w:color w:val="000000"/>
                <w:sz w:val="16"/>
                <w:szCs w:val="16"/>
              </w:rPr>
              <w:t>Income Tax (Transitional Provisions) Act 1997</w:t>
            </w:r>
          </w:p>
          <w:p w14:paraId="54304EE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82 of the </w:t>
            </w:r>
            <w:r>
              <w:rPr>
                <w:rFonts w:ascii="Arial" w:hAnsi="Arial" w:cs="Arial"/>
                <w:i/>
                <w:iCs/>
                <w:color w:val="000000"/>
                <w:sz w:val="16"/>
                <w:szCs w:val="16"/>
              </w:rPr>
              <w:t>Income Tax Assessment Act 1997</w:t>
            </w:r>
          </w:p>
          <w:p w14:paraId="5C50381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83-C of the </w:t>
            </w:r>
            <w:r>
              <w:rPr>
                <w:rFonts w:ascii="Arial" w:hAnsi="Arial" w:cs="Arial"/>
                <w:i/>
                <w:iCs/>
                <w:color w:val="000000"/>
                <w:sz w:val="16"/>
                <w:szCs w:val="16"/>
              </w:rPr>
              <w:t>Income Tax Assessment Act 1997</w:t>
            </w:r>
          </w:p>
        </w:tc>
      </w:tr>
    </w:tbl>
    <w:p w14:paraId="4970470B" w14:textId="77777777" w:rsidR="006E40C9" w:rsidRPr="00540040" w:rsidRDefault="006E40C9" w:rsidP="006E40C9">
      <w:pPr>
        <w:pStyle w:val="MeasureTableHeading"/>
      </w:pPr>
    </w:p>
    <w:p w14:paraId="4A97E646" w14:textId="77777777" w:rsidR="00B14A4C" w:rsidRDefault="00B14A4C">
      <w:pPr>
        <w:spacing w:after="0" w:line="240" w:lineRule="auto"/>
        <w:jc w:val="left"/>
      </w:pPr>
      <w:r>
        <w:br w:type="page"/>
      </w:r>
    </w:p>
    <w:p w14:paraId="7362601D" w14:textId="0AF7417C" w:rsidR="006E40C9" w:rsidRPr="00B14A4C" w:rsidRDefault="006E40C9" w:rsidP="00B14A4C">
      <w:r w:rsidRPr="00B14A4C">
        <w:t>The benchmark tax treatment is that income tax is paid on the taxable income of a taxpayer for an income year at their applicable rate of tax. However, non</w:t>
      </w:r>
      <w:r w:rsidRPr="00B14A4C">
        <w:noBreakHyphen/>
        <w:t xml:space="preserve">superannuation termination payments, known as employment termination payments (ETPs), receive concessional tax treatment dependent on the circumstances of the taxpayer. </w:t>
      </w:r>
    </w:p>
    <w:p w14:paraId="200E20B0" w14:textId="77777777" w:rsidR="006E40C9" w:rsidRPr="00B14A4C" w:rsidRDefault="006E40C9" w:rsidP="00B14A4C">
      <w:r w:rsidRPr="00B14A4C">
        <w:t>From 1 July 2019, the age below which persons can receive genuine redundancy and early retirement scheme payments was increased from 65 years of age to align with the Age Pension qualifying age. Genuine redundancy and early retirement scheme payments are tax</w:t>
      </w:r>
      <w:r w:rsidRPr="00B14A4C">
        <w:noBreakHyphen/>
        <w:t>free up to a limit, and amounts in excess of this limit are taxed as an ETP.</w:t>
      </w:r>
      <w:r w:rsidRPr="00B14A4C">
        <w:fldChar w:fldCharType="begin"/>
      </w:r>
      <w:r w:rsidRPr="00B14A4C">
        <w:instrText xml:space="preserve"> XE "Non</w:instrText>
      </w:r>
      <w:r w:rsidRPr="00B14A4C">
        <w:noBreakHyphen/>
        <w:instrText xml:space="preserve">superannuation termination payments" </w:instrText>
      </w:r>
      <w:r w:rsidRPr="00B14A4C">
        <w:fldChar w:fldCharType="end"/>
      </w:r>
      <w:r w:rsidRPr="00B14A4C">
        <w:fldChar w:fldCharType="begin"/>
      </w:r>
      <w:r w:rsidRPr="00B14A4C">
        <w:instrText xml:space="preserve"> XE "Employment termination payments" </w:instrText>
      </w:r>
      <w:r w:rsidRPr="00B14A4C">
        <w:fldChar w:fldCharType="end"/>
      </w:r>
      <w:r w:rsidRPr="00B14A4C">
        <w:t xml:space="preserve">   </w:t>
      </w:r>
      <w:r w:rsidRPr="00B14A4C">
        <w:fldChar w:fldCharType="begin"/>
      </w:r>
      <w:r w:rsidRPr="00B14A4C">
        <w:instrText xml:space="preserve"> XE "Redundancy payments" </w:instrText>
      </w:r>
      <w:r w:rsidRPr="00B14A4C">
        <w:fldChar w:fldCharType="end"/>
      </w:r>
      <w:r w:rsidRPr="00B14A4C">
        <w:t xml:space="preserve">   </w:t>
      </w:r>
    </w:p>
    <w:p w14:paraId="5908C5FF" w14:textId="77777777" w:rsidR="006E40C9" w:rsidRDefault="006E40C9" w:rsidP="0003254D">
      <w:pPr>
        <w:pStyle w:val="Heading4"/>
      </w:pPr>
      <w:r>
        <w:t>A25</w:t>
      </w:r>
      <w:r>
        <w:tab/>
        <w:t>Concessional taxation of unused long service leave accumulated prior to 16 August 1978</w:t>
      </w:r>
    </w:p>
    <w:p w14:paraId="40A09B1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30B8D6" w14:textId="77777777">
        <w:trPr>
          <w:cantSplit/>
          <w:jc w:val="center"/>
        </w:trPr>
        <w:tc>
          <w:tcPr>
            <w:tcW w:w="967" w:type="dxa"/>
            <w:tcBorders>
              <w:top w:val="single" w:sz="2" w:space="0" w:color="auto"/>
              <w:bottom w:val="single" w:sz="2" w:space="0" w:color="auto"/>
            </w:tcBorders>
          </w:tcPr>
          <w:p w14:paraId="6C6B41F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CF3EF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AF11B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D48B6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99ED3E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34200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BDA7F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DE0F555" w14:textId="77777777" w:rsidR="006E40C9" w:rsidRDefault="006E40C9">
            <w:pPr>
              <w:pStyle w:val="MeasureTableTextRightAligned"/>
            </w:pPr>
            <w:r>
              <w:t>2027-28</w:t>
            </w:r>
          </w:p>
        </w:tc>
      </w:tr>
      <w:tr w:rsidR="006E40C9" w14:paraId="2AB1999A" w14:textId="77777777">
        <w:trPr>
          <w:cantSplit/>
          <w:jc w:val="center"/>
        </w:trPr>
        <w:tc>
          <w:tcPr>
            <w:tcW w:w="967" w:type="dxa"/>
            <w:tcBorders>
              <w:top w:val="single" w:sz="2" w:space="0" w:color="auto"/>
              <w:bottom w:val="single" w:sz="2" w:space="0" w:color="auto"/>
            </w:tcBorders>
          </w:tcPr>
          <w:p w14:paraId="6A2FC66D" w14:textId="77777777" w:rsidR="006E40C9" w:rsidRDefault="006E40C9">
            <w:pPr>
              <w:pStyle w:val="MeasureTableTextRightAligned"/>
            </w:pPr>
            <w:r>
              <w:t>17</w:t>
            </w:r>
          </w:p>
        </w:tc>
        <w:tc>
          <w:tcPr>
            <w:tcW w:w="967" w:type="dxa"/>
            <w:tcBorders>
              <w:top w:val="single" w:sz="2" w:space="0" w:color="auto"/>
              <w:bottom w:val="single" w:sz="2" w:space="0" w:color="auto"/>
            </w:tcBorders>
          </w:tcPr>
          <w:p w14:paraId="45DC37E3"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2C58D5B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670B5D37" w14:textId="77777777" w:rsidR="006E40C9" w:rsidRDefault="006E40C9">
            <w:pPr>
              <w:pStyle w:val="MeasureTableTextRightAligned"/>
            </w:pPr>
            <w:r>
              <w:t>10</w:t>
            </w:r>
          </w:p>
        </w:tc>
        <w:tc>
          <w:tcPr>
            <w:tcW w:w="967" w:type="dxa"/>
            <w:tcBorders>
              <w:top w:val="single" w:sz="2" w:space="0" w:color="auto"/>
              <w:bottom w:val="single" w:sz="2" w:space="0" w:color="auto"/>
            </w:tcBorders>
            <w:vAlign w:val="bottom"/>
          </w:tcPr>
          <w:p w14:paraId="3A03E65D"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42A96064"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76E3B7AA" w14:textId="77777777" w:rsidR="006E40C9" w:rsidRDefault="006E40C9">
            <w:pPr>
              <w:pStyle w:val="MeasureTableTextRightAligned"/>
            </w:pPr>
            <w:r>
              <w:t>5</w:t>
            </w:r>
          </w:p>
        </w:tc>
        <w:tc>
          <w:tcPr>
            <w:tcW w:w="968" w:type="dxa"/>
            <w:tcBorders>
              <w:top w:val="single" w:sz="2" w:space="0" w:color="auto"/>
              <w:bottom w:val="single" w:sz="2" w:space="0" w:color="auto"/>
            </w:tcBorders>
            <w:vAlign w:val="bottom"/>
          </w:tcPr>
          <w:p w14:paraId="1909DEB6" w14:textId="77777777" w:rsidR="006E40C9" w:rsidRDefault="006E40C9">
            <w:pPr>
              <w:pStyle w:val="MeasureTableTextRightAligned"/>
            </w:pPr>
            <w:r>
              <w:t>5</w:t>
            </w:r>
          </w:p>
        </w:tc>
      </w:tr>
      <w:tr w:rsidR="006E40C9" w14:paraId="34A1D61A" w14:textId="77777777">
        <w:trPr>
          <w:cantSplit/>
          <w:jc w:val="center"/>
        </w:trPr>
        <w:tc>
          <w:tcPr>
            <w:tcW w:w="1934" w:type="dxa"/>
            <w:gridSpan w:val="2"/>
            <w:tcBorders>
              <w:top w:val="single" w:sz="2" w:space="0" w:color="auto"/>
              <w:bottom w:val="nil"/>
            </w:tcBorders>
          </w:tcPr>
          <w:p w14:paraId="7A5E663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284FBF8"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2C3096D" w14:textId="323F9FD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4D5424" w14:textId="77777777" w:rsidR="006E40C9" w:rsidRDefault="006E40C9">
            <w:pPr>
              <w:pStyle w:val="MeasureTableTextLeftAligned"/>
            </w:pPr>
            <w:r>
              <w:t>A25</w:t>
            </w:r>
          </w:p>
        </w:tc>
      </w:tr>
      <w:tr w:rsidR="006E40C9" w14:paraId="6F3EE49C" w14:textId="77777777">
        <w:trPr>
          <w:cantSplit/>
          <w:jc w:val="center"/>
        </w:trPr>
        <w:tc>
          <w:tcPr>
            <w:tcW w:w="1934" w:type="dxa"/>
            <w:gridSpan w:val="2"/>
            <w:tcBorders>
              <w:top w:val="nil"/>
              <w:bottom w:val="nil"/>
            </w:tcBorders>
          </w:tcPr>
          <w:p w14:paraId="3F9F61F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7CFA65" w14:textId="5486550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359ED619" w14:textId="77777777" w:rsidR="006E40C9" w:rsidRDefault="006E40C9">
            <w:pPr>
              <w:pStyle w:val="MeasureTableTextItalic"/>
            </w:pPr>
          </w:p>
        </w:tc>
        <w:tc>
          <w:tcPr>
            <w:tcW w:w="1124" w:type="dxa"/>
            <w:gridSpan w:val="2"/>
            <w:tcBorders>
              <w:top w:val="nil"/>
              <w:bottom w:val="nil"/>
            </w:tcBorders>
          </w:tcPr>
          <w:p w14:paraId="29885C05" w14:textId="77777777" w:rsidR="006E40C9" w:rsidRDefault="006E40C9">
            <w:pPr>
              <w:pStyle w:val="MeasureTableTextLeftAligned"/>
            </w:pPr>
          </w:p>
        </w:tc>
      </w:tr>
      <w:tr w:rsidR="006E40C9" w14:paraId="6E2E9FFF" w14:textId="77777777">
        <w:trPr>
          <w:cantSplit/>
          <w:jc w:val="center"/>
        </w:trPr>
        <w:tc>
          <w:tcPr>
            <w:tcW w:w="1934" w:type="dxa"/>
            <w:gridSpan w:val="2"/>
            <w:tcBorders>
              <w:top w:val="nil"/>
              <w:bottom w:val="nil"/>
            </w:tcBorders>
          </w:tcPr>
          <w:p w14:paraId="5AD528BC" w14:textId="77777777" w:rsidR="006E40C9" w:rsidRDefault="006E40C9">
            <w:pPr>
              <w:pStyle w:val="MeasureTableTextItalic"/>
            </w:pPr>
            <w:r>
              <w:t>Commencement date:</w:t>
            </w:r>
          </w:p>
        </w:tc>
        <w:tc>
          <w:tcPr>
            <w:tcW w:w="3179" w:type="dxa"/>
            <w:gridSpan w:val="4"/>
            <w:tcBorders>
              <w:top w:val="nil"/>
              <w:bottom w:val="nil"/>
            </w:tcBorders>
          </w:tcPr>
          <w:p w14:paraId="3E889C13" w14:textId="77777777" w:rsidR="006E40C9" w:rsidRDefault="006E40C9">
            <w:pPr>
              <w:pStyle w:val="MeasureTableTextLeftAligned"/>
            </w:pPr>
            <w:r>
              <w:t>Introduced before 1985</w:t>
            </w:r>
          </w:p>
        </w:tc>
        <w:tc>
          <w:tcPr>
            <w:tcW w:w="1500" w:type="dxa"/>
            <w:gridSpan w:val="2"/>
            <w:tcBorders>
              <w:top w:val="nil"/>
              <w:bottom w:val="nil"/>
            </w:tcBorders>
          </w:tcPr>
          <w:p w14:paraId="19D84E56" w14:textId="77777777" w:rsidR="006E40C9" w:rsidRPr="00F32057" w:rsidRDefault="006E40C9">
            <w:pPr>
              <w:pStyle w:val="MeasureTableTextItalic"/>
            </w:pPr>
            <w:r>
              <w:t>Expiry date:</w:t>
            </w:r>
          </w:p>
        </w:tc>
        <w:tc>
          <w:tcPr>
            <w:tcW w:w="1124" w:type="dxa"/>
            <w:gridSpan w:val="2"/>
            <w:tcBorders>
              <w:top w:val="nil"/>
              <w:bottom w:val="nil"/>
            </w:tcBorders>
          </w:tcPr>
          <w:p w14:paraId="1A41ED05" w14:textId="77777777" w:rsidR="006E40C9" w:rsidRPr="00F32057" w:rsidRDefault="006E40C9">
            <w:pPr>
              <w:pStyle w:val="MeasureTableTextLeftAligned"/>
            </w:pPr>
          </w:p>
        </w:tc>
      </w:tr>
      <w:tr w:rsidR="006E40C9" w14:paraId="63EAD643" w14:textId="77777777">
        <w:trPr>
          <w:cantSplit/>
          <w:jc w:val="center"/>
        </w:trPr>
        <w:tc>
          <w:tcPr>
            <w:tcW w:w="1934" w:type="dxa"/>
            <w:gridSpan w:val="2"/>
            <w:tcBorders>
              <w:top w:val="nil"/>
            </w:tcBorders>
          </w:tcPr>
          <w:p w14:paraId="0DBCE8E9" w14:textId="77777777" w:rsidR="006E40C9" w:rsidRDefault="006E40C9">
            <w:pPr>
              <w:pStyle w:val="MeasureTableTextItalic"/>
            </w:pPr>
            <w:r>
              <w:t>Legislative reference:</w:t>
            </w:r>
          </w:p>
        </w:tc>
        <w:tc>
          <w:tcPr>
            <w:tcW w:w="5803" w:type="dxa"/>
            <w:gridSpan w:val="8"/>
            <w:tcBorders>
              <w:top w:val="nil"/>
            </w:tcBorders>
          </w:tcPr>
          <w:p w14:paraId="233FDC1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83-B of the </w:t>
            </w:r>
            <w:r>
              <w:rPr>
                <w:rFonts w:ascii="Arial" w:hAnsi="Arial" w:cs="Arial"/>
                <w:i/>
                <w:iCs/>
                <w:color w:val="000000"/>
                <w:sz w:val="16"/>
                <w:szCs w:val="16"/>
              </w:rPr>
              <w:t>Income Tax Assessment Act 1997</w:t>
            </w:r>
          </w:p>
        </w:tc>
      </w:tr>
    </w:tbl>
    <w:p w14:paraId="432AB0DD" w14:textId="77777777" w:rsidR="006E40C9" w:rsidRPr="00540040" w:rsidRDefault="006E40C9" w:rsidP="006E40C9">
      <w:pPr>
        <w:pStyle w:val="MeasureTableHeading"/>
      </w:pPr>
    </w:p>
    <w:p w14:paraId="57CFF709" w14:textId="0AB3AD1B" w:rsidR="006E40C9" w:rsidRDefault="006E40C9" w:rsidP="006E40C9">
      <w:r>
        <w:t>The benchmark tax treatment is that income tax is paid on the taxable income of a taxpayer for an income year at their applicable rate of tax. However, a reduced tax rate applies to lump sum payments for unused long service leave</w:t>
      </w:r>
      <w:r>
        <w:fldChar w:fldCharType="begin"/>
      </w:r>
      <w:r>
        <w:instrText xml:space="preserve"> XE "Unused long service or annual leave" </w:instrText>
      </w:r>
      <w:r>
        <w:fldChar w:fldCharType="end"/>
      </w:r>
      <w:r>
        <w:t xml:space="preserve"> which accrued prior to 16 August 1978. 5 per cent of such payments is included in the taxpayer’s assessable income and is subject to tax at marginal rates.</w:t>
      </w:r>
    </w:p>
    <w:p w14:paraId="6044EB8F" w14:textId="77777777" w:rsidR="006E40C9" w:rsidRDefault="006E40C9" w:rsidP="0003254D">
      <w:pPr>
        <w:pStyle w:val="Heading4"/>
      </w:pPr>
      <w:r>
        <w:t>A26</w:t>
      </w:r>
      <w:r>
        <w:tab/>
        <w:t>Exemption for National Disability Insurance Scheme amounts</w:t>
      </w:r>
    </w:p>
    <w:p w14:paraId="4F0DBE3D"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080650" w14:textId="77777777">
        <w:trPr>
          <w:cantSplit/>
          <w:jc w:val="center"/>
        </w:trPr>
        <w:tc>
          <w:tcPr>
            <w:tcW w:w="967" w:type="dxa"/>
            <w:tcBorders>
              <w:top w:val="single" w:sz="2" w:space="0" w:color="auto"/>
              <w:bottom w:val="single" w:sz="2" w:space="0" w:color="auto"/>
            </w:tcBorders>
          </w:tcPr>
          <w:p w14:paraId="5D481C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7D1B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8B5D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17C121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CF83B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6FD62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B47E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4707A13" w14:textId="77777777" w:rsidR="006E40C9" w:rsidRDefault="006E40C9">
            <w:pPr>
              <w:pStyle w:val="MeasureTableTextRightAligned"/>
            </w:pPr>
            <w:r>
              <w:t>2027-28</w:t>
            </w:r>
          </w:p>
        </w:tc>
      </w:tr>
      <w:tr w:rsidR="006E40C9" w14:paraId="539AE85B" w14:textId="77777777">
        <w:trPr>
          <w:cantSplit/>
          <w:jc w:val="center"/>
        </w:trPr>
        <w:tc>
          <w:tcPr>
            <w:tcW w:w="967" w:type="dxa"/>
            <w:tcBorders>
              <w:top w:val="single" w:sz="2" w:space="0" w:color="auto"/>
              <w:bottom w:val="single" w:sz="2" w:space="0" w:color="auto"/>
            </w:tcBorders>
          </w:tcPr>
          <w:p w14:paraId="20E71BFB" w14:textId="77777777" w:rsidR="006E40C9" w:rsidRDefault="006E40C9">
            <w:pPr>
              <w:pStyle w:val="MeasureTableTextRightAligned"/>
            </w:pPr>
            <w:r>
              <w:t>4,780</w:t>
            </w:r>
          </w:p>
        </w:tc>
        <w:tc>
          <w:tcPr>
            <w:tcW w:w="967" w:type="dxa"/>
            <w:tcBorders>
              <w:top w:val="single" w:sz="2" w:space="0" w:color="auto"/>
              <w:bottom w:val="single" w:sz="2" w:space="0" w:color="auto"/>
            </w:tcBorders>
          </w:tcPr>
          <w:p w14:paraId="5D293BD5" w14:textId="77777777" w:rsidR="006E40C9" w:rsidRDefault="006E40C9">
            <w:pPr>
              <w:pStyle w:val="MeasureTableTextRightAligned"/>
            </w:pPr>
            <w:r>
              <w:t>6,100</w:t>
            </w:r>
          </w:p>
        </w:tc>
        <w:tc>
          <w:tcPr>
            <w:tcW w:w="967" w:type="dxa"/>
            <w:tcBorders>
              <w:top w:val="single" w:sz="2" w:space="0" w:color="auto"/>
              <w:bottom w:val="single" w:sz="2" w:space="0" w:color="auto"/>
            </w:tcBorders>
            <w:vAlign w:val="bottom"/>
          </w:tcPr>
          <w:p w14:paraId="11E93771" w14:textId="77777777" w:rsidR="006E40C9" w:rsidRDefault="006E40C9">
            <w:pPr>
              <w:pStyle w:val="MeasureTableTextRightAligned"/>
            </w:pPr>
            <w:r>
              <w:t>8,330</w:t>
            </w:r>
          </w:p>
        </w:tc>
        <w:tc>
          <w:tcPr>
            <w:tcW w:w="967" w:type="dxa"/>
            <w:tcBorders>
              <w:top w:val="single" w:sz="2" w:space="0" w:color="auto"/>
              <w:bottom w:val="single" w:sz="2" w:space="0" w:color="auto"/>
            </w:tcBorders>
            <w:vAlign w:val="bottom"/>
          </w:tcPr>
          <w:p w14:paraId="3B00B475" w14:textId="77777777" w:rsidR="006E40C9" w:rsidRDefault="006E40C9">
            <w:pPr>
              <w:pStyle w:val="MeasureTableTextRightAligned"/>
            </w:pPr>
            <w:r>
              <w:t>10,430</w:t>
            </w:r>
          </w:p>
        </w:tc>
        <w:tc>
          <w:tcPr>
            <w:tcW w:w="967" w:type="dxa"/>
            <w:tcBorders>
              <w:top w:val="single" w:sz="2" w:space="0" w:color="auto"/>
              <w:bottom w:val="single" w:sz="2" w:space="0" w:color="auto"/>
            </w:tcBorders>
            <w:vAlign w:val="bottom"/>
          </w:tcPr>
          <w:p w14:paraId="2517AE25" w14:textId="77777777" w:rsidR="006E40C9" w:rsidRDefault="006E40C9">
            <w:pPr>
              <w:pStyle w:val="MeasureTableTextRightAligned"/>
            </w:pPr>
            <w:r>
              <w:t>11,420</w:t>
            </w:r>
          </w:p>
        </w:tc>
        <w:tc>
          <w:tcPr>
            <w:tcW w:w="967" w:type="dxa"/>
            <w:gridSpan w:val="2"/>
            <w:tcBorders>
              <w:top w:val="single" w:sz="2" w:space="0" w:color="auto"/>
              <w:bottom w:val="single" w:sz="2" w:space="0" w:color="auto"/>
            </w:tcBorders>
            <w:vAlign w:val="bottom"/>
          </w:tcPr>
          <w:p w14:paraId="1880796A" w14:textId="77777777" w:rsidR="006E40C9" w:rsidRDefault="006E40C9">
            <w:pPr>
              <w:pStyle w:val="MeasureTableTextRightAligned"/>
            </w:pPr>
            <w:r>
              <w:t>12,500</w:t>
            </w:r>
          </w:p>
        </w:tc>
        <w:tc>
          <w:tcPr>
            <w:tcW w:w="967" w:type="dxa"/>
            <w:gridSpan w:val="2"/>
            <w:tcBorders>
              <w:top w:val="single" w:sz="2" w:space="0" w:color="auto"/>
              <w:bottom w:val="single" w:sz="2" w:space="0" w:color="auto"/>
            </w:tcBorders>
            <w:vAlign w:val="bottom"/>
          </w:tcPr>
          <w:p w14:paraId="13BEA549" w14:textId="77777777" w:rsidR="006E40C9" w:rsidRDefault="006E40C9">
            <w:pPr>
              <w:pStyle w:val="MeasureTableTextRightAligned"/>
            </w:pPr>
            <w:r>
              <w:t>13,410</w:t>
            </w:r>
          </w:p>
        </w:tc>
        <w:tc>
          <w:tcPr>
            <w:tcW w:w="968" w:type="dxa"/>
            <w:tcBorders>
              <w:top w:val="single" w:sz="2" w:space="0" w:color="auto"/>
              <w:bottom w:val="single" w:sz="2" w:space="0" w:color="auto"/>
            </w:tcBorders>
            <w:vAlign w:val="bottom"/>
          </w:tcPr>
          <w:p w14:paraId="13D7A9D4" w14:textId="77777777" w:rsidR="006E40C9" w:rsidRDefault="006E40C9">
            <w:pPr>
              <w:pStyle w:val="MeasureTableTextRightAligned"/>
            </w:pPr>
            <w:r>
              <w:t>14,590</w:t>
            </w:r>
          </w:p>
        </w:tc>
      </w:tr>
      <w:tr w:rsidR="006E40C9" w14:paraId="668323BD" w14:textId="77777777">
        <w:trPr>
          <w:cantSplit/>
          <w:jc w:val="center"/>
        </w:trPr>
        <w:tc>
          <w:tcPr>
            <w:tcW w:w="1934" w:type="dxa"/>
            <w:gridSpan w:val="2"/>
            <w:tcBorders>
              <w:top w:val="single" w:sz="2" w:space="0" w:color="auto"/>
              <w:bottom w:val="nil"/>
            </w:tcBorders>
          </w:tcPr>
          <w:p w14:paraId="78D0C9B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D674F2" w14:textId="77777777" w:rsidR="006E40C9" w:rsidRDefault="006E40C9">
            <w:pPr>
              <w:pStyle w:val="MeasureTableTextLeftAligned"/>
            </w:pPr>
            <w:r>
              <w:t>Exemption</w:t>
            </w:r>
          </w:p>
        </w:tc>
        <w:tc>
          <w:tcPr>
            <w:tcW w:w="1500" w:type="dxa"/>
            <w:gridSpan w:val="2"/>
            <w:tcBorders>
              <w:top w:val="single" w:sz="2" w:space="0" w:color="auto"/>
              <w:bottom w:val="nil"/>
            </w:tcBorders>
          </w:tcPr>
          <w:p w14:paraId="4A516C9D" w14:textId="6074AC8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C090E3" w14:textId="77777777" w:rsidR="006E40C9" w:rsidRDefault="006E40C9">
            <w:pPr>
              <w:pStyle w:val="MeasureTableTextLeftAligned"/>
            </w:pPr>
            <w:r>
              <w:t>A26</w:t>
            </w:r>
          </w:p>
        </w:tc>
      </w:tr>
      <w:tr w:rsidR="006E40C9" w14:paraId="01804CE0" w14:textId="77777777">
        <w:trPr>
          <w:cantSplit/>
          <w:jc w:val="center"/>
        </w:trPr>
        <w:tc>
          <w:tcPr>
            <w:tcW w:w="1934" w:type="dxa"/>
            <w:gridSpan w:val="2"/>
            <w:tcBorders>
              <w:top w:val="nil"/>
              <w:bottom w:val="nil"/>
            </w:tcBorders>
          </w:tcPr>
          <w:p w14:paraId="4FFEEA3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6D2B89" w14:textId="77777777" w:rsidR="006E40C9" w:rsidRPr="00584CA7" w:rsidRDefault="006E40C9">
            <w:pPr>
              <w:pStyle w:val="MeasureTableTextLeftAligned"/>
            </w:pPr>
            <w:r>
              <w:t>Low</w:t>
            </w:r>
          </w:p>
        </w:tc>
        <w:tc>
          <w:tcPr>
            <w:tcW w:w="1500" w:type="dxa"/>
            <w:gridSpan w:val="2"/>
            <w:tcBorders>
              <w:top w:val="nil"/>
              <w:bottom w:val="nil"/>
            </w:tcBorders>
          </w:tcPr>
          <w:p w14:paraId="542BE688" w14:textId="77777777" w:rsidR="006E40C9" w:rsidRDefault="006E40C9">
            <w:pPr>
              <w:pStyle w:val="MeasureTableTextItalic"/>
            </w:pPr>
          </w:p>
        </w:tc>
        <w:tc>
          <w:tcPr>
            <w:tcW w:w="1124" w:type="dxa"/>
            <w:gridSpan w:val="2"/>
            <w:tcBorders>
              <w:top w:val="nil"/>
              <w:bottom w:val="nil"/>
            </w:tcBorders>
          </w:tcPr>
          <w:p w14:paraId="3337DF5A" w14:textId="77777777" w:rsidR="006E40C9" w:rsidRDefault="006E40C9">
            <w:pPr>
              <w:pStyle w:val="MeasureTableTextLeftAligned"/>
            </w:pPr>
          </w:p>
        </w:tc>
      </w:tr>
      <w:tr w:rsidR="006E40C9" w14:paraId="7AC817AB" w14:textId="77777777">
        <w:trPr>
          <w:cantSplit/>
          <w:jc w:val="center"/>
        </w:trPr>
        <w:tc>
          <w:tcPr>
            <w:tcW w:w="1934" w:type="dxa"/>
            <w:gridSpan w:val="2"/>
            <w:tcBorders>
              <w:top w:val="nil"/>
              <w:bottom w:val="nil"/>
            </w:tcBorders>
          </w:tcPr>
          <w:p w14:paraId="3211E44C" w14:textId="77777777" w:rsidR="006E40C9" w:rsidRDefault="006E40C9">
            <w:pPr>
              <w:pStyle w:val="MeasureTableTextItalic"/>
            </w:pPr>
            <w:r>
              <w:t>Commencement date:</w:t>
            </w:r>
          </w:p>
        </w:tc>
        <w:tc>
          <w:tcPr>
            <w:tcW w:w="3179" w:type="dxa"/>
            <w:gridSpan w:val="4"/>
            <w:tcBorders>
              <w:top w:val="nil"/>
              <w:bottom w:val="nil"/>
            </w:tcBorders>
          </w:tcPr>
          <w:p w14:paraId="737016EB" w14:textId="77777777" w:rsidR="006E40C9" w:rsidRDefault="006E40C9">
            <w:pPr>
              <w:pStyle w:val="MeasureTableTextLeftAligned"/>
            </w:pPr>
            <w:r>
              <w:t>28 May 2013</w:t>
            </w:r>
          </w:p>
        </w:tc>
        <w:tc>
          <w:tcPr>
            <w:tcW w:w="1500" w:type="dxa"/>
            <w:gridSpan w:val="2"/>
            <w:tcBorders>
              <w:top w:val="nil"/>
              <w:bottom w:val="nil"/>
            </w:tcBorders>
          </w:tcPr>
          <w:p w14:paraId="2E2C1C83" w14:textId="77777777" w:rsidR="006E40C9" w:rsidRPr="00F32057" w:rsidRDefault="006E40C9">
            <w:pPr>
              <w:pStyle w:val="MeasureTableTextItalic"/>
            </w:pPr>
            <w:r>
              <w:t>Expiry date:</w:t>
            </w:r>
          </w:p>
        </w:tc>
        <w:tc>
          <w:tcPr>
            <w:tcW w:w="1124" w:type="dxa"/>
            <w:gridSpan w:val="2"/>
            <w:tcBorders>
              <w:top w:val="nil"/>
              <w:bottom w:val="nil"/>
            </w:tcBorders>
          </w:tcPr>
          <w:p w14:paraId="6D4E9572" w14:textId="77777777" w:rsidR="006E40C9" w:rsidRPr="00F32057" w:rsidRDefault="006E40C9">
            <w:pPr>
              <w:pStyle w:val="MeasureTableTextLeftAligned"/>
            </w:pPr>
          </w:p>
        </w:tc>
      </w:tr>
      <w:tr w:rsidR="006E40C9" w14:paraId="1D6E0C99" w14:textId="77777777">
        <w:trPr>
          <w:cantSplit/>
          <w:jc w:val="center"/>
        </w:trPr>
        <w:tc>
          <w:tcPr>
            <w:tcW w:w="1934" w:type="dxa"/>
            <w:gridSpan w:val="2"/>
            <w:tcBorders>
              <w:top w:val="nil"/>
            </w:tcBorders>
          </w:tcPr>
          <w:p w14:paraId="6940F2A1" w14:textId="77777777" w:rsidR="006E40C9" w:rsidRDefault="006E40C9">
            <w:pPr>
              <w:pStyle w:val="MeasureTableTextItalic"/>
            </w:pPr>
            <w:r>
              <w:t>Legislative reference:</w:t>
            </w:r>
          </w:p>
        </w:tc>
        <w:tc>
          <w:tcPr>
            <w:tcW w:w="5803" w:type="dxa"/>
            <w:gridSpan w:val="8"/>
            <w:tcBorders>
              <w:top w:val="nil"/>
            </w:tcBorders>
          </w:tcPr>
          <w:p w14:paraId="7BA8FF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26-97, 40-235, and 52-180 of the </w:t>
            </w:r>
            <w:r>
              <w:rPr>
                <w:rFonts w:ascii="Arial" w:hAnsi="Arial" w:cs="Arial"/>
                <w:i/>
                <w:iCs/>
                <w:color w:val="000000"/>
                <w:sz w:val="16"/>
                <w:szCs w:val="16"/>
              </w:rPr>
              <w:t xml:space="preserve">Income Tax Assessment Act 1997 </w:t>
            </w:r>
          </w:p>
        </w:tc>
      </w:tr>
    </w:tbl>
    <w:p w14:paraId="21E60EBE" w14:textId="77777777" w:rsidR="006E40C9" w:rsidRPr="00540040" w:rsidRDefault="006E40C9" w:rsidP="006E40C9">
      <w:pPr>
        <w:pStyle w:val="MeasureTableHeading"/>
      </w:pPr>
    </w:p>
    <w:p w14:paraId="11D05B9A" w14:textId="77777777" w:rsidR="006E40C9" w:rsidRDefault="006E40C9" w:rsidP="006E40C9">
      <w:r>
        <w:t>Under the benchmark, government payments to individuals are included as part of taxable income; income tax is paid on the taxable income of a taxpayer for an income year at their applicable rate. However, payments and benefits provided under the National Disability Insurance Scheme (NDIS), whether directly or otherwise, to NDIS participants for approved reasonable and necessary supports are exempt from income tax.</w:t>
      </w:r>
      <w:r>
        <w:fldChar w:fldCharType="begin"/>
      </w:r>
      <w:r>
        <w:instrText xml:space="preserve"> XE "National Disability Insurance Scheme" </w:instrText>
      </w:r>
      <w:r>
        <w:fldChar w:fldCharType="end"/>
      </w:r>
    </w:p>
    <w:p w14:paraId="0156EEDA" w14:textId="77777777" w:rsidR="006E40C9" w:rsidRDefault="006E40C9" w:rsidP="0003254D">
      <w:pPr>
        <w:pStyle w:val="Heading4"/>
      </w:pPr>
      <w:r>
        <w:t>A27</w:t>
      </w:r>
      <w:r>
        <w:tab/>
        <w:t>Exemption of Child Care Assistance payments</w:t>
      </w:r>
    </w:p>
    <w:p w14:paraId="7F15D4BE"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01DA7F" w14:textId="77777777">
        <w:trPr>
          <w:cantSplit/>
          <w:jc w:val="center"/>
        </w:trPr>
        <w:tc>
          <w:tcPr>
            <w:tcW w:w="967" w:type="dxa"/>
            <w:tcBorders>
              <w:top w:val="single" w:sz="2" w:space="0" w:color="auto"/>
              <w:bottom w:val="single" w:sz="2" w:space="0" w:color="auto"/>
            </w:tcBorders>
          </w:tcPr>
          <w:p w14:paraId="038F7C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95F96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E8E9F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07B178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D42FA9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93B36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655EE7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A91E73" w14:textId="77777777" w:rsidR="006E40C9" w:rsidRDefault="006E40C9">
            <w:pPr>
              <w:pStyle w:val="MeasureTableTextRightAligned"/>
            </w:pPr>
            <w:r>
              <w:t>2027-28</w:t>
            </w:r>
          </w:p>
        </w:tc>
      </w:tr>
      <w:tr w:rsidR="006E40C9" w14:paraId="0D904075" w14:textId="77777777">
        <w:trPr>
          <w:cantSplit/>
          <w:jc w:val="center"/>
        </w:trPr>
        <w:tc>
          <w:tcPr>
            <w:tcW w:w="967" w:type="dxa"/>
            <w:tcBorders>
              <w:top w:val="single" w:sz="2" w:space="0" w:color="auto"/>
              <w:bottom w:val="single" w:sz="2" w:space="0" w:color="auto"/>
            </w:tcBorders>
          </w:tcPr>
          <w:p w14:paraId="5A28273B" w14:textId="77777777" w:rsidR="006E40C9" w:rsidRDefault="006E40C9">
            <w:pPr>
              <w:pStyle w:val="MeasureTableTextRightAligned"/>
            </w:pPr>
            <w:r>
              <w:t>2,300</w:t>
            </w:r>
          </w:p>
        </w:tc>
        <w:tc>
          <w:tcPr>
            <w:tcW w:w="967" w:type="dxa"/>
            <w:tcBorders>
              <w:top w:val="single" w:sz="2" w:space="0" w:color="auto"/>
              <w:bottom w:val="single" w:sz="2" w:space="0" w:color="auto"/>
            </w:tcBorders>
          </w:tcPr>
          <w:p w14:paraId="5175EE41" w14:textId="77777777" w:rsidR="006E40C9" w:rsidRDefault="006E40C9">
            <w:pPr>
              <w:pStyle w:val="MeasureTableTextRightAligned"/>
            </w:pPr>
            <w:r>
              <w:t>2,550</w:t>
            </w:r>
          </w:p>
        </w:tc>
        <w:tc>
          <w:tcPr>
            <w:tcW w:w="967" w:type="dxa"/>
            <w:tcBorders>
              <w:top w:val="single" w:sz="2" w:space="0" w:color="auto"/>
              <w:bottom w:val="single" w:sz="2" w:space="0" w:color="auto"/>
            </w:tcBorders>
            <w:vAlign w:val="bottom"/>
          </w:tcPr>
          <w:p w14:paraId="34421C10" w14:textId="77777777" w:rsidR="006E40C9" w:rsidRDefault="006E40C9">
            <w:pPr>
              <w:pStyle w:val="MeasureTableTextRightAligned"/>
            </w:pPr>
            <w:r>
              <w:t>3,250</w:t>
            </w:r>
          </w:p>
        </w:tc>
        <w:tc>
          <w:tcPr>
            <w:tcW w:w="967" w:type="dxa"/>
            <w:tcBorders>
              <w:top w:val="single" w:sz="2" w:space="0" w:color="auto"/>
              <w:bottom w:val="single" w:sz="2" w:space="0" w:color="auto"/>
            </w:tcBorders>
            <w:vAlign w:val="bottom"/>
          </w:tcPr>
          <w:p w14:paraId="673B7398" w14:textId="77777777" w:rsidR="006E40C9" w:rsidRDefault="006E40C9">
            <w:pPr>
              <w:pStyle w:val="MeasureTableTextRightAligned"/>
            </w:pPr>
            <w:r>
              <w:t>4,050</w:t>
            </w:r>
          </w:p>
        </w:tc>
        <w:tc>
          <w:tcPr>
            <w:tcW w:w="967" w:type="dxa"/>
            <w:tcBorders>
              <w:top w:val="single" w:sz="2" w:space="0" w:color="auto"/>
              <w:bottom w:val="single" w:sz="2" w:space="0" w:color="auto"/>
            </w:tcBorders>
            <w:vAlign w:val="bottom"/>
          </w:tcPr>
          <w:p w14:paraId="6ECE69A1" w14:textId="77777777" w:rsidR="006E40C9" w:rsidRDefault="006E40C9">
            <w:pPr>
              <w:pStyle w:val="MeasureTableTextRightAligned"/>
            </w:pPr>
            <w:r>
              <w:t>4,100</w:t>
            </w:r>
          </w:p>
        </w:tc>
        <w:tc>
          <w:tcPr>
            <w:tcW w:w="967" w:type="dxa"/>
            <w:gridSpan w:val="2"/>
            <w:tcBorders>
              <w:top w:val="single" w:sz="2" w:space="0" w:color="auto"/>
              <w:bottom w:val="single" w:sz="2" w:space="0" w:color="auto"/>
            </w:tcBorders>
            <w:vAlign w:val="bottom"/>
          </w:tcPr>
          <w:p w14:paraId="7FB73667" w14:textId="77777777" w:rsidR="006E40C9" w:rsidRDefault="006E40C9">
            <w:pPr>
              <w:pStyle w:val="MeasureTableTextRightAligned"/>
            </w:pPr>
            <w:r>
              <w:t>4,300</w:t>
            </w:r>
          </w:p>
        </w:tc>
        <w:tc>
          <w:tcPr>
            <w:tcW w:w="967" w:type="dxa"/>
            <w:gridSpan w:val="2"/>
            <w:tcBorders>
              <w:top w:val="single" w:sz="2" w:space="0" w:color="auto"/>
              <w:bottom w:val="single" w:sz="2" w:space="0" w:color="auto"/>
            </w:tcBorders>
            <w:vAlign w:val="bottom"/>
          </w:tcPr>
          <w:p w14:paraId="32AF036E" w14:textId="77777777" w:rsidR="006E40C9" w:rsidRDefault="006E40C9">
            <w:pPr>
              <w:pStyle w:val="MeasureTableTextRightAligned"/>
            </w:pPr>
            <w:r>
              <w:t>4,600</w:t>
            </w:r>
          </w:p>
        </w:tc>
        <w:tc>
          <w:tcPr>
            <w:tcW w:w="968" w:type="dxa"/>
            <w:tcBorders>
              <w:top w:val="single" w:sz="2" w:space="0" w:color="auto"/>
              <w:bottom w:val="single" w:sz="2" w:space="0" w:color="auto"/>
            </w:tcBorders>
            <w:vAlign w:val="bottom"/>
          </w:tcPr>
          <w:p w14:paraId="7F237018" w14:textId="77777777" w:rsidR="006E40C9" w:rsidRDefault="006E40C9">
            <w:pPr>
              <w:pStyle w:val="MeasureTableTextRightAligned"/>
            </w:pPr>
            <w:r>
              <w:t>4,900</w:t>
            </w:r>
          </w:p>
        </w:tc>
      </w:tr>
      <w:tr w:rsidR="006E40C9" w14:paraId="528FC194" w14:textId="77777777">
        <w:trPr>
          <w:cantSplit/>
          <w:jc w:val="center"/>
        </w:trPr>
        <w:tc>
          <w:tcPr>
            <w:tcW w:w="1934" w:type="dxa"/>
            <w:gridSpan w:val="2"/>
            <w:tcBorders>
              <w:top w:val="single" w:sz="2" w:space="0" w:color="auto"/>
              <w:bottom w:val="nil"/>
            </w:tcBorders>
          </w:tcPr>
          <w:p w14:paraId="7205862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8F90C44" w14:textId="77777777" w:rsidR="006E40C9" w:rsidRDefault="006E40C9">
            <w:pPr>
              <w:pStyle w:val="MeasureTableTextLeftAligned"/>
            </w:pPr>
            <w:r>
              <w:t>Exemption</w:t>
            </w:r>
          </w:p>
        </w:tc>
        <w:tc>
          <w:tcPr>
            <w:tcW w:w="1500" w:type="dxa"/>
            <w:gridSpan w:val="2"/>
            <w:tcBorders>
              <w:top w:val="single" w:sz="2" w:space="0" w:color="auto"/>
              <w:bottom w:val="nil"/>
            </w:tcBorders>
          </w:tcPr>
          <w:p w14:paraId="6558753A" w14:textId="232C57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961AD3" w14:textId="77777777" w:rsidR="006E40C9" w:rsidRDefault="006E40C9">
            <w:pPr>
              <w:pStyle w:val="MeasureTableTextLeftAligned"/>
            </w:pPr>
            <w:r>
              <w:t>A27</w:t>
            </w:r>
          </w:p>
        </w:tc>
      </w:tr>
      <w:tr w:rsidR="006E40C9" w14:paraId="609C4AA0" w14:textId="77777777">
        <w:trPr>
          <w:cantSplit/>
          <w:jc w:val="center"/>
        </w:trPr>
        <w:tc>
          <w:tcPr>
            <w:tcW w:w="1934" w:type="dxa"/>
            <w:gridSpan w:val="2"/>
            <w:tcBorders>
              <w:top w:val="nil"/>
              <w:bottom w:val="nil"/>
            </w:tcBorders>
          </w:tcPr>
          <w:p w14:paraId="70023C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0C6D781" w14:textId="7A7F077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746316E" w14:textId="77777777" w:rsidR="006E40C9" w:rsidRDefault="006E40C9">
            <w:pPr>
              <w:pStyle w:val="MeasureTableTextItalic"/>
            </w:pPr>
          </w:p>
        </w:tc>
        <w:tc>
          <w:tcPr>
            <w:tcW w:w="1124" w:type="dxa"/>
            <w:gridSpan w:val="2"/>
            <w:tcBorders>
              <w:top w:val="nil"/>
              <w:bottom w:val="nil"/>
            </w:tcBorders>
          </w:tcPr>
          <w:p w14:paraId="2AE2F9F7" w14:textId="77777777" w:rsidR="006E40C9" w:rsidRDefault="006E40C9">
            <w:pPr>
              <w:pStyle w:val="MeasureTableTextLeftAligned"/>
            </w:pPr>
          </w:p>
        </w:tc>
      </w:tr>
      <w:tr w:rsidR="006E40C9" w14:paraId="519BEA16" w14:textId="77777777">
        <w:trPr>
          <w:cantSplit/>
          <w:jc w:val="center"/>
        </w:trPr>
        <w:tc>
          <w:tcPr>
            <w:tcW w:w="1934" w:type="dxa"/>
            <w:gridSpan w:val="2"/>
            <w:tcBorders>
              <w:top w:val="nil"/>
              <w:bottom w:val="nil"/>
            </w:tcBorders>
          </w:tcPr>
          <w:p w14:paraId="66E7CA6B" w14:textId="77777777" w:rsidR="006E40C9" w:rsidRDefault="006E40C9">
            <w:pPr>
              <w:pStyle w:val="MeasureTableTextItalic"/>
            </w:pPr>
            <w:r>
              <w:t>Commencement date:</w:t>
            </w:r>
          </w:p>
        </w:tc>
        <w:tc>
          <w:tcPr>
            <w:tcW w:w="3179" w:type="dxa"/>
            <w:gridSpan w:val="4"/>
            <w:tcBorders>
              <w:top w:val="nil"/>
              <w:bottom w:val="nil"/>
            </w:tcBorders>
          </w:tcPr>
          <w:p w14:paraId="654D5318" w14:textId="77777777" w:rsidR="006E40C9" w:rsidRDefault="006E40C9">
            <w:pPr>
              <w:pStyle w:val="MeasureTableTextLeftAligned"/>
            </w:pPr>
            <w:r>
              <w:t>1 July 2007</w:t>
            </w:r>
          </w:p>
        </w:tc>
        <w:tc>
          <w:tcPr>
            <w:tcW w:w="1500" w:type="dxa"/>
            <w:gridSpan w:val="2"/>
            <w:tcBorders>
              <w:top w:val="nil"/>
              <w:bottom w:val="nil"/>
            </w:tcBorders>
          </w:tcPr>
          <w:p w14:paraId="6279B2F5" w14:textId="77777777" w:rsidR="006E40C9" w:rsidRPr="00F32057" w:rsidRDefault="006E40C9">
            <w:pPr>
              <w:pStyle w:val="MeasureTableTextItalic"/>
            </w:pPr>
            <w:r>
              <w:t>Expiry date:</w:t>
            </w:r>
          </w:p>
        </w:tc>
        <w:tc>
          <w:tcPr>
            <w:tcW w:w="1124" w:type="dxa"/>
            <w:gridSpan w:val="2"/>
            <w:tcBorders>
              <w:top w:val="nil"/>
              <w:bottom w:val="nil"/>
            </w:tcBorders>
          </w:tcPr>
          <w:p w14:paraId="71D348C7" w14:textId="77777777" w:rsidR="006E40C9" w:rsidRPr="00F32057" w:rsidRDefault="006E40C9">
            <w:pPr>
              <w:pStyle w:val="MeasureTableTextLeftAligned"/>
            </w:pPr>
          </w:p>
        </w:tc>
      </w:tr>
      <w:tr w:rsidR="006E40C9" w14:paraId="6250BBAC" w14:textId="77777777">
        <w:trPr>
          <w:cantSplit/>
          <w:jc w:val="center"/>
        </w:trPr>
        <w:tc>
          <w:tcPr>
            <w:tcW w:w="1934" w:type="dxa"/>
            <w:gridSpan w:val="2"/>
            <w:tcBorders>
              <w:top w:val="nil"/>
            </w:tcBorders>
          </w:tcPr>
          <w:p w14:paraId="65702821" w14:textId="77777777" w:rsidR="006E40C9" w:rsidRDefault="006E40C9">
            <w:pPr>
              <w:pStyle w:val="MeasureTableTextItalic"/>
            </w:pPr>
            <w:r>
              <w:t>Legislative reference:</w:t>
            </w:r>
          </w:p>
        </w:tc>
        <w:tc>
          <w:tcPr>
            <w:tcW w:w="5803" w:type="dxa"/>
            <w:gridSpan w:val="8"/>
            <w:tcBorders>
              <w:top w:val="nil"/>
            </w:tcBorders>
          </w:tcPr>
          <w:p w14:paraId="1AC0678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52-150 of the </w:t>
            </w:r>
            <w:r>
              <w:rPr>
                <w:rFonts w:ascii="Arial" w:hAnsi="Arial" w:cs="Arial"/>
                <w:i/>
                <w:iCs/>
                <w:color w:val="000000"/>
                <w:sz w:val="16"/>
                <w:szCs w:val="16"/>
              </w:rPr>
              <w:t>Income Tax Assessment Act 1997</w:t>
            </w:r>
          </w:p>
        </w:tc>
      </w:tr>
    </w:tbl>
    <w:p w14:paraId="4E3CAB92" w14:textId="77777777" w:rsidR="006E40C9" w:rsidRPr="00540040" w:rsidRDefault="006E40C9" w:rsidP="006E40C9">
      <w:pPr>
        <w:pStyle w:val="MeasureTableHeading"/>
      </w:pPr>
    </w:p>
    <w:p w14:paraId="088EE412" w14:textId="11341ABE" w:rsidR="006E40C9" w:rsidRDefault="006E40C9" w:rsidP="006E40C9">
      <w:r>
        <w:t xml:space="preserve">Under the benchmark, government payments to individuals are included as part of taxable income; income tax is paid on the taxable income of a taxpayer for an income year at their applicable rate. However, the Child Care Subsidy is exempt from income tax. </w:t>
      </w:r>
    </w:p>
    <w:p w14:paraId="6CD04CD2" w14:textId="77777777" w:rsidR="006E40C9" w:rsidRDefault="006E40C9" w:rsidP="0003254D">
      <w:pPr>
        <w:pStyle w:val="Heading4"/>
      </w:pPr>
      <w:r>
        <w:t>A28</w:t>
      </w:r>
      <w:r>
        <w:tab/>
        <w:t>Exemption of disaster relief payments</w:t>
      </w:r>
    </w:p>
    <w:p w14:paraId="0E1FFCA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E5D04" w14:textId="77777777">
        <w:trPr>
          <w:cantSplit/>
          <w:jc w:val="center"/>
        </w:trPr>
        <w:tc>
          <w:tcPr>
            <w:tcW w:w="967" w:type="dxa"/>
            <w:tcBorders>
              <w:top w:val="single" w:sz="2" w:space="0" w:color="auto"/>
              <w:bottom w:val="single" w:sz="2" w:space="0" w:color="auto"/>
            </w:tcBorders>
          </w:tcPr>
          <w:p w14:paraId="7C2CE0A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B3007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24DB7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704846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5930C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B0FA6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8390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409AC5" w14:textId="77777777" w:rsidR="006E40C9" w:rsidRDefault="006E40C9">
            <w:pPr>
              <w:pStyle w:val="MeasureTableTextRightAligned"/>
            </w:pPr>
            <w:r>
              <w:t>2027-28</w:t>
            </w:r>
          </w:p>
        </w:tc>
      </w:tr>
      <w:tr w:rsidR="006E40C9" w14:paraId="2F5F2670" w14:textId="77777777">
        <w:trPr>
          <w:cantSplit/>
          <w:jc w:val="center"/>
        </w:trPr>
        <w:tc>
          <w:tcPr>
            <w:tcW w:w="967" w:type="dxa"/>
            <w:tcBorders>
              <w:top w:val="single" w:sz="2" w:space="0" w:color="auto"/>
              <w:bottom w:val="single" w:sz="2" w:space="0" w:color="auto"/>
            </w:tcBorders>
          </w:tcPr>
          <w:p w14:paraId="50C36068" w14:textId="77777777" w:rsidR="006E40C9" w:rsidRDefault="006E40C9">
            <w:pPr>
              <w:pStyle w:val="MeasureTableTextRightAligned"/>
            </w:pPr>
            <w:r>
              <w:t>140</w:t>
            </w:r>
          </w:p>
        </w:tc>
        <w:tc>
          <w:tcPr>
            <w:tcW w:w="967" w:type="dxa"/>
            <w:tcBorders>
              <w:top w:val="single" w:sz="2" w:space="0" w:color="auto"/>
              <w:bottom w:val="single" w:sz="2" w:space="0" w:color="auto"/>
            </w:tcBorders>
          </w:tcPr>
          <w:p w14:paraId="72565CA8" w14:textId="77777777" w:rsidR="006E40C9" w:rsidRDefault="006E40C9">
            <w:pPr>
              <w:pStyle w:val="MeasureTableTextRightAligned"/>
            </w:pPr>
            <w:r>
              <w:t>3,950</w:t>
            </w:r>
          </w:p>
        </w:tc>
        <w:tc>
          <w:tcPr>
            <w:tcW w:w="967" w:type="dxa"/>
            <w:tcBorders>
              <w:top w:val="single" w:sz="2" w:space="0" w:color="auto"/>
              <w:bottom w:val="single" w:sz="2" w:space="0" w:color="auto"/>
            </w:tcBorders>
            <w:vAlign w:val="bottom"/>
          </w:tcPr>
          <w:p w14:paraId="762D81EE"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4ADE6CB0"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51FC85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898A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9652D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3F3E9DA" w14:textId="77777777" w:rsidR="006E40C9" w:rsidRDefault="006E40C9">
            <w:pPr>
              <w:pStyle w:val="MeasureTableTextRightAligned"/>
            </w:pPr>
            <w:r>
              <w:t>*</w:t>
            </w:r>
          </w:p>
        </w:tc>
      </w:tr>
      <w:tr w:rsidR="006E40C9" w14:paraId="518C59B8" w14:textId="77777777">
        <w:trPr>
          <w:cantSplit/>
          <w:jc w:val="center"/>
        </w:trPr>
        <w:tc>
          <w:tcPr>
            <w:tcW w:w="1934" w:type="dxa"/>
            <w:gridSpan w:val="2"/>
            <w:tcBorders>
              <w:top w:val="single" w:sz="2" w:space="0" w:color="auto"/>
              <w:bottom w:val="nil"/>
            </w:tcBorders>
          </w:tcPr>
          <w:p w14:paraId="7052732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185831" w14:textId="77777777" w:rsidR="006E40C9" w:rsidRDefault="006E40C9">
            <w:pPr>
              <w:pStyle w:val="MeasureTableTextLeftAligned"/>
            </w:pPr>
            <w:r>
              <w:t>Exemption</w:t>
            </w:r>
          </w:p>
        </w:tc>
        <w:tc>
          <w:tcPr>
            <w:tcW w:w="1500" w:type="dxa"/>
            <w:gridSpan w:val="2"/>
            <w:tcBorders>
              <w:top w:val="single" w:sz="2" w:space="0" w:color="auto"/>
              <w:bottom w:val="nil"/>
            </w:tcBorders>
          </w:tcPr>
          <w:p w14:paraId="0EFC0C1F" w14:textId="303A6A6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669BD34" w14:textId="77777777" w:rsidR="006E40C9" w:rsidRDefault="006E40C9">
            <w:pPr>
              <w:pStyle w:val="MeasureTableTextLeftAligned"/>
            </w:pPr>
            <w:r>
              <w:t>A28</w:t>
            </w:r>
          </w:p>
        </w:tc>
      </w:tr>
      <w:tr w:rsidR="006E40C9" w14:paraId="7BF9E786" w14:textId="77777777">
        <w:trPr>
          <w:cantSplit/>
          <w:jc w:val="center"/>
        </w:trPr>
        <w:tc>
          <w:tcPr>
            <w:tcW w:w="1934" w:type="dxa"/>
            <w:gridSpan w:val="2"/>
            <w:tcBorders>
              <w:top w:val="nil"/>
              <w:bottom w:val="nil"/>
            </w:tcBorders>
          </w:tcPr>
          <w:p w14:paraId="105ABBF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EAB214" w14:textId="3CAA5C76"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5DBE6296" w14:textId="77777777" w:rsidR="006E40C9" w:rsidRDefault="006E40C9">
            <w:pPr>
              <w:pStyle w:val="MeasureTableTextItalic"/>
            </w:pPr>
            <w:r>
              <w:t>* Category</w:t>
            </w:r>
          </w:p>
        </w:tc>
        <w:tc>
          <w:tcPr>
            <w:tcW w:w="1124" w:type="dxa"/>
            <w:gridSpan w:val="2"/>
            <w:tcBorders>
              <w:top w:val="nil"/>
              <w:bottom w:val="nil"/>
            </w:tcBorders>
          </w:tcPr>
          <w:p w14:paraId="6BD8EC9B" w14:textId="77777777" w:rsidR="006E40C9" w:rsidRDefault="006E40C9">
            <w:pPr>
              <w:pStyle w:val="MeasureTableTextLeftAligned"/>
            </w:pPr>
            <w:r>
              <w:t>4+</w:t>
            </w:r>
          </w:p>
        </w:tc>
      </w:tr>
      <w:tr w:rsidR="006E40C9" w14:paraId="7EE04290" w14:textId="77777777">
        <w:trPr>
          <w:cantSplit/>
          <w:jc w:val="center"/>
        </w:trPr>
        <w:tc>
          <w:tcPr>
            <w:tcW w:w="1934" w:type="dxa"/>
            <w:gridSpan w:val="2"/>
            <w:tcBorders>
              <w:top w:val="nil"/>
              <w:bottom w:val="nil"/>
            </w:tcBorders>
          </w:tcPr>
          <w:p w14:paraId="3D33EB34" w14:textId="77777777" w:rsidR="006E40C9" w:rsidRDefault="006E40C9">
            <w:pPr>
              <w:pStyle w:val="MeasureTableTextItalic"/>
            </w:pPr>
            <w:r>
              <w:t>Commencement date:</w:t>
            </w:r>
          </w:p>
        </w:tc>
        <w:tc>
          <w:tcPr>
            <w:tcW w:w="3179" w:type="dxa"/>
            <w:gridSpan w:val="4"/>
            <w:tcBorders>
              <w:top w:val="nil"/>
              <w:bottom w:val="nil"/>
            </w:tcBorders>
          </w:tcPr>
          <w:p w14:paraId="0BD2F68C" w14:textId="77777777" w:rsidR="006E40C9" w:rsidRDefault="006E40C9">
            <w:pPr>
              <w:pStyle w:val="MeasureTableTextLeftAligned"/>
            </w:pPr>
            <w:r>
              <w:t>8 July 1997</w:t>
            </w:r>
          </w:p>
        </w:tc>
        <w:tc>
          <w:tcPr>
            <w:tcW w:w="1500" w:type="dxa"/>
            <w:gridSpan w:val="2"/>
            <w:tcBorders>
              <w:top w:val="nil"/>
              <w:bottom w:val="nil"/>
            </w:tcBorders>
          </w:tcPr>
          <w:p w14:paraId="3749055E" w14:textId="77777777" w:rsidR="006E40C9" w:rsidRPr="00F32057" w:rsidRDefault="006E40C9">
            <w:pPr>
              <w:pStyle w:val="MeasureTableTextItalic"/>
            </w:pPr>
            <w:r>
              <w:t>Expiry date:</w:t>
            </w:r>
          </w:p>
        </w:tc>
        <w:tc>
          <w:tcPr>
            <w:tcW w:w="1124" w:type="dxa"/>
            <w:gridSpan w:val="2"/>
            <w:tcBorders>
              <w:top w:val="nil"/>
              <w:bottom w:val="nil"/>
            </w:tcBorders>
          </w:tcPr>
          <w:p w14:paraId="075FBCF2" w14:textId="77777777" w:rsidR="006E40C9" w:rsidRPr="00F32057" w:rsidRDefault="006E40C9">
            <w:pPr>
              <w:pStyle w:val="MeasureTableTextLeftAligned"/>
            </w:pPr>
          </w:p>
        </w:tc>
      </w:tr>
      <w:tr w:rsidR="006E40C9" w14:paraId="1C5C1A45" w14:textId="77777777">
        <w:trPr>
          <w:cantSplit/>
          <w:jc w:val="center"/>
        </w:trPr>
        <w:tc>
          <w:tcPr>
            <w:tcW w:w="1934" w:type="dxa"/>
            <w:gridSpan w:val="2"/>
            <w:tcBorders>
              <w:top w:val="nil"/>
            </w:tcBorders>
          </w:tcPr>
          <w:p w14:paraId="7C66866B" w14:textId="77777777" w:rsidR="006E40C9" w:rsidRDefault="006E40C9">
            <w:pPr>
              <w:pStyle w:val="MeasureTableTextItalic"/>
            </w:pPr>
            <w:r>
              <w:t>Legislative reference:</w:t>
            </w:r>
          </w:p>
        </w:tc>
        <w:tc>
          <w:tcPr>
            <w:tcW w:w="5803" w:type="dxa"/>
            <w:gridSpan w:val="8"/>
            <w:tcBorders>
              <w:top w:val="nil"/>
            </w:tcBorders>
          </w:tcPr>
          <w:p w14:paraId="043FBDA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 51-30, 51-125, 52-40, 53-25, 59-60, 59-95 and 59-96 of the </w:t>
            </w:r>
            <w:r>
              <w:rPr>
                <w:rFonts w:ascii="Arial" w:hAnsi="Arial" w:cs="Arial"/>
                <w:i/>
                <w:iCs/>
                <w:color w:val="000000"/>
                <w:sz w:val="16"/>
                <w:szCs w:val="16"/>
              </w:rPr>
              <w:t>Income Tax Assessment Act 1997</w:t>
            </w:r>
          </w:p>
        </w:tc>
      </w:tr>
    </w:tbl>
    <w:p w14:paraId="1468980B" w14:textId="77777777" w:rsidR="006E40C9" w:rsidRPr="00540040" w:rsidRDefault="006E40C9" w:rsidP="006E40C9">
      <w:pPr>
        <w:pStyle w:val="MeasureTableHeading"/>
      </w:pPr>
    </w:p>
    <w:p w14:paraId="0B9DA2B5" w14:textId="77777777" w:rsidR="006E40C9" w:rsidRDefault="006E40C9" w:rsidP="006E40C9">
      <w:r>
        <w:t xml:space="preserve">Under the benchmark, government payments to individuals are included as part of taxable income; income tax is paid on the taxable income of a taxpayer for an income year at their applicable rate. However, certain payments such as Australian Government disaster recovery payments are exempt from income tax. </w:t>
      </w:r>
    </w:p>
    <w:p w14:paraId="3977C2E2" w14:textId="77777777" w:rsidR="006E40C9" w:rsidRDefault="006E40C9" w:rsidP="0003254D">
      <w:pPr>
        <w:pStyle w:val="Heading3"/>
      </w:pPr>
      <w:r>
        <w:t>Tax concessions for certain taxpayers</w:t>
      </w:r>
    </w:p>
    <w:p w14:paraId="427C3CBB" w14:textId="77777777" w:rsidR="006E40C9" w:rsidRDefault="006E40C9" w:rsidP="0003254D">
      <w:pPr>
        <w:pStyle w:val="Heading4"/>
      </w:pPr>
      <w:r>
        <w:t>A29</w:t>
      </w:r>
      <w:r>
        <w:tab/>
        <w:t>Beneficiary tax offset</w:t>
      </w:r>
    </w:p>
    <w:p w14:paraId="3332A99A"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F47DE1" w14:textId="77777777">
        <w:trPr>
          <w:cantSplit/>
          <w:jc w:val="center"/>
        </w:trPr>
        <w:tc>
          <w:tcPr>
            <w:tcW w:w="967" w:type="dxa"/>
            <w:tcBorders>
              <w:top w:val="single" w:sz="2" w:space="0" w:color="auto"/>
              <w:bottom w:val="single" w:sz="2" w:space="0" w:color="auto"/>
            </w:tcBorders>
          </w:tcPr>
          <w:p w14:paraId="39A140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2E9A8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EA309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B56CFB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C6BAEE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21542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A5D7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557EF6" w14:textId="77777777" w:rsidR="006E40C9" w:rsidRDefault="006E40C9">
            <w:pPr>
              <w:pStyle w:val="MeasureTableTextRightAligned"/>
            </w:pPr>
            <w:r>
              <w:t>2027-28</w:t>
            </w:r>
          </w:p>
        </w:tc>
      </w:tr>
      <w:tr w:rsidR="006E40C9" w14:paraId="3E981FD6" w14:textId="77777777">
        <w:trPr>
          <w:cantSplit/>
          <w:jc w:val="center"/>
        </w:trPr>
        <w:tc>
          <w:tcPr>
            <w:tcW w:w="967" w:type="dxa"/>
            <w:tcBorders>
              <w:top w:val="single" w:sz="2" w:space="0" w:color="auto"/>
              <w:bottom w:val="single" w:sz="2" w:space="0" w:color="auto"/>
            </w:tcBorders>
          </w:tcPr>
          <w:p w14:paraId="148E0AC4" w14:textId="77777777" w:rsidR="006E40C9" w:rsidRDefault="006E40C9">
            <w:pPr>
              <w:pStyle w:val="MeasureTableTextRightAligned"/>
            </w:pPr>
            <w:r>
              <w:t>200</w:t>
            </w:r>
          </w:p>
        </w:tc>
        <w:tc>
          <w:tcPr>
            <w:tcW w:w="967" w:type="dxa"/>
            <w:tcBorders>
              <w:top w:val="single" w:sz="2" w:space="0" w:color="auto"/>
              <w:bottom w:val="single" w:sz="2" w:space="0" w:color="auto"/>
            </w:tcBorders>
          </w:tcPr>
          <w:p w14:paraId="283FB581" w14:textId="77777777" w:rsidR="006E40C9" w:rsidRDefault="006E40C9">
            <w:pPr>
              <w:pStyle w:val="MeasureTableTextRightAligned"/>
            </w:pPr>
            <w:r>
              <w:t>810</w:t>
            </w:r>
          </w:p>
        </w:tc>
        <w:tc>
          <w:tcPr>
            <w:tcW w:w="967" w:type="dxa"/>
            <w:tcBorders>
              <w:top w:val="single" w:sz="2" w:space="0" w:color="auto"/>
              <w:bottom w:val="single" w:sz="2" w:space="0" w:color="auto"/>
            </w:tcBorders>
            <w:vAlign w:val="bottom"/>
          </w:tcPr>
          <w:p w14:paraId="2F22E776"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69166C49"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1C45253B"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23B213D0"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01AEE211" w14:textId="77777777" w:rsidR="006E40C9" w:rsidRDefault="006E40C9">
            <w:pPr>
              <w:pStyle w:val="MeasureTableTextRightAligned"/>
            </w:pPr>
            <w:r>
              <w:t>240</w:t>
            </w:r>
          </w:p>
        </w:tc>
        <w:tc>
          <w:tcPr>
            <w:tcW w:w="968" w:type="dxa"/>
            <w:tcBorders>
              <w:top w:val="single" w:sz="2" w:space="0" w:color="auto"/>
              <w:bottom w:val="single" w:sz="2" w:space="0" w:color="auto"/>
            </w:tcBorders>
            <w:vAlign w:val="bottom"/>
          </w:tcPr>
          <w:p w14:paraId="2D234EF0" w14:textId="77777777" w:rsidR="006E40C9" w:rsidRDefault="006E40C9">
            <w:pPr>
              <w:pStyle w:val="MeasureTableTextRightAligned"/>
            </w:pPr>
            <w:r>
              <w:t>260</w:t>
            </w:r>
          </w:p>
        </w:tc>
      </w:tr>
      <w:tr w:rsidR="006E40C9" w14:paraId="272C69E6" w14:textId="77777777">
        <w:trPr>
          <w:cantSplit/>
          <w:jc w:val="center"/>
        </w:trPr>
        <w:tc>
          <w:tcPr>
            <w:tcW w:w="1934" w:type="dxa"/>
            <w:gridSpan w:val="2"/>
            <w:tcBorders>
              <w:top w:val="single" w:sz="2" w:space="0" w:color="auto"/>
              <w:bottom w:val="nil"/>
            </w:tcBorders>
          </w:tcPr>
          <w:p w14:paraId="6D0A2CA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5F1F2A" w14:textId="77777777" w:rsidR="006E40C9" w:rsidRDefault="006E40C9">
            <w:pPr>
              <w:pStyle w:val="MeasureTableTextLeftAligned"/>
            </w:pPr>
            <w:r>
              <w:t>Offset</w:t>
            </w:r>
          </w:p>
        </w:tc>
        <w:tc>
          <w:tcPr>
            <w:tcW w:w="1500" w:type="dxa"/>
            <w:gridSpan w:val="2"/>
            <w:tcBorders>
              <w:top w:val="single" w:sz="2" w:space="0" w:color="auto"/>
              <w:bottom w:val="nil"/>
            </w:tcBorders>
          </w:tcPr>
          <w:p w14:paraId="6E3B5FB4" w14:textId="13EEBA5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6D3673C" w14:textId="77777777" w:rsidR="006E40C9" w:rsidRDefault="006E40C9">
            <w:pPr>
              <w:pStyle w:val="MeasureTableTextLeftAligned"/>
            </w:pPr>
            <w:r>
              <w:t>A29</w:t>
            </w:r>
          </w:p>
        </w:tc>
      </w:tr>
      <w:tr w:rsidR="006E40C9" w14:paraId="648DF82E" w14:textId="77777777">
        <w:trPr>
          <w:cantSplit/>
          <w:jc w:val="center"/>
        </w:trPr>
        <w:tc>
          <w:tcPr>
            <w:tcW w:w="1934" w:type="dxa"/>
            <w:gridSpan w:val="2"/>
            <w:tcBorders>
              <w:top w:val="nil"/>
              <w:bottom w:val="nil"/>
            </w:tcBorders>
          </w:tcPr>
          <w:p w14:paraId="6DE775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87D46E" w14:textId="0900D6B9"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CED7512" w14:textId="77777777" w:rsidR="006E40C9" w:rsidRDefault="006E40C9">
            <w:pPr>
              <w:pStyle w:val="MeasureTableTextItalic"/>
            </w:pPr>
          </w:p>
        </w:tc>
        <w:tc>
          <w:tcPr>
            <w:tcW w:w="1124" w:type="dxa"/>
            <w:gridSpan w:val="2"/>
            <w:tcBorders>
              <w:top w:val="nil"/>
              <w:bottom w:val="nil"/>
            </w:tcBorders>
          </w:tcPr>
          <w:p w14:paraId="6CB13011" w14:textId="77777777" w:rsidR="006E40C9" w:rsidRDefault="006E40C9">
            <w:pPr>
              <w:pStyle w:val="MeasureTableTextLeftAligned"/>
            </w:pPr>
          </w:p>
        </w:tc>
      </w:tr>
      <w:tr w:rsidR="006E40C9" w14:paraId="15560B6B" w14:textId="77777777">
        <w:trPr>
          <w:cantSplit/>
          <w:jc w:val="center"/>
        </w:trPr>
        <w:tc>
          <w:tcPr>
            <w:tcW w:w="1934" w:type="dxa"/>
            <w:gridSpan w:val="2"/>
            <w:tcBorders>
              <w:top w:val="nil"/>
              <w:bottom w:val="nil"/>
            </w:tcBorders>
          </w:tcPr>
          <w:p w14:paraId="3576EE3A" w14:textId="77777777" w:rsidR="006E40C9" w:rsidRDefault="006E40C9">
            <w:pPr>
              <w:pStyle w:val="MeasureTableTextItalic"/>
            </w:pPr>
            <w:r>
              <w:t>Commencement date:</w:t>
            </w:r>
          </w:p>
        </w:tc>
        <w:tc>
          <w:tcPr>
            <w:tcW w:w="3179" w:type="dxa"/>
            <w:gridSpan w:val="4"/>
            <w:tcBorders>
              <w:top w:val="nil"/>
              <w:bottom w:val="nil"/>
            </w:tcBorders>
          </w:tcPr>
          <w:p w14:paraId="2E9E0807" w14:textId="77777777" w:rsidR="006E40C9" w:rsidRDefault="006E40C9">
            <w:pPr>
              <w:pStyle w:val="MeasureTableTextLeftAligned"/>
            </w:pPr>
            <w:r>
              <w:t>Introduced before 1985</w:t>
            </w:r>
          </w:p>
        </w:tc>
        <w:tc>
          <w:tcPr>
            <w:tcW w:w="1500" w:type="dxa"/>
            <w:gridSpan w:val="2"/>
            <w:tcBorders>
              <w:top w:val="nil"/>
              <w:bottom w:val="nil"/>
            </w:tcBorders>
          </w:tcPr>
          <w:p w14:paraId="7FA6D007" w14:textId="77777777" w:rsidR="006E40C9" w:rsidRPr="00F32057" w:rsidRDefault="006E40C9">
            <w:pPr>
              <w:pStyle w:val="MeasureTableTextItalic"/>
            </w:pPr>
            <w:r>
              <w:t>Expiry date:</w:t>
            </w:r>
          </w:p>
        </w:tc>
        <w:tc>
          <w:tcPr>
            <w:tcW w:w="1124" w:type="dxa"/>
            <w:gridSpan w:val="2"/>
            <w:tcBorders>
              <w:top w:val="nil"/>
              <w:bottom w:val="nil"/>
            </w:tcBorders>
          </w:tcPr>
          <w:p w14:paraId="3D87946E" w14:textId="77777777" w:rsidR="006E40C9" w:rsidRPr="00F32057" w:rsidRDefault="006E40C9">
            <w:pPr>
              <w:pStyle w:val="MeasureTableTextLeftAligned"/>
            </w:pPr>
          </w:p>
        </w:tc>
      </w:tr>
      <w:tr w:rsidR="006E40C9" w14:paraId="6BBEBDAC" w14:textId="77777777">
        <w:trPr>
          <w:cantSplit/>
          <w:jc w:val="center"/>
        </w:trPr>
        <w:tc>
          <w:tcPr>
            <w:tcW w:w="1934" w:type="dxa"/>
            <w:gridSpan w:val="2"/>
            <w:tcBorders>
              <w:top w:val="nil"/>
            </w:tcBorders>
          </w:tcPr>
          <w:p w14:paraId="2100B7FA" w14:textId="77777777" w:rsidR="006E40C9" w:rsidRDefault="006E40C9">
            <w:pPr>
              <w:pStyle w:val="MeasureTableTextItalic"/>
            </w:pPr>
            <w:r>
              <w:t>Legislative reference:</w:t>
            </w:r>
          </w:p>
        </w:tc>
        <w:tc>
          <w:tcPr>
            <w:tcW w:w="5803" w:type="dxa"/>
            <w:gridSpan w:val="8"/>
            <w:tcBorders>
              <w:top w:val="nil"/>
            </w:tcBorders>
          </w:tcPr>
          <w:p w14:paraId="339EBCD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160AAA of the </w:t>
            </w:r>
            <w:r>
              <w:rPr>
                <w:rFonts w:ascii="Arial" w:hAnsi="Arial" w:cs="Arial"/>
                <w:i/>
                <w:iCs/>
                <w:color w:val="000000"/>
                <w:sz w:val="16"/>
                <w:szCs w:val="16"/>
              </w:rPr>
              <w:t>Income Tax Assessment Act 1936</w:t>
            </w:r>
          </w:p>
        </w:tc>
      </w:tr>
    </w:tbl>
    <w:p w14:paraId="0F7F5338" w14:textId="77777777" w:rsidR="006E40C9" w:rsidRPr="00540040" w:rsidRDefault="006E40C9" w:rsidP="006E40C9">
      <w:pPr>
        <w:pStyle w:val="MeasureTableHeading"/>
      </w:pPr>
    </w:p>
    <w:p w14:paraId="22A835D5" w14:textId="77777777" w:rsidR="006E40C9" w:rsidRDefault="006E40C9" w:rsidP="006E40C9">
      <w:r>
        <w:t>Under the benchmark, government payments to individuals are included as part of taxable income; income tax is paid on the taxable income of a taxpayer for an income year at their applicable rate. However, taxpayers who receive certain social security benefits</w:t>
      </w:r>
      <w:r>
        <w:fldChar w:fldCharType="begin"/>
      </w:r>
      <w:r>
        <w:instrText xml:space="preserve"> XE "Benefits" </w:instrText>
      </w:r>
      <w:r>
        <w:fldChar w:fldCharType="end"/>
      </w:r>
      <w:r>
        <w:t xml:space="preserve"> and allowances</w:t>
      </w:r>
      <w:r>
        <w:fldChar w:fldCharType="begin"/>
      </w:r>
      <w:r>
        <w:instrText xml:space="preserve"> XE "Allowances" </w:instrText>
      </w:r>
      <w:r>
        <w:fldChar w:fldCharType="end"/>
      </w:r>
      <w:r>
        <w:t xml:space="preserve"> may be eligible for the beneficiary tax offset, which ensures that people whose only income during the year is from the benefit or allowance will not pay any tax.</w:t>
      </w:r>
    </w:p>
    <w:p w14:paraId="2A25DF7B" w14:textId="77777777" w:rsidR="006E40C9" w:rsidRDefault="006E40C9" w:rsidP="0003254D">
      <w:pPr>
        <w:pStyle w:val="Heading4"/>
      </w:pPr>
      <w:r>
        <w:t>A30</w:t>
      </w:r>
      <w:r>
        <w:tab/>
        <w:t>Dependant (invalid and carer) tax offset</w:t>
      </w:r>
    </w:p>
    <w:p w14:paraId="09FB46E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32F55" w14:textId="77777777">
        <w:trPr>
          <w:cantSplit/>
          <w:jc w:val="center"/>
        </w:trPr>
        <w:tc>
          <w:tcPr>
            <w:tcW w:w="967" w:type="dxa"/>
            <w:tcBorders>
              <w:top w:val="single" w:sz="2" w:space="0" w:color="auto"/>
              <w:bottom w:val="single" w:sz="2" w:space="0" w:color="auto"/>
            </w:tcBorders>
          </w:tcPr>
          <w:p w14:paraId="07DAED6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D12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60CF8A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ABB85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CCD3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4DE928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A878A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F293AD7" w14:textId="77777777" w:rsidR="006E40C9" w:rsidRDefault="006E40C9">
            <w:pPr>
              <w:pStyle w:val="MeasureTableTextRightAligned"/>
            </w:pPr>
            <w:r>
              <w:t>2027-28</w:t>
            </w:r>
          </w:p>
        </w:tc>
      </w:tr>
      <w:tr w:rsidR="006E40C9" w14:paraId="3725FA1A" w14:textId="77777777">
        <w:trPr>
          <w:cantSplit/>
          <w:jc w:val="center"/>
        </w:trPr>
        <w:tc>
          <w:tcPr>
            <w:tcW w:w="967" w:type="dxa"/>
            <w:tcBorders>
              <w:top w:val="single" w:sz="2" w:space="0" w:color="auto"/>
              <w:bottom w:val="single" w:sz="2" w:space="0" w:color="auto"/>
            </w:tcBorders>
          </w:tcPr>
          <w:p w14:paraId="19FBB8EE" w14:textId="77777777" w:rsidR="006E40C9" w:rsidRDefault="006E40C9">
            <w:pPr>
              <w:pStyle w:val="MeasureTableTextRightAligned"/>
            </w:pPr>
            <w:r>
              <w:t>3</w:t>
            </w:r>
          </w:p>
        </w:tc>
        <w:tc>
          <w:tcPr>
            <w:tcW w:w="967" w:type="dxa"/>
            <w:tcBorders>
              <w:top w:val="single" w:sz="2" w:space="0" w:color="auto"/>
              <w:bottom w:val="single" w:sz="2" w:space="0" w:color="auto"/>
            </w:tcBorders>
          </w:tcPr>
          <w:p w14:paraId="68F24F43"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2D79E26"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14DAE55C"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2C9DADD3"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3822425B"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5587A92"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7E6300E3" w14:textId="77777777" w:rsidR="006E40C9" w:rsidRDefault="006E40C9">
            <w:pPr>
              <w:pStyle w:val="MeasureTableTextRightAligned"/>
            </w:pPr>
            <w:r>
              <w:t>3</w:t>
            </w:r>
          </w:p>
        </w:tc>
      </w:tr>
      <w:tr w:rsidR="006E40C9" w14:paraId="1B24B03F" w14:textId="77777777">
        <w:trPr>
          <w:cantSplit/>
          <w:jc w:val="center"/>
        </w:trPr>
        <w:tc>
          <w:tcPr>
            <w:tcW w:w="1934" w:type="dxa"/>
            <w:gridSpan w:val="2"/>
            <w:tcBorders>
              <w:top w:val="single" w:sz="2" w:space="0" w:color="auto"/>
              <w:bottom w:val="nil"/>
            </w:tcBorders>
          </w:tcPr>
          <w:p w14:paraId="46F898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F2E34B" w14:textId="77777777" w:rsidR="006E40C9" w:rsidRDefault="006E40C9">
            <w:pPr>
              <w:pStyle w:val="MeasureTableTextLeftAligned"/>
            </w:pPr>
            <w:r>
              <w:t>Offset</w:t>
            </w:r>
          </w:p>
        </w:tc>
        <w:tc>
          <w:tcPr>
            <w:tcW w:w="1500" w:type="dxa"/>
            <w:gridSpan w:val="2"/>
            <w:tcBorders>
              <w:top w:val="single" w:sz="2" w:space="0" w:color="auto"/>
              <w:bottom w:val="nil"/>
            </w:tcBorders>
          </w:tcPr>
          <w:p w14:paraId="06069223" w14:textId="5EF7BC9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20ECAE" w14:textId="77777777" w:rsidR="006E40C9" w:rsidRDefault="006E40C9">
            <w:pPr>
              <w:pStyle w:val="MeasureTableTextLeftAligned"/>
            </w:pPr>
            <w:r>
              <w:t>A30</w:t>
            </w:r>
          </w:p>
        </w:tc>
      </w:tr>
      <w:tr w:rsidR="006E40C9" w14:paraId="44A1190F" w14:textId="77777777">
        <w:trPr>
          <w:cantSplit/>
          <w:jc w:val="center"/>
        </w:trPr>
        <w:tc>
          <w:tcPr>
            <w:tcW w:w="1934" w:type="dxa"/>
            <w:gridSpan w:val="2"/>
            <w:tcBorders>
              <w:top w:val="nil"/>
              <w:bottom w:val="nil"/>
            </w:tcBorders>
          </w:tcPr>
          <w:p w14:paraId="698A1C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869695" w14:textId="77777777" w:rsidR="006E40C9" w:rsidRPr="00584CA7" w:rsidRDefault="006E40C9">
            <w:pPr>
              <w:pStyle w:val="MeasureTableTextLeftAligned"/>
            </w:pPr>
            <w:r>
              <w:t>Medium</w:t>
            </w:r>
          </w:p>
        </w:tc>
        <w:tc>
          <w:tcPr>
            <w:tcW w:w="1500" w:type="dxa"/>
            <w:gridSpan w:val="2"/>
            <w:tcBorders>
              <w:top w:val="nil"/>
              <w:bottom w:val="nil"/>
            </w:tcBorders>
          </w:tcPr>
          <w:p w14:paraId="304BC452" w14:textId="77777777" w:rsidR="006E40C9" w:rsidRDefault="006E40C9">
            <w:pPr>
              <w:pStyle w:val="MeasureTableTextItalic"/>
            </w:pPr>
          </w:p>
        </w:tc>
        <w:tc>
          <w:tcPr>
            <w:tcW w:w="1124" w:type="dxa"/>
            <w:gridSpan w:val="2"/>
            <w:tcBorders>
              <w:top w:val="nil"/>
              <w:bottom w:val="nil"/>
            </w:tcBorders>
          </w:tcPr>
          <w:p w14:paraId="65B750BC" w14:textId="77777777" w:rsidR="006E40C9" w:rsidRDefault="006E40C9">
            <w:pPr>
              <w:pStyle w:val="MeasureTableTextLeftAligned"/>
            </w:pPr>
          </w:p>
        </w:tc>
      </w:tr>
      <w:tr w:rsidR="006E40C9" w14:paraId="291D58C3" w14:textId="77777777">
        <w:trPr>
          <w:cantSplit/>
          <w:jc w:val="center"/>
        </w:trPr>
        <w:tc>
          <w:tcPr>
            <w:tcW w:w="1934" w:type="dxa"/>
            <w:gridSpan w:val="2"/>
            <w:tcBorders>
              <w:top w:val="nil"/>
              <w:bottom w:val="nil"/>
            </w:tcBorders>
          </w:tcPr>
          <w:p w14:paraId="734B2957" w14:textId="77777777" w:rsidR="006E40C9" w:rsidRDefault="006E40C9">
            <w:pPr>
              <w:pStyle w:val="MeasureTableTextItalic"/>
            </w:pPr>
            <w:r>
              <w:t>Commencement date:</w:t>
            </w:r>
          </w:p>
        </w:tc>
        <w:tc>
          <w:tcPr>
            <w:tcW w:w="3179" w:type="dxa"/>
            <w:gridSpan w:val="4"/>
            <w:tcBorders>
              <w:top w:val="nil"/>
              <w:bottom w:val="nil"/>
            </w:tcBorders>
          </w:tcPr>
          <w:p w14:paraId="257DE718" w14:textId="77777777" w:rsidR="006E40C9" w:rsidRDefault="006E40C9">
            <w:pPr>
              <w:pStyle w:val="MeasureTableTextLeftAligned"/>
            </w:pPr>
            <w:r>
              <w:t>Introduced before 1985</w:t>
            </w:r>
          </w:p>
        </w:tc>
        <w:tc>
          <w:tcPr>
            <w:tcW w:w="1500" w:type="dxa"/>
            <w:gridSpan w:val="2"/>
            <w:tcBorders>
              <w:top w:val="nil"/>
              <w:bottom w:val="nil"/>
            </w:tcBorders>
          </w:tcPr>
          <w:p w14:paraId="6A173A30" w14:textId="77777777" w:rsidR="006E40C9" w:rsidRPr="00F32057" w:rsidRDefault="006E40C9">
            <w:pPr>
              <w:pStyle w:val="MeasureTableTextItalic"/>
            </w:pPr>
            <w:r>
              <w:t>Expiry date:</w:t>
            </w:r>
          </w:p>
        </w:tc>
        <w:tc>
          <w:tcPr>
            <w:tcW w:w="1124" w:type="dxa"/>
            <w:gridSpan w:val="2"/>
            <w:tcBorders>
              <w:top w:val="nil"/>
              <w:bottom w:val="nil"/>
            </w:tcBorders>
          </w:tcPr>
          <w:p w14:paraId="182045AA" w14:textId="77777777" w:rsidR="006E40C9" w:rsidRPr="00F32057" w:rsidRDefault="006E40C9">
            <w:pPr>
              <w:pStyle w:val="MeasureTableTextLeftAligned"/>
            </w:pPr>
          </w:p>
        </w:tc>
      </w:tr>
      <w:tr w:rsidR="006E40C9" w14:paraId="27593A8E" w14:textId="77777777">
        <w:trPr>
          <w:cantSplit/>
          <w:jc w:val="center"/>
        </w:trPr>
        <w:tc>
          <w:tcPr>
            <w:tcW w:w="1934" w:type="dxa"/>
            <w:gridSpan w:val="2"/>
            <w:tcBorders>
              <w:top w:val="nil"/>
            </w:tcBorders>
          </w:tcPr>
          <w:p w14:paraId="65E2E7AF" w14:textId="77777777" w:rsidR="006E40C9" w:rsidRDefault="006E40C9">
            <w:pPr>
              <w:pStyle w:val="MeasureTableTextItalic"/>
            </w:pPr>
            <w:r>
              <w:t>Legislative reference:</w:t>
            </w:r>
          </w:p>
        </w:tc>
        <w:tc>
          <w:tcPr>
            <w:tcW w:w="5803" w:type="dxa"/>
            <w:gridSpan w:val="8"/>
            <w:tcBorders>
              <w:top w:val="nil"/>
            </w:tcBorders>
          </w:tcPr>
          <w:p w14:paraId="4CDF234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61-A of the </w:t>
            </w:r>
            <w:r>
              <w:rPr>
                <w:rFonts w:ascii="Arial" w:hAnsi="Arial" w:cs="Arial"/>
                <w:i/>
                <w:iCs/>
                <w:color w:val="000000"/>
                <w:sz w:val="16"/>
                <w:szCs w:val="16"/>
              </w:rPr>
              <w:t>Income Tax Assessment Act 1997</w:t>
            </w:r>
          </w:p>
        </w:tc>
      </w:tr>
    </w:tbl>
    <w:p w14:paraId="2528124F" w14:textId="77777777" w:rsidR="006E40C9" w:rsidRPr="00540040" w:rsidRDefault="006E40C9" w:rsidP="006E40C9">
      <w:pPr>
        <w:pStyle w:val="MeasureTableHeading"/>
      </w:pPr>
    </w:p>
    <w:p w14:paraId="0D53276F" w14:textId="51CE2E45" w:rsidR="006E40C9" w:rsidRDefault="006E40C9" w:rsidP="006E40C9">
      <w:r>
        <w:t>The benchmark tax treatment is that income tax is paid on the taxable income of a taxpayer for an income year at their applicable rate of tax. However, the dependant (invalid and carer) tax offset reduces the amount of tax payable for taxpayers who maintain a dependant or are unable to work due to carer obligations or disability.</w:t>
      </w:r>
    </w:p>
    <w:p w14:paraId="4A1C92C8" w14:textId="77777777" w:rsidR="006E40C9" w:rsidRDefault="006E40C9" w:rsidP="0003254D">
      <w:pPr>
        <w:pStyle w:val="Heading4"/>
      </w:pPr>
      <w:r>
        <w:t>A31</w:t>
      </w:r>
      <w:r>
        <w:tab/>
        <w:t>Release from particular tax liabilities in cases of serious hardship</w:t>
      </w:r>
    </w:p>
    <w:p w14:paraId="4537EB1B"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5722765" w14:textId="77777777">
        <w:trPr>
          <w:cantSplit/>
          <w:jc w:val="center"/>
        </w:trPr>
        <w:tc>
          <w:tcPr>
            <w:tcW w:w="967" w:type="dxa"/>
            <w:tcBorders>
              <w:top w:val="single" w:sz="2" w:space="0" w:color="auto"/>
              <w:bottom w:val="single" w:sz="2" w:space="0" w:color="auto"/>
            </w:tcBorders>
          </w:tcPr>
          <w:p w14:paraId="0D434C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9DE184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855D9A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08A78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37515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381EC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012C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21A2E0" w14:textId="77777777" w:rsidR="006E40C9" w:rsidRDefault="006E40C9">
            <w:pPr>
              <w:pStyle w:val="MeasureTableTextRightAligned"/>
            </w:pPr>
            <w:r>
              <w:t>2027-28</w:t>
            </w:r>
          </w:p>
        </w:tc>
      </w:tr>
      <w:tr w:rsidR="006E40C9" w14:paraId="61E7E351" w14:textId="77777777">
        <w:trPr>
          <w:cantSplit/>
          <w:jc w:val="center"/>
        </w:trPr>
        <w:tc>
          <w:tcPr>
            <w:tcW w:w="967" w:type="dxa"/>
            <w:tcBorders>
              <w:top w:val="single" w:sz="2" w:space="0" w:color="auto"/>
              <w:bottom w:val="single" w:sz="2" w:space="0" w:color="auto"/>
            </w:tcBorders>
          </w:tcPr>
          <w:p w14:paraId="575E141F" w14:textId="77777777" w:rsidR="006E40C9" w:rsidRDefault="006E40C9">
            <w:pPr>
              <w:pStyle w:val="MeasureTableTextRightAligned"/>
            </w:pPr>
            <w:r>
              <w:t>36</w:t>
            </w:r>
          </w:p>
        </w:tc>
        <w:tc>
          <w:tcPr>
            <w:tcW w:w="967" w:type="dxa"/>
            <w:tcBorders>
              <w:top w:val="single" w:sz="2" w:space="0" w:color="auto"/>
              <w:bottom w:val="single" w:sz="2" w:space="0" w:color="auto"/>
            </w:tcBorders>
          </w:tcPr>
          <w:p w14:paraId="4F36DF93" w14:textId="77777777" w:rsidR="006E40C9" w:rsidRDefault="006E40C9">
            <w:pPr>
              <w:pStyle w:val="MeasureTableTextRightAligned"/>
            </w:pPr>
            <w:r>
              <w:t>32</w:t>
            </w:r>
          </w:p>
        </w:tc>
        <w:tc>
          <w:tcPr>
            <w:tcW w:w="967" w:type="dxa"/>
            <w:tcBorders>
              <w:top w:val="single" w:sz="2" w:space="0" w:color="auto"/>
              <w:bottom w:val="single" w:sz="2" w:space="0" w:color="auto"/>
            </w:tcBorders>
            <w:vAlign w:val="bottom"/>
          </w:tcPr>
          <w:p w14:paraId="072BDCFA" w14:textId="77777777" w:rsidR="006E40C9" w:rsidRDefault="006E40C9">
            <w:pPr>
              <w:pStyle w:val="MeasureTableTextRightAligned"/>
            </w:pPr>
            <w:r>
              <w:t>7</w:t>
            </w:r>
          </w:p>
        </w:tc>
        <w:tc>
          <w:tcPr>
            <w:tcW w:w="967" w:type="dxa"/>
            <w:tcBorders>
              <w:top w:val="single" w:sz="2" w:space="0" w:color="auto"/>
              <w:bottom w:val="single" w:sz="2" w:space="0" w:color="auto"/>
            </w:tcBorders>
            <w:vAlign w:val="bottom"/>
          </w:tcPr>
          <w:p w14:paraId="38C91CB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66068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88BD2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7CCFC8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00707B" w14:textId="77777777" w:rsidR="006E40C9" w:rsidRDefault="006E40C9">
            <w:pPr>
              <w:pStyle w:val="MeasureTableTextRightAligned"/>
            </w:pPr>
            <w:r>
              <w:t>*</w:t>
            </w:r>
          </w:p>
        </w:tc>
      </w:tr>
      <w:tr w:rsidR="006E40C9" w14:paraId="43A77A89" w14:textId="77777777">
        <w:trPr>
          <w:cantSplit/>
          <w:jc w:val="center"/>
        </w:trPr>
        <w:tc>
          <w:tcPr>
            <w:tcW w:w="1934" w:type="dxa"/>
            <w:gridSpan w:val="2"/>
            <w:tcBorders>
              <w:top w:val="single" w:sz="2" w:space="0" w:color="auto"/>
              <w:bottom w:val="nil"/>
            </w:tcBorders>
          </w:tcPr>
          <w:p w14:paraId="180882F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9948D08"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72F31CD5" w14:textId="6DBBC54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3A608AB" w14:textId="77777777" w:rsidR="006E40C9" w:rsidRDefault="006E40C9">
            <w:pPr>
              <w:pStyle w:val="MeasureTableTextLeftAligned"/>
            </w:pPr>
            <w:r>
              <w:t>A31</w:t>
            </w:r>
          </w:p>
        </w:tc>
      </w:tr>
      <w:tr w:rsidR="006E40C9" w14:paraId="401CDE6E" w14:textId="77777777">
        <w:trPr>
          <w:cantSplit/>
          <w:jc w:val="center"/>
        </w:trPr>
        <w:tc>
          <w:tcPr>
            <w:tcW w:w="1934" w:type="dxa"/>
            <w:gridSpan w:val="2"/>
            <w:tcBorders>
              <w:top w:val="nil"/>
              <w:bottom w:val="nil"/>
            </w:tcBorders>
          </w:tcPr>
          <w:p w14:paraId="0B14C1B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657A108" w14:textId="77777777" w:rsidR="006E40C9" w:rsidRPr="00584CA7" w:rsidRDefault="006E40C9">
            <w:pPr>
              <w:pStyle w:val="MeasureTableTextLeftAligned"/>
            </w:pPr>
            <w:r>
              <w:t>High</w:t>
            </w:r>
          </w:p>
        </w:tc>
        <w:tc>
          <w:tcPr>
            <w:tcW w:w="1500" w:type="dxa"/>
            <w:gridSpan w:val="2"/>
            <w:tcBorders>
              <w:top w:val="nil"/>
              <w:bottom w:val="nil"/>
            </w:tcBorders>
          </w:tcPr>
          <w:p w14:paraId="5AC981CD" w14:textId="77777777" w:rsidR="006E40C9" w:rsidRDefault="006E40C9">
            <w:pPr>
              <w:pStyle w:val="MeasureTableTextItalic"/>
            </w:pPr>
            <w:r>
              <w:t>* Category</w:t>
            </w:r>
          </w:p>
        </w:tc>
        <w:tc>
          <w:tcPr>
            <w:tcW w:w="1124" w:type="dxa"/>
            <w:gridSpan w:val="2"/>
            <w:tcBorders>
              <w:top w:val="nil"/>
              <w:bottom w:val="nil"/>
            </w:tcBorders>
          </w:tcPr>
          <w:p w14:paraId="7F8583C3" w14:textId="77777777" w:rsidR="006E40C9" w:rsidRDefault="006E40C9">
            <w:pPr>
              <w:pStyle w:val="MeasureTableTextLeftAligned"/>
            </w:pPr>
            <w:r>
              <w:t>2+</w:t>
            </w:r>
          </w:p>
        </w:tc>
      </w:tr>
      <w:tr w:rsidR="006E40C9" w14:paraId="669DA898" w14:textId="77777777">
        <w:trPr>
          <w:cantSplit/>
          <w:jc w:val="center"/>
        </w:trPr>
        <w:tc>
          <w:tcPr>
            <w:tcW w:w="1934" w:type="dxa"/>
            <w:gridSpan w:val="2"/>
            <w:tcBorders>
              <w:top w:val="nil"/>
              <w:bottom w:val="nil"/>
            </w:tcBorders>
          </w:tcPr>
          <w:p w14:paraId="2E8DEEEA" w14:textId="77777777" w:rsidR="006E40C9" w:rsidRDefault="006E40C9">
            <w:pPr>
              <w:pStyle w:val="MeasureTableTextItalic"/>
            </w:pPr>
            <w:r>
              <w:t>Commencement date:</w:t>
            </w:r>
          </w:p>
        </w:tc>
        <w:tc>
          <w:tcPr>
            <w:tcW w:w="3179" w:type="dxa"/>
            <w:gridSpan w:val="4"/>
            <w:tcBorders>
              <w:top w:val="nil"/>
              <w:bottom w:val="nil"/>
            </w:tcBorders>
          </w:tcPr>
          <w:p w14:paraId="16134F64" w14:textId="77777777" w:rsidR="006E40C9" w:rsidRDefault="006E40C9">
            <w:pPr>
              <w:pStyle w:val="MeasureTableTextLeftAligned"/>
            </w:pPr>
            <w:r>
              <w:t>Introduced before 1985</w:t>
            </w:r>
          </w:p>
        </w:tc>
        <w:tc>
          <w:tcPr>
            <w:tcW w:w="1500" w:type="dxa"/>
            <w:gridSpan w:val="2"/>
            <w:tcBorders>
              <w:top w:val="nil"/>
              <w:bottom w:val="nil"/>
            </w:tcBorders>
          </w:tcPr>
          <w:p w14:paraId="7DD974A2" w14:textId="77777777" w:rsidR="006E40C9" w:rsidRPr="00F32057" w:rsidRDefault="006E40C9">
            <w:pPr>
              <w:pStyle w:val="MeasureTableTextItalic"/>
            </w:pPr>
            <w:r>
              <w:t>Expiry date:</w:t>
            </w:r>
          </w:p>
        </w:tc>
        <w:tc>
          <w:tcPr>
            <w:tcW w:w="1124" w:type="dxa"/>
            <w:gridSpan w:val="2"/>
            <w:tcBorders>
              <w:top w:val="nil"/>
              <w:bottom w:val="nil"/>
            </w:tcBorders>
          </w:tcPr>
          <w:p w14:paraId="1A5C6BBB" w14:textId="77777777" w:rsidR="006E40C9" w:rsidRPr="00F32057" w:rsidRDefault="006E40C9">
            <w:pPr>
              <w:pStyle w:val="MeasureTableTextLeftAligned"/>
            </w:pPr>
          </w:p>
        </w:tc>
      </w:tr>
      <w:tr w:rsidR="006E40C9" w14:paraId="4941E973" w14:textId="77777777">
        <w:trPr>
          <w:cantSplit/>
          <w:jc w:val="center"/>
        </w:trPr>
        <w:tc>
          <w:tcPr>
            <w:tcW w:w="1934" w:type="dxa"/>
            <w:gridSpan w:val="2"/>
            <w:tcBorders>
              <w:top w:val="nil"/>
            </w:tcBorders>
          </w:tcPr>
          <w:p w14:paraId="4959A9E2" w14:textId="77777777" w:rsidR="006E40C9" w:rsidRDefault="006E40C9">
            <w:pPr>
              <w:pStyle w:val="MeasureTableTextItalic"/>
            </w:pPr>
            <w:r>
              <w:t>Legislative reference:</w:t>
            </w:r>
          </w:p>
        </w:tc>
        <w:tc>
          <w:tcPr>
            <w:tcW w:w="5803" w:type="dxa"/>
            <w:gridSpan w:val="8"/>
            <w:tcBorders>
              <w:top w:val="nil"/>
            </w:tcBorders>
          </w:tcPr>
          <w:p w14:paraId="0FD714B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340 in Schedule 1 to the </w:t>
            </w:r>
            <w:r>
              <w:rPr>
                <w:rFonts w:ascii="Arial" w:hAnsi="Arial" w:cs="Arial"/>
                <w:i/>
                <w:iCs/>
                <w:color w:val="000000"/>
                <w:sz w:val="16"/>
                <w:szCs w:val="16"/>
              </w:rPr>
              <w:t>Tax Administration Act 1953</w:t>
            </w:r>
          </w:p>
        </w:tc>
      </w:tr>
    </w:tbl>
    <w:p w14:paraId="00A5B321" w14:textId="77777777" w:rsidR="006E40C9" w:rsidRPr="00540040" w:rsidRDefault="006E40C9" w:rsidP="006E40C9">
      <w:pPr>
        <w:pStyle w:val="MeasureTableHeading"/>
      </w:pPr>
    </w:p>
    <w:p w14:paraId="6FD59E00" w14:textId="77777777" w:rsidR="006E40C9" w:rsidRDefault="006E40C9" w:rsidP="006E40C9">
      <w:r>
        <w:t xml:space="preserve">The benchmark tax treatment is that income tax is paid on the taxable income of a taxpayer for an income year at their applicable rate of tax. However, an individual taxpayer can be released from a tax liability where payment of the liability would cause serious hardship. </w:t>
      </w:r>
      <w:r>
        <w:fldChar w:fldCharType="begin"/>
      </w:r>
      <w:r>
        <w:instrText xml:space="preserve"> XE "Serious hardship" </w:instrText>
      </w:r>
      <w:r>
        <w:fldChar w:fldCharType="end"/>
      </w:r>
      <w:r>
        <w:t>This release from tax liability acts like a tax exemption.</w:t>
      </w:r>
    </w:p>
    <w:p w14:paraId="711B5BDC" w14:textId="77777777" w:rsidR="006E40C9" w:rsidRDefault="006E40C9" w:rsidP="0003254D">
      <w:pPr>
        <w:pStyle w:val="Heading4"/>
      </w:pPr>
      <w:r>
        <w:t>A32</w:t>
      </w:r>
      <w:r>
        <w:tab/>
        <w:t>Seniors and pensioners tax offset</w:t>
      </w:r>
    </w:p>
    <w:p w14:paraId="41A00806"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A874ACE" w14:textId="77777777">
        <w:trPr>
          <w:cantSplit/>
          <w:jc w:val="center"/>
        </w:trPr>
        <w:tc>
          <w:tcPr>
            <w:tcW w:w="967" w:type="dxa"/>
            <w:tcBorders>
              <w:top w:val="single" w:sz="2" w:space="0" w:color="auto"/>
              <w:bottom w:val="single" w:sz="2" w:space="0" w:color="auto"/>
            </w:tcBorders>
          </w:tcPr>
          <w:p w14:paraId="3360A6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DEC9B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188B8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AE68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EA07E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B3CFF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147E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3CB20D" w14:textId="77777777" w:rsidR="006E40C9" w:rsidRDefault="006E40C9">
            <w:pPr>
              <w:pStyle w:val="MeasureTableTextRightAligned"/>
            </w:pPr>
            <w:r>
              <w:t>2027-28</w:t>
            </w:r>
          </w:p>
        </w:tc>
      </w:tr>
      <w:tr w:rsidR="006E40C9" w14:paraId="4B3AA2BE" w14:textId="77777777">
        <w:trPr>
          <w:cantSplit/>
          <w:jc w:val="center"/>
        </w:trPr>
        <w:tc>
          <w:tcPr>
            <w:tcW w:w="967" w:type="dxa"/>
            <w:tcBorders>
              <w:top w:val="single" w:sz="2" w:space="0" w:color="auto"/>
              <w:bottom w:val="single" w:sz="2" w:space="0" w:color="auto"/>
            </w:tcBorders>
          </w:tcPr>
          <w:p w14:paraId="434D8F83" w14:textId="77777777" w:rsidR="006E40C9" w:rsidRDefault="006E40C9">
            <w:pPr>
              <w:pStyle w:val="MeasureTableTextRightAligned"/>
            </w:pPr>
            <w:r>
              <w:t>630</w:t>
            </w:r>
          </w:p>
        </w:tc>
        <w:tc>
          <w:tcPr>
            <w:tcW w:w="967" w:type="dxa"/>
            <w:tcBorders>
              <w:top w:val="single" w:sz="2" w:space="0" w:color="auto"/>
              <w:bottom w:val="single" w:sz="2" w:space="0" w:color="auto"/>
            </w:tcBorders>
          </w:tcPr>
          <w:p w14:paraId="11877ACC" w14:textId="77777777" w:rsidR="006E40C9" w:rsidRDefault="006E40C9">
            <w:pPr>
              <w:pStyle w:val="MeasureTableTextRightAligned"/>
            </w:pPr>
            <w:r>
              <w:t>460</w:t>
            </w:r>
          </w:p>
        </w:tc>
        <w:tc>
          <w:tcPr>
            <w:tcW w:w="967" w:type="dxa"/>
            <w:tcBorders>
              <w:top w:val="single" w:sz="2" w:space="0" w:color="auto"/>
              <w:bottom w:val="single" w:sz="2" w:space="0" w:color="auto"/>
            </w:tcBorders>
            <w:vAlign w:val="bottom"/>
          </w:tcPr>
          <w:p w14:paraId="157E8E4C" w14:textId="77777777" w:rsidR="006E40C9" w:rsidRDefault="006E40C9">
            <w:pPr>
              <w:pStyle w:val="MeasureTableTextRightAligned"/>
            </w:pPr>
            <w:r>
              <w:t>1,100</w:t>
            </w:r>
          </w:p>
        </w:tc>
        <w:tc>
          <w:tcPr>
            <w:tcW w:w="967" w:type="dxa"/>
            <w:tcBorders>
              <w:top w:val="single" w:sz="2" w:space="0" w:color="auto"/>
              <w:bottom w:val="single" w:sz="2" w:space="0" w:color="auto"/>
            </w:tcBorders>
            <w:vAlign w:val="bottom"/>
          </w:tcPr>
          <w:p w14:paraId="3325B734" w14:textId="77777777" w:rsidR="006E40C9" w:rsidRDefault="006E40C9">
            <w:pPr>
              <w:pStyle w:val="MeasureTableTextRightAligned"/>
            </w:pPr>
            <w:r>
              <w:t>1,250</w:t>
            </w:r>
          </w:p>
        </w:tc>
        <w:tc>
          <w:tcPr>
            <w:tcW w:w="967" w:type="dxa"/>
            <w:tcBorders>
              <w:top w:val="single" w:sz="2" w:space="0" w:color="auto"/>
              <w:bottom w:val="single" w:sz="2" w:space="0" w:color="auto"/>
            </w:tcBorders>
            <w:vAlign w:val="bottom"/>
          </w:tcPr>
          <w:p w14:paraId="48F20534" w14:textId="77777777" w:rsidR="006E40C9" w:rsidRDefault="006E40C9">
            <w:pPr>
              <w:pStyle w:val="MeasureTableTextRightAligned"/>
            </w:pPr>
            <w:r>
              <w:t>1,050</w:t>
            </w:r>
          </w:p>
        </w:tc>
        <w:tc>
          <w:tcPr>
            <w:tcW w:w="967" w:type="dxa"/>
            <w:gridSpan w:val="2"/>
            <w:tcBorders>
              <w:top w:val="single" w:sz="2" w:space="0" w:color="auto"/>
              <w:bottom w:val="single" w:sz="2" w:space="0" w:color="auto"/>
            </w:tcBorders>
            <w:vAlign w:val="bottom"/>
          </w:tcPr>
          <w:p w14:paraId="07BE8864" w14:textId="77777777" w:rsidR="006E40C9" w:rsidRDefault="006E40C9">
            <w:pPr>
              <w:pStyle w:val="MeasureTableTextRightAligned"/>
            </w:pPr>
            <w:r>
              <w:t>1,000</w:t>
            </w:r>
          </w:p>
        </w:tc>
        <w:tc>
          <w:tcPr>
            <w:tcW w:w="967" w:type="dxa"/>
            <w:gridSpan w:val="2"/>
            <w:tcBorders>
              <w:top w:val="single" w:sz="2" w:space="0" w:color="auto"/>
              <w:bottom w:val="single" w:sz="2" w:space="0" w:color="auto"/>
            </w:tcBorders>
            <w:vAlign w:val="bottom"/>
          </w:tcPr>
          <w:p w14:paraId="33831868" w14:textId="77777777" w:rsidR="006E40C9" w:rsidRDefault="006E40C9">
            <w:pPr>
              <w:pStyle w:val="MeasureTableTextRightAligned"/>
            </w:pPr>
            <w:r>
              <w:t>1,000</w:t>
            </w:r>
          </w:p>
        </w:tc>
        <w:tc>
          <w:tcPr>
            <w:tcW w:w="968" w:type="dxa"/>
            <w:tcBorders>
              <w:top w:val="single" w:sz="2" w:space="0" w:color="auto"/>
              <w:bottom w:val="single" w:sz="2" w:space="0" w:color="auto"/>
            </w:tcBorders>
            <w:vAlign w:val="bottom"/>
          </w:tcPr>
          <w:p w14:paraId="474C0A79" w14:textId="77777777" w:rsidR="006E40C9" w:rsidRDefault="006E40C9">
            <w:pPr>
              <w:pStyle w:val="MeasureTableTextRightAligned"/>
            </w:pPr>
            <w:r>
              <w:t>1,000</w:t>
            </w:r>
          </w:p>
        </w:tc>
      </w:tr>
      <w:tr w:rsidR="006E40C9" w14:paraId="45871AB0" w14:textId="77777777">
        <w:trPr>
          <w:cantSplit/>
          <w:jc w:val="center"/>
        </w:trPr>
        <w:tc>
          <w:tcPr>
            <w:tcW w:w="1934" w:type="dxa"/>
            <w:gridSpan w:val="2"/>
            <w:tcBorders>
              <w:top w:val="single" w:sz="2" w:space="0" w:color="auto"/>
              <w:bottom w:val="nil"/>
            </w:tcBorders>
          </w:tcPr>
          <w:p w14:paraId="2382243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2B55AD4" w14:textId="77777777" w:rsidR="006E40C9" w:rsidRDefault="006E40C9">
            <w:pPr>
              <w:pStyle w:val="MeasureTableTextLeftAligned"/>
            </w:pPr>
            <w:r>
              <w:t>Offset</w:t>
            </w:r>
          </w:p>
        </w:tc>
        <w:tc>
          <w:tcPr>
            <w:tcW w:w="1500" w:type="dxa"/>
            <w:gridSpan w:val="2"/>
            <w:tcBorders>
              <w:top w:val="single" w:sz="2" w:space="0" w:color="auto"/>
              <w:bottom w:val="nil"/>
            </w:tcBorders>
          </w:tcPr>
          <w:p w14:paraId="126A5DF8" w14:textId="663CA1A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5A3BC9A" w14:textId="77777777" w:rsidR="006E40C9" w:rsidRDefault="006E40C9">
            <w:pPr>
              <w:pStyle w:val="MeasureTableTextLeftAligned"/>
            </w:pPr>
            <w:r>
              <w:t>A32</w:t>
            </w:r>
          </w:p>
        </w:tc>
      </w:tr>
      <w:tr w:rsidR="006E40C9" w14:paraId="58606DB2" w14:textId="77777777">
        <w:trPr>
          <w:cantSplit/>
          <w:jc w:val="center"/>
        </w:trPr>
        <w:tc>
          <w:tcPr>
            <w:tcW w:w="1934" w:type="dxa"/>
            <w:gridSpan w:val="2"/>
            <w:tcBorders>
              <w:top w:val="nil"/>
              <w:bottom w:val="nil"/>
            </w:tcBorders>
          </w:tcPr>
          <w:p w14:paraId="6B17BB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7BA812" w14:textId="77777777" w:rsidR="006E40C9" w:rsidRPr="00584CA7" w:rsidRDefault="006E40C9">
            <w:pPr>
              <w:pStyle w:val="MeasureTableTextLeftAligned"/>
            </w:pPr>
            <w:r>
              <w:t>Medium</w:t>
            </w:r>
          </w:p>
        </w:tc>
        <w:tc>
          <w:tcPr>
            <w:tcW w:w="1500" w:type="dxa"/>
            <w:gridSpan w:val="2"/>
            <w:tcBorders>
              <w:top w:val="nil"/>
              <w:bottom w:val="nil"/>
            </w:tcBorders>
          </w:tcPr>
          <w:p w14:paraId="0AEB6088" w14:textId="77777777" w:rsidR="006E40C9" w:rsidRDefault="006E40C9">
            <w:pPr>
              <w:pStyle w:val="MeasureTableTextItalic"/>
            </w:pPr>
          </w:p>
        </w:tc>
        <w:tc>
          <w:tcPr>
            <w:tcW w:w="1124" w:type="dxa"/>
            <w:gridSpan w:val="2"/>
            <w:tcBorders>
              <w:top w:val="nil"/>
              <w:bottom w:val="nil"/>
            </w:tcBorders>
          </w:tcPr>
          <w:p w14:paraId="02E2F868" w14:textId="77777777" w:rsidR="006E40C9" w:rsidRDefault="006E40C9">
            <w:pPr>
              <w:pStyle w:val="MeasureTableTextLeftAligned"/>
            </w:pPr>
          </w:p>
        </w:tc>
      </w:tr>
      <w:tr w:rsidR="006E40C9" w14:paraId="39B207D3" w14:textId="77777777">
        <w:trPr>
          <w:cantSplit/>
          <w:jc w:val="center"/>
        </w:trPr>
        <w:tc>
          <w:tcPr>
            <w:tcW w:w="1934" w:type="dxa"/>
            <w:gridSpan w:val="2"/>
            <w:tcBorders>
              <w:top w:val="nil"/>
              <w:bottom w:val="nil"/>
            </w:tcBorders>
          </w:tcPr>
          <w:p w14:paraId="065D1D30" w14:textId="77777777" w:rsidR="006E40C9" w:rsidRDefault="006E40C9">
            <w:pPr>
              <w:pStyle w:val="MeasureTableTextItalic"/>
            </w:pPr>
            <w:r>
              <w:t>Commencement date:</w:t>
            </w:r>
          </w:p>
        </w:tc>
        <w:tc>
          <w:tcPr>
            <w:tcW w:w="3179" w:type="dxa"/>
            <w:gridSpan w:val="4"/>
            <w:tcBorders>
              <w:top w:val="nil"/>
              <w:bottom w:val="nil"/>
            </w:tcBorders>
          </w:tcPr>
          <w:p w14:paraId="3D35648C" w14:textId="77777777" w:rsidR="006E40C9" w:rsidRDefault="006E40C9">
            <w:pPr>
              <w:pStyle w:val="MeasureTableTextLeftAligned"/>
            </w:pPr>
            <w:r>
              <w:t>1 July 1996</w:t>
            </w:r>
          </w:p>
        </w:tc>
        <w:tc>
          <w:tcPr>
            <w:tcW w:w="1500" w:type="dxa"/>
            <w:gridSpan w:val="2"/>
            <w:tcBorders>
              <w:top w:val="nil"/>
              <w:bottom w:val="nil"/>
            </w:tcBorders>
          </w:tcPr>
          <w:p w14:paraId="445F2BD8" w14:textId="77777777" w:rsidR="006E40C9" w:rsidRPr="00F32057" w:rsidRDefault="006E40C9">
            <w:pPr>
              <w:pStyle w:val="MeasureTableTextItalic"/>
            </w:pPr>
            <w:r>
              <w:t>Expiry date:</w:t>
            </w:r>
          </w:p>
        </w:tc>
        <w:tc>
          <w:tcPr>
            <w:tcW w:w="1124" w:type="dxa"/>
            <w:gridSpan w:val="2"/>
            <w:tcBorders>
              <w:top w:val="nil"/>
              <w:bottom w:val="nil"/>
            </w:tcBorders>
          </w:tcPr>
          <w:p w14:paraId="1221E745" w14:textId="77777777" w:rsidR="006E40C9" w:rsidRPr="00F32057" w:rsidRDefault="006E40C9">
            <w:pPr>
              <w:pStyle w:val="MeasureTableTextLeftAligned"/>
            </w:pPr>
          </w:p>
        </w:tc>
      </w:tr>
      <w:tr w:rsidR="006E40C9" w14:paraId="08C910DE" w14:textId="77777777">
        <w:trPr>
          <w:cantSplit/>
          <w:jc w:val="center"/>
        </w:trPr>
        <w:tc>
          <w:tcPr>
            <w:tcW w:w="1934" w:type="dxa"/>
            <w:gridSpan w:val="2"/>
            <w:tcBorders>
              <w:top w:val="nil"/>
            </w:tcBorders>
          </w:tcPr>
          <w:p w14:paraId="7DE3079C" w14:textId="77777777" w:rsidR="006E40C9" w:rsidRDefault="006E40C9">
            <w:pPr>
              <w:pStyle w:val="MeasureTableTextItalic"/>
            </w:pPr>
            <w:r>
              <w:t>Legislative reference:</w:t>
            </w:r>
          </w:p>
        </w:tc>
        <w:tc>
          <w:tcPr>
            <w:tcW w:w="5803" w:type="dxa"/>
            <w:gridSpan w:val="8"/>
            <w:tcBorders>
              <w:top w:val="nil"/>
            </w:tcBorders>
          </w:tcPr>
          <w:p w14:paraId="09A7E35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160AAAA and 160AAAB of the </w:t>
            </w:r>
            <w:r>
              <w:rPr>
                <w:rFonts w:ascii="Arial" w:hAnsi="Arial" w:cs="Arial"/>
                <w:i/>
                <w:iCs/>
                <w:color w:val="000000"/>
                <w:sz w:val="16"/>
                <w:szCs w:val="16"/>
              </w:rPr>
              <w:t>Income Tax Assessment Act 1936</w:t>
            </w:r>
          </w:p>
        </w:tc>
      </w:tr>
    </w:tbl>
    <w:p w14:paraId="2498D816" w14:textId="77777777" w:rsidR="006E40C9" w:rsidRPr="00540040" w:rsidRDefault="006E40C9" w:rsidP="006E40C9">
      <w:pPr>
        <w:pStyle w:val="MeasureTableHeading"/>
      </w:pPr>
    </w:p>
    <w:p w14:paraId="16A689C1" w14:textId="77777777" w:rsidR="006E40C9" w:rsidRDefault="006E40C9" w:rsidP="006E40C9">
      <w:pPr>
        <w:rPr>
          <w:color w:val="000000"/>
        </w:rPr>
      </w:pPr>
      <w:r>
        <w:t>Under the benchmark, government payments to individuals are included as part of taxable income; income tax is paid on the taxable income of a taxpayer for an income year at their applicable rate. However, t</w:t>
      </w:r>
      <w:r>
        <w:rPr>
          <w:color w:val="000000"/>
        </w:rPr>
        <w:t>he seniors and pensioners tax offset reduces the tax payable by</w:t>
      </w:r>
      <w:r>
        <w:rPr>
          <w:color w:val="000000"/>
        </w:rPr>
        <w:fldChar w:fldCharType="begin"/>
      </w:r>
      <w:r>
        <w:instrText xml:space="preserve"> XE "Seniors and pensioners tax offset" </w:instrText>
      </w:r>
      <w:r>
        <w:rPr>
          <w:color w:val="000000"/>
        </w:rPr>
        <w:fldChar w:fldCharType="end"/>
      </w:r>
      <w:r>
        <w:rPr>
          <w:color w:val="000000"/>
        </w:rPr>
        <w:t xml:space="preserve"> taxpayers who receive certain taxable pensions and payments, for example, the Age Pension and the Defence Force Income Support Allowance</w:t>
      </w:r>
      <w:r>
        <w:rPr>
          <w:color w:val="000000"/>
        </w:rPr>
        <w:fldChar w:fldCharType="begin"/>
      </w:r>
      <w:r>
        <w:instrText xml:space="preserve"> XE "</w:instrText>
      </w:r>
      <w:r w:rsidRPr="005F471E">
        <w:rPr>
          <w:color w:val="000000"/>
        </w:rPr>
        <w:instrText>Defence Force Income Support Allowance</w:instrText>
      </w:r>
      <w:r>
        <w:instrText xml:space="preserve">" </w:instrText>
      </w:r>
      <w:r>
        <w:rPr>
          <w:color w:val="000000"/>
        </w:rPr>
        <w:fldChar w:fldCharType="end"/>
      </w:r>
      <w:r>
        <w:rPr>
          <w:color w:val="000000"/>
        </w:rPr>
        <w:t>. It also reduces the tax payable by taxpayers who are of Age Pension age but who do not receive the Age Pension because of the income or assets tests.</w:t>
      </w:r>
    </w:p>
    <w:p w14:paraId="0DFF68B7" w14:textId="77777777" w:rsidR="006E40C9" w:rsidRDefault="006E40C9" w:rsidP="0003254D">
      <w:pPr>
        <w:pStyle w:val="Heading4"/>
      </w:pPr>
      <w:r>
        <w:t>A33</w:t>
      </w:r>
      <w:r>
        <w:tab/>
        <w:t>Pacific Australia Labour Mobility Scheme</w:t>
      </w:r>
    </w:p>
    <w:p w14:paraId="1A60DF6B" w14:textId="52E0491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D94C0DA" w14:textId="77777777">
        <w:trPr>
          <w:cantSplit/>
          <w:jc w:val="center"/>
        </w:trPr>
        <w:tc>
          <w:tcPr>
            <w:tcW w:w="967" w:type="dxa"/>
            <w:tcBorders>
              <w:top w:val="single" w:sz="2" w:space="0" w:color="auto"/>
              <w:bottom w:val="single" w:sz="2" w:space="0" w:color="auto"/>
            </w:tcBorders>
          </w:tcPr>
          <w:p w14:paraId="1167C26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9A65B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3C744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4558A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66D37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CC2D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FCCE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8208B4" w14:textId="77777777" w:rsidR="006E40C9" w:rsidRDefault="006E40C9">
            <w:pPr>
              <w:pStyle w:val="MeasureTableTextRightAligned"/>
            </w:pPr>
            <w:r>
              <w:t>2027-28</w:t>
            </w:r>
          </w:p>
        </w:tc>
      </w:tr>
      <w:tr w:rsidR="006E40C9" w14:paraId="0B16B025" w14:textId="77777777">
        <w:trPr>
          <w:cantSplit/>
          <w:jc w:val="center"/>
        </w:trPr>
        <w:tc>
          <w:tcPr>
            <w:tcW w:w="967" w:type="dxa"/>
            <w:tcBorders>
              <w:top w:val="single" w:sz="2" w:space="0" w:color="auto"/>
              <w:bottom w:val="single" w:sz="2" w:space="0" w:color="auto"/>
            </w:tcBorders>
          </w:tcPr>
          <w:p w14:paraId="6EB72E67"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047C2300"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29577AF6"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1C14FF8B"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6C9C389B"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40348C98"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3B02677B" w14:textId="77777777" w:rsidR="006E40C9" w:rsidRDefault="006E40C9">
            <w:pPr>
              <w:pStyle w:val="MeasureTableTextRightAligned"/>
            </w:pPr>
            <w:r>
              <w:t>135</w:t>
            </w:r>
          </w:p>
        </w:tc>
        <w:tc>
          <w:tcPr>
            <w:tcW w:w="968" w:type="dxa"/>
            <w:tcBorders>
              <w:top w:val="single" w:sz="2" w:space="0" w:color="auto"/>
              <w:bottom w:val="single" w:sz="2" w:space="0" w:color="auto"/>
            </w:tcBorders>
            <w:vAlign w:val="bottom"/>
          </w:tcPr>
          <w:p w14:paraId="66489F5D" w14:textId="77777777" w:rsidR="006E40C9" w:rsidRDefault="006E40C9">
            <w:pPr>
              <w:pStyle w:val="MeasureTableTextRightAligned"/>
            </w:pPr>
            <w:r>
              <w:t>140</w:t>
            </w:r>
          </w:p>
        </w:tc>
      </w:tr>
      <w:tr w:rsidR="006E40C9" w14:paraId="745152FE" w14:textId="77777777">
        <w:trPr>
          <w:cantSplit/>
          <w:jc w:val="center"/>
        </w:trPr>
        <w:tc>
          <w:tcPr>
            <w:tcW w:w="1934" w:type="dxa"/>
            <w:gridSpan w:val="2"/>
            <w:tcBorders>
              <w:top w:val="single" w:sz="2" w:space="0" w:color="auto"/>
              <w:bottom w:val="nil"/>
            </w:tcBorders>
          </w:tcPr>
          <w:p w14:paraId="00702A8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1B26A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2EA77AD7" w14:textId="38AF3A0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A204DB0" w14:textId="77777777" w:rsidR="006E40C9" w:rsidRDefault="006E40C9">
            <w:pPr>
              <w:pStyle w:val="MeasureTableTextLeftAligned"/>
            </w:pPr>
            <w:r>
              <w:t>A33</w:t>
            </w:r>
          </w:p>
        </w:tc>
      </w:tr>
      <w:tr w:rsidR="006E40C9" w14:paraId="421EE6E5" w14:textId="77777777">
        <w:trPr>
          <w:cantSplit/>
          <w:jc w:val="center"/>
        </w:trPr>
        <w:tc>
          <w:tcPr>
            <w:tcW w:w="1934" w:type="dxa"/>
            <w:gridSpan w:val="2"/>
            <w:tcBorders>
              <w:top w:val="nil"/>
              <w:bottom w:val="nil"/>
            </w:tcBorders>
          </w:tcPr>
          <w:p w14:paraId="6EE9D65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D1331C" w14:textId="146FDDE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3A268C0" w14:textId="77777777" w:rsidR="006E40C9" w:rsidRDefault="006E40C9">
            <w:pPr>
              <w:pStyle w:val="MeasureTableTextItalic"/>
            </w:pPr>
          </w:p>
        </w:tc>
        <w:tc>
          <w:tcPr>
            <w:tcW w:w="1124" w:type="dxa"/>
            <w:gridSpan w:val="2"/>
            <w:tcBorders>
              <w:top w:val="nil"/>
              <w:bottom w:val="nil"/>
            </w:tcBorders>
          </w:tcPr>
          <w:p w14:paraId="489974B4" w14:textId="77777777" w:rsidR="006E40C9" w:rsidRDefault="006E40C9">
            <w:pPr>
              <w:pStyle w:val="MeasureTableTextLeftAligned"/>
            </w:pPr>
          </w:p>
        </w:tc>
      </w:tr>
      <w:tr w:rsidR="006E40C9" w14:paraId="2F9B3106" w14:textId="77777777">
        <w:trPr>
          <w:cantSplit/>
          <w:jc w:val="center"/>
        </w:trPr>
        <w:tc>
          <w:tcPr>
            <w:tcW w:w="1934" w:type="dxa"/>
            <w:gridSpan w:val="2"/>
            <w:tcBorders>
              <w:top w:val="nil"/>
              <w:bottom w:val="nil"/>
            </w:tcBorders>
          </w:tcPr>
          <w:p w14:paraId="368CC04D" w14:textId="77777777" w:rsidR="006E40C9" w:rsidRDefault="006E40C9">
            <w:pPr>
              <w:pStyle w:val="MeasureTableTextItalic"/>
            </w:pPr>
            <w:r>
              <w:t>Commencement date:</w:t>
            </w:r>
          </w:p>
        </w:tc>
        <w:tc>
          <w:tcPr>
            <w:tcW w:w="3179" w:type="dxa"/>
            <w:gridSpan w:val="4"/>
            <w:tcBorders>
              <w:top w:val="nil"/>
              <w:bottom w:val="nil"/>
            </w:tcBorders>
          </w:tcPr>
          <w:p w14:paraId="50BA0D08" w14:textId="77777777" w:rsidR="006E40C9" w:rsidRDefault="006E40C9">
            <w:pPr>
              <w:pStyle w:val="MeasureTableTextLeftAligned"/>
            </w:pPr>
            <w:r>
              <w:t>1 July 2022</w:t>
            </w:r>
          </w:p>
        </w:tc>
        <w:tc>
          <w:tcPr>
            <w:tcW w:w="1500" w:type="dxa"/>
            <w:gridSpan w:val="2"/>
            <w:tcBorders>
              <w:top w:val="nil"/>
              <w:bottom w:val="nil"/>
            </w:tcBorders>
          </w:tcPr>
          <w:p w14:paraId="0C92DB8E" w14:textId="77777777" w:rsidR="006E40C9" w:rsidRPr="00F32057" w:rsidRDefault="006E40C9">
            <w:pPr>
              <w:pStyle w:val="MeasureTableTextItalic"/>
            </w:pPr>
            <w:r>
              <w:t>Expiry date:</w:t>
            </w:r>
          </w:p>
        </w:tc>
        <w:tc>
          <w:tcPr>
            <w:tcW w:w="1124" w:type="dxa"/>
            <w:gridSpan w:val="2"/>
            <w:tcBorders>
              <w:top w:val="nil"/>
              <w:bottom w:val="nil"/>
            </w:tcBorders>
          </w:tcPr>
          <w:p w14:paraId="78FD7C6C" w14:textId="77777777" w:rsidR="006E40C9" w:rsidRPr="00F32057" w:rsidRDefault="006E40C9">
            <w:pPr>
              <w:pStyle w:val="MeasureTableTextLeftAligned"/>
            </w:pPr>
          </w:p>
        </w:tc>
      </w:tr>
      <w:tr w:rsidR="006E40C9" w14:paraId="7FAAB4A8" w14:textId="77777777">
        <w:trPr>
          <w:cantSplit/>
          <w:jc w:val="center"/>
        </w:trPr>
        <w:tc>
          <w:tcPr>
            <w:tcW w:w="1934" w:type="dxa"/>
            <w:gridSpan w:val="2"/>
            <w:tcBorders>
              <w:top w:val="nil"/>
            </w:tcBorders>
          </w:tcPr>
          <w:p w14:paraId="6FB47B55" w14:textId="77777777" w:rsidR="006E40C9" w:rsidRDefault="006E40C9">
            <w:pPr>
              <w:pStyle w:val="MeasureTableTextItalic"/>
            </w:pPr>
            <w:r>
              <w:t>Legislative reference:</w:t>
            </w:r>
          </w:p>
        </w:tc>
        <w:tc>
          <w:tcPr>
            <w:tcW w:w="5803" w:type="dxa"/>
            <w:gridSpan w:val="8"/>
            <w:tcBorders>
              <w:top w:val="nil"/>
            </w:tcBorders>
          </w:tcPr>
          <w:p w14:paraId="79EC690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Income Tax (Seasonal Labour Mobility Program Withholding Tax) Act 2012</w:t>
            </w:r>
          </w:p>
          <w:p w14:paraId="7D8558C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840 of the </w:t>
            </w:r>
            <w:r>
              <w:rPr>
                <w:rFonts w:ascii="Arial" w:hAnsi="Arial" w:cs="Arial"/>
                <w:i/>
                <w:iCs/>
                <w:color w:val="000000"/>
                <w:sz w:val="16"/>
                <w:szCs w:val="16"/>
              </w:rPr>
              <w:t>Income Tax Assessment Act 1997</w:t>
            </w:r>
          </w:p>
        </w:tc>
      </w:tr>
    </w:tbl>
    <w:p w14:paraId="52E19B6C" w14:textId="77777777" w:rsidR="006E40C9" w:rsidRPr="00540040" w:rsidRDefault="006E40C9" w:rsidP="006E40C9">
      <w:pPr>
        <w:pStyle w:val="MeasureTableHeading"/>
      </w:pPr>
    </w:p>
    <w:p w14:paraId="34146AF5" w14:textId="77777777" w:rsidR="006E40C9" w:rsidRDefault="006E40C9" w:rsidP="006E40C9">
      <w:r>
        <w:t xml:space="preserve">The benchmark tax treatment is that income tax is paid on the taxable income of a taxpayer for an income year at their applicable rate of tax. However, workers employed under the </w:t>
      </w:r>
      <w:r w:rsidRPr="00BB210E">
        <w:t>Pacific Australia</w:t>
      </w:r>
      <w:r>
        <w:t xml:space="preserve"> Labour Mobility (PALM) scheme (formerly the Seasonal Worker Program)</w:t>
      </w:r>
      <w:r>
        <w:fldChar w:fldCharType="begin"/>
      </w:r>
      <w:r>
        <w:instrText xml:space="preserve"> XE "Seasonal Labour Mobility Program" </w:instrText>
      </w:r>
      <w:r>
        <w:fldChar w:fldCharType="end"/>
      </w:r>
      <w:r>
        <w:t xml:space="preserve"> are subject to a final withholding tax of 15 per cent on income that is salary, wages or allowances paid to them under the scheme, and that they derive when they are a foreign resident.</w:t>
      </w:r>
    </w:p>
    <w:p w14:paraId="0E5801FD" w14:textId="77777777" w:rsidR="006E40C9" w:rsidRDefault="006E40C9" w:rsidP="006E40C9">
      <w:r w:rsidRPr="0019248E">
        <w:t xml:space="preserve">The Seasonal </w:t>
      </w:r>
      <w:r>
        <w:t>Worker</w:t>
      </w:r>
      <w:r w:rsidRPr="0019248E">
        <w:t xml:space="preserve"> Program </w:t>
      </w:r>
      <w:r>
        <w:t>was consolidated into</w:t>
      </w:r>
      <w:r w:rsidRPr="0019248E">
        <w:t xml:space="preserve"> </w:t>
      </w:r>
      <w:r>
        <w:t xml:space="preserve">the </w:t>
      </w:r>
      <w:r w:rsidRPr="0019248E">
        <w:t>PALM scheme</w:t>
      </w:r>
      <w:r>
        <w:t xml:space="preserve"> in April 2022. The concessional rate was extended to all foreign resident workers employed under the PALM scheme from 1 July 2022.</w:t>
      </w:r>
    </w:p>
    <w:p w14:paraId="6150F73D" w14:textId="77777777" w:rsidR="006E40C9" w:rsidRDefault="006E40C9" w:rsidP="0003254D">
      <w:pPr>
        <w:pStyle w:val="Heading4"/>
      </w:pPr>
      <w:r>
        <w:t>A34</w:t>
      </w:r>
      <w:r>
        <w:tab/>
        <w:t>Working holiday makers</w:t>
      </w:r>
    </w:p>
    <w:p w14:paraId="7A29BF11" w14:textId="7E17D08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BD8EED" w14:textId="77777777">
        <w:trPr>
          <w:cantSplit/>
          <w:jc w:val="center"/>
        </w:trPr>
        <w:tc>
          <w:tcPr>
            <w:tcW w:w="967" w:type="dxa"/>
            <w:tcBorders>
              <w:top w:val="single" w:sz="2" w:space="0" w:color="auto"/>
              <w:bottom w:val="single" w:sz="2" w:space="0" w:color="auto"/>
            </w:tcBorders>
          </w:tcPr>
          <w:p w14:paraId="2E93DC3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734F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AE18E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FDE6A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85755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F490E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67F4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1B41F2" w14:textId="77777777" w:rsidR="006E40C9" w:rsidRDefault="006E40C9">
            <w:pPr>
              <w:pStyle w:val="MeasureTableTextRightAligned"/>
            </w:pPr>
            <w:r>
              <w:t>2027-28</w:t>
            </w:r>
          </w:p>
        </w:tc>
      </w:tr>
      <w:tr w:rsidR="006E40C9" w14:paraId="674C4A37" w14:textId="77777777">
        <w:trPr>
          <w:cantSplit/>
          <w:jc w:val="center"/>
        </w:trPr>
        <w:tc>
          <w:tcPr>
            <w:tcW w:w="967" w:type="dxa"/>
            <w:tcBorders>
              <w:top w:val="single" w:sz="2" w:space="0" w:color="auto"/>
              <w:bottom w:val="single" w:sz="2" w:space="0" w:color="auto"/>
            </w:tcBorders>
          </w:tcPr>
          <w:p w14:paraId="6020BB70" w14:textId="77777777" w:rsidR="006E40C9" w:rsidRDefault="006E40C9">
            <w:pPr>
              <w:pStyle w:val="MeasureTableTextRightAligned"/>
            </w:pPr>
            <w:r>
              <w:t>200</w:t>
            </w:r>
          </w:p>
        </w:tc>
        <w:tc>
          <w:tcPr>
            <w:tcW w:w="967" w:type="dxa"/>
            <w:tcBorders>
              <w:top w:val="single" w:sz="2" w:space="0" w:color="auto"/>
              <w:bottom w:val="single" w:sz="2" w:space="0" w:color="auto"/>
            </w:tcBorders>
          </w:tcPr>
          <w:p w14:paraId="62C3B15F"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087879C2" w14:textId="77777777" w:rsidR="006E40C9" w:rsidRDefault="006E40C9">
            <w:pPr>
              <w:pStyle w:val="MeasureTableTextRightAligned"/>
            </w:pPr>
            <w:r>
              <w:t>375</w:t>
            </w:r>
          </w:p>
        </w:tc>
        <w:tc>
          <w:tcPr>
            <w:tcW w:w="967" w:type="dxa"/>
            <w:tcBorders>
              <w:top w:val="single" w:sz="2" w:space="0" w:color="auto"/>
              <w:bottom w:val="single" w:sz="2" w:space="0" w:color="auto"/>
            </w:tcBorders>
            <w:vAlign w:val="bottom"/>
          </w:tcPr>
          <w:p w14:paraId="10E3BEB4" w14:textId="77777777" w:rsidR="006E40C9" w:rsidRDefault="006E40C9">
            <w:pPr>
              <w:pStyle w:val="MeasureTableTextRightAligned"/>
            </w:pPr>
            <w:r>
              <w:t>580</w:t>
            </w:r>
          </w:p>
        </w:tc>
        <w:tc>
          <w:tcPr>
            <w:tcW w:w="967" w:type="dxa"/>
            <w:tcBorders>
              <w:top w:val="single" w:sz="2" w:space="0" w:color="auto"/>
              <w:bottom w:val="single" w:sz="2" w:space="0" w:color="auto"/>
            </w:tcBorders>
            <w:vAlign w:val="bottom"/>
          </w:tcPr>
          <w:p w14:paraId="0C17ADDA" w14:textId="77777777" w:rsidR="006E40C9" w:rsidRDefault="006E40C9">
            <w:pPr>
              <w:pStyle w:val="MeasureTableTextRightAligned"/>
            </w:pPr>
            <w:r>
              <w:t>525</w:t>
            </w:r>
          </w:p>
        </w:tc>
        <w:tc>
          <w:tcPr>
            <w:tcW w:w="967" w:type="dxa"/>
            <w:gridSpan w:val="2"/>
            <w:tcBorders>
              <w:top w:val="single" w:sz="2" w:space="0" w:color="auto"/>
              <w:bottom w:val="single" w:sz="2" w:space="0" w:color="auto"/>
            </w:tcBorders>
            <w:vAlign w:val="bottom"/>
          </w:tcPr>
          <w:p w14:paraId="037528FD" w14:textId="77777777" w:rsidR="006E40C9" w:rsidRDefault="006E40C9">
            <w:pPr>
              <w:pStyle w:val="MeasureTableTextRightAligned"/>
            </w:pPr>
            <w:r>
              <w:t>535</w:t>
            </w:r>
          </w:p>
        </w:tc>
        <w:tc>
          <w:tcPr>
            <w:tcW w:w="967" w:type="dxa"/>
            <w:gridSpan w:val="2"/>
            <w:tcBorders>
              <w:top w:val="single" w:sz="2" w:space="0" w:color="auto"/>
              <w:bottom w:val="single" w:sz="2" w:space="0" w:color="auto"/>
            </w:tcBorders>
            <w:vAlign w:val="bottom"/>
          </w:tcPr>
          <w:p w14:paraId="40B22C81" w14:textId="77777777" w:rsidR="006E40C9" w:rsidRDefault="006E40C9">
            <w:pPr>
              <w:pStyle w:val="MeasureTableTextRightAligned"/>
            </w:pPr>
            <w:r>
              <w:t>545</w:t>
            </w:r>
          </w:p>
        </w:tc>
        <w:tc>
          <w:tcPr>
            <w:tcW w:w="968" w:type="dxa"/>
            <w:tcBorders>
              <w:top w:val="single" w:sz="2" w:space="0" w:color="auto"/>
              <w:bottom w:val="single" w:sz="2" w:space="0" w:color="auto"/>
            </w:tcBorders>
            <w:vAlign w:val="bottom"/>
          </w:tcPr>
          <w:p w14:paraId="0E622C5B" w14:textId="77777777" w:rsidR="006E40C9" w:rsidRDefault="006E40C9">
            <w:pPr>
              <w:pStyle w:val="MeasureTableTextRightAligned"/>
            </w:pPr>
            <w:r>
              <w:t>555</w:t>
            </w:r>
          </w:p>
        </w:tc>
      </w:tr>
      <w:tr w:rsidR="006E40C9" w14:paraId="65F4CB27" w14:textId="77777777">
        <w:trPr>
          <w:cantSplit/>
          <w:jc w:val="center"/>
        </w:trPr>
        <w:tc>
          <w:tcPr>
            <w:tcW w:w="1934" w:type="dxa"/>
            <w:gridSpan w:val="2"/>
            <w:tcBorders>
              <w:top w:val="single" w:sz="2" w:space="0" w:color="auto"/>
              <w:bottom w:val="nil"/>
            </w:tcBorders>
          </w:tcPr>
          <w:p w14:paraId="74C811C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5F9594"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FFA19EA" w14:textId="4AA3844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C12D54" w14:textId="77777777" w:rsidR="006E40C9" w:rsidRDefault="006E40C9">
            <w:pPr>
              <w:pStyle w:val="MeasureTableTextLeftAligned"/>
            </w:pPr>
            <w:r>
              <w:t>A34</w:t>
            </w:r>
          </w:p>
        </w:tc>
      </w:tr>
      <w:tr w:rsidR="006E40C9" w14:paraId="3392C1C5" w14:textId="77777777">
        <w:trPr>
          <w:cantSplit/>
          <w:jc w:val="center"/>
        </w:trPr>
        <w:tc>
          <w:tcPr>
            <w:tcW w:w="1934" w:type="dxa"/>
            <w:gridSpan w:val="2"/>
            <w:tcBorders>
              <w:top w:val="nil"/>
              <w:bottom w:val="nil"/>
            </w:tcBorders>
          </w:tcPr>
          <w:p w14:paraId="7B2276A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2DC1B2" w14:textId="2A31517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A6CC752" w14:textId="77777777" w:rsidR="006E40C9" w:rsidRDefault="006E40C9">
            <w:pPr>
              <w:pStyle w:val="MeasureTableTextItalic"/>
            </w:pPr>
          </w:p>
        </w:tc>
        <w:tc>
          <w:tcPr>
            <w:tcW w:w="1124" w:type="dxa"/>
            <w:gridSpan w:val="2"/>
            <w:tcBorders>
              <w:top w:val="nil"/>
              <w:bottom w:val="nil"/>
            </w:tcBorders>
          </w:tcPr>
          <w:p w14:paraId="5A275FCA" w14:textId="77777777" w:rsidR="006E40C9" w:rsidRDefault="006E40C9">
            <w:pPr>
              <w:pStyle w:val="MeasureTableTextLeftAligned"/>
            </w:pPr>
          </w:p>
        </w:tc>
      </w:tr>
      <w:tr w:rsidR="006E40C9" w14:paraId="17280763" w14:textId="77777777">
        <w:trPr>
          <w:cantSplit/>
          <w:jc w:val="center"/>
        </w:trPr>
        <w:tc>
          <w:tcPr>
            <w:tcW w:w="1934" w:type="dxa"/>
            <w:gridSpan w:val="2"/>
            <w:tcBorders>
              <w:top w:val="nil"/>
              <w:bottom w:val="nil"/>
            </w:tcBorders>
          </w:tcPr>
          <w:p w14:paraId="20205FEF" w14:textId="77777777" w:rsidR="006E40C9" w:rsidRDefault="006E40C9">
            <w:pPr>
              <w:pStyle w:val="MeasureTableTextItalic"/>
            </w:pPr>
            <w:r>
              <w:t>Commencement date:</w:t>
            </w:r>
          </w:p>
        </w:tc>
        <w:tc>
          <w:tcPr>
            <w:tcW w:w="3179" w:type="dxa"/>
            <w:gridSpan w:val="4"/>
            <w:tcBorders>
              <w:top w:val="nil"/>
              <w:bottom w:val="nil"/>
            </w:tcBorders>
          </w:tcPr>
          <w:p w14:paraId="150D249A" w14:textId="77777777" w:rsidR="006E40C9" w:rsidRDefault="006E40C9">
            <w:pPr>
              <w:pStyle w:val="MeasureTableTextLeftAligned"/>
            </w:pPr>
            <w:r>
              <w:t>1 January 2017</w:t>
            </w:r>
          </w:p>
        </w:tc>
        <w:tc>
          <w:tcPr>
            <w:tcW w:w="1500" w:type="dxa"/>
            <w:gridSpan w:val="2"/>
            <w:tcBorders>
              <w:top w:val="nil"/>
              <w:bottom w:val="nil"/>
            </w:tcBorders>
          </w:tcPr>
          <w:p w14:paraId="3441D414" w14:textId="77777777" w:rsidR="006E40C9" w:rsidRPr="00F32057" w:rsidRDefault="006E40C9">
            <w:pPr>
              <w:pStyle w:val="MeasureTableTextItalic"/>
            </w:pPr>
            <w:r>
              <w:t>Expiry date:</w:t>
            </w:r>
          </w:p>
        </w:tc>
        <w:tc>
          <w:tcPr>
            <w:tcW w:w="1124" w:type="dxa"/>
            <w:gridSpan w:val="2"/>
            <w:tcBorders>
              <w:top w:val="nil"/>
              <w:bottom w:val="nil"/>
            </w:tcBorders>
          </w:tcPr>
          <w:p w14:paraId="5C71DC94" w14:textId="77777777" w:rsidR="006E40C9" w:rsidRPr="00F32057" w:rsidRDefault="006E40C9">
            <w:pPr>
              <w:pStyle w:val="MeasureTableTextLeftAligned"/>
            </w:pPr>
          </w:p>
        </w:tc>
      </w:tr>
      <w:tr w:rsidR="006E40C9" w14:paraId="73B9CB3B" w14:textId="77777777">
        <w:trPr>
          <w:cantSplit/>
          <w:jc w:val="center"/>
        </w:trPr>
        <w:tc>
          <w:tcPr>
            <w:tcW w:w="1934" w:type="dxa"/>
            <w:gridSpan w:val="2"/>
            <w:tcBorders>
              <w:top w:val="nil"/>
            </w:tcBorders>
          </w:tcPr>
          <w:p w14:paraId="75B030D6" w14:textId="77777777" w:rsidR="006E40C9" w:rsidRDefault="006E40C9">
            <w:pPr>
              <w:pStyle w:val="MeasureTableTextItalic"/>
            </w:pPr>
            <w:r>
              <w:t>Legislative reference:</w:t>
            </w:r>
          </w:p>
        </w:tc>
        <w:tc>
          <w:tcPr>
            <w:tcW w:w="5803" w:type="dxa"/>
            <w:gridSpan w:val="8"/>
            <w:tcBorders>
              <w:top w:val="nil"/>
            </w:tcBorders>
          </w:tcPr>
          <w:p w14:paraId="034E73B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III of Schedule 7 to the </w:t>
            </w:r>
            <w:r>
              <w:rPr>
                <w:rFonts w:ascii="Arial" w:hAnsi="Arial" w:cs="Arial"/>
                <w:i/>
                <w:iCs/>
                <w:color w:val="000000"/>
                <w:sz w:val="16"/>
                <w:szCs w:val="16"/>
              </w:rPr>
              <w:t>Income Tax Rates Act 1986</w:t>
            </w:r>
          </w:p>
        </w:tc>
      </w:tr>
    </w:tbl>
    <w:p w14:paraId="39B68688" w14:textId="77777777" w:rsidR="006E40C9" w:rsidRPr="00540040" w:rsidRDefault="006E40C9" w:rsidP="006E40C9">
      <w:pPr>
        <w:pStyle w:val="MeasureTableHeading"/>
      </w:pPr>
    </w:p>
    <w:p w14:paraId="2A53CFC5" w14:textId="2A04AD57" w:rsidR="006E40C9" w:rsidRPr="00DB6CC3" w:rsidRDefault="006E40C9" w:rsidP="006E40C9">
      <w:r w:rsidRPr="00DB6CC3">
        <w:t>The benchmark tax treatment is that income tax is paid on the taxable income of a taxpayer for an income year at their applicable rate of tax depending on whether they are a resident of Australia for tax purposes or not. However, from</w:t>
      </w:r>
      <w:r w:rsidRPr="00DB6CC3" w:rsidDel="009F5ADB">
        <w:t xml:space="preserve"> </w:t>
      </w:r>
      <w:r w:rsidRPr="00DB6CC3">
        <w:t>1 July 2020, a 15 per cent income tax rate generally applies to the Australian sourced taxable income of most working holiday makers up to $45,000, with ordinary tax rates applying to all other taxable income.</w:t>
      </w:r>
    </w:p>
    <w:p w14:paraId="6C569387" w14:textId="77777777" w:rsidR="006E40C9" w:rsidRPr="00DB6CC3" w:rsidRDefault="006E40C9" w:rsidP="006E40C9">
      <w:r w:rsidRPr="00DB6CC3">
        <w:t>Working holiday makers</w:t>
      </w:r>
      <w:r w:rsidRPr="00DB6CC3">
        <w:fldChar w:fldCharType="begin"/>
      </w:r>
      <w:r w:rsidRPr="00DB6CC3">
        <w:instrText xml:space="preserve"> XE "Working holiday makers" </w:instrText>
      </w:r>
      <w:r w:rsidRPr="00DB6CC3">
        <w:fldChar w:fldCharType="end"/>
      </w:r>
      <w:r w:rsidRPr="00DB6CC3">
        <w:t xml:space="preserve"> from jurisdictions with which Australia holds a double taxation agreement containing an enforceable non</w:t>
      </w:r>
      <w:r w:rsidRPr="00DB6CC3">
        <w:noBreakHyphen/>
        <w:t xml:space="preserve">discrimination article (Chile, Finland, Germany, Israel, Japan, Norway, </w:t>
      </w:r>
      <w:r>
        <w:t xml:space="preserve">Switzerland, </w:t>
      </w:r>
      <w:r w:rsidRPr="00DB6CC3">
        <w:t>Turkey and the United Kingdom) who are also residents of Australia for tax purposes are subject to the benchmark tax treatment, instead of the 15 per cent working holiday maker tax rate.</w:t>
      </w:r>
    </w:p>
    <w:p w14:paraId="50668F83" w14:textId="77777777" w:rsidR="006E40C9" w:rsidRPr="00DB6CC3" w:rsidRDefault="006E40C9" w:rsidP="006E40C9">
      <w:r w:rsidRPr="00DB6CC3">
        <w:t>Whether a working holiday maker is a resident for tax purposes depends on their individual circumstances.</w:t>
      </w:r>
    </w:p>
    <w:p w14:paraId="099C7CF8" w14:textId="107AB5DB" w:rsidR="006E40C9" w:rsidRPr="00DB6CC3" w:rsidRDefault="006E40C9" w:rsidP="006E40C9">
      <w:r w:rsidRPr="00DB6CC3">
        <w:t>For non</w:t>
      </w:r>
      <w:r w:rsidRPr="00DB6CC3">
        <w:noBreakHyphen/>
        <w:t xml:space="preserve">resident working holiday makers the 15 per cent rate is concessional relative to the benchmark, under which they would be taxed at 32.5 per cent from their first dollar of income. This results in a positive tax </w:t>
      </w:r>
      <w:r>
        <w:t>expenditure</w:t>
      </w:r>
      <w:r w:rsidRPr="00DB6CC3">
        <w:t>.</w:t>
      </w:r>
    </w:p>
    <w:p w14:paraId="5372EA8B" w14:textId="566E2092" w:rsidR="006E40C9" w:rsidRDefault="006E40C9" w:rsidP="006E40C9">
      <w:r w:rsidRPr="00DB6CC3">
        <w:t xml:space="preserve">In contrast, the legislated treatment constitutes a negative tax </w:t>
      </w:r>
      <w:r w:rsidR="0052518E">
        <w:t>expenditure</w:t>
      </w:r>
      <w:r w:rsidRPr="00DB6CC3">
        <w:t xml:space="preserve"> for resident working holiday makers. Under the benchmark, this group would have access to a tax</w:t>
      </w:r>
      <w:r w:rsidRPr="00DB6CC3">
        <w:noBreakHyphen/>
        <w:t xml:space="preserve">free threshold of $18,200. </w:t>
      </w:r>
    </w:p>
    <w:p w14:paraId="7A9CB607" w14:textId="77777777" w:rsidR="006E40C9" w:rsidRDefault="006E40C9" w:rsidP="0003254D">
      <w:pPr>
        <w:pStyle w:val="Heading4"/>
      </w:pPr>
      <w:r>
        <w:t>A35</w:t>
      </w:r>
      <w:r>
        <w:tab/>
        <w:t>Exemption of foreign termination payments</w:t>
      </w:r>
    </w:p>
    <w:p w14:paraId="69001B15" w14:textId="0D8962D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BBD7AD2" w14:textId="77777777">
        <w:trPr>
          <w:cantSplit/>
          <w:jc w:val="center"/>
        </w:trPr>
        <w:tc>
          <w:tcPr>
            <w:tcW w:w="967" w:type="dxa"/>
            <w:tcBorders>
              <w:top w:val="single" w:sz="2" w:space="0" w:color="auto"/>
              <w:bottom w:val="single" w:sz="2" w:space="0" w:color="auto"/>
            </w:tcBorders>
          </w:tcPr>
          <w:p w14:paraId="441BEE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8F6C6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3FA2B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52D9F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81BAF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EF74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4E43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186642A" w14:textId="77777777" w:rsidR="006E40C9" w:rsidRDefault="006E40C9">
            <w:pPr>
              <w:pStyle w:val="MeasureTableTextRightAligned"/>
            </w:pPr>
            <w:r>
              <w:t>2027-28</w:t>
            </w:r>
          </w:p>
        </w:tc>
      </w:tr>
      <w:tr w:rsidR="006E40C9" w14:paraId="675D5B8E" w14:textId="77777777">
        <w:trPr>
          <w:cantSplit/>
          <w:jc w:val="center"/>
        </w:trPr>
        <w:tc>
          <w:tcPr>
            <w:tcW w:w="967" w:type="dxa"/>
            <w:tcBorders>
              <w:top w:val="single" w:sz="2" w:space="0" w:color="auto"/>
              <w:bottom w:val="single" w:sz="2" w:space="0" w:color="auto"/>
            </w:tcBorders>
          </w:tcPr>
          <w:p w14:paraId="1F1DA2C8"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FA99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F255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D0949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E1702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8982EF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4F307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034AE8" w14:textId="77777777" w:rsidR="006E40C9" w:rsidRDefault="006E40C9">
            <w:pPr>
              <w:pStyle w:val="MeasureTableTextRightAligned"/>
            </w:pPr>
            <w:r>
              <w:t>..</w:t>
            </w:r>
          </w:p>
        </w:tc>
      </w:tr>
      <w:tr w:rsidR="006E40C9" w14:paraId="2A24E25E" w14:textId="77777777">
        <w:trPr>
          <w:cantSplit/>
          <w:jc w:val="center"/>
        </w:trPr>
        <w:tc>
          <w:tcPr>
            <w:tcW w:w="1934" w:type="dxa"/>
            <w:gridSpan w:val="2"/>
            <w:tcBorders>
              <w:top w:val="single" w:sz="2" w:space="0" w:color="auto"/>
              <w:bottom w:val="nil"/>
            </w:tcBorders>
          </w:tcPr>
          <w:p w14:paraId="038E360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BC2D93" w14:textId="77777777" w:rsidR="006E40C9" w:rsidRDefault="006E40C9">
            <w:pPr>
              <w:pStyle w:val="MeasureTableTextLeftAligned"/>
            </w:pPr>
            <w:r>
              <w:t>Exemption</w:t>
            </w:r>
          </w:p>
        </w:tc>
        <w:tc>
          <w:tcPr>
            <w:tcW w:w="1500" w:type="dxa"/>
            <w:gridSpan w:val="2"/>
            <w:tcBorders>
              <w:top w:val="single" w:sz="2" w:space="0" w:color="auto"/>
              <w:bottom w:val="nil"/>
            </w:tcBorders>
          </w:tcPr>
          <w:p w14:paraId="2B2D1142" w14:textId="43E042A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FBD4F0" w14:textId="77777777" w:rsidR="006E40C9" w:rsidRDefault="006E40C9">
            <w:pPr>
              <w:pStyle w:val="MeasureTableTextLeftAligned"/>
            </w:pPr>
            <w:r>
              <w:t>A35</w:t>
            </w:r>
          </w:p>
        </w:tc>
      </w:tr>
      <w:tr w:rsidR="006E40C9" w14:paraId="5D63AD33" w14:textId="77777777">
        <w:trPr>
          <w:cantSplit/>
          <w:jc w:val="center"/>
        </w:trPr>
        <w:tc>
          <w:tcPr>
            <w:tcW w:w="1934" w:type="dxa"/>
            <w:gridSpan w:val="2"/>
            <w:tcBorders>
              <w:top w:val="nil"/>
              <w:bottom w:val="nil"/>
            </w:tcBorders>
          </w:tcPr>
          <w:p w14:paraId="640CE84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377AC7" w14:textId="77777777" w:rsidR="006E40C9" w:rsidRPr="00584CA7" w:rsidRDefault="006E40C9">
            <w:pPr>
              <w:pStyle w:val="MeasureTableTextLeftAligned"/>
            </w:pPr>
            <w:r>
              <w:t>Low</w:t>
            </w:r>
          </w:p>
        </w:tc>
        <w:tc>
          <w:tcPr>
            <w:tcW w:w="1500" w:type="dxa"/>
            <w:gridSpan w:val="2"/>
            <w:tcBorders>
              <w:top w:val="nil"/>
              <w:bottom w:val="nil"/>
            </w:tcBorders>
          </w:tcPr>
          <w:p w14:paraId="116E0AB9" w14:textId="77777777" w:rsidR="006E40C9" w:rsidRDefault="006E40C9">
            <w:pPr>
              <w:pStyle w:val="MeasureTableTextItalic"/>
            </w:pPr>
          </w:p>
        </w:tc>
        <w:tc>
          <w:tcPr>
            <w:tcW w:w="1124" w:type="dxa"/>
            <w:gridSpan w:val="2"/>
            <w:tcBorders>
              <w:top w:val="nil"/>
              <w:bottom w:val="nil"/>
            </w:tcBorders>
          </w:tcPr>
          <w:p w14:paraId="459E1A4C" w14:textId="77777777" w:rsidR="006E40C9" w:rsidRDefault="006E40C9">
            <w:pPr>
              <w:pStyle w:val="MeasureTableTextLeftAligned"/>
            </w:pPr>
          </w:p>
        </w:tc>
      </w:tr>
      <w:tr w:rsidR="006E40C9" w14:paraId="7EB1BF04" w14:textId="77777777">
        <w:trPr>
          <w:cantSplit/>
          <w:jc w:val="center"/>
        </w:trPr>
        <w:tc>
          <w:tcPr>
            <w:tcW w:w="1934" w:type="dxa"/>
            <w:gridSpan w:val="2"/>
            <w:tcBorders>
              <w:top w:val="nil"/>
              <w:bottom w:val="nil"/>
            </w:tcBorders>
          </w:tcPr>
          <w:p w14:paraId="53F86454" w14:textId="77777777" w:rsidR="006E40C9" w:rsidRDefault="006E40C9">
            <w:pPr>
              <w:pStyle w:val="MeasureTableTextItalic"/>
            </w:pPr>
            <w:r>
              <w:t>Commencement date:</w:t>
            </w:r>
          </w:p>
        </w:tc>
        <w:tc>
          <w:tcPr>
            <w:tcW w:w="3179" w:type="dxa"/>
            <w:gridSpan w:val="4"/>
            <w:tcBorders>
              <w:top w:val="nil"/>
              <w:bottom w:val="nil"/>
            </w:tcBorders>
          </w:tcPr>
          <w:p w14:paraId="7B2DCC72" w14:textId="77777777" w:rsidR="006E40C9" w:rsidRDefault="006E40C9">
            <w:pPr>
              <w:pStyle w:val="MeasureTableTextLeftAligned"/>
            </w:pPr>
            <w:r>
              <w:t>2007</w:t>
            </w:r>
          </w:p>
        </w:tc>
        <w:tc>
          <w:tcPr>
            <w:tcW w:w="1500" w:type="dxa"/>
            <w:gridSpan w:val="2"/>
            <w:tcBorders>
              <w:top w:val="nil"/>
              <w:bottom w:val="nil"/>
            </w:tcBorders>
          </w:tcPr>
          <w:p w14:paraId="27091AC4" w14:textId="77777777" w:rsidR="006E40C9" w:rsidRPr="00F32057" w:rsidRDefault="006E40C9">
            <w:pPr>
              <w:pStyle w:val="MeasureTableTextItalic"/>
            </w:pPr>
            <w:r>
              <w:t>Expiry date:</w:t>
            </w:r>
          </w:p>
        </w:tc>
        <w:tc>
          <w:tcPr>
            <w:tcW w:w="1124" w:type="dxa"/>
            <w:gridSpan w:val="2"/>
            <w:tcBorders>
              <w:top w:val="nil"/>
              <w:bottom w:val="nil"/>
            </w:tcBorders>
          </w:tcPr>
          <w:p w14:paraId="235493AB" w14:textId="77777777" w:rsidR="006E40C9" w:rsidRPr="00F32057" w:rsidRDefault="006E40C9">
            <w:pPr>
              <w:pStyle w:val="MeasureTableTextLeftAligned"/>
            </w:pPr>
          </w:p>
        </w:tc>
      </w:tr>
      <w:tr w:rsidR="006E40C9" w14:paraId="6421C46C" w14:textId="77777777">
        <w:trPr>
          <w:cantSplit/>
          <w:jc w:val="center"/>
        </w:trPr>
        <w:tc>
          <w:tcPr>
            <w:tcW w:w="1934" w:type="dxa"/>
            <w:gridSpan w:val="2"/>
            <w:tcBorders>
              <w:top w:val="nil"/>
            </w:tcBorders>
          </w:tcPr>
          <w:p w14:paraId="03F9E9A1" w14:textId="77777777" w:rsidR="006E40C9" w:rsidRDefault="006E40C9">
            <w:pPr>
              <w:pStyle w:val="MeasureTableTextItalic"/>
            </w:pPr>
            <w:r>
              <w:t>Legislative reference:</w:t>
            </w:r>
          </w:p>
        </w:tc>
        <w:tc>
          <w:tcPr>
            <w:tcW w:w="5803" w:type="dxa"/>
            <w:gridSpan w:val="8"/>
            <w:tcBorders>
              <w:top w:val="nil"/>
            </w:tcBorders>
          </w:tcPr>
          <w:p w14:paraId="25846B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83-D of the</w:t>
            </w:r>
            <w:r>
              <w:rPr>
                <w:rFonts w:ascii="Arial" w:hAnsi="Arial" w:cs="Arial"/>
                <w:i/>
                <w:iCs/>
                <w:color w:val="000000"/>
                <w:sz w:val="16"/>
                <w:szCs w:val="16"/>
              </w:rPr>
              <w:t xml:space="preserve"> Income Tax Assessment Act 1997</w:t>
            </w:r>
          </w:p>
        </w:tc>
      </w:tr>
    </w:tbl>
    <w:p w14:paraId="7E794144" w14:textId="77777777" w:rsidR="006E40C9" w:rsidRPr="00540040" w:rsidRDefault="006E40C9" w:rsidP="006E40C9">
      <w:pPr>
        <w:pStyle w:val="MeasureTableHeading"/>
      </w:pPr>
    </w:p>
    <w:p w14:paraId="0CC9CC56" w14:textId="77777777" w:rsidR="006E40C9" w:rsidRDefault="006E40C9" w:rsidP="006E40C9">
      <w:r>
        <w:t>Under the benchmark, income tax is paid on the taxable income of a taxpayer for an income year at their applicable rate. However, termination payments from foreign employment</w:t>
      </w:r>
      <w:r>
        <w:fldChar w:fldCharType="begin"/>
      </w:r>
      <w:r>
        <w:instrText xml:space="preserve"> XE "Foreign termination payments" </w:instrText>
      </w:r>
      <w:r>
        <w:fldChar w:fldCharType="end"/>
      </w:r>
      <w:r>
        <w:t xml:space="preserve"> are non</w:t>
      </w:r>
      <w:r>
        <w:noBreakHyphen/>
        <w:t>assessable and non</w:t>
      </w:r>
      <w:r>
        <w:noBreakHyphen/>
        <w:t>exempt income where the taxpayer is a foreign resident. Where the taxpayer is an Australian resident for some of the period to which the termination payment relates, the payment will be non</w:t>
      </w:r>
      <w:r>
        <w:noBreakHyphen/>
        <w:t>assessable and non</w:t>
      </w:r>
      <w:r>
        <w:noBreakHyphen/>
        <w:t xml:space="preserve">exempt if: </w:t>
      </w:r>
    </w:p>
    <w:p w14:paraId="34B0B1D2" w14:textId="77777777" w:rsidR="006E40C9" w:rsidRDefault="006E40C9" w:rsidP="006E40C9">
      <w:pPr>
        <w:pStyle w:val="Bullet"/>
        <w:numPr>
          <w:ilvl w:val="0"/>
          <w:numId w:val="38"/>
        </w:numPr>
      </w:pPr>
      <w:r>
        <w:t xml:space="preserve">it was received in consequence of the termination of a period of foreign employment or engagement for the purposes of section 23AF or section 23AG; </w:t>
      </w:r>
    </w:p>
    <w:p w14:paraId="79A29010" w14:textId="77777777" w:rsidR="006E40C9" w:rsidRDefault="006E40C9" w:rsidP="006E40C9">
      <w:pPr>
        <w:pStyle w:val="Bullet"/>
        <w:numPr>
          <w:ilvl w:val="0"/>
          <w:numId w:val="38"/>
        </w:numPr>
      </w:pPr>
      <w:r>
        <w:t xml:space="preserve">the payment relates only to that period of employment or engagement; and </w:t>
      </w:r>
    </w:p>
    <w:p w14:paraId="6C7DC0A7" w14:textId="77777777" w:rsidR="006E40C9" w:rsidRDefault="006E40C9" w:rsidP="006E40C9">
      <w:pPr>
        <w:pStyle w:val="Bullet"/>
        <w:numPr>
          <w:ilvl w:val="0"/>
          <w:numId w:val="38"/>
        </w:numPr>
      </w:pPr>
      <w:r>
        <w:t xml:space="preserve">the payment is not exempt from income tax under the law of the foreign country. </w:t>
      </w:r>
    </w:p>
    <w:p w14:paraId="2F54B6D6" w14:textId="77777777" w:rsidR="006E40C9" w:rsidRDefault="006E40C9" w:rsidP="006E40C9">
      <w:pPr>
        <w:pStyle w:val="Bullet"/>
        <w:numPr>
          <w:ilvl w:val="0"/>
          <w:numId w:val="0"/>
        </w:numPr>
      </w:pPr>
      <w:r>
        <w:t>This does not apply if the payment is a superannuation benefit or a pension or annuity.</w:t>
      </w:r>
    </w:p>
    <w:p w14:paraId="5FF7066F" w14:textId="77777777" w:rsidR="006E40C9" w:rsidRDefault="006E40C9" w:rsidP="0003254D">
      <w:pPr>
        <w:pStyle w:val="Heading4"/>
      </w:pPr>
      <w:r>
        <w:t>A36</w:t>
      </w:r>
      <w:r>
        <w:tab/>
        <w:t>Foreign income exemption for temporary residents</w:t>
      </w:r>
    </w:p>
    <w:p w14:paraId="22BEB03C" w14:textId="599E59F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C1A0DB0" w14:textId="77777777">
        <w:trPr>
          <w:cantSplit/>
          <w:jc w:val="center"/>
        </w:trPr>
        <w:tc>
          <w:tcPr>
            <w:tcW w:w="967" w:type="dxa"/>
            <w:tcBorders>
              <w:top w:val="single" w:sz="2" w:space="0" w:color="auto"/>
              <w:bottom w:val="single" w:sz="2" w:space="0" w:color="auto"/>
            </w:tcBorders>
          </w:tcPr>
          <w:p w14:paraId="087BB47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CC6AAF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C9ABE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9845E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BD814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1692D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0CCFA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85EE77" w14:textId="77777777" w:rsidR="006E40C9" w:rsidRDefault="006E40C9">
            <w:pPr>
              <w:pStyle w:val="MeasureTableTextRightAligned"/>
            </w:pPr>
            <w:r>
              <w:t>2027-28</w:t>
            </w:r>
          </w:p>
        </w:tc>
      </w:tr>
      <w:tr w:rsidR="006E40C9" w14:paraId="19DBBC48" w14:textId="77777777">
        <w:trPr>
          <w:cantSplit/>
          <w:jc w:val="center"/>
        </w:trPr>
        <w:tc>
          <w:tcPr>
            <w:tcW w:w="967" w:type="dxa"/>
            <w:tcBorders>
              <w:top w:val="single" w:sz="2" w:space="0" w:color="auto"/>
              <w:bottom w:val="single" w:sz="2" w:space="0" w:color="auto"/>
            </w:tcBorders>
          </w:tcPr>
          <w:p w14:paraId="0E8C1D90" w14:textId="77777777" w:rsidR="006E40C9" w:rsidRDefault="006E40C9">
            <w:pPr>
              <w:pStyle w:val="MeasureTableTextRightAligned"/>
            </w:pPr>
            <w:r>
              <w:t>100</w:t>
            </w:r>
          </w:p>
        </w:tc>
        <w:tc>
          <w:tcPr>
            <w:tcW w:w="967" w:type="dxa"/>
            <w:tcBorders>
              <w:top w:val="single" w:sz="2" w:space="0" w:color="auto"/>
              <w:bottom w:val="single" w:sz="2" w:space="0" w:color="auto"/>
            </w:tcBorders>
          </w:tcPr>
          <w:p w14:paraId="3056E445"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1080056F" w14:textId="77777777" w:rsidR="006E40C9" w:rsidRDefault="006E40C9">
            <w:pPr>
              <w:pStyle w:val="MeasureTableTextRightAligned"/>
            </w:pPr>
            <w:r>
              <w:t>75</w:t>
            </w:r>
          </w:p>
        </w:tc>
        <w:tc>
          <w:tcPr>
            <w:tcW w:w="967" w:type="dxa"/>
            <w:tcBorders>
              <w:top w:val="single" w:sz="2" w:space="0" w:color="auto"/>
              <w:bottom w:val="single" w:sz="2" w:space="0" w:color="auto"/>
            </w:tcBorders>
            <w:vAlign w:val="bottom"/>
          </w:tcPr>
          <w:p w14:paraId="1A5D290D"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02FC9445" w14:textId="77777777" w:rsidR="006E40C9" w:rsidRDefault="006E40C9">
            <w:pPr>
              <w:pStyle w:val="MeasureTableTextRightAligned"/>
            </w:pPr>
            <w:r>
              <w:t>100</w:t>
            </w:r>
          </w:p>
        </w:tc>
        <w:tc>
          <w:tcPr>
            <w:tcW w:w="967" w:type="dxa"/>
            <w:gridSpan w:val="2"/>
            <w:tcBorders>
              <w:top w:val="single" w:sz="2" w:space="0" w:color="auto"/>
              <w:bottom w:val="single" w:sz="2" w:space="0" w:color="auto"/>
            </w:tcBorders>
            <w:vAlign w:val="bottom"/>
          </w:tcPr>
          <w:p w14:paraId="2ED0C58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A378BB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FF6CB22" w14:textId="77777777" w:rsidR="006E40C9" w:rsidRDefault="006E40C9">
            <w:pPr>
              <w:pStyle w:val="MeasureTableTextRightAligned"/>
            </w:pPr>
            <w:r>
              <w:t>*</w:t>
            </w:r>
          </w:p>
        </w:tc>
      </w:tr>
      <w:tr w:rsidR="006E40C9" w14:paraId="5F4BA985" w14:textId="77777777">
        <w:trPr>
          <w:cantSplit/>
          <w:jc w:val="center"/>
        </w:trPr>
        <w:tc>
          <w:tcPr>
            <w:tcW w:w="1934" w:type="dxa"/>
            <w:gridSpan w:val="2"/>
            <w:tcBorders>
              <w:top w:val="single" w:sz="2" w:space="0" w:color="auto"/>
              <w:bottom w:val="nil"/>
            </w:tcBorders>
          </w:tcPr>
          <w:p w14:paraId="1DD2E35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E68112A" w14:textId="77777777" w:rsidR="006E40C9" w:rsidRDefault="006E40C9">
            <w:pPr>
              <w:pStyle w:val="MeasureTableTextLeftAligned"/>
            </w:pPr>
            <w:r>
              <w:t>Exemption</w:t>
            </w:r>
          </w:p>
        </w:tc>
        <w:tc>
          <w:tcPr>
            <w:tcW w:w="1500" w:type="dxa"/>
            <w:gridSpan w:val="2"/>
            <w:tcBorders>
              <w:top w:val="single" w:sz="2" w:space="0" w:color="auto"/>
              <w:bottom w:val="nil"/>
            </w:tcBorders>
          </w:tcPr>
          <w:p w14:paraId="39675791" w14:textId="3F0ADC7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973150" w14:textId="77777777" w:rsidR="006E40C9" w:rsidRDefault="006E40C9">
            <w:pPr>
              <w:pStyle w:val="MeasureTableTextLeftAligned"/>
            </w:pPr>
            <w:r>
              <w:t>A36</w:t>
            </w:r>
          </w:p>
        </w:tc>
      </w:tr>
      <w:tr w:rsidR="006E40C9" w14:paraId="66B7EFD7" w14:textId="77777777">
        <w:trPr>
          <w:cantSplit/>
          <w:jc w:val="center"/>
        </w:trPr>
        <w:tc>
          <w:tcPr>
            <w:tcW w:w="1934" w:type="dxa"/>
            <w:gridSpan w:val="2"/>
            <w:tcBorders>
              <w:top w:val="nil"/>
              <w:bottom w:val="nil"/>
            </w:tcBorders>
          </w:tcPr>
          <w:p w14:paraId="74B33CE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33CE0C" w14:textId="77777777" w:rsidR="006E40C9" w:rsidRPr="00584CA7" w:rsidRDefault="006E40C9">
            <w:pPr>
              <w:pStyle w:val="MeasureTableTextLeftAligned"/>
            </w:pPr>
            <w:r>
              <w:t>Low</w:t>
            </w:r>
          </w:p>
        </w:tc>
        <w:tc>
          <w:tcPr>
            <w:tcW w:w="1500" w:type="dxa"/>
            <w:gridSpan w:val="2"/>
            <w:tcBorders>
              <w:top w:val="nil"/>
              <w:bottom w:val="nil"/>
            </w:tcBorders>
          </w:tcPr>
          <w:p w14:paraId="2D746652" w14:textId="77777777" w:rsidR="006E40C9" w:rsidRDefault="006E40C9">
            <w:pPr>
              <w:pStyle w:val="MeasureTableTextItalic"/>
            </w:pPr>
            <w:r>
              <w:t>* Category</w:t>
            </w:r>
          </w:p>
        </w:tc>
        <w:tc>
          <w:tcPr>
            <w:tcW w:w="1124" w:type="dxa"/>
            <w:gridSpan w:val="2"/>
            <w:tcBorders>
              <w:top w:val="nil"/>
              <w:bottom w:val="nil"/>
            </w:tcBorders>
          </w:tcPr>
          <w:p w14:paraId="658627F6" w14:textId="77777777" w:rsidR="006E40C9" w:rsidRDefault="006E40C9">
            <w:pPr>
              <w:pStyle w:val="MeasureTableTextLeftAligned"/>
            </w:pPr>
            <w:r>
              <w:t>3+</w:t>
            </w:r>
          </w:p>
        </w:tc>
      </w:tr>
      <w:tr w:rsidR="006E40C9" w14:paraId="2D769CC9" w14:textId="77777777">
        <w:trPr>
          <w:cantSplit/>
          <w:jc w:val="center"/>
        </w:trPr>
        <w:tc>
          <w:tcPr>
            <w:tcW w:w="1934" w:type="dxa"/>
            <w:gridSpan w:val="2"/>
            <w:tcBorders>
              <w:top w:val="nil"/>
              <w:bottom w:val="nil"/>
            </w:tcBorders>
          </w:tcPr>
          <w:p w14:paraId="39790564" w14:textId="77777777" w:rsidR="006E40C9" w:rsidRDefault="006E40C9">
            <w:pPr>
              <w:pStyle w:val="MeasureTableTextItalic"/>
            </w:pPr>
            <w:r>
              <w:t>Commencement date:</w:t>
            </w:r>
          </w:p>
        </w:tc>
        <w:tc>
          <w:tcPr>
            <w:tcW w:w="3179" w:type="dxa"/>
            <w:gridSpan w:val="4"/>
            <w:tcBorders>
              <w:top w:val="nil"/>
              <w:bottom w:val="nil"/>
            </w:tcBorders>
          </w:tcPr>
          <w:p w14:paraId="72D09196" w14:textId="77777777" w:rsidR="006E40C9" w:rsidRDefault="006E40C9">
            <w:pPr>
              <w:pStyle w:val="MeasureTableTextLeftAligned"/>
            </w:pPr>
            <w:r>
              <w:t>1 July 2006</w:t>
            </w:r>
          </w:p>
        </w:tc>
        <w:tc>
          <w:tcPr>
            <w:tcW w:w="1500" w:type="dxa"/>
            <w:gridSpan w:val="2"/>
            <w:tcBorders>
              <w:top w:val="nil"/>
              <w:bottom w:val="nil"/>
            </w:tcBorders>
          </w:tcPr>
          <w:p w14:paraId="466E138A" w14:textId="77777777" w:rsidR="006E40C9" w:rsidRPr="00F32057" w:rsidRDefault="006E40C9">
            <w:pPr>
              <w:pStyle w:val="MeasureTableTextItalic"/>
            </w:pPr>
            <w:r>
              <w:t>Expiry date:</w:t>
            </w:r>
          </w:p>
        </w:tc>
        <w:tc>
          <w:tcPr>
            <w:tcW w:w="1124" w:type="dxa"/>
            <w:gridSpan w:val="2"/>
            <w:tcBorders>
              <w:top w:val="nil"/>
              <w:bottom w:val="nil"/>
            </w:tcBorders>
          </w:tcPr>
          <w:p w14:paraId="07F06C47" w14:textId="77777777" w:rsidR="006E40C9" w:rsidRPr="00F32057" w:rsidRDefault="006E40C9">
            <w:pPr>
              <w:pStyle w:val="MeasureTableTextLeftAligned"/>
            </w:pPr>
          </w:p>
        </w:tc>
      </w:tr>
      <w:tr w:rsidR="006E40C9" w14:paraId="1D46CDB4" w14:textId="77777777">
        <w:trPr>
          <w:cantSplit/>
          <w:jc w:val="center"/>
        </w:trPr>
        <w:tc>
          <w:tcPr>
            <w:tcW w:w="1934" w:type="dxa"/>
            <w:gridSpan w:val="2"/>
            <w:tcBorders>
              <w:top w:val="nil"/>
            </w:tcBorders>
          </w:tcPr>
          <w:p w14:paraId="3A699F51" w14:textId="77777777" w:rsidR="006E40C9" w:rsidRDefault="006E40C9">
            <w:pPr>
              <w:pStyle w:val="MeasureTableTextItalic"/>
            </w:pPr>
            <w:r>
              <w:t>Legislative reference:</w:t>
            </w:r>
          </w:p>
        </w:tc>
        <w:tc>
          <w:tcPr>
            <w:tcW w:w="5803" w:type="dxa"/>
            <w:gridSpan w:val="8"/>
            <w:tcBorders>
              <w:top w:val="nil"/>
            </w:tcBorders>
          </w:tcPr>
          <w:p w14:paraId="0111A7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768-R of the </w:t>
            </w:r>
            <w:r>
              <w:rPr>
                <w:rFonts w:ascii="Arial" w:hAnsi="Arial" w:cs="Arial"/>
                <w:i/>
                <w:iCs/>
                <w:color w:val="000000"/>
                <w:sz w:val="16"/>
                <w:szCs w:val="16"/>
              </w:rPr>
              <w:t>Income Tax Assessment Act 1997</w:t>
            </w:r>
          </w:p>
        </w:tc>
      </w:tr>
    </w:tbl>
    <w:p w14:paraId="404E24E5" w14:textId="77777777" w:rsidR="006E40C9" w:rsidRPr="00540040" w:rsidRDefault="006E40C9" w:rsidP="006E40C9">
      <w:pPr>
        <w:pStyle w:val="MeasureTableHeading"/>
      </w:pPr>
    </w:p>
    <w:p w14:paraId="10EA3482" w14:textId="77777777" w:rsidR="006E40C9" w:rsidRDefault="006E40C9" w:rsidP="006E40C9">
      <w:r>
        <w:t>The benchmark tax treatment is that income tax is paid on the taxable income of a taxpayer for an income year at their applicable rate of tax. However, foreign source income of temporary residents</w:t>
      </w:r>
      <w:r>
        <w:fldChar w:fldCharType="begin"/>
      </w:r>
      <w:r>
        <w:instrText xml:space="preserve"> XE "Temporary residents" </w:instrText>
      </w:r>
      <w:r>
        <w:fldChar w:fldCharType="end"/>
      </w:r>
      <w:r>
        <w:t xml:space="preserve"> is generally non</w:t>
      </w:r>
      <w:r>
        <w:noBreakHyphen/>
        <w:t>assessable and non</w:t>
      </w:r>
      <w:r>
        <w:noBreakHyphen/>
        <w:t>exempt, and capital gains and losses are also generally disregarded for income tax purposes. Interest paid to foreign lenders by temporary residents is exempt from withholding tax.</w:t>
      </w:r>
    </w:p>
    <w:p w14:paraId="03ED09CA" w14:textId="77777777" w:rsidR="006E40C9" w:rsidRDefault="006E40C9" w:rsidP="0003254D">
      <w:pPr>
        <w:pStyle w:val="Heading4"/>
      </w:pPr>
      <w:r>
        <w:t>A37</w:t>
      </w:r>
      <w:r>
        <w:tab/>
        <w:t>Income tax exemption for Australian staff of the Asian Development Bank</w:t>
      </w:r>
    </w:p>
    <w:p w14:paraId="379D4474" w14:textId="7189311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FA272F0" w14:textId="77777777">
        <w:trPr>
          <w:cantSplit/>
          <w:jc w:val="center"/>
        </w:trPr>
        <w:tc>
          <w:tcPr>
            <w:tcW w:w="967" w:type="dxa"/>
            <w:tcBorders>
              <w:top w:val="single" w:sz="2" w:space="0" w:color="auto"/>
              <w:bottom w:val="single" w:sz="2" w:space="0" w:color="auto"/>
            </w:tcBorders>
          </w:tcPr>
          <w:p w14:paraId="2757E7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24DF0F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22E2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C615BC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0AC97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DEE05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5095A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98B49FF" w14:textId="77777777" w:rsidR="006E40C9" w:rsidRDefault="006E40C9">
            <w:pPr>
              <w:pStyle w:val="MeasureTableTextRightAligned"/>
            </w:pPr>
            <w:r>
              <w:t>2027-28</w:t>
            </w:r>
          </w:p>
        </w:tc>
      </w:tr>
      <w:tr w:rsidR="006E40C9" w14:paraId="2EE016D3" w14:textId="77777777">
        <w:trPr>
          <w:cantSplit/>
          <w:jc w:val="center"/>
        </w:trPr>
        <w:tc>
          <w:tcPr>
            <w:tcW w:w="967" w:type="dxa"/>
            <w:tcBorders>
              <w:top w:val="single" w:sz="2" w:space="0" w:color="auto"/>
              <w:bottom w:val="single" w:sz="2" w:space="0" w:color="auto"/>
            </w:tcBorders>
          </w:tcPr>
          <w:p w14:paraId="6620169C" w14:textId="77777777" w:rsidR="006E40C9" w:rsidRDefault="006E40C9">
            <w:pPr>
              <w:pStyle w:val="MeasureTableTextRightAligned"/>
            </w:pPr>
            <w:r>
              <w:t>1</w:t>
            </w:r>
          </w:p>
        </w:tc>
        <w:tc>
          <w:tcPr>
            <w:tcW w:w="967" w:type="dxa"/>
            <w:tcBorders>
              <w:top w:val="single" w:sz="2" w:space="0" w:color="auto"/>
              <w:bottom w:val="single" w:sz="2" w:space="0" w:color="auto"/>
            </w:tcBorders>
          </w:tcPr>
          <w:p w14:paraId="78104C10"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24430982"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3AD0984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F6E52F3"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767123D8"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6D790123"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562D9CAA" w14:textId="77777777" w:rsidR="006E40C9" w:rsidRDefault="006E40C9">
            <w:pPr>
              <w:pStyle w:val="MeasureTableTextRightAligned"/>
            </w:pPr>
            <w:r>
              <w:t>1</w:t>
            </w:r>
          </w:p>
        </w:tc>
      </w:tr>
      <w:tr w:rsidR="006E40C9" w14:paraId="0142F6A6" w14:textId="77777777">
        <w:trPr>
          <w:cantSplit/>
          <w:jc w:val="center"/>
        </w:trPr>
        <w:tc>
          <w:tcPr>
            <w:tcW w:w="1934" w:type="dxa"/>
            <w:gridSpan w:val="2"/>
            <w:tcBorders>
              <w:top w:val="single" w:sz="2" w:space="0" w:color="auto"/>
              <w:bottom w:val="nil"/>
            </w:tcBorders>
          </w:tcPr>
          <w:p w14:paraId="65D87A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D36B1C" w14:textId="77777777" w:rsidR="006E40C9" w:rsidRDefault="006E40C9">
            <w:pPr>
              <w:pStyle w:val="MeasureTableTextLeftAligned"/>
            </w:pPr>
            <w:r>
              <w:t>Exemption</w:t>
            </w:r>
          </w:p>
        </w:tc>
        <w:tc>
          <w:tcPr>
            <w:tcW w:w="1500" w:type="dxa"/>
            <w:gridSpan w:val="2"/>
            <w:tcBorders>
              <w:top w:val="single" w:sz="2" w:space="0" w:color="auto"/>
              <w:bottom w:val="nil"/>
            </w:tcBorders>
          </w:tcPr>
          <w:p w14:paraId="15C0E073" w14:textId="2B838E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6F5600" w14:textId="77777777" w:rsidR="006E40C9" w:rsidRDefault="006E40C9">
            <w:pPr>
              <w:pStyle w:val="MeasureTableTextLeftAligned"/>
            </w:pPr>
            <w:r>
              <w:t>A37</w:t>
            </w:r>
          </w:p>
        </w:tc>
      </w:tr>
      <w:tr w:rsidR="006E40C9" w14:paraId="6BED8563" w14:textId="77777777">
        <w:trPr>
          <w:cantSplit/>
          <w:jc w:val="center"/>
        </w:trPr>
        <w:tc>
          <w:tcPr>
            <w:tcW w:w="1934" w:type="dxa"/>
            <w:gridSpan w:val="2"/>
            <w:tcBorders>
              <w:top w:val="nil"/>
              <w:bottom w:val="nil"/>
            </w:tcBorders>
          </w:tcPr>
          <w:p w14:paraId="00FCFE1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4ABC220" w14:textId="6213B2D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C42EC79" w14:textId="77777777" w:rsidR="006E40C9" w:rsidRDefault="006E40C9">
            <w:pPr>
              <w:pStyle w:val="MeasureTableTextItalic"/>
            </w:pPr>
          </w:p>
        </w:tc>
        <w:tc>
          <w:tcPr>
            <w:tcW w:w="1124" w:type="dxa"/>
            <w:gridSpan w:val="2"/>
            <w:tcBorders>
              <w:top w:val="nil"/>
              <w:bottom w:val="nil"/>
            </w:tcBorders>
          </w:tcPr>
          <w:p w14:paraId="3E76BAEA" w14:textId="77777777" w:rsidR="006E40C9" w:rsidRDefault="006E40C9">
            <w:pPr>
              <w:pStyle w:val="MeasureTableTextLeftAligned"/>
            </w:pPr>
          </w:p>
        </w:tc>
      </w:tr>
      <w:tr w:rsidR="006E40C9" w14:paraId="61EFB13B" w14:textId="77777777">
        <w:trPr>
          <w:cantSplit/>
          <w:jc w:val="center"/>
        </w:trPr>
        <w:tc>
          <w:tcPr>
            <w:tcW w:w="1934" w:type="dxa"/>
            <w:gridSpan w:val="2"/>
            <w:tcBorders>
              <w:top w:val="nil"/>
              <w:bottom w:val="nil"/>
            </w:tcBorders>
          </w:tcPr>
          <w:p w14:paraId="122313C4" w14:textId="77777777" w:rsidR="006E40C9" w:rsidRDefault="006E40C9">
            <w:pPr>
              <w:pStyle w:val="MeasureTableTextItalic"/>
            </w:pPr>
            <w:r>
              <w:t>Commencement date:</w:t>
            </w:r>
          </w:p>
        </w:tc>
        <w:tc>
          <w:tcPr>
            <w:tcW w:w="3179" w:type="dxa"/>
            <w:gridSpan w:val="4"/>
            <w:tcBorders>
              <w:top w:val="nil"/>
              <w:bottom w:val="nil"/>
            </w:tcBorders>
          </w:tcPr>
          <w:p w14:paraId="66B9EFC9" w14:textId="77777777" w:rsidR="006E40C9" w:rsidRDefault="006E40C9">
            <w:pPr>
              <w:pStyle w:val="MeasureTableTextLeftAligned"/>
            </w:pPr>
            <w:r>
              <w:t>2005</w:t>
            </w:r>
          </w:p>
        </w:tc>
        <w:tc>
          <w:tcPr>
            <w:tcW w:w="1500" w:type="dxa"/>
            <w:gridSpan w:val="2"/>
            <w:tcBorders>
              <w:top w:val="nil"/>
              <w:bottom w:val="nil"/>
            </w:tcBorders>
          </w:tcPr>
          <w:p w14:paraId="0630EAF5" w14:textId="77777777" w:rsidR="006E40C9" w:rsidRPr="00F32057" w:rsidRDefault="006E40C9">
            <w:pPr>
              <w:pStyle w:val="MeasureTableTextItalic"/>
            </w:pPr>
            <w:r>
              <w:t>Expiry date:</w:t>
            </w:r>
          </w:p>
        </w:tc>
        <w:tc>
          <w:tcPr>
            <w:tcW w:w="1124" w:type="dxa"/>
            <w:gridSpan w:val="2"/>
            <w:tcBorders>
              <w:top w:val="nil"/>
              <w:bottom w:val="nil"/>
            </w:tcBorders>
          </w:tcPr>
          <w:p w14:paraId="1DB272ED" w14:textId="77777777" w:rsidR="006E40C9" w:rsidRPr="00F32057" w:rsidRDefault="006E40C9">
            <w:pPr>
              <w:pStyle w:val="MeasureTableTextLeftAligned"/>
            </w:pPr>
          </w:p>
        </w:tc>
      </w:tr>
      <w:tr w:rsidR="006E40C9" w14:paraId="378CB5DA" w14:textId="77777777">
        <w:trPr>
          <w:cantSplit/>
          <w:jc w:val="center"/>
        </w:trPr>
        <w:tc>
          <w:tcPr>
            <w:tcW w:w="1934" w:type="dxa"/>
            <w:gridSpan w:val="2"/>
            <w:tcBorders>
              <w:top w:val="nil"/>
            </w:tcBorders>
          </w:tcPr>
          <w:p w14:paraId="436F1B0C" w14:textId="77777777" w:rsidR="006E40C9" w:rsidRDefault="006E40C9">
            <w:pPr>
              <w:pStyle w:val="MeasureTableTextItalic"/>
            </w:pPr>
            <w:r>
              <w:t>Legislative reference:</w:t>
            </w:r>
          </w:p>
        </w:tc>
        <w:tc>
          <w:tcPr>
            <w:tcW w:w="5803" w:type="dxa"/>
            <w:gridSpan w:val="8"/>
            <w:tcBorders>
              <w:top w:val="nil"/>
            </w:tcBorders>
          </w:tcPr>
          <w:p w14:paraId="186D6371"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Asian Development Bank (Privileges and Immunities) Regulations 1967</w:t>
            </w:r>
          </w:p>
        </w:tc>
      </w:tr>
    </w:tbl>
    <w:p w14:paraId="2C2930D5" w14:textId="77777777" w:rsidR="006E40C9" w:rsidRPr="00540040" w:rsidRDefault="006E40C9" w:rsidP="006E40C9">
      <w:pPr>
        <w:pStyle w:val="MeasureTableHeading"/>
      </w:pPr>
    </w:p>
    <w:p w14:paraId="43431D8A" w14:textId="6DD1FEA8" w:rsidR="006E40C9" w:rsidRDefault="006E40C9" w:rsidP="006E40C9">
      <w:r>
        <w:t>The benchmark tax treatment is that income tax is paid on the taxable income of a taxpayer for an income year at their applicable rate of tax. However, the income of Australian resident officers of the Asian Development Bank (ADB) is exempt from tax. This exemption is part of the broader arrangement with the ADB that facilitates the day</w:t>
      </w:r>
      <w:r>
        <w:noBreakHyphen/>
        <w:t>to</w:t>
      </w:r>
      <w:r>
        <w:noBreakHyphen/>
        <w:t xml:space="preserve">day running of the Australian office which services the needs of the Pacific Island countries. </w:t>
      </w:r>
    </w:p>
    <w:p w14:paraId="00D11FE3" w14:textId="77777777" w:rsidR="006E40C9" w:rsidRDefault="006E40C9" w:rsidP="0003254D">
      <w:pPr>
        <w:pStyle w:val="Heading3"/>
      </w:pPr>
      <w:r>
        <w:t>Tax exemptions for certain government income support payments</w:t>
      </w:r>
    </w:p>
    <w:p w14:paraId="71C0F864" w14:textId="77777777" w:rsidR="006E40C9" w:rsidRDefault="006E40C9" w:rsidP="0003254D">
      <w:pPr>
        <w:pStyle w:val="Heading4"/>
      </w:pPr>
      <w:r>
        <w:t>A38</w:t>
      </w:r>
      <w:r>
        <w:tab/>
        <w:t>Exemption of certain income support benefits, pensions or allowances</w:t>
      </w:r>
    </w:p>
    <w:p w14:paraId="130605A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256557" w14:textId="77777777">
        <w:trPr>
          <w:cantSplit/>
          <w:jc w:val="center"/>
        </w:trPr>
        <w:tc>
          <w:tcPr>
            <w:tcW w:w="967" w:type="dxa"/>
            <w:tcBorders>
              <w:top w:val="single" w:sz="2" w:space="0" w:color="auto"/>
              <w:bottom w:val="single" w:sz="2" w:space="0" w:color="auto"/>
            </w:tcBorders>
          </w:tcPr>
          <w:p w14:paraId="69127C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396F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773D1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6E9E8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C4635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246A6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1200A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AFD258" w14:textId="77777777" w:rsidR="006E40C9" w:rsidRDefault="006E40C9">
            <w:pPr>
              <w:pStyle w:val="MeasureTableTextRightAligned"/>
            </w:pPr>
            <w:r>
              <w:t>2027-28</w:t>
            </w:r>
          </w:p>
        </w:tc>
      </w:tr>
      <w:tr w:rsidR="006E40C9" w14:paraId="743DD04C" w14:textId="77777777">
        <w:trPr>
          <w:cantSplit/>
          <w:jc w:val="center"/>
        </w:trPr>
        <w:tc>
          <w:tcPr>
            <w:tcW w:w="967" w:type="dxa"/>
            <w:tcBorders>
              <w:top w:val="single" w:sz="2" w:space="0" w:color="auto"/>
              <w:bottom w:val="single" w:sz="2" w:space="0" w:color="auto"/>
            </w:tcBorders>
          </w:tcPr>
          <w:p w14:paraId="71AD9F9B" w14:textId="77777777" w:rsidR="006E40C9" w:rsidRDefault="006E40C9">
            <w:pPr>
              <w:pStyle w:val="MeasureTableTextRightAligned"/>
            </w:pPr>
            <w:r>
              <w:t>1,850</w:t>
            </w:r>
          </w:p>
        </w:tc>
        <w:tc>
          <w:tcPr>
            <w:tcW w:w="967" w:type="dxa"/>
            <w:tcBorders>
              <w:top w:val="single" w:sz="2" w:space="0" w:color="auto"/>
              <w:bottom w:val="single" w:sz="2" w:space="0" w:color="auto"/>
            </w:tcBorders>
          </w:tcPr>
          <w:p w14:paraId="2CD0F7D1"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67BFE62A" w14:textId="77777777" w:rsidR="006E40C9" w:rsidRDefault="006E40C9">
            <w:pPr>
              <w:pStyle w:val="MeasureTableTextRightAligned"/>
            </w:pPr>
            <w:r>
              <w:t>1,850</w:t>
            </w:r>
          </w:p>
        </w:tc>
        <w:tc>
          <w:tcPr>
            <w:tcW w:w="967" w:type="dxa"/>
            <w:tcBorders>
              <w:top w:val="single" w:sz="2" w:space="0" w:color="auto"/>
              <w:bottom w:val="single" w:sz="2" w:space="0" w:color="auto"/>
            </w:tcBorders>
            <w:vAlign w:val="bottom"/>
          </w:tcPr>
          <w:p w14:paraId="47EDBFE9" w14:textId="77777777" w:rsidR="006E40C9" w:rsidRDefault="006E40C9">
            <w:pPr>
              <w:pStyle w:val="MeasureTableTextRightAligned"/>
            </w:pPr>
            <w:r>
              <w:t>2,000</w:t>
            </w:r>
          </w:p>
        </w:tc>
        <w:tc>
          <w:tcPr>
            <w:tcW w:w="967" w:type="dxa"/>
            <w:tcBorders>
              <w:top w:val="single" w:sz="2" w:space="0" w:color="auto"/>
              <w:bottom w:val="single" w:sz="2" w:space="0" w:color="auto"/>
            </w:tcBorders>
            <w:vAlign w:val="bottom"/>
          </w:tcPr>
          <w:p w14:paraId="06E821A5"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125F5BCF" w14:textId="77777777" w:rsidR="006E40C9" w:rsidRDefault="006E40C9">
            <w:pPr>
              <w:pStyle w:val="MeasureTableTextRightAligned"/>
            </w:pPr>
            <w:r>
              <w:t>1,800</w:t>
            </w:r>
          </w:p>
        </w:tc>
        <w:tc>
          <w:tcPr>
            <w:tcW w:w="967" w:type="dxa"/>
            <w:gridSpan w:val="2"/>
            <w:tcBorders>
              <w:top w:val="single" w:sz="2" w:space="0" w:color="auto"/>
              <w:bottom w:val="single" w:sz="2" w:space="0" w:color="auto"/>
            </w:tcBorders>
            <w:vAlign w:val="bottom"/>
          </w:tcPr>
          <w:p w14:paraId="6F51D5C2" w14:textId="77777777" w:rsidR="006E40C9" w:rsidRDefault="006E40C9">
            <w:pPr>
              <w:pStyle w:val="MeasureTableTextRightAligned"/>
            </w:pPr>
            <w:r>
              <w:t>1,850</w:t>
            </w:r>
          </w:p>
        </w:tc>
        <w:tc>
          <w:tcPr>
            <w:tcW w:w="968" w:type="dxa"/>
            <w:tcBorders>
              <w:top w:val="single" w:sz="2" w:space="0" w:color="auto"/>
              <w:bottom w:val="single" w:sz="2" w:space="0" w:color="auto"/>
            </w:tcBorders>
            <w:vAlign w:val="bottom"/>
          </w:tcPr>
          <w:p w14:paraId="31827135" w14:textId="77777777" w:rsidR="006E40C9" w:rsidRDefault="006E40C9">
            <w:pPr>
              <w:pStyle w:val="MeasureTableTextRightAligned"/>
            </w:pPr>
            <w:r>
              <w:t>1,950</w:t>
            </w:r>
          </w:p>
        </w:tc>
      </w:tr>
      <w:tr w:rsidR="006E40C9" w14:paraId="7E1E8DA7" w14:textId="77777777">
        <w:trPr>
          <w:cantSplit/>
          <w:jc w:val="center"/>
        </w:trPr>
        <w:tc>
          <w:tcPr>
            <w:tcW w:w="1934" w:type="dxa"/>
            <w:gridSpan w:val="2"/>
            <w:tcBorders>
              <w:top w:val="single" w:sz="2" w:space="0" w:color="auto"/>
              <w:bottom w:val="nil"/>
            </w:tcBorders>
          </w:tcPr>
          <w:p w14:paraId="026CEFD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39EB3E" w14:textId="77777777" w:rsidR="006E40C9" w:rsidRDefault="006E40C9">
            <w:pPr>
              <w:pStyle w:val="MeasureTableTextLeftAligned"/>
            </w:pPr>
            <w:r>
              <w:t>Exemption</w:t>
            </w:r>
          </w:p>
        </w:tc>
        <w:tc>
          <w:tcPr>
            <w:tcW w:w="1500" w:type="dxa"/>
            <w:gridSpan w:val="2"/>
            <w:tcBorders>
              <w:top w:val="single" w:sz="2" w:space="0" w:color="auto"/>
              <w:bottom w:val="nil"/>
            </w:tcBorders>
          </w:tcPr>
          <w:p w14:paraId="51025EB9" w14:textId="40E6F9D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2F8CEB3" w14:textId="77777777" w:rsidR="006E40C9" w:rsidRDefault="006E40C9">
            <w:pPr>
              <w:pStyle w:val="MeasureTableTextLeftAligned"/>
            </w:pPr>
            <w:r>
              <w:t>A38</w:t>
            </w:r>
          </w:p>
        </w:tc>
      </w:tr>
      <w:tr w:rsidR="006E40C9" w14:paraId="06FED15B" w14:textId="77777777">
        <w:trPr>
          <w:cantSplit/>
          <w:jc w:val="center"/>
        </w:trPr>
        <w:tc>
          <w:tcPr>
            <w:tcW w:w="1934" w:type="dxa"/>
            <w:gridSpan w:val="2"/>
            <w:tcBorders>
              <w:top w:val="nil"/>
              <w:bottom w:val="nil"/>
            </w:tcBorders>
          </w:tcPr>
          <w:p w14:paraId="752D3D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A4C395" w14:textId="77777777" w:rsidR="006E40C9" w:rsidRPr="00584CA7" w:rsidRDefault="006E40C9">
            <w:pPr>
              <w:pStyle w:val="MeasureTableTextLeftAligned"/>
            </w:pPr>
            <w:r>
              <w:t>Medium</w:t>
            </w:r>
          </w:p>
        </w:tc>
        <w:tc>
          <w:tcPr>
            <w:tcW w:w="1500" w:type="dxa"/>
            <w:gridSpan w:val="2"/>
            <w:tcBorders>
              <w:top w:val="nil"/>
              <w:bottom w:val="nil"/>
            </w:tcBorders>
          </w:tcPr>
          <w:p w14:paraId="42F016F3" w14:textId="77777777" w:rsidR="006E40C9" w:rsidRDefault="006E40C9">
            <w:pPr>
              <w:pStyle w:val="MeasureTableTextItalic"/>
            </w:pPr>
          </w:p>
        </w:tc>
        <w:tc>
          <w:tcPr>
            <w:tcW w:w="1124" w:type="dxa"/>
            <w:gridSpan w:val="2"/>
            <w:tcBorders>
              <w:top w:val="nil"/>
              <w:bottom w:val="nil"/>
            </w:tcBorders>
          </w:tcPr>
          <w:p w14:paraId="0FAD50BB" w14:textId="77777777" w:rsidR="006E40C9" w:rsidRDefault="006E40C9">
            <w:pPr>
              <w:pStyle w:val="MeasureTableTextLeftAligned"/>
            </w:pPr>
          </w:p>
        </w:tc>
      </w:tr>
      <w:tr w:rsidR="006E40C9" w14:paraId="6A21A52F" w14:textId="77777777">
        <w:trPr>
          <w:cantSplit/>
          <w:jc w:val="center"/>
        </w:trPr>
        <w:tc>
          <w:tcPr>
            <w:tcW w:w="1934" w:type="dxa"/>
            <w:gridSpan w:val="2"/>
            <w:tcBorders>
              <w:top w:val="nil"/>
              <w:bottom w:val="nil"/>
            </w:tcBorders>
          </w:tcPr>
          <w:p w14:paraId="78B2451B" w14:textId="77777777" w:rsidR="006E40C9" w:rsidRDefault="006E40C9">
            <w:pPr>
              <w:pStyle w:val="MeasureTableTextItalic"/>
            </w:pPr>
            <w:r>
              <w:t>Commencement date:</w:t>
            </w:r>
          </w:p>
        </w:tc>
        <w:tc>
          <w:tcPr>
            <w:tcW w:w="3179" w:type="dxa"/>
            <w:gridSpan w:val="4"/>
            <w:tcBorders>
              <w:top w:val="nil"/>
              <w:bottom w:val="nil"/>
            </w:tcBorders>
          </w:tcPr>
          <w:p w14:paraId="6A120DB9" w14:textId="77777777" w:rsidR="006E40C9" w:rsidRDefault="006E40C9">
            <w:pPr>
              <w:pStyle w:val="MeasureTableTextLeftAligned"/>
            </w:pPr>
            <w:r>
              <w:t>Introduced before 1985</w:t>
            </w:r>
          </w:p>
        </w:tc>
        <w:tc>
          <w:tcPr>
            <w:tcW w:w="1500" w:type="dxa"/>
            <w:gridSpan w:val="2"/>
            <w:tcBorders>
              <w:top w:val="nil"/>
              <w:bottom w:val="nil"/>
            </w:tcBorders>
          </w:tcPr>
          <w:p w14:paraId="51A56838" w14:textId="77777777" w:rsidR="006E40C9" w:rsidRPr="00F32057" w:rsidRDefault="006E40C9">
            <w:pPr>
              <w:pStyle w:val="MeasureTableTextItalic"/>
            </w:pPr>
            <w:r>
              <w:t>Expiry date:</w:t>
            </w:r>
          </w:p>
        </w:tc>
        <w:tc>
          <w:tcPr>
            <w:tcW w:w="1124" w:type="dxa"/>
            <w:gridSpan w:val="2"/>
            <w:tcBorders>
              <w:top w:val="nil"/>
              <w:bottom w:val="nil"/>
            </w:tcBorders>
          </w:tcPr>
          <w:p w14:paraId="519C0967" w14:textId="77777777" w:rsidR="006E40C9" w:rsidRPr="00F32057" w:rsidRDefault="006E40C9">
            <w:pPr>
              <w:pStyle w:val="MeasureTableTextLeftAligned"/>
            </w:pPr>
          </w:p>
        </w:tc>
      </w:tr>
      <w:tr w:rsidR="006E40C9" w14:paraId="699670EF" w14:textId="77777777">
        <w:trPr>
          <w:cantSplit/>
          <w:jc w:val="center"/>
        </w:trPr>
        <w:tc>
          <w:tcPr>
            <w:tcW w:w="1934" w:type="dxa"/>
            <w:gridSpan w:val="2"/>
            <w:tcBorders>
              <w:top w:val="nil"/>
            </w:tcBorders>
          </w:tcPr>
          <w:p w14:paraId="27CAE414" w14:textId="77777777" w:rsidR="006E40C9" w:rsidRDefault="006E40C9">
            <w:pPr>
              <w:pStyle w:val="MeasureTableTextItalic"/>
            </w:pPr>
            <w:r>
              <w:t>Legislative reference:</w:t>
            </w:r>
          </w:p>
        </w:tc>
        <w:tc>
          <w:tcPr>
            <w:tcW w:w="5803" w:type="dxa"/>
            <w:gridSpan w:val="8"/>
            <w:tcBorders>
              <w:top w:val="nil"/>
            </w:tcBorders>
          </w:tcPr>
          <w:p w14:paraId="2D9C8B3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52-A, 52-E and 52-F of the </w:t>
            </w:r>
            <w:r>
              <w:rPr>
                <w:rFonts w:ascii="Arial" w:hAnsi="Arial" w:cs="Arial"/>
                <w:i/>
                <w:iCs/>
                <w:color w:val="000000"/>
                <w:sz w:val="16"/>
                <w:szCs w:val="16"/>
              </w:rPr>
              <w:t>Income Tax Assessment Act 1997</w:t>
            </w:r>
          </w:p>
        </w:tc>
      </w:tr>
    </w:tbl>
    <w:p w14:paraId="4B776F7E" w14:textId="77777777" w:rsidR="006E40C9" w:rsidRPr="00540040" w:rsidRDefault="006E40C9" w:rsidP="006E40C9">
      <w:pPr>
        <w:pStyle w:val="MeasureTableHeading"/>
      </w:pPr>
    </w:p>
    <w:p w14:paraId="3FFD197A" w14:textId="77777777" w:rsidR="006E40C9" w:rsidRDefault="006E40C9" w:rsidP="006E40C9">
      <w:r>
        <w:t>Under the benchmark, government payments to individuals are included as part of taxable income; income tax is paid on the taxable income of a taxpayer for an income year at their applicable rate. However, certain social security payments are partly or fully exempt from income tax. These include: certain pensions</w:t>
      </w:r>
      <w:r>
        <w:fldChar w:fldCharType="begin"/>
      </w:r>
      <w:r>
        <w:instrText xml:space="preserve"> XE "Pensions" </w:instrText>
      </w:r>
      <w:r>
        <w:fldChar w:fldCharType="end"/>
      </w:r>
      <w:r>
        <w:t>; benefits;</w:t>
      </w:r>
      <w:r>
        <w:fldChar w:fldCharType="begin"/>
      </w:r>
      <w:r>
        <w:instrText xml:space="preserve"> XE "Benefits" </w:instrText>
      </w:r>
      <w:r>
        <w:fldChar w:fldCharType="end"/>
      </w:r>
      <w:r>
        <w:t xml:space="preserve"> allowances and</w:t>
      </w:r>
      <w:r>
        <w:fldChar w:fldCharType="begin"/>
      </w:r>
      <w:r>
        <w:instrText xml:space="preserve"> XE "Allowances" </w:instrText>
      </w:r>
      <w:r>
        <w:fldChar w:fldCharType="end"/>
      </w:r>
      <w:r>
        <w:t xml:space="preserve"> repatriation pensions paid under the </w:t>
      </w:r>
      <w:r>
        <w:rPr>
          <w:i/>
        </w:rPr>
        <w:t>Social Security Act 1991</w:t>
      </w:r>
      <w:r>
        <w:t>, for example, Disability Support Pension and Carer Payment paid to individuals under Age Pension age</w:t>
      </w:r>
      <w:r>
        <w:rPr>
          <w:i/>
        </w:rPr>
        <w:t xml:space="preserve">; </w:t>
      </w:r>
      <w:r>
        <w:t xml:space="preserve">certain amounts of Commonwealth education or training payment; certain parts of payments under the ABSTUDY scheme; and the one-off Cost of Living Payment. </w:t>
      </w:r>
    </w:p>
    <w:p w14:paraId="6BC73BF4" w14:textId="77777777" w:rsidR="006E40C9" w:rsidRDefault="006E40C9" w:rsidP="0003254D">
      <w:pPr>
        <w:pStyle w:val="Heading4"/>
      </w:pPr>
      <w:r>
        <w:t>A39</w:t>
      </w:r>
      <w:r>
        <w:tab/>
        <w:t>Exemption of Family Tax Benefit payments</w:t>
      </w:r>
    </w:p>
    <w:p w14:paraId="5553E94A"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E931EC" w14:textId="77777777">
        <w:trPr>
          <w:cantSplit/>
          <w:jc w:val="center"/>
        </w:trPr>
        <w:tc>
          <w:tcPr>
            <w:tcW w:w="967" w:type="dxa"/>
            <w:tcBorders>
              <w:top w:val="single" w:sz="2" w:space="0" w:color="auto"/>
              <w:bottom w:val="single" w:sz="2" w:space="0" w:color="auto"/>
            </w:tcBorders>
          </w:tcPr>
          <w:p w14:paraId="0F299A3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0E241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B8C81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537C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5D773E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851BB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E85E07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007DDB" w14:textId="77777777" w:rsidR="006E40C9" w:rsidRDefault="006E40C9">
            <w:pPr>
              <w:pStyle w:val="MeasureTableTextRightAligned"/>
            </w:pPr>
            <w:r>
              <w:t>2027-28</w:t>
            </w:r>
          </w:p>
        </w:tc>
      </w:tr>
      <w:tr w:rsidR="006E40C9" w14:paraId="01917398" w14:textId="77777777">
        <w:trPr>
          <w:cantSplit/>
          <w:jc w:val="center"/>
        </w:trPr>
        <w:tc>
          <w:tcPr>
            <w:tcW w:w="967" w:type="dxa"/>
            <w:tcBorders>
              <w:top w:val="single" w:sz="2" w:space="0" w:color="auto"/>
              <w:bottom w:val="single" w:sz="2" w:space="0" w:color="auto"/>
            </w:tcBorders>
          </w:tcPr>
          <w:p w14:paraId="1F2CEBD9" w14:textId="77777777" w:rsidR="006E40C9" w:rsidRDefault="006E40C9">
            <w:pPr>
              <w:pStyle w:val="MeasureTableTextRightAligned"/>
            </w:pPr>
            <w:r>
              <w:t>1,790</w:t>
            </w:r>
          </w:p>
        </w:tc>
        <w:tc>
          <w:tcPr>
            <w:tcW w:w="967" w:type="dxa"/>
            <w:tcBorders>
              <w:top w:val="single" w:sz="2" w:space="0" w:color="auto"/>
              <w:bottom w:val="single" w:sz="2" w:space="0" w:color="auto"/>
            </w:tcBorders>
          </w:tcPr>
          <w:p w14:paraId="1960B7C1" w14:textId="77777777" w:rsidR="006E40C9" w:rsidRDefault="006E40C9">
            <w:pPr>
              <w:pStyle w:val="MeasureTableTextRightAligned"/>
            </w:pPr>
            <w:r>
              <w:t>1,430</w:t>
            </w:r>
          </w:p>
        </w:tc>
        <w:tc>
          <w:tcPr>
            <w:tcW w:w="967" w:type="dxa"/>
            <w:tcBorders>
              <w:top w:val="single" w:sz="2" w:space="0" w:color="auto"/>
              <w:bottom w:val="single" w:sz="2" w:space="0" w:color="auto"/>
            </w:tcBorders>
            <w:vAlign w:val="bottom"/>
          </w:tcPr>
          <w:p w14:paraId="2E762B60" w14:textId="77777777" w:rsidR="006E40C9" w:rsidRDefault="006E40C9">
            <w:pPr>
              <w:pStyle w:val="MeasureTableTextRightAligned"/>
            </w:pPr>
            <w:r>
              <w:t>1,730</w:t>
            </w:r>
          </w:p>
        </w:tc>
        <w:tc>
          <w:tcPr>
            <w:tcW w:w="967" w:type="dxa"/>
            <w:tcBorders>
              <w:top w:val="single" w:sz="2" w:space="0" w:color="auto"/>
              <w:bottom w:val="single" w:sz="2" w:space="0" w:color="auto"/>
            </w:tcBorders>
            <w:vAlign w:val="bottom"/>
          </w:tcPr>
          <w:p w14:paraId="066AC790" w14:textId="77777777" w:rsidR="006E40C9" w:rsidRDefault="006E40C9">
            <w:pPr>
              <w:pStyle w:val="MeasureTableTextRightAligned"/>
            </w:pPr>
            <w:r>
              <w:t>1,880</w:t>
            </w:r>
          </w:p>
        </w:tc>
        <w:tc>
          <w:tcPr>
            <w:tcW w:w="967" w:type="dxa"/>
            <w:tcBorders>
              <w:top w:val="single" w:sz="2" w:space="0" w:color="auto"/>
              <w:bottom w:val="single" w:sz="2" w:space="0" w:color="auto"/>
            </w:tcBorders>
            <w:vAlign w:val="bottom"/>
          </w:tcPr>
          <w:p w14:paraId="49768FF1" w14:textId="77777777" w:rsidR="006E40C9" w:rsidRDefault="006E40C9">
            <w:pPr>
              <w:pStyle w:val="MeasureTableTextRightAligned"/>
            </w:pPr>
            <w:r>
              <w:t>1,780</w:t>
            </w:r>
          </w:p>
        </w:tc>
        <w:tc>
          <w:tcPr>
            <w:tcW w:w="967" w:type="dxa"/>
            <w:gridSpan w:val="2"/>
            <w:tcBorders>
              <w:top w:val="single" w:sz="2" w:space="0" w:color="auto"/>
              <w:bottom w:val="single" w:sz="2" w:space="0" w:color="auto"/>
            </w:tcBorders>
            <w:vAlign w:val="bottom"/>
          </w:tcPr>
          <w:p w14:paraId="647CE5F8" w14:textId="77777777" w:rsidR="006E40C9" w:rsidRDefault="006E40C9">
            <w:pPr>
              <w:pStyle w:val="MeasureTableTextRightAligned"/>
            </w:pPr>
            <w:r>
              <w:t>1,830</w:t>
            </w:r>
          </w:p>
        </w:tc>
        <w:tc>
          <w:tcPr>
            <w:tcW w:w="967" w:type="dxa"/>
            <w:gridSpan w:val="2"/>
            <w:tcBorders>
              <w:top w:val="single" w:sz="2" w:space="0" w:color="auto"/>
              <w:bottom w:val="single" w:sz="2" w:space="0" w:color="auto"/>
            </w:tcBorders>
            <w:vAlign w:val="bottom"/>
          </w:tcPr>
          <w:p w14:paraId="268F37A2" w14:textId="77777777" w:rsidR="006E40C9" w:rsidRDefault="006E40C9">
            <w:pPr>
              <w:pStyle w:val="MeasureTableTextRightAligned"/>
            </w:pPr>
            <w:r>
              <w:t>1,890</w:t>
            </w:r>
          </w:p>
        </w:tc>
        <w:tc>
          <w:tcPr>
            <w:tcW w:w="968" w:type="dxa"/>
            <w:tcBorders>
              <w:top w:val="single" w:sz="2" w:space="0" w:color="auto"/>
              <w:bottom w:val="single" w:sz="2" w:space="0" w:color="auto"/>
            </w:tcBorders>
            <w:vAlign w:val="bottom"/>
          </w:tcPr>
          <w:p w14:paraId="5F5601D7" w14:textId="77777777" w:rsidR="006E40C9" w:rsidRDefault="006E40C9">
            <w:pPr>
              <w:pStyle w:val="MeasureTableTextRightAligned"/>
            </w:pPr>
            <w:r>
              <w:t>1,930</w:t>
            </w:r>
          </w:p>
        </w:tc>
      </w:tr>
      <w:tr w:rsidR="006E40C9" w14:paraId="69CEE083" w14:textId="77777777">
        <w:trPr>
          <w:cantSplit/>
          <w:jc w:val="center"/>
        </w:trPr>
        <w:tc>
          <w:tcPr>
            <w:tcW w:w="1934" w:type="dxa"/>
            <w:gridSpan w:val="2"/>
            <w:tcBorders>
              <w:top w:val="single" w:sz="2" w:space="0" w:color="auto"/>
              <w:bottom w:val="nil"/>
            </w:tcBorders>
          </w:tcPr>
          <w:p w14:paraId="440C43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588F81B" w14:textId="77777777" w:rsidR="006E40C9" w:rsidRDefault="006E40C9">
            <w:pPr>
              <w:pStyle w:val="MeasureTableTextLeftAligned"/>
            </w:pPr>
            <w:r>
              <w:t>Exemption</w:t>
            </w:r>
          </w:p>
        </w:tc>
        <w:tc>
          <w:tcPr>
            <w:tcW w:w="1500" w:type="dxa"/>
            <w:gridSpan w:val="2"/>
            <w:tcBorders>
              <w:top w:val="single" w:sz="2" w:space="0" w:color="auto"/>
              <w:bottom w:val="nil"/>
            </w:tcBorders>
          </w:tcPr>
          <w:p w14:paraId="12A2EE5E" w14:textId="75FB5F3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F9F355D" w14:textId="77777777" w:rsidR="006E40C9" w:rsidRDefault="006E40C9">
            <w:pPr>
              <w:pStyle w:val="MeasureTableTextLeftAligned"/>
            </w:pPr>
            <w:r>
              <w:t>A39</w:t>
            </w:r>
          </w:p>
        </w:tc>
      </w:tr>
      <w:tr w:rsidR="006E40C9" w14:paraId="461769B6" w14:textId="77777777">
        <w:trPr>
          <w:cantSplit/>
          <w:jc w:val="center"/>
        </w:trPr>
        <w:tc>
          <w:tcPr>
            <w:tcW w:w="1934" w:type="dxa"/>
            <w:gridSpan w:val="2"/>
            <w:tcBorders>
              <w:top w:val="nil"/>
              <w:bottom w:val="nil"/>
            </w:tcBorders>
          </w:tcPr>
          <w:p w14:paraId="4087F67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078DF2" w14:textId="77777777" w:rsidR="006E40C9" w:rsidRPr="00584CA7" w:rsidRDefault="006E40C9">
            <w:pPr>
              <w:pStyle w:val="MeasureTableTextLeftAligned"/>
            </w:pPr>
            <w:r>
              <w:t>Low</w:t>
            </w:r>
          </w:p>
        </w:tc>
        <w:tc>
          <w:tcPr>
            <w:tcW w:w="1500" w:type="dxa"/>
            <w:gridSpan w:val="2"/>
            <w:tcBorders>
              <w:top w:val="nil"/>
              <w:bottom w:val="nil"/>
            </w:tcBorders>
          </w:tcPr>
          <w:p w14:paraId="2BDD5EC6" w14:textId="77777777" w:rsidR="006E40C9" w:rsidRDefault="006E40C9">
            <w:pPr>
              <w:pStyle w:val="MeasureTableTextItalic"/>
            </w:pPr>
          </w:p>
        </w:tc>
        <w:tc>
          <w:tcPr>
            <w:tcW w:w="1124" w:type="dxa"/>
            <w:gridSpan w:val="2"/>
            <w:tcBorders>
              <w:top w:val="nil"/>
              <w:bottom w:val="nil"/>
            </w:tcBorders>
          </w:tcPr>
          <w:p w14:paraId="66898DF2" w14:textId="77777777" w:rsidR="006E40C9" w:rsidRDefault="006E40C9">
            <w:pPr>
              <w:pStyle w:val="MeasureTableTextLeftAligned"/>
            </w:pPr>
          </w:p>
        </w:tc>
      </w:tr>
      <w:tr w:rsidR="006E40C9" w14:paraId="69EB2102" w14:textId="77777777">
        <w:trPr>
          <w:cantSplit/>
          <w:jc w:val="center"/>
        </w:trPr>
        <w:tc>
          <w:tcPr>
            <w:tcW w:w="1934" w:type="dxa"/>
            <w:gridSpan w:val="2"/>
            <w:tcBorders>
              <w:top w:val="nil"/>
              <w:bottom w:val="nil"/>
            </w:tcBorders>
          </w:tcPr>
          <w:p w14:paraId="0B3F3B12" w14:textId="77777777" w:rsidR="006E40C9" w:rsidRDefault="006E40C9">
            <w:pPr>
              <w:pStyle w:val="MeasureTableTextItalic"/>
            </w:pPr>
            <w:r>
              <w:t>Commencement date:</w:t>
            </w:r>
          </w:p>
        </w:tc>
        <w:tc>
          <w:tcPr>
            <w:tcW w:w="3179" w:type="dxa"/>
            <w:gridSpan w:val="4"/>
            <w:tcBorders>
              <w:top w:val="nil"/>
              <w:bottom w:val="nil"/>
            </w:tcBorders>
          </w:tcPr>
          <w:p w14:paraId="13C9CDC0" w14:textId="77777777" w:rsidR="006E40C9" w:rsidRDefault="006E40C9">
            <w:pPr>
              <w:pStyle w:val="MeasureTableTextLeftAligned"/>
            </w:pPr>
            <w:r>
              <w:t>2000</w:t>
            </w:r>
          </w:p>
        </w:tc>
        <w:tc>
          <w:tcPr>
            <w:tcW w:w="1500" w:type="dxa"/>
            <w:gridSpan w:val="2"/>
            <w:tcBorders>
              <w:top w:val="nil"/>
              <w:bottom w:val="nil"/>
            </w:tcBorders>
          </w:tcPr>
          <w:p w14:paraId="3FE6F8AB" w14:textId="77777777" w:rsidR="006E40C9" w:rsidRPr="00F32057" w:rsidRDefault="006E40C9">
            <w:pPr>
              <w:pStyle w:val="MeasureTableTextItalic"/>
            </w:pPr>
            <w:r>
              <w:t>Expiry date:</w:t>
            </w:r>
          </w:p>
        </w:tc>
        <w:tc>
          <w:tcPr>
            <w:tcW w:w="1124" w:type="dxa"/>
            <w:gridSpan w:val="2"/>
            <w:tcBorders>
              <w:top w:val="nil"/>
              <w:bottom w:val="nil"/>
            </w:tcBorders>
          </w:tcPr>
          <w:p w14:paraId="1ADEA19F" w14:textId="77777777" w:rsidR="006E40C9" w:rsidRPr="00F32057" w:rsidRDefault="006E40C9">
            <w:pPr>
              <w:pStyle w:val="MeasureTableTextLeftAligned"/>
            </w:pPr>
          </w:p>
        </w:tc>
      </w:tr>
      <w:tr w:rsidR="006E40C9" w14:paraId="4FD346BA" w14:textId="77777777">
        <w:trPr>
          <w:cantSplit/>
          <w:jc w:val="center"/>
        </w:trPr>
        <w:tc>
          <w:tcPr>
            <w:tcW w:w="1934" w:type="dxa"/>
            <w:gridSpan w:val="2"/>
            <w:tcBorders>
              <w:top w:val="nil"/>
            </w:tcBorders>
          </w:tcPr>
          <w:p w14:paraId="7C5E382B" w14:textId="77777777" w:rsidR="006E40C9" w:rsidRDefault="006E40C9">
            <w:pPr>
              <w:pStyle w:val="MeasureTableTextItalic"/>
            </w:pPr>
            <w:r>
              <w:t>Legislative reference:</w:t>
            </w:r>
          </w:p>
        </w:tc>
        <w:tc>
          <w:tcPr>
            <w:tcW w:w="5803" w:type="dxa"/>
            <w:gridSpan w:val="8"/>
            <w:tcBorders>
              <w:top w:val="nil"/>
            </w:tcBorders>
          </w:tcPr>
          <w:p w14:paraId="459DBF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52-150 of the </w:t>
            </w:r>
            <w:r>
              <w:rPr>
                <w:rFonts w:ascii="Arial" w:hAnsi="Arial" w:cs="Arial"/>
                <w:i/>
                <w:iCs/>
                <w:color w:val="000000"/>
                <w:sz w:val="16"/>
                <w:szCs w:val="16"/>
              </w:rPr>
              <w:t>Income Tax Assessment Act 1997</w:t>
            </w:r>
          </w:p>
        </w:tc>
      </w:tr>
    </w:tbl>
    <w:p w14:paraId="774D3D10" w14:textId="77777777" w:rsidR="006E40C9" w:rsidRPr="00540040" w:rsidRDefault="006E40C9" w:rsidP="006E40C9">
      <w:pPr>
        <w:pStyle w:val="MeasureTableHeading"/>
      </w:pPr>
    </w:p>
    <w:p w14:paraId="692C7370" w14:textId="77777777" w:rsidR="006E40C9" w:rsidRDefault="006E40C9" w:rsidP="006E40C9">
      <w:r>
        <w:t>Under the benchmark, government payments to individuals are included as part of taxable income; income tax is paid on the taxable income of a taxpayer for an income year at their applicable rate. However, Family Tax Benefit</w:t>
      </w:r>
      <w:r>
        <w:fldChar w:fldCharType="begin"/>
      </w:r>
      <w:r>
        <w:instrText xml:space="preserve"> XE "Family Tax Benefit" </w:instrText>
      </w:r>
      <w:r>
        <w:fldChar w:fldCharType="end"/>
      </w:r>
      <w:r>
        <w:t xml:space="preserve"> payments are exempt from income tax.</w:t>
      </w:r>
    </w:p>
    <w:p w14:paraId="69558DCA" w14:textId="77777777" w:rsidR="006E40C9" w:rsidRDefault="006E40C9" w:rsidP="0003254D">
      <w:pPr>
        <w:pStyle w:val="Heading4"/>
      </w:pPr>
      <w:r>
        <w:t>A40</w:t>
      </w:r>
      <w:r>
        <w:tab/>
        <w:t>Exemptions of certain veterans’ pensions, allowances or benefits, compensation, and particular World War II-related payments for persecution</w:t>
      </w:r>
    </w:p>
    <w:p w14:paraId="122D732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BA5B946" w14:textId="77777777">
        <w:trPr>
          <w:cantSplit/>
          <w:jc w:val="center"/>
        </w:trPr>
        <w:tc>
          <w:tcPr>
            <w:tcW w:w="967" w:type="dxa"/>
            <w:tcBorders>
              <w:top w:val="single" w:sz="2" w:space="0" w:color="auto"/>
              <w:bottom w:val="single" w:sz="2" w:space="0" w:color="auto"/>
            </w:tcBorders>
          </w:tcPr>
          <w:p w14:paraId="74A645F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9D665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FBF58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D0649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546512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A56D5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60606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5FE374" w14:textId="77777777" w:rsidR="006E40C9" w:rsidRDefault="006E40C9">
            <w:pPr>
              <w:pStyle w:val="MeasureTableTextRightAligned"/>
            </w:pPr>
            <w:r>
              <w:t>2027-28</w:t>
            </w:r>
          </w:p>
        </w:tc>
      </w:tr>
      <w:tr w:rsidR="006E40C9" w14:paraId="3C156D1B" w14:textId="77777777">
        <w:trPr>
          <w:cantSplit/>
          <w:jc w:val="center"/>
        </w:trPr>
        <w:tc>
          <w:tcPr>
            <w:tcW w:w="967" w:type="dxa"/>
            <w:tcBorders>
              <w:top w:val="single" w:sz="2" w:space="0" w:color="auto"/>
              <w:bottom w:val="single" w:sz="2" w:space="0" w:color="auto"/>
            </w:tcBorders>
          </w:tcPr>
          <w:p w14:paraId="7FC18DFD" w14:textId="77777777" w:rsidR="006E40C9" w:rsidRDefault="006E40C9">
            <w:pPr>
              <w:pStyle w:val="MeasureTableTextRightAligned"/>
            </w:pPr>
            <w:r>
              <w:t>840</w:t>
            </w:r>
          </w:p>
        </w:tc>
        <w:tc>
          <w:tcPr>
            <w:tcW w:w="967" w:type="dxa"/>
            <w:tcBorders>
              <w:top w:val="single" w:sz="2" w:space="0" w:color="auto"/>
              <w:bottom w:val="single" w:sz="2" w:space="0" w:color="auto"/>
            </w:tcBorders>
          </w:tcPr>
          <w:p w14:paraId="3F7121C4" w14:textId="77777777" w:rsidR="006E40C9" w:rsidRDefault="006E40C9">
            <w:pPr>
              <w:pStyle w:val="MeasureTableTextRightAligned"/>
            </w:pPr>
            <w:r>
              <w:t>860</w:t>
            </w:r>
          </w:p>
        </w:tc>
        <w:tc>
          <w:tcPr>
            <w:tcW w:w="967" w:type="dxa"/>
            <w:tcBorders>
              <w:top w:val="single" w:sz="2" w:space="0" w:color="auto"/>
              <w:bottom w:val="single" w:sz="2" w:space="0" w:color="auto"/>
            </w:tcBorders>
            <w:vAlign w:val="bottom"/>
          </w:tcPr>
          <w:p w14:paraId="7229239B" w14:textId="77777777" w:rsidR="006E40C9" w:rsidRDefault="006E40C9">
            <w:pPr>
              <w:pStyle w:val="MeasureTableTextRightAligned"/>
            </w:pPr>
            <w:r>
              <w:t>1,080</w:t>
            </w:r>
          </w:p>
        </w:tc>
        <w:tc>
          <w:tcPr>
            <w:tcW w:w="967" w:type="dxa"/>
            <w:tcBorders>
              <w:top w:val="single" w:sz="2" w:space="0" w:color="auto"/>
              <w:bottom w:val="single" w:sz="2" w:space="0" w:color="auto"/>
            </w:tcBorders>
            <w:vAlign w:val="bottom"/>
          </w:tcPr>
          <w:p w14:paraId="2F47F57C" w14:textId="77777777" w:rsidR="006E40C9" w:rsidRDefault="006E40C9">
            <w:pPr>
              <w:pStyle w:val="MeasureTableTextRightAligned"/>
            </w:pPr>
            <w:r>
              <w:t>1,460</w:t>
            </w:r>
          </w:p>
        </w:tc>
        <w:tc>
          <w:tcPr>
            <w:tcW w:w="967" w:type="dxa"/>
            <w:tcBorders>
              <w:top w:val="single" w:sz="2" w:space="0" w:color="auto"/>
              <w:bottom w:val="single" w:sz="2" w:space="0" w:color="auto"/>
            </w:tcBorders>
            <w:vAlign w:val="bottom"/>
          </w:tcPr>
          <w:p w14:paraId="76A15968" w14:textId="77777777" w:rsidR="006E40C9" w:rsidRDefault="006E40C9">
            <w:pPr>
              <w:pStyle w:val="MeasureTableTextRightAligned"/>
            </w:pPr>
            <w:r>
              <w:t>1,380</w:t>
            </w:r>
          </w:p>
        </w:tc>
        <w:tc>
          <w:tcPr>
            <w:tcW w:w="967" w:type="dxa"/>
            <w:gridSpan w:val="2"/>
            <w:tcBorders>
              <w:top w:val="single" w:sz="2" w:space="0" w:color="auto"/>
              <w:bottom w:val="single" w:sz="2" w:space="0" w:color="auto"/>
            </w:tcBorders>
            <w:vAlign w:val="bottom"/>
          </w:tcPr>
          <w:p w14:paraId="26EFCFF0" w14:textId="77777777" w:rsidR="006E40C9" w:rsidRDefault="006E40C9">
            <w:pPr>
              <w:pStyle w:val="MeasureTableTextRightAligned"/>
            </w:pPr>
            <w:r>
              <w:t>1,960</w:t>
            </w:r>
          </w:p>
        </w:tc>
        <w:tc>
          <w:tcPr>
            <w:tcW w:w="967" w:type="dxa"/>
            <w:gridSpan w:val="2"/>
            <w:tcBorders>
              <w:top w:val="single" w:sz="2" w:space="0" w:color="auto"/>
              <w:bottom w:val="single" w:sz="2" w:space="0" w:color="auto"/>
            </w:tcBorders>
            <w:vAlign w:val="bottom"/>
          </w:tcPr>
          <w:p w14:paraId="5908E60E" w14:textId="77777777" w:rsidR="006E40C9" w:rsidRDefault="006E40C9">
            <w:pPr>
              <w:pStyle w:val="MeasureTableTextRightAligned"/>
            </w:pPr>
            <w:r>
              <w:t>1,390</w:t>
            </w:r>
          </w:p>
        </w:tc>
        <w:tc>
          <w:tcPr>
            <w:tcW w:w="968" w:type="dxa"/>
            <w:tcBorders>
              <w:top w:val="single" w:sz="2" w:space="0" w:color="auto"/>
              <w:bottom w:val="single" w:sz="2" w:space="0" w:color="auto"/>
            </w:tcBorders>
            <w:vAlign w:val="bottom"/>
          </w:tcPr>
          <w:p w14:paraId="456E85F2" w14:textId="77777777" w:rsidR="006E40C9" w:rsidRDefault="006E40C9">
            <w:pPr>
              <w:pStyle w:val="MeasureTableTextRightAligned"/>
            </w:pPr>
            <w:r>
              <w:t>1,410</w:t>
            </w:r>
          </w:p>
        </w:tc>
      </w:tr>
      <w:tr w:rsidR="006E40C9" w14:paraId="49ED79BD" w14:textId="77777777">
        <w:trPr>
          <w:cantSplit/>
          <w:jc w:val="center"/>
        </w:trPr>
        <w:tc>
          <w:tcPr>
            <w:tcW w:w="1934" w:type="dxa"/>
            <w:gridSpan w:val="2"/>
            <w:tcBorders>
              <w:top w:val="single" w:sz="2" w:space="0" w:color="auto"/>
              <w:bottom w:val="nil"/>
            </w:tcBorders>
          </w:tcPr>
          <w:p w14:paraId="1D0776A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5EE5D1" w14:textId="77777777" w:rsidR="006E40C9" w:rsidRDefault="006E40C9">
            <w:pPr>
              <w:pStyle w:val="MeasureTableTextLeftAligned"/>
            </w:pPr>
            <w:r>
              <w:t>Exemption</w:t>
            </w:r>
          </w:p>
        </w:tc>
        <w:tc>
          <w:tcPr>
            <w:tcW w:w="1500" w:type="dxa"/>
            <w:gridSpan w:val="2"/>
            <w:tcBorders>
              <w:top w:val="single" w:sz="2" w:space="0" w:color="auto"/>
              <w:bottom w:val="nil"/>
            </w:tcBorders>
          </w:tcPr>
          <w:p w14:paraId="4DA348E9" w14:textId="40A2CB7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C30DF26" w14:textId="77777777" w:rsidR="006E40C9" w:rsidRDefault="006E40C9">
            <w:pPr>
              <w:pStyle w:val="MeasureTableTextLeftAligned"/>
            </w:pPr>
            <w:r>
              <w:t>A40</w:t>
            </w:r>
          </w:p>
        </w:tc>
      </w:tr>
      <w:tr w:rsidR="006E40C9" w14:paraId="34BD44DD" w14:textId="77777777">
        <w:trPr>
          <w:cantSplit/>
          <w:jc w:val="center"/>
        </w:trPr>
        <w:tc>
          <w:tcPr>
            <w:tcW w:w="1934" w:type="dxa"/>
            <w:gridSpan w:val="2"/>
            <w:tcBorders>
              <w:top w:val="nil"/>
              <w:bottom w:val="nil"/>
            </w:tcBorders>
          </w:tcPr>
          <w:p w14:paraId="366425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06F5EE" w14:textId="77777777" w:rsidR="006E40C9" w:rsidRPr="00584CA7" w:rsidRDefault="006E40C9">
            <w:pPr>
              <w:pStyle w:val="MeasureTableTextLeftAligned"/>
            </w:pPr>
            <w:r>
              <w:t>Medium</w:t>
            </w:r>
          </w:p>
        </w:tc>
        <w:tc>
          <w:tcPr>
            <w:tcW w:w="1500" w:type="dxa"/>
            <w:gridSpan w:val="2"/>
            <w:tcBorders>
              <w:top w:val="nil"/>
              <w:bottom w:val="nil"/>
            </w:tcBorders>
          </w:tcPr>
          <w:p w14:paraId="15158441" w14:textId="77777777" w:rsidR="006E40C9" w:rsidRDefault="006E40C9">
            <w:pPr>
              <w:pStyle w:val="MeasureTableTextItalic"/>
            </w:pPr>
          </w:p>
        </w:tc>
        <w:tc>
          <w:tcPr>
            <w:tcW w:w="1124" w:type="dxa"/>
            <w:gridSpan w:val="2"/>
            <w:tcBorders>
              <w:top w:val="nil"/>
              <w:bottom w:val="nil"/>
            </w:tcBorders>
          </w:tcPr>
          <w:p w14:paraId="757F6E74" w14:textId="77777777" w:rsidR="006E40C9" w:rsidRDefault="006E40C9">
            <w:pPr>
              <w:pStyle w:val="MeasureTableTextLeftAligned"/>
            </w:pPr>
          </w:p>
        </w:tc>
      </w:tr>
      <w:tr w:rsidR="006E40C9" w14:paraId="201C422C" w14:textId="77777777">
        <w:trPr>
          <w:cantSplit/>
          <w:jc w:val="center"/>
        </w:trPr>
        <w:tc>
          <w:tcPr>
            <w:tcW w:w="1934" w:type="dxa"/>
            <w:gridSpan w:val="2"/>
            <w:tcBorders>
              <w:top w:val="nil"/>
              <w:bottom w:val="nil"/>
            </w:tcBorders>
          </w:tcPr>
          <w:p w14:paraId="5C079B57" w14:textId="77777777" w:rsidR="006E40C9" w:rsidRDefault="006E40C9">
            <w:pPr>
              <w:pStyle w:val="MeasureTableTextItalic"/>
            </w:pPr>
            <w:r>
              <w:t>Commencement date:</w:t>
            </w:r>
          </w:p>
        </w:tc>
        <w:tc>
          <w:tcPr>
            <w:tcW w:w="3179" w:type="dxa"/>
            <w:gridSpan w:val="4"/>
            <w:tcBorders>
              <w:top w:val="nil"/>
              <w:bottom w:val="nil"/>
            </w:tcBorders>
          </w:tcPr>
          <w:p w14:paraId="2ADF3644" w14:textId="77777777" w:rsidR="006E40C9" w:rsidRDefault="006E40C9">
            <w:pPr>
              <w:pStyle w:val="MeasureTableTextLeftAligned"/>
            </w:pPr>
            <w:r>
              <w:t>Introduced before 1985</w:t>
            </w:r>
          </w:p>
        </w:tc>
        <w:tc>
          <w:tcPr>
            <w:tcW w:w="1500" w:type="dxa"/>
            <w:gridSpan w:val="2"/>
            <w:tcBorders>
              <w:top w:val="nil"/>
              <w:bottom w:val="nil"/>
            </w:tcBorders>
          </w:tcPr>
          <w:p w14:paraId="5031AA7D" w14:textId="77777777" w:rsidR="006E40C9" w:rsidRPr="00F32057" w:rsidRDefault="006E40C9">
            <w:pPr>
              <w:pStyle w:val="MeasureTableTextItalic"/>
            </w:pPr>
            <w:r>
              <w:t>Expiry date:</w:t>
            </w:r>
          </w:p>
        </w:tc>
        <w:tc>
          <w:tcPr>
            <w:tcW w:w="1124" w:type="dxa"/>
            <w:gridSpan w:val="2"/>
            <w:tcBorders>
              <w:top w:val="nil"/>
              <w:bottom w:val="nil"/>
            </w:tcBorders>
          </w:tcPr>
          <w:p w14:paraId="1C666ACF" w14:textId="77777777" w:rsidR="006E40C9" w:rsidRPr="00F32057" w:rsidRDefault="006E40C9">
            <w:pPr>
              <w:pStyle w:val="MeasureTableTextLeftAligned"/>
            </w:pPr>
          </w:p>
        </w:tc>
      </w:tr>
      <w:tr w:rsidR="006E40C9" w14:paraId="46F7DD55" w14:textId="77777777">
        <w:trPr>
          <w:cantSplit/>
          <w:jc w:val="center"/>
        </w:trPr>
        <w:tc>
          <w:tcPr>
            <w:tcW w:w="1934" w:type="dxa"/>
            <w:gridSpan w:val="2"/>
            <w:tcBorders>
              <w:top w:val="nil"/>
            </w:tcBorders>
          </w:tcPr>
          <w:p w14:paraId="77234395" w14:textId="77777777" w:rsidR="006E40C9" w:rsidRDefault="006E40C9">
            <w:pPr>
              <w:pStyle w:val="MeasureTableTextItalic"/>
            </w:pPr>
            <w:r>
              <w:t>Legislative reference:</w:t>
            </w:r>
          </w:p>
        </w:tc>
        <w:tc>
          <w:tcPr>
            <w:tcW w:w="5803" w:type="dxa"/>
            <w:gridSpan w:val="8"/>
            <w:tcBorders>
              <w:top w:val="nil"/>
            </w:tcBorders>
          </w:tcPr>
          <w:p w14:paraId="1EE4B4C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Subdivisions 52-B, 52-C, 52-CA and 52-CB and Section 768-105 of the</w:t>
            </w:r>
            <w:r>
              <w:rPr>
                <w:rFonts w:ascii="Arial" w:hAnsi="Arial" w:cs="Arial"/>
                <w:i/>
                <w:iCs/>
                <w:color w:val="000000"/>
                <w:sz w:val="16"/>
                <w:szCs w:val="16"/>
              </w:rPr>
              <w:t xml:space="preserve"> Income Tax Assessment Act 1997</w:t>
            </w:r>
          </w:p>
        </w:tc>
      </w:tr>
    </w:tbl>
    <w:p w14:paraId="2DF2D1B5" w14:textId="77777777" w:rsidR="006E40C9" w:rsidRPr="00540040" w:rsidRDefault="006E40C9" w:rsidP="006E40C9">
      <w:pPr>
        <w:pStyle w:val="MeasureTableHeading"/>
      </w:pPr>
    </w:p>
    <w:p w14:paraId="5763DFB3" w14:textId="77777777" w:rsidR="006E40C9" w:rsidRDefault="006E40C9" w:rsidP="00D96720">
      <w:r>
        <w:t>Under the benchmark, government payments to individuals are included as part of taxable income; income tax is paid on the taxable income of a taxpayer for an income year at their applicable rate. However, repatriation pensions</w:t>
      </w:r>
      <w:r>
        <w:fldChar w:fldCharType="begin"/>
      </w:r>
      <w:r>
        <w:instrText xml:space="preserve"> XE "Repatriation pensions"</w:instrText>
      </w:r>
      <w:r>
        <w:fldChar w:fldCharType="end"/>
      </w:r>
      <w:r>
        <w:t xml:space="preserve">, certain payments under the </w:t>
      </w:r>
      <w:r>
        <w:rPr>
          <w:i/>
        </w:rPr>
        <w:t>Veterans Entitlements Act 1986</w:t>
      </w:r>
      <w:r>
        <w:t xml:space="preserve"> and </w:t>
      </w:r>
      <w:r>
        <w:rPr>
          <w:i/>
        </w:rPr>
        <w:t>Military Rehabilitation and Compensation Act 2004</w:t>
      </w:r>
      <w:r>
        <w:t xml:space="preserve">, payments under the </w:t>
      </w:r>
      <w:r>
        <w:rPr>
          <w:i/>
        </w:rPr>
        <w:t>Australian Participants in British Nuclear Tests and British Commonwealth Occupation Force (Treatment) Act 2006</w:t>
      </w:r>
      <w:r>
        <w:t xml:space="preserve">, certain foreign source World War II payments and compensation provided for legal advice to beneficiaries under the </w:t>
      </w:r>
      <w:r>
        <w:rPr>
          <w:i/>
        </w:rPr>
        <w:t>Military Rehabilitation and Compensation Act 2004</w:t>
      </w:r>
      <w:r>
        <w:t xml:space="preserve"> are wholly or partly exempt from income tax. </w:t>
      </w:r>
      <w:r>
        <w:fldChar w:fldCharType="begin"/>
      </w:r>
      <w:r>
        <w:instrText xml:space="preserve"> XE "Rehabilitation and compensation payments" </w:instrText>
      </w:r>
      <w:r>
        <w:fldChar w:fldCharType="end"/>
      </w:r>
      <w:r>
        <w:fldChar w:fldCharType="begin"/>
      </w:r>
      <w:r>
        <w:instrText xml:space="preserve"> XE "World War II payments" </w:instrText>
      </w:r>
      <w:r>
        <w:fldChar w:fldCharType="end"/>
      </w:r>
      <w:r>
        <w:fldChar w:fldCharType="begin"/>
      </w:r>
      <w:r>
        <w:instrText xml:space="preserve"> XE "</w:instrText>
      </w:r>
      <w:r w:rsidRPr="00106C41">
        <w:instrText>Benefits</w:instrText>
      </w:r>
      <w:r>
        <w:instrText xml:space="preserve">" </w:instrText>
      </w:r>
      <w:r>
        <w:fldChar w:fldCharType="end"/>
      </w:r>
    </w:p>
    <w:p w14:paraId="2D89B2CA" w14:textId="77777777" w:rsidR="006E40C9" w:rsidRDefault="006E40C9" w:rsidP="00D96720">
      <w:r>
        <w:t>Australian participants in the British nuclear tests of the 1950s and Australian veterans of the British Commonwealth Occupation Force that receive medical treatment using the Department of Veterans’ Affairs Gold Card are exempt from the Medicare levy and Medicare levy surcharge.</w:t>
      </w:r>
    </w:p>
    <w:p w14:paraId="169CC448" w14:textId="77777777" w:rsidR="006E40C9" w:rsidRDefault="006E40C9" w:rsidP="0003254D">
      <w:pPr>
        <w:pStyle w:val="Heading3"/>
      </w:pPr>
      <w:r>
        <w:t>Tax expenditures for housing and community amenities</w:t>
      </w:r>
    </w:p>
    <w:p w14:paraId="1722A9EB" w14:textId="77777777" w:rsidR="006E40C9" w:rsidRDefault="006E40C9" w:rsidP="0003254D">
      <w:pPr>
        <w:pStyle w:val="Heading4"/>
      </w:pPr>
      <w:r>
        <w:t>A41</w:t>
      </w:r>
      <w:r>
        <w:tab/>
        <w:t>Denial of deduction of travel expenses for residential rental property</w:t>
      </w:r>
    </w:p>
    <w:p w14:paraId="27DD52D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7632D02" w14:textId="77777777">
        <w:trPr>
          <w:cantSplit/>
          <w:jc w:val="center"/>
        </w:trPr>
        <w:tc>
          <w:tcPr>
            <w:tcW w:w="967" w:type="dxa"/>
            <w:tcBorders>
              <w:top w:val="single" w:sz="2" w:space="0" w:color="auto"/>
              <w:bottom w:val="single" w:sz="2" w:space="0" w:color="auto"/>
            </w:tcBorders>
          </w:tcPr>
          <w:p w14:paraId="70C0045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172FE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3A8DB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E7547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A11B0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977AE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526D5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3AA89B" w14:textId="77777777" w:rsidR="006E40C9" w:rsidRDefault="006E40C9">
            <w:pPr>
              <w:pStyle w:val="MeasureTableTextRightAligned"/>
            </w:pPr>
            <w:r>
              <w:t>2027-28</w:t>
            </w:r>
          </w:p>
        </w:tc>
      </w:tr>
      <w:tr w:rsidR="006E40C9" w14:paraId="2E8A5A33" w14:textId="77777777">
        <w:trPr>
          <w:cantSplit/>
          <w:jc w:val="center"/>
        </w:trPr>
        <w:tc>
          <w:tcPr>
            <w:tcW w:w="967" w:type="dxa"/>
            <w:tcBorders>
              <w:top w:val="single" w:sz="2" w:space="0" w:color="auto"/>
              <w:bottom w:val="single" w:sz="2" w:space="0" w:color="auto"/>
            </w:tcBorders>
          </w:tcPr>
          <w:p w14:paraId="42C27261" w14:textId="77777777" w:rsidR="006E40C9" w:rsidRDefault="006E40C9">
            <w:pPr>
              <w:pStyle w:val="MeasureTableTextRightAligned"/>
            </w:pPr>
            <w:r>
              <w:t>-135</w:t>
            </w:r>
          </w:p>
        </w:tc>
        <w:tc>
          <w:tcPr>
            <w:tcW w:w="967" w:type="dxa"/>
            <w:tcBorders>
              <w:top w:val="single" w:sz="2" w:space="0" w:color="auto"/>
              <w:bottom w:val="single" w:sz="2" w:space="0" w:color="auto"/>
            </w:tcBorders>
          </w:tcPr>
          <w:p w14:paraId="38AAC61C"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0A7EF5F8"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43AEDDBF"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267DBA23"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405A8AB6" w14:textId="77777777" w:rsidR="006E40C9" w:rsidRDefault="006E40C9">
            <w:pPr>
              <w:pStyle w:val="MeasureTableTextRightAligned"/>
            </w:pPr>
            <w:r>
              <w:t>-155</w:t>
            </w:r>
          </w:p>
        </w:tc>
        <w:tc>
          <w:tcPr>
            <w:tcW w:w="967" w:type="dxa"/>
            <w:gridSpan w:val="2"/>
            <w:tcBorders>
              <w:top w:val="single" w:sz="2" w:space="0" w:color="auto"/>
              <w:bottom w:val="single" w:sz="2" w:space="0" w:color="auto"/>
            </w:tcBorders>
            <w:vAlign w:val="bottom"/>
          </w:tcPr>
          <w:p w14:paraId="6C883238" w14:textId="77777777" w:rsidR="006E40C9" w:rsidRDefault="006E40C9">
            <w:pPr>
              <w:pStyle w:val="MeasureTableTextRightAligned"/>
            </w:pPr>
            <w:r>
              <w:t>-165</w:t>
            </w:r>
          </w:p>
        </w:tc>
        <w:tc>
          <w:tcPr>
            <w:tcW w:w="968" w:type="dxa"/>
            <w:tcBorders>
              <w:top w:val="single" w:sz="2" w:space="0" w:color="auto"/>
              <w:bottom w:val="single" w:sz="2" w:space="0" w:color="auto"/>
            </w:tcBorders>
            <w:vAlign w:val="bottom"/>
          </w:tcPr>
          <w:p w14:paraId="3FFB80D6" w14:textId="77777777" w:rsidR="006E40C9" w:rsidRDefault="006E40C9">
            <w:pPr>
              <w:pStyle w:val="MeasureTableTextRightAligned"/>
            </w:pPr>
            <w:r>
              <w:t>-170</w:t>
            </w:r>
          </w:p>
        </w:tc>
      </w:tr>
      <w:tr w:rsidR="006E40C9" w14:paraId="721C57A6" w14:textId="77777777">
        <w:trPr>
          <w:cantSplit/>
          <w:jc w:val="center"/>
        </w:trPr>
        <w:tc>
          <w:tcPr>
            <w:tcW w:w="1934" w:type="dxa"/>
            <w:gridSpan w:val="2"/>
            <w:tcBorders>
              <w:top w:val="single" w:sz="2" w:space="0" w:color="auto"/>
              <w:bottom w:val="nil"/>
            </w:tcBorders>
          </w:tcPr>
          <w:p w14:paraId="0CB322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B0F3A"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0D940E79" w14:textId="0C7774B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FBE8BD" w14:textId="77777777" w:rsidR="006E40C9" w:rsidRDefault="006E40C9">
            <w:pPr>
              <w:pStyle w:val="MeasureTableTextLeftAligned"/>
            </w:pPr>
            <w:r>
              <w:t>A41</w:t>
            </w:r>
          </w:p>
        </w:tc>
      </w:tr>
      <w:tr w:rsidR="006E40C9" w14:paraId="37C380BB" w14:textId="77777777">
        <w:trPr>
          <w:cantSplit/>
          <w:jc w:val="center"/>
        </w:trPr>
        <w:tc>
          <w:tcPr>
            <w:tcW w:w="1934" w:type="dxa"/>
            <w:gridSpan w:val="2"/>
            <w:tcBorders>
              <w:top w:val="nil"/>
              <w:bottom w:val="nil"/>
            </w:tcBorders>
          </w:tcPr>
          <w:p w14:paraId="445B75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C9458C" w14:textId="77777777" w:rsidR="006E40C9" w:rsidRPr="00584CA7" w:rsidRDefault="006E40C9">
            <w:pPr>
              <w:pStyle w:val="MeasureTableTextLeftAligned"/>
            </w:pPr>
            <w:r>
              <w:t>Medium</w:t>
            </w:r>
          </w:p>
        </w:tc>
        <w:tc>
          <w:tcPr>
            <w:tcW w:w="1500" w:type="dxa"/>
            <w:gridSpan w:val="2"/>
            <w:tcBorders>
              <w:top w:val="nil"/>
              <w:bottom w:val="nil"/>
            </w:tcBorders>
          </w:tcPr>
          <w:p w14:paraId="5B7DC3E8" w14:textId="77777777" w:rsidR="006E40C9" w:rsidRDefault="006E40C9">
            <w:pPr>
              <w:pStyle w:val="MeasureTableTextItalic"/>
            </w:pPr>
          </w:p>
        </w:tc>
        <w:tc>
          <w:tcPr>
            <w:tcW w:w="1124" w:type="dxa"/>
            <w:gridSpan w:val="2"/>
            <w:tcBorders>
              <w:top w:val="nil"/>
              <w:bottom w:val="nil"/>
            </w:tcBorders>
          </w:tcPr>
          <w:p w14:paraId="02D17007" w14:textId="77777777" w:rsidR="006E40C9" w:rsidRDefault="006E40C9">
            <w:pPr>
              <w:pStyle w:val="MeasureTableTextLeftAligned"/>
            </w:pPr>
          </w:p>
        </w:tc>
      </w:tr>
      <w:tr w:rsidR="006E40C9" w14:paraId="718CCC04" w14:textId="77777777">
        <w:trPr>
          <w:cantSplit/>
          <w:jc w:val="center"/>
        </w:trPr>
        <w:tc>
          <w:tcPr>
            <w:tcW w:w="1934" w:type="dxa"/>
            <w:gridSpan w:val="2"/>
            <w:tcBorders>
              <w:top w:val="nil"/>
              <w:bottom w:val="nil"/>
            </w:tcBorders>
          </w:tcPr>
          <w:p w14:paraId="622E44A6" w14:textId="77777777" w:rsidR="006E40C9" w:rsidRDefault="006E40C9">
            <w:pPr>
              <w:pStyle w:val="MeasureTableTextItalic"/>
            </w:pPr>
            <w:r>
              <w:t>Commencement date:</w:t>
            </w:r>
          </w:p>
        </w:tc>
        <w:tc>
          <w:tcPr>
            <w:tcW w:w="3179" w:type="dxa"/>
            <w:gridSpan w:val="4"/>
            <w:tcBorders>
              <w:top w:val="nil"/>
              <w:bottom w:val="nil"/>
            </w:tcBorders>
          </w:tcPr>
          <w:p w14:paraId="240C866C" w14:textId="77777777" w:rsidR="006E40C9" w:rsidRDefault="006E40C9">
            <w:pPr>
              <w:pStyle w:val="MeasureTableTextLeftAligned"/>
            </w:pPr>
            <w:r>
              <w:t>1 July 2017</w:t>
            </w:r>
          </w:p>
        </w:tc>
        <w:tc>
          <w:tcPr>
            <w:tcW w:w="1500" w:type="dxa"/>
            <w:gridSpan w:val="2"/>
            <w:tcBorders>
              <w:top w:val="nil"/>
              <w:bottom w:val="nil"/>
            </w:tcBorders>
          </w:tcPr>
          <w:p w14:paraId="0F8DA937" w14:textId="77777777" w:rsidR="006E40C9" w:rsidRPr="00F32057" w:rsidRDefault="006E40C9">
            <w:pPr>
              <w:pStyle w:val="MeasureTableTextItalic"/>
            </w:pPr>
            <w:r>
              <w:t>Expiry date:</w:t>
            </w:r>
          </w:p>
        </w:tc>
        <w:tc>
          <w:tcPr>
            <w:tcW w:w="1124" w:type="dxa"/>
            <w:gridSpan w:val="2"/>
            <w:tcBorders>
              <w:top w:val="nil"/>
              <w:bottom w:val="nil"/>
            </w:tcBorders>
          </w:tcPr>
          <w:p w14:paraId="48A15D80" w14:textId="77777777" w:rsidR="006E40C9" w:rsidRPr="00F32057" w:rsidRDefault="006E40C9">
            <w:pPr>
              <w:pStyle w:val="MeasureTableTextLeftAligned"/>
            </w:pPr>
          </w:p>
        </w:tc>
      </w:tr>
      <w:tr w:rsidR="006E40C9" w14:paraId="4606EBC6" w14:textId="77777777">
        <w:trPr>
          <w:cantSplit/>
          <w:jc w:val="center"/>
        </w:trPr>
        <w:tc>
          <w:tcPr>
            <w:tcW w:w="1934" w:type="dxa"/>
            <w:gridSpan w:val="2"/>
            <w:tcBorders>
              <w:top w:val="nil"/>
            </w:tcBorders>
          </w:tcPr>
          <w:p w14:paraId="417BB176" w14:textId="77777777" w:rsidR="006E40C9" w:rsidRDefault="006E40C9">
            <w:pPr>
              <w:pStyle w:val="MeasureTableTextItalic"/>
            </w:pPr>
            <w:r>
              <w:t>Legislative reference:</w:t>
            </w:r>
          </w:p>
        </w:tc>
        <w:tc>
          <w:tcPr>
            <w:tcW w:w="5803" w:type="dxa"/>
            <w:gridSpan w:val="8"/>
            <w:tcBorders>
              <w:top w:val="nil"/>
            </w:tcBorders>
          </w:tcPr>
          <w:p w14:paraId="4153C70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26-31 of the </w:t>
            </w:r>
            <w:r>
              <w:rPr>
                <w:rFonts w:ascii="Arial" w:hAnsi="Arial" w:cs="Arial"/>
                <w:i/>
                <w:iCs/>
                <w:color w:val="000000"/>
                <w:sz w:val="16"/>
                <w:szCs w:val="16"/>
              </w:rPr>
              <w:t>Income Tax Assessment Act 1997</w:t>
            </w:r>
          </w:p>
        </w:tc>
      </w:tr>
    </w:tbl>
    <w:p w14:paraId="128FE66C" w14:textId="77777777" w:rsidR="006E40C9" w:rsidRPr="00540040" w:rsidRDefault="006E40C9" w:rsidP="006E40C9">
      <w:pPr>
        <w:pStyle w:val="MeasureTableHeading"/>
      </w:pPr>
    </w:p>
    <w:p w14:paraId="35876865" w14:textId="77777777" w:rsidR="006E40C9" w:rsidRDefault="006E40C9" w:rsidP="006E40C9">
      <w:r w:rsidRPr="000E1480">
        <w:t>Under the benchmark, expenses connected to income earning activity or a business are deductible. However, taxpayers are not able to claim a deduction for travel expenses related to inspecting, maintaining or collecting rent for a residential rental property. Expenses incurred in engaging third parties such as real estate agents for property management services remain deductible.</w:t>
      </w:r>
      <w:r w:rsidRPr="000E1480">
        <w:fldChar w:fldCharType="begin"/>
      </w:r>
      <w:r w:rsidRPr="000E1480">
        <w:instrText xml:space="preserve"> XE "Travel expenses for rental property" </w:instrText>
      </w:r>
      <w:r w:rsidRPr="000E1480">
        <w:fldChar w:fldCharType="end"/>
      </w:r>
    </w:p>
    <w:p w14:paraId="26BCB625" w14:textId="77777777" w:rsidR="006E40C9" w:rsidRDefault="006E40C9" w:rsidP="0003254D">
      <w:pPr>
        <w:pStyle w:val="Heading4"/>
      </w:pPr>
      <w:r>
        <w:t>A42</w:t>
      </w:r>
      <w:r>
        <w:tab/>
        <w:t>Denial of deductions for vacant land</w:t>
      </w:r>
    </w:p>
    <w:p w14:paraId="30A47FE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89CA1C" w14:textId="77777777">
        <w:trPr>
          <w:cantSplit/>
          <w:jc w:val="center"/>
        </w:trPr>
        <w:tc>
          <w:tcPr>
            <w:tcW w:w="967" w:type="dxa"/>
            <w:tcBorders>
              <w:top w:val="single" w:sz="2" w:space="0" w:color="auto"/>
              <w:bottom w:val="single" w:sz="2" w:space="0" w:color="auto"/>
            </w:tcBorders>
          </w:tcPr>
          <w:p w14:paraId="31CBD8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432B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E1F2E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2F98F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0B7BB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96FD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7D150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E9D671E" w14:textId="77777777" w:rsidR="006E40C9" w:rsidRDefault="006E40C9">
            <w:pPr>
              <w:pStyle w:val="MeasureTableTextRightAligned"/>
            </w:pPr>
            <w:r>
              <w:t>2027-28</w:t>
            </w:r>
          </w:p>
        </w:tc>
      </w:tr>
      <w:tr w:rsidR="006E40C9" w14:paraId="3B04C796" w14:textId="77777777">
        <w:trPr>
          <w:cantSplit/>
          <w:jc w:val="center"/>
        </w:trPr>
        <w:tc>
          <w:tcPr>
            <w:tcW w:w="967" w:type="dxa"/>
            <w:tcBorders>
              <w:top w:val="single" w:sz="2" w:space="0" w:color="auto"/>
              <w:bottom w:val="single" w:sz="2" w:space="0" w:color="auto"/>
            </w:tcBorders>
          </w:tcPr>
          <w:p w14:paraId="6C1B5056" w14:textId="77777777" w:rsidR="006E40C9" w:rsidRDefault="006E40C9">
            <w:pPr>
              <w:pStyle w:val="MeasureTableTextRightAligned"/>
            </w:pPr>
            <w:r>
              <w:t>*</w:t>
            </w:r>
          </w:p>
        </w:tc>
        <w:tc>
          <w:tcPr>
            <w:tcW w:w="967" w:type="dxa"/>
            <w:tcBorders>
              <w:top w:val="single" w:sz="2" w:space="0" w:color="auto"/>
              <w:bottom w:val="single" w:sz="2" w:space="0" w:color="auto"/>
            </w:tcBorders>
          </w:tcPr>
          <w:p w14:paraId="6EE5EDF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E757A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1B692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9EE1A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7448D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E6F8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D10049" w14:textId="77777777" w:rsidR="006E40C9" w:rsidRDefault="006E40C9">
            <w:pPr>
              <w:pStyle w:val="MeasureTableTextRightAligned"/>
            </w:pPr>
            <w:r>
              <w:t>*</w:t>
            </w:r>
          </w:p>
        </w:tc>
      </w:tr>
      <w:tr w:rsidR="006E40C9" w14:paraId="752730A3" w14:textId="77777777">
        <w:trPr>
          <w:cantSplit/>
          <w:jc w:val="center"/>
        </w:trPr>
        <w:tc>
          <w:tcPr>
            <w:tcW w:w="1934" w:type="dxa"/>
            <w:gridSpan w:val="2"/>
            <w:tcBorders>
              <w:top w:val="single" w:sz="2" w:space="0" w:color="auto"/>
              <w:bottom w:val="nil"/>
            </w:tcBorders>
          </w:tcPr>
          <w:p w14:paraId="4169A1E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C740D28"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5B2977E5" w14:textId="1B7876C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E96727" w14:textId="77777777" w:rsidR="006E40C9" w:rsidRDefault="006E40C9">
            <w:pPr>
              <w:pStyle w:val="MeasureTableTextLeftAligned"/>
            </w:pPr>
            <w:r>
              <w:t>A42</w:t>
            </w:r>
          </w:p>
        </w:tc>
      </w:tr>
      <w:tr w:rsidR="006E40C9" w14:paraId="4C2A2B3C" w14:textId="77777777">
        <w:trPr>
          <w:cantSplit/>
          <w:jc w:val="center"/>
        </w:trPr>
        <w:tc>
          <w:tcPr>
            <w:tcW w:w="1934" w:type="dxa"/>
            <w:gridSpan w:val="2"/>
            <w:tcBorders>
              <w:top w:val="nil"/>
              <w:bottom w:val="nil"/>
            </w:tcBorders>
          </w:tcPr>
          <w:p w14:paraId="7B81C58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832CCC" w14:textId="77777777" w:rsidR="006E40C9" w:rsidRPr="00584CA7" w:rsidRDefault="006E40C9">
            <w:pPr>
              <w:pStyle w:val="MeasureTableTextLeftAligned"/>
            </w:pPr>
            <w:r>
              <w:t>Low</w:t>
            </w:r>
          </w:p>
        </w:tc>
        <w:tc>
          <w:tcPr>
            <w:tcW w:w="1500" w:type="dxa"/>
            <w:gridSpan w:val="2"/>
            <w:tcBorders>
              <w:top w:val="nil"/>
              <w:bottom w:val="nil"/>
            </w:tcBorders>
          </w:tcPr>
          <w:p w14:paraId="0F5A71D8" w14:textId="77777777" w:rsidR="006E40C9" w:rsidRDefault="006E40C9">
            <w:pPr>
              <w:pStyle w:val="MeasureTableTextItalic"/>
            </w:pPr>
            <w:r>
              <w:t>* Category</w:t>
            </w:r>
          </w:p>
        </w:tc>
        <w:tc>
          <w:tcPr>
            <w:tcW w:w="1124" w:type="dxa"/>
            <w:gridSpan w:val="2"/>
            <w:tcBorders>
              <w:top w:val="nil"/>
              <w:bottom w:val="nil"/>
            </w:tcBorders>
          </w:tcPr>
          <w:p w14:paraId="1BCE15E1" w14:textId="77777777" w:rsidR="006E40C9" w:rsidRDefault="006E40C9">
            <w:pPr>
              <w:pStyle w:val="MeasureTableTextLeftAligned"/>
            </w:pPr>
            <w:r>
              <w:t>2-</w:t>
            </w:r>
          </w:p>
        </w:tc>
      </w:tr>
      <w:tr w:rsidR="006E40C9" w14:paraId="1B03DB31" w14:textId="77777777">
        <w:trPr>
          <w:cantSplit/>
          <w:jc w:val="center"/>
        </w:trPr>
        <w:tc>
          <w:tcPr>
            <w:tcW w:w="1934" w:type="dxa"/>
            <w:gridSpan w:val="2"/>
            <w:tcBorders>
              <w:top w:val="nil"/>
              <w:bottom w:val="nil"/>
            </w:tcBorders>
          </w:tcPr>
          <w:p w14:paraId="08C9761D" w14:textId="77777777" w:rsidR="006E40C9" w:rsidRDefault="006E40C9">
            <w:pPr>
              <w:pStyle w:val="MeasureTableTextItalic"/>
            </w:pPr>
            <w:r>
              <w:t>Commencement date:</w:t>
            </w:r>
          </w:p>
        </w:tc>
        <w:tc>
          <w:tcPr>
            <w:tcW w:w="3179" w:type="dxa"/>
            <w:gridSpan w:val="4"/>
            <w:tcBorders>
              <w:top w:val="nil"/>
              <w:bottom w:val="nil"/>
            </w:tcBorders>
          </w:tcPr>
          <w:p w14:paraId="33C4FDCB" w14:textId="77777777" w:rsidR="006E40C9" w:rsidRDefault="006E40C9">
            <w:pPr>
              <w:pStyle w:val="MeasureTableTextLeftAligned"/>
            </w:pPr>
            <w:r>
              <w:t>1 July 2019</w:t>
            </w:r>
          </w:p>
        </w:tc>
        <w:tc>
          <w:tcPr>
            <w:tcW w:w="1500" w:type="dxa"/>
            <w:gridSpan w:val="2"/>
            <w:tcBorders>
              <w:top w:val="nil"/>
              <w:bottom w:val="nil"/>
            </w:tcBorders>
          </w:tcPr>
          <w:p w14:paraId="2749249F" w14:textId="77777777" w:rsidR="006E40C9" w:rsidRPr="00F32057" w:rsidRDefault="006E40C9">
            <w:pPr>
              <w:pStyle w:val="MeasureTableTextItalic"/>
            </w:pPr>
            <w:r>
              <w:t>Expiry date:</w:t>
            </w:r>
          </w:p>
        </w:tc>
        <w:tc>
          <w:tcPr>
            <w:tcW w:w="1124" w:type="dxa"/>
            <w:gridSpan w:val="2"/>
            <w:tcBorders>
              <w:top w:val="nil"/>
              <w:bottom w:val="nil"/>
            </w:tcBorders>
          </w:tcPr>
          <w:p w14:paraId="3C0EB35D" w14:textId="77777777" w:rsidR="006E40C9" w:rsidRPr="00F32057" w:rsidRDefault="006E40C9">
            <w:pPr>
              <w:pStyle w:val="MeasureTableTextLeftAligned"/>
            </w:pPr>
          </w:p>
        </w:tc>
      </w:tr>
      <w:tr w:rsidR="006E40C9" w14:paraId="1D257B78" w14:textId="77777777">
        <w:trPr>
          <w:cantSplit/>
          <w:jc w:val="center"/>
        </w:trPr>
        <w:tc>
          <w:tcPr>
            <w:tcW w:w="1934" w:type="dxa"/>
            <w:gridSpan w:val="2"/>
            <w:tcBorders>
              <w:top w:val="nil"/>
            </w:tcBorders>
          </w:tcPr>
          <w:p w14:paraId="7DFCA98F" w14:textId="77777777" w:rsidR="006E40C9" w:rsidRDefault="006E40C9">
            <w:pPr>
              <w:pStyle w:val="MeasureTableTextItalic"/>
            </w:pPr>
            <w:r>
              <w:t>Legislative reference:</w:t>
            </w:r>
          </w:p>
        </w:tc>
        <w:tc>
          <w:tcPr>
            <w:tcW w:w="5803" w:type="dxa"/>
            <w:gridSpan w:val="8"/>
            <w:tcBorders>
              <w:top w:val="nil"/>
            </w:tcBorders>
          </w:tcPr>
          <w:p w14:paraId="6101CD1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26-102 of the </w:t>
            </w:r>
            <w:r>
              <w:rPr>
                <w:rFonts w:ascii="Arial" w:hAnsi="Arial" w:cs="Arial"/>
                <w:i/>
                <w:iCs/>
                <w:color w:val="000000"/>
                <w:sz w:val="16"/>
                <w:szCs w:val="16"/>
              </w:rPr>
              <w:t>Income Tax Assessment Act 1997</w:t>
            </w:r>
          </w:p>
        </w:tc>
      </w:tr>
    </w:tbl>
    <w:p w14:paraId="41FE6018" w14:textId="77777777" w:rsidR="006E40C9" w:rsidRPr="00540040" w:rsidRDefault="006E40C9" w:rsidP="006E40C9">
      <w:pPr>
        <w:pStyle w:val="MeasureTableHeading"/>
      </w:pPr>
    </w:p>
    <w:p w14:paraId="56B946B8" w14:textId="77777777" w:rsidR="006E40C9" w:rsidRDefault="006E40C9" w:rsidP="006E40C9">
      <w:r>
        <w:t xml:space="preserve">Under the benchmark, expenses connected to income earning activity are deductible. From 1 July 2019, deductions are denied for some taxpayers for expenses associated with holding vacant land. Expenses for which deductions are denied that would ordinarily be a cost base element may be included in the cost base of the asset for capital gains tax purposes. </w:t>
      </w:r>
      <w:r>
        <w:fldChar w:fldCharType="begin"/>
      </w:r>
      <w:r>
        <w:instrText xml:space="preserve"> XE "Vacant land" </w:instrText>
      </w:r>
      <w:r>
        <w:fldChar w:fldCharType="end"/>
      </w:r>
    </w:p>
    <w:p w14:paraId="1CDADE0F" w14:textId="77777777" w:rsidR="006E40C9" w:rsidRDefault="006E40C9" w:rsidP="006E40C9">
      <w:r>
        <w:t xml:space="preserve">Deductions continue to be available in a range of circumstances, including where: </w:t>
      </w:r>
    </w:p>
    <w:p w14:paraId="1385976E" w14:textId="77777777" w:rsidR="006E40C9" w:rsidRDefault="006E40C9" w:rsidP="006E40C9">
      <w:pPr>
        <w:pStyle w:val="Bullet"/>
        <w:numPr>
          <w:ilvl w:val="0"/>
          <w:numId w:val="38"/>
        </w:numPr>
      </w:pPr>
      <w:r>
        <w:t xml:space="preserve">there is a substantial building or structure on the land; </w:t>
      </w:r>
    </w:p>
    <w:p w14:paraId="070F105C" w14:textId="77777777" w:rsidR="006E40C9" w:rsidRDefault="006E40C9" w:rsidP="006E40C9">
      <w:pPr>
        <w:pStyle w:val="Bullet"/>
        <w:numPr>
          <w:ilvl w:val="0"/>
          <w:numId w:val="38"/>
        </w:numPr>
      </w:pPr>
      <w:r>
        <w:t>the land is being used, or held available for use, by the taxpayer or a related entity in carrying on a business, including a business of primary production (such as farming); or</w:t>
      </w:r>
    </w:p>
    <w:p w14:paraId="67F35224" w14:textId="77777777" w:rsidR="006E40C9" w:rsidRDefault="006E40C9" w:rsidP="006E40C9">
      <w:pPr>
        <w:pStyle w:val="Bullet"/>
        <w:numPr>
          <w:ilvl w:val="0"/>
          <w:numId w:val="38"/>
        </w:numPr>
      </w:pPr>
      <w:r>
        <w:t>the land is rented out by a taxpayer where they or a related entity are carrying on a business of primary production.</w:t>
      </w:r>
    </w:p>
    <w:p w14:paraId="7CA31C2C" w14:textId="77777777" w:rsidR="006E40C9" w:rsidRDefault="006E40C9" w:rsidP="006E40C9">
      <w:r>
        <w:t>Furthermore, deductions continue to be available for land held by corporate tax entities, managed investment trusts, superannuation plans (other than self</w:t>
      </w:r>
      <w:r>
        <w:noBreakHyphen/>
        <w:t xml:space="preserve">managed superannuation funds), and public unit trusts. </w:t>
      </w:r>
    </w:p>
    <w:p w14:paraId="187CAFCF" w14:textId="77777777" w:rsidR="006E40C9" w:rsidRDefault="006E40C9" w:rsidP="0003254D">
      <w:pPr>
        <w:pStyle w:val="Heading4"/>
      </w:pPr>
      <w:r>
        <w:t>A43</w:t>
      </w:r>
      <w:r>
        <w:tab/>
        <w:t>Exemption of payments made under the First Home Owner Grant scheme</w:t>
      </w:r>
    </w:p>
    <w:p w14:paraId="02715A5D"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B8FCE6" w14:textId="77777777">
        <w:trPr>
          <w:cantSplit/>
          <w:jc w:val="center"/>
        </w:trPr>
        <w:tc>
          <w:tcPr>
            <w:tcW w:w="967" w:type="dxa"/>
            <w:tcBorders>
              <w:top w:val="single" w:sz="2" w:space="0" w:color="auto"/>
              <w:bottom w:val="single" w:sz="2" w:space="0" w:color="auto"/>
            </w:tcBorders>
          </w:tcPr>
          <w:p w14:paraId="51A4642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A3C3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7875C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EFD0E8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2446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3A848A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F870C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0C80E0" w14:textId="77777777" w:rsidR="006E40C9" w:rsidRDefault="006E40C9">
            <w:pPr>
              <w:pStyle w:val="MeasureTableTextRightAligned"/>
            </w:pPr>
            <w:r>
              <w:t>2027-28</w:t>
            </w:r>
          </w:p>
        </w:tc>
      </w:tr>
      <w:tr w:rsidR="006E40C9" w14:paraId="053C7E4E" w14:textId="77777777">
        <w:trPr>
          <w:cantSplit/>
          <w:jc w:val="center"/>
        </w:trPr>
        <w:tc>
          <w:tcPr>
            <w:tcW w:w="967" w:type="dxa"/>
            <w:tcBorders>
              <w:top w:val="single" w:sz="2" w:space="0" w:color="auto"/>
              <w:bottom w:val="single" w:sz="2" w:space="0" w:color="auto"/>
            </w:tcBorders>
          </w:tcPr>
          <w:p w14:paraId="08CAD023" w14:textId="77777777" w:rsidR="006E40C9" w:rsidRDefault="006E40C9">
            <w:pPr>
              <w:pStyle w:val="MeasureTableTextRightAligned"/>
            </w:pPr>
            <w:r>
              <w:t>170</w:t>
            </w:r>
          </w:p>
        </w:tc>
        <w:tc>
          <w:tcPr>
            <w:tcW w:w="967" w:type="dxa"/>
            <w:tcBorders>
              <w:top w:val="single" w:sz="2" w:space="0" w:color="auto"/>
              <w:bottom w:val="single" w:sz="2" w:space="0" w:color="auto"/>
            </w:tcBorders>
          </w:tcPr>
          <w:p w14:paraId="679F7440"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6B3BBB86"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6D9602AE" w14:textId="77777777" w:rsidR="006E40C9" w:rsidRDefault="006E40C9">
            <w:pPr>
              <w:pStyle w:val="MeasureTableTextRightAligned"/>
            </w:pPr>
            <w:r>
              <w:t>110</w:t>
            </w:r>
          </w:p>
        </w:tc>
        <w:tc>
          <w:tcPr>
            <w:tcW w:w="967" w:type="dxa"/>
            <w:tcBorders>
              <w:top w:val="single" w:sz="2" w:space="0" w:color="auto"/>
              <w:bottom w:val="single" w:sz="2" w:space="0" w:color="auto"/>
            </w:tcBorders>
            <w:vAlign w:val="bottom"/>
          </w:tcPr>
          <w:p w14:paraId="2EF1C8EB"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0CB5B505"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31EE2588" w14:textId="77777777" w:rsidR="006E40C9" w:rsidRDefault="006E40C9">
            <w:pPr>
              <w:pStyle w:val="MeasureTableTextRightAligned"/>
            </w:pPr>
            <w:r>
              <w:t>95</w:t>
            </w:r>
          </w:p>
        </w:tc>
        <w:tc>
          <w:tcPr>
            <w:tcW w:w="968" w:type="dxa"/>
            <w:tcBorders>
              <w:top w:val="single" w:sz="2" w:space="0" w:color="auto"/>
              <w:bottom w:val="single" w:sz="2" w:space="0" w:color="auto"/>
            </w:tcBorders>
            <w:vAlign w:val="bottom"/>
          </w:tcPr>
          <w:p w14:paraId="1822AC66" w14:textId="77777777" w:rsidR="006E40C9" w:rsidRDefault="006E40C9">
            <w:pPr>
              <w:pStyle w:val="MeasureTableTextRightAligned"/>
            </w:pPr>
            <w:r>
              <w:t>100</w:t>
            </w:r>
          </w:p>
        </w:tc>
      </w:tr>
      <w:tr w:rsidR="006E40C9" w14:paraId="369A5E7D" w14:textId="77777777">
        <w:trPr>
          <w:cantSplit/>
          <w:jc w:val="center"/>
        </w:trPr>
        <w:tc>
          <w:tcPr>
            <w:tcW w:w="1934" w:type="dxa"/>
            <w:gridSpan w:val="2"/>
            <w:tcBorders>
              <w:top w:val="single" w:sz="2" w:space="0" w:color="auto"/>
              <w:bottom w:val="nil"/>
            </w:tcBorders>
          </w:tcPr>
          <w:p w14:paraId="7CC621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7F1713C" w14:textId="77777777" w:rsidR="006E40C9" w:rsidRDefault="006E40C9">
            <w:pPr>
              <w:pStyle w:val="MeasureTableTextLeftAligned"/>
            </w:pPr>
            <w:r>
              <w:t>Exemption</w:t>
            </w:r>
          </w:p>
        </w:tc>
        <w:tc>
          <w:tcPr>
            <w:tcW w:w="1500" w:type="dxa"/>
            <w:gridSpan w:val="2"/>
            <w:tcBorders>
              <w:top w:val="single" w:sz="2" w:space="0" w:color="auto"/>
              <w:bottom w:val="nil"/>
            </w:tcBorders>
          </w:tcPr>
          <w:p w14:paraId="6491F604" w14:textId="4B3CD3C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97F4E2" w14:textId="77777777" w:rsidR="006E40C9" w:rsidRDefault="006E40C9">
            <w:pPr>
              <w:pStyle w:val="MeasureTableTextLeftAligned"/>
            </w:pPr>
            <w:r>
              <w:t>A43</w:t>
            </w:r>
          </w:p>
        </w:tc>
      </w:tr>
      <w:tr w:rsidR="006E40C9" w14:paraId="122AF1F1" w14:textId="77777777">
        <w:trPr>
          <w:cantSplit/>
          <w:jc w:val="center"/>
        </w:trPr>
        <w:tc>
          <w:tcPr>
            <w:tcW w:w="1934" w:type="dxa"/>
            <w:gridSpan w:val="2"/>
            <w:tcBorders>
              <w:top w:val="nil"/>
              <w:bottom w:val="nil"/>
            </w:tcBorders>
          </w:tcPr>
          <w:p w14:paraId="5B27B9D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10BA62" w14:textId="0D268650"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2CAF635" w14:textId="77777777" w:rsidR="006E40C9" w:rsidRDefault="006E40C9">
            <w:pPr>
              <w:pStyle w:val="MeasureTableTextItalic"/>
            </w:pPr>
          </w:p>
        </w:tc>
        <w:tc>
          <w:tcPr>
            <w:tcW w:w="1124" w:type="dxa"/>
            <w:gridSpan w:val="2"/>
            <w:tcBorders>
              <w:top w:val="nil"/>
              <w:bottom w:val="nil"/>
            </w:tcBorders>
          </w:tcPr>
          <w:p w14:paraId="3F53EFFF" w14:textId="77777777" w:rsidR="006E40C9" w:rsidRDefault="006E40C9">
            <w:pPr>
              <w:pStyle w:val="MeasureTableTextLeftAligned"/>
            </w:pPr>
          </w:p>
        </w:tc>
      </w:tr>
      <w:tr w:rsidR="006E40C9" w14:paraId="4D04DC2D" w14:textId="77777777">
        <w:trPr>
          <w:cantSplit/>
          <w:jc w:val="center"/>
        </w:trPr>
        <w:tc>
          <w:tcPr>
            <w:tcW w:w="1934" w:type="dxa"/>
            <w:gridSpan w:val="2"/>
            <w:tcBorders>
              <w:top w:val="nil"/>
              <w:bottom w:val="nil"/>
            </w:tcBorders>
          </w:tcPr>
          <w:p w14:paraId="14906F0A" w14:textId="77777777" w:rsidR="006E40C9" w:rsidRDefault="006E40C9">
            <w:pPr>
              <w:pStyle w:val="MeasureTableTextItalic"/>
            </w:pPr>
            <w:r>
              <w:t>Commencement date:</w:t>
            </w:r>
          </w:p>
        </w:tc>
        <w:tc>
          <w:tcPr>
            <w:tcW w:w="3179" w:type="dxa"/>
            <w:gridSpan w:val="4"/>
            <w:tcBorders>
              <w:top w:val="nil"/>
              <w:bottom w:val="nil"/>
            </w:tcBorders>
          </w:tcPr>
          <w:p w14:paraId="040086DD" w14:textId="77777777" w:rsidR="006E40C9" w:rsidRDefault="006E40C9">
            <w:pPr>
              <w:pStyle w:val="MeasureTableTextLeftAligned"/>
            </w:pPr>
            <w:r>
              <w:t>1 January 2000</w:t>
            </w:r>
          </w:p>
        </w:tc>
        <w:tc>
          <w:tcPr>
            <w:tcW w:w="1500" w:type="dxa"/>
            <w:gridSpan w:val="2"/>
            <w:tcBorders>
              <w:top w:val="nil"/>
              <w:bottom w:val="nil"/>
            </w:tcBorders>
          </w:tcPr>
          <w:p w14:paraId="2342708D" w14:textId="77777777" w:rsidR="006E40C9" w:rsidRPr="00F32057" w:rsidRDefault="006E40C9">
            <w:pPr>
              <w:pStyle w:val="MeasureTableTextItalic"/>
            </w:pPr>
            <w:r>
              <w:t>Expiry date:</w:t>
            </w:r>
          </w:p>
        </w:tc>
        <w:tc>
          <w:tcPr>
            <w:tcW w:w="1124" w:type="dxa"/>
            <w:gridSpan w:val="2"/>
            <w:tcBorders>
              <w:top w:val="nil"/>
              <w:bottom w:val="nil"/>
            </w:tcBorders>
          </w:tcPr>
          <w:p w14:paraId="46E4A7C4" w14:textId="77777777" w:rsidR="006E40C9" w:rsidRPr="00F32057" w:rsidRDefault="006E40C9">
            <w:pPr>
              <w:pStyle w:val="MeasureTableTextLeftAligned"/>
            </w:pPr>
          </w:p>
        </w:tc>
      </w:tr>
      <w:tr w:rsidR="006E40C9" w14:paraId="4FFA92EF" w14:textId="77777777">
        <w:trPr>
          <w:cantSplit/>
          <w:jc w:val="center"/>
        </w:trPr>
        <w:tc>
          <w:tcPr>
            <w:tcW w:w="1934" w:type="dxa"/>
            <w:gridSpan w:val="2"/>
            <w:tcBorders>
              <w:top w:val="nil"/>
            </w:tcBorders>
          </w:tcPr>
          <w:p w14:paraId="4E7F793F" w14:textId="77777777" w:rsidR="006E40C9" w:rsidRDefault="006E40C9">
            <w:pPr>
              <w:pStyle w:val="MeasureTableTextItalic"/>
            </w:pPr>
            <w:r>
              <w:t>Legislative reference:</w:t>
            </w:r>
          </w:p>
        </w:tc>
        <w:tc>
          <w:tcPr>
            <w:tcW w:w="5803" w:type="dxa"/>
            <w:gridSpan w:val="8"/>
            <w:tcBorders>
              <w:top w:val="nil"/>
            </w:tcBorders>
          </w:tcPr>
          <w:p w14:paraId="0B5B49FF"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 xml:space="preserve">A New Tax System (Commonwealth State Financial Arrangements) Act 1999 </w:t>
            </w:r>
          </w:p>
          <w:p w14:paraId="4832628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Appendix A,</w:t>
            </w:r>
            <w:r>
              <w:rPr>
                <w:rFonts w:ascii="Arial" w:hAnsi="Arial" w:cs="Arial"/>
                <w:i/>
                <w:iCs/>
                <w:color w:val="000000"/>
                <w:sz w:val="16"/>
                <w:szCs w:val="16"/>
              </w:rPr>
              <w:t xml:space="preserve"> Intergovernmental Agreement on Federal Financial Relations Appropriation (Economic Security Strategy) Act (No. 2) 2008-09 </w:t>
            </w:r>
            <w:r>
              <w:rPr>
                <w:rFonts w:ascii="Arial" w:hAnsi="Arial" w:cs="Arial"/>
                <w:color w:val="000000"/>
                <w:sz w:val="16"/>
                <w:szCs w:val="16"/>
              </w:rPr>
              <w:t>and relevant state legislation.</w:t>
            </w:r>
          </w:p>
        </w:tc>
      </w:tr>
    </w:tbl>
    <w:p w14:paraId="5AE3B603" w14:textId="77777777" w:rsidR="006E40C9" w:rsidRPr="00540040" w:rsidRDefault="006E40C9" w:rsidP="006E40C9">
      <w:pPr>
        <w:pStyle w:val="MeasureTableHeading"/>
      </w:pPr>
    </w:p>
    <w:p w14:paraId="6CCA6D19" w14:textId="77777777" w:rsidR="006E40C9" w:rsidRDefault="006E40C9" w:rsidP="006E40C9">
      <w:r>
        <w:t>The benchmark tax treatment is that income tax is paid on the taxable income of a taxpayer for an income year at their applicable rate of tax. However, payments made under the First Home Owner Grant Scheme</w:t>
      </w:r>
      <w:r>
        <w:fldChar w:fldCharType="begin"/>
      </w:r>
      <w:r>
        <w:instrText xml:space="preserve"> XE "First Home Owners Grant Scheme" </w:instrText>
      </w:r>
      <w:r>
        <w:fldChar w:fldCharType="end"/>
      </w:r>
      <w:r>
        <w:t xml:space="preserve"> are exempt from income tax.</w:t>
      </w:r>
    </w:p>
    <w:p w14:paraId="2CC85A62" w14:textId="77777777" w:rsidR="006E40C9" w:rsidRDefault="006E40C9" w:rsidP="0003254D">
      <w:pPr>
        <w:pStyle w:val="Heading4"/>
      </w:pPr>
      <w:r>
        <w:t>A44</w:t>
      </w:r>
      <w:r>
        <w:tab/>
        <w:t>Zone tax offsets</w:t>
      </w:r>
    </w:p>
    <w:p w14:paraId="1D4036A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06F4D4" w14:textId="77777777">
        <w:trPr>
          <w:cantSplit/>
          <w:jc w:val="center"/>
        </w:trPr>
        <w:tc>
          <w:tcPr>
            <w:tcW w:w="967" w:type="dxa"/>
            <w:tcBorders>
              <w:top w:val="single" w:sz="2" w:space="0" w:color="auto"/>
              <w:bottom w:val="single" w:sz="2" w:space="0" w:color="auto"/>
            </w:tcBorders>
          </w:tcPr>
          <w:p w14:paraId="437D380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DA2C9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ED9FD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1975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BB73E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E99C8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027715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33DF37" w14:textId="77777777" w:rsidR="006E40C9" w:rsidRDefault="006E40C9">
            <w:pPr>
              <w:pStyle w:val="MeasureTableTextRightAligned"/>
            </w:pPr>
            <w:r>
              <w:t>2027-28</w:t>
            </w:r>
          </w:p>
        </w:tc>
      </w:tr>
      <w:tr w:rsidR="006E40C9" w14:paraId="57D094D8" w14:textId="77777777">
        <w:trPr>
          <w:cantSplit/>
          <w:jc w:val="center"/>
        </w:trPr>
        <w:tc>
          <w:tcPr>
            <w:tcW w:w="967" w:type="dxa"/>
            <w:tcBorders>
              <w:top w:val="single" w:sz="2" w:space="0" w:color="auto"/>
              <w:bottom w:val="single" w:sz="2" w:space="0" w:color="auto"/>
            </w:tcBorders>
          </w:tcPr>
          <w:p w14:paraId="26EB5D88" w14:textId="77777777" w:rsidR="006E40C9" w:rsidRDefault="006E40C9">
            <w:pPr>
              <w:pStyle w:val="MeasureTableTextRightAligned"/>
            </w:pPr>
            <w:r>
              <w:t>125</w:t>
            </w:r>
          </w:p>
        </w:tc>
        <w:tc>
          <w:tcPr>
            <w:tcW w:w="967" w:type="dxa"/>
            <w:tcBorders>
              <w:top w:val="single" w:sz="2" w:space="0" w:color="auto"/>
              <w:bottom w:val="single" w:sz="2" w:space="0" w:color="auto"/>
            </w:tcBorders>
          </w:tcPr>
          <w:p w14:paraId="2E6FEF44"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173ADAC6"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47E793F4"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1A23D00F"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6AF18FCF" w14:textId="77777777" w:rsidR="006E40C9" w:rsidRDefault="006E40C9">
            <w:pPr>
              <w:pStyle w:val="MeasureTableTextRightAligned"/>
            </w:pPr>
            <w:r>
              <w:t>140</w:t>
            </w:r>
          </w:p>
        </w:tc>
        <w:tc>
          <w:tcPr>
            <w:tcW w:w="967" w:type="dxa"/>
            <w:gridSpan w:val="2"/>
            <w:tcBorders>
              <w:top w:val="single" w:sz="2" w:space="0" w:color="auto"/>
              <w:bottom w:val="single" w:sz="2" w:space="0" w:color="auto"/>
            </w:tcBorders>
            <w:vAlign w:val="bottom"/>
          </w:tcPr>
          <w:p w14:paraId="5026F986" w14:textId="77777777" w:rsidR="006E40C9" w:rsidRDefault="006E40C9">
            <w:pPr>
              <w:pStyle w:val="MeasureTableTextRightAligned"/>
            </w:pPr>
            <w:r>
              <w:t>140</w:t>
            </w:r>
          </w:p>
        </w:tc>
        <w:tc>
          <w:tcPr>
            <w:tcW w:w="968" w:type="dxa"/>
            <w:tcBorders>
              <w:top w:val="single" w:sz="2" w:space="0" w:color="auto"/>
              <w:bottom w:val="single" w:sz="2" w:space="0" w:color="auto"/>
            </w:tcBorders>
            <w:vAlign w:val="bottom"/>
          </w:tcPr>
          <w:p w14:paraId="023F774E" w14:textId="77777777" w:rsidR="006E40C9" w:rsidRDefault="006E40C9">
            <w:pPr>
              <w:pStyle w:val="MeasureTableTextRightAligned"/>
            </w:pPr>
            <w:r>
              <w:t>145</w:t>
            </w:r>
          </w:p>
        </w:tc>
      </w:tr>
      <w:tr w:rsidR="006E40C9" w14:paraId="6529914C" w14:textId="77777777">
        <w:trPr>
          <w:cantSplit/>
          <w:jc w:val="center"/>
        </w:trPr>
        <w:tc>
          <w:tcPr>
            <w:tcW w:w="1934" w:type="dxa"/>
            <w:gridSpan w:val="2"/>
            <w:tcBorders>
              <w:top w:val="single" w:sz="2" w:space="0" w:color="auto"/>
              <w:bottom w:val="nil"/>
            </w:tcBorders>
          </w:tcPr>
          <w:p w14:paraId="77EB14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7BE1BC" w14:textId="77777777" w:rsidR="006E40C9" w:rsidRDefault="006E40C9">
            <w:pPr>
              <w:pStyle w:val="MeasureTableTextLeftAligned"/>
            </w:pPr>
            <w:r>
              <w:t>Offset</w:t>
            </w:r>
          </w:p>
        </w:tc>
        <w:tc>
          <w:tcPr>
            <w:tcW w:w="1500" w:type="dxa"/>
            <w:gridSpan w:val="2"/>
            <w:tcBorders>
              <w:top w:val="single" w:sz="2" w:space="0" w:color="auto"/>
              <w:bottom w:val="nil"/>
            </w:tcBorders>
          </w:tcPr>
          <w:p w14:paraId="7B8FA310" w14:textId="1BB6072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6F9EBD" w14:textId="77777777" w:rsidR="006E40C9" w:rsidRDefault="006E40C9">
            <w:pPr>
              <w:pStyle w:val="MeasureTableTextLeftAligned"/>
            </w:pPr>
            <w:r>
              <w:t>A44</w:t>
            </w:r>
          </w:p>
        </w:tc>
      </w:tr>
      <w:tr w:rsidR="006E40C9" w14:paraId="190A6701" w14:textId="77777777">
        <w:trPr>
          <w:cantSplit/>
          <w:jc w:val="center"/>
        </w:trPr>
        <w:tc>
          <w:tcPr>
            <w:tcW w:w="1934" w:type="dxa"/>
            <w:gridSpan w:val="2"/>
            <w:tcBorders>
              <w:top w:val="nil"/>
              <w:bottom w:val="nil"/>
            </w:tcBorders>
          </w:tcPr>
          <w:p w14:paraId="06B80C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DBA751F" w14:textId="598C5B24"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552C14DB" w14:textId="77777777" w:rsidR="006E40C9" w:rsidRDefault="006E40C9">
            <w:pPr>
              <w:pStyle w:val="MeasureTableTextItalic"/>
            </w:pPr>
          </w:p>
        </w:tc>
        <w:tc>
          <w:tcPr>
            <w:tcW w:w="1124" w:type="dxa"/>
            <w:gridSpan w:val="2"/>
            <w:tcBorders>
              <w:top w:val="nil"/>
              <w:bottom w:val="nil"/>
            </w:tcBorders>
          </w:tcPr>
          <w:p w14:paraId="1728F34C" w14:textId="77777777" w:rsidR="006E40C9" w:rsidRDefault="006E40C9">
            <w:pPr>
              <w:pStyle w:val="MeasureTableTextLeftAligned"/>
            </w:pPr>
          </w:p>
        </w:tc>
      </w:tr>
      <w:tr w:rsidR="006E40C9" w14:paraId="598A513D" w14:textId="77777777">
        <w:trPr>
          <w:cantSplit/>
          <w:jc w:val="center"/>
        </w:trPr>
        <w:tc>
          <w:tcPr>
            <w:tcW w:w="1934" w:type="dxa"/>
            <w:gridSpan w:val="2"/>
            <w:tcBorders>
              <w:top w:val="nil"/>
              <w:bottom w:val="nil"/>
            </w:tcBorders>
          </w:tcPr>
          <w:p w14:paraId="3F1E5446" w14:textId="77777777" w:rsidR="006E40C9" w:rsidRDefault="006E40C9">
            <w:pPr>
              <w:pStyle w:val="MeasureTableTextItalic"/>
            </w:pPr>
            <w:r>
              <w:t>Commencement date:</w:t>
            </w:r>
          </w:p>
        </w:tc>
        <w:tc>
          <w:tcPr>
            <w:tcW w:w="3179" w:type="dxa"/>
            <w:gridSpan w:val="4"/>
            <w:tcBorders>
              <w:top w:val="nil"/>
              <w:bottom w:val="nil"/>
            </w:tcBorders>
          </w:tcPr>
          <w:p w14:paraId="0993E324" w14:textId="77777777" w:rsidR="006E40C9" w:rsidRDefault="006E40C9">
            <w:pPr>
              <w:pStyle w:val="MeasureTableTextLeftAligned"/>
            </w:pPr>
            <w:r>
              <w:t>Introduced before 1985</w:t>
            </w:r>
          </w:p>
        </w:tc>
        <w:tc>
          <w:tcPr>
            <w:tcW w:w="1500" w:type="dxa"/>
            <w:gridSpan w:val="2"/>
            <w:tcBorders>
              <w:top w:val="nil"/>
              <w:bottom w:val="nil"/>
            </w:tcBorders>
          </w:tcPr>
          <w:p w14:paraId="097D8A2A" w14:textId="77777777" w:rsidR="006E40C9" w:rsidRPr="00F32057" w:rsidRDefault="006E40C9">
            <w:pPr>
              <w:pStyle w:val="MeasureTableTextItalic"/>
            </w:pPr>
            <w:r>
              <w:t>Expiry date:</w:t>
            </w:r>
          </w:p>
        </w:tc>
        <w:tc>
          <w:tcPr>
            <w:tcW w:w="1124" w:type="dxa"/>
            <w:gridSpan w:val="2"/>
            <w:tcBorders>
              <w:top w:val="nil"/>
              <w:bottom w:val="nil"/>
            </w:tcBorders>
          </w:tcPr>
          <w:p w14:paraId="302A1592" w14:textId="77777777" w:rsidR="006E40C9" w:rsidRPr="00F32057" w:rsidRDefault="006E40C9">
            <w:pPr>
              <w:pStyle w:val="MeasureTableTextLeftAligned"/>
            </w:pPr>
          </w:p>
        </w:tc>
      </w:tr>
      <w:tr w:rsidR="006E40C9" w14:paraId="1FC75234" w14:textId="77777777">
        <w:trPr>
          <w:cantSplit/>
          <w:jc w:val="center"/>
        </w:trPr>
        <w:tc>
          <w:tcPr>
            <w:tcW w:w="1934" w:type="dxa"/>
            <w:gridSpan w:val="2"/>
            <w:tcBorders>
              <w:top w:val="nil"/>
            </w:tcBorders>
          </w:tcPr>
          <w:p w14:paraId="2A5B6AC7" w14:textId="77777777" w:rsidR="006E40C9" w:rsidRDefault="006E40C9">
            <w:pPr>
              <w:pStyle w:val="MeasureTableTextItalic"/>
            </w:pPr>
            <w:r>
              <w:t>Legislative reference:</w:t>
            </w:r>
          </w:p>
        </w:tc>
        <w:tc>
          <w:tcPr>
            <w:tcW w:w="5803" w:type="dxa"/>
            <w:gridSpan w:val="8"/>
            <w:tcBorders>
              <w:top w:val="nil"/>
            </w:tcBorders>
          </w:tcPr>
          <w:p w14:paraId="101C111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79A of the </w:t>
            </w:r>
            <w:r>
              <w:rPr>
                <w:rFonts w:ascii="Arial" w:hAnsi="Arial" w:cs="Arial"/>
                <w:i/>
                <w:iCs/>
                <w:color w:val="000000"/>
                <w:sz w:val="16"/>
                <w:szCs w:val="16"/>
              </w:rPr>
              <w:t>Income Tax Assessment Act 1936</w:t>
            </w:r>
          </w:p>
        </w:tc>
      </w:tr>
    </w:tbl>
    <w:p w14:paraId="3CA961FE" w14:textId="77777777" w:rsidR="006E40C9" w:rsidRDefault="006E40C9" w:rsidP="006E40C9">
      <w:pPr>
        <w:pStyle w:val="Source"/>
      </w:pPr>
      <w:r>
        <w:t>Note: estimates include tax expenditures A44 and A13</w:t>
      </w:r>
    </w:p>
    <w:p w14:paraId="1DA3A33C" w14:textId="77777777" w:rsidR="0003254D" w:rsidRDefault="0003254D" w:rsidP="006E40C9"/>
    <w:p w14:paraId="175F3B4A" w14:textId="26942D89" w:rsidR="006E40C9" w:rsidRDefault="006E40C9" w:rsidP="006E40C9">
      <w:r>
        <w:t>The benchmark tax treatment is that income tax is paid on the taxable income of a taxpayer for an income year at their applicable rate of tax. However, taxpayers who live in prescribed remote areas</w:t>
      </w:r>
      <w:r>
        <w:fldChar w:fldCharType="begin"/>
      </w:r>
      <w:r>
        <w:instrText xml:space="preserve"> XE "Remote areas" </w:instrText>
      </w:r>
      <w:r>
        <w:fldChar w:fldCharType="end"/>
      </w:r>
      <w:r>
        <w:t xml:space="preserve"> of Australia are eligible for a tax offset, reducing their tax payable. Eligibility and the amount of the tax offset varies depending on the taxpayer’s location. </w:t>
      </w:r>
    </w:p>
    <w:p w14:paraId="3B723AC8" w14:textId="77777777" w:rsidR="006E40C9" w:rsidRDefault="006E40C9" w:rsidP="006E40C9">
      <w:r>
        <w:t>From 1 July 2015, ‘fly</w:t>
      </w:r>
      <w:r>
        <w:noBreakHyphen/>
        <w:t>in fly</w:t>
      </w:r>
      <w:r>
        <w:noBreakHyphen/>
        <w:t>out’ workers whose normal residence is not in a zone are excluded from the offset. If their normal residence is in a different zone to the one in which they work, they receive the offset applicable to the zone in which they normally reside.</w:t>
      </w:r>
      <w:r>
        <w:fldChar w:fldCharType="begin"/>
      </w:r>
      <w:r>
        <w:instrText xml:space="preserve"> XE "Zone tax offsets" </w:instrText>
      </w:r>
      <w:r>
        <w:fldChar w:fldCharType="end"/>
      </w:r>
    </w:p>
    <w:p w14:paraId="2845EDA3" w14:textId="77777777" w:rsidR="006E40C9" w:rsidRDefault="006E40C9" w:rsidP="0003254D">
      <w:pPr>
        <w:pStyle w:val="Heading3"/>
      </w:pPr>
      <w:r>
        <w:t>Tax expenditures for recreation and culture</w:t>
      </w:r>
    </w:p>
    <w:p w14:paraId="1DBA5E09" w14:textId="77777777" w:rsidR="006E40C9" w:rsidRDefault="006E40C9" w:rsidP="0003254D">
      <w:pPr>
        <w:pStyle w:val="Heading4"/>
      </w:pPr>
      <w:r>
        <w:t>A45</w:t>
      </w:r>
      <w:r>
        <w:tab/>
        <w:t>Income averaging for authors, inventors, performing artists, production associates and sportspersons</w:t>
      </w:r>
    </w:p>
    <w:p w14:paraId="11B62E41"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C5105AC" w14:textId="77777777">
        <w:trPr>
          <w:cantSplit/>
          <w:jc w:val="center"/>
        </w:trPr>
        <w:tc>
          <w:tcPr>
            <w:tcW w:w="967" w:type="dxa"/>
            <w:tcBorders>
              <w:top w:val="single" w:sz="2" w:space="0" w:color="auto"/>
              <w:bottom w:val="single" w:sz="2" w:space="0" w:color="auto"/>
            </w:tcBorders>
          </w:tcPr>
          <w:p w14:paraId="151922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5996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EBA52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2C1B7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52793D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5EAEF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D6A0A4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81803A8" w14:textId="77777777" w:rsidR="006E40C9" w:rsidRDefault="006E40C9">
            <w:pPr>
              <w:pStyle w:val="MeasureTableTextRightAligned"/>
            </w:pPr>
            <w:r>
              <w:t>2027-28</w:t>
            </w:r>
          </w:p>
        </w:tc>
      </w:tr>
      <w:tr w:rsidR="006E40C9" w14:paraId="73F85501" w14:textId="77777777">
        <w:trPr>
          <w:cantSplit/>
          <w:jc w:val="center"/>
        </w:trPr>
        <w:tc>
          <w:tcPr>
            <w:tcW w:w="967" w:type="dxa"/>
            <w:tcBorders>
              <w:top w:val="single" w:sz="2" w:space="0" w:color="auto"/>
              <w:bottom w:val="single" w:sz="2" w:space="0" w:color="auto"/>
            </w:tcBorders>
          </w:tcPr>
          <w:p w14:paraId="1B534F75" w14:textId="77777777" w:rsidR="006E40C9" w:rsidRDefault="006E40C9">
            <w:pPr>
              <w:pStyle w:val="MeasureTableTextRightAligned"/>
            </w:pPr>
            <w:r>
              <w:t>40</w:t>
            </w:r>
          </w:p>
        </w:tc>
        <w:tc>
          <w:tcPr>
            <w:tcW w:w="967" w:type="dxa"/>
            <w:tcBorders>
              <w:top w:val="single" w:sz="2" w:space="0" w:color="auto"/>
              <w:bottom w:val="single" w:sz="2" w:space="0" w:color="auto"/>
            </w:tcBorders>
          </w:tcPr>
          <w:p w14:paraId="661C0947" w14:textId="77777777" w:rsidR="006E40C9" w:rsidRDefault="006E40C9">
            <w:pPr>
              <w:pStyle w:val="MeasureTableTextRightAligned"/>
            </w:pPr>
            <w:r>
              <w:t>50</w:t>
            </w:r>
          </w:p>
        </w:tc>
        <w:tc>
          <w:tcPr>
            <w:tcW w:w="967" w:type="dxa"/>
            <w:tcBorders>
              <w:top w:val="single" w:sz="2" w:space="0" w:color="auto"/>
              <w:bottom w:val="single" w:sz="2" w:space="0" w:color="auto"/>
            </w:tcBorders>
            <w:vAlign w:val="bottom"/>
          </w:tcPr>
          <w:p w14:paraId="5C9CD776"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0802AE93"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9EFF5AC"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35B0B122"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56884389" w14:textId="77777777" w:rsidR="006E40C9" w:rsidRDefault="006E40C9">
            <w:pPr>
              <w:pStyle w:val="MeasureTableTextRightAligned"/>
            </w:pPr>
            <w:r>
              <w:t>55</w:t>
            </w:r>
          </w:p>
        </w:tc>
        <w:tc>
          <w:tcPr>
            <w:tcW w:w="968" w:type="dxa"/>
            <w:tcBorders>
              <w:top w:val="single" w:sz="2" w:space="0" w:color="auto"/>
              <w:bottom w:val="single" w:sz="2" w:space="0" w:color="auto"/>
            </w:tcBorders>
            <w:vAlign w:val="bottom"/>
          </w:tcPr>
          <w:p w14:paraId="4493C4F9" w14:textId="77777777" w:rsidR="006E40C9" w:rsidRDefault="006E40C9">
            <w:pPr>
              <w:pStyle w:val="MeasureTableTextRightAligned"/>
            </w:pPr>
            <w:r>
              <w:t>55</w:t>
            </w:r>
          </w:p>
        </w:tc>
      </w:tr>
      <w:tr w:rsidR="006E40C9" w14:paraId="7843495E" w14:textId="77777777">
        <w:trPr>
          <w:cantSplit/>
          <w:jc w:val="center"/>
        </w:trPr>
        <w:tc>
          <w:tcPr>
            <w:tcW w:w="1934" w:type="dxa"/>
            <w:gridSpan w:val="2"/>
            <w:tcBorders>
              <w:top w:val="single" w:sz="2" w:space="0" w:color="auto"/>
              <w:bottom w:val="nil"/>
            </w:tcBorders>
          </w:tcPr>
          <w:p w14:paraId="18E1EB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0D6841"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36559AF" w14:textId="0D39250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2E60C5" w14:textId="77777777" w:rsidR="006E40C9" w:rsidRDefault="006E40C9">
            <w:pPr>
              <w:pStyle w:val="MeasureTableTextLeftAligned"/>
            </w:pPr>
            <w:r>
              <w:t>A45</w:t>
            </w:r>
          </w:p>
        </w:tc>
      </w:tr>
      <w:tr w:rsidR="006E40C9" w14:paraId="374B1B0C" w14:textId="77777777">
        <w:trPr>
          <w:cantSplit/>
          <w:jc w:val="center"/>
        </w:trPr>
        <w:tc>
          <w:tcPr>
            <w:tcW w:w="1934" w:type="dxa"/>
            <w:gridSpan w:val="2"/>
            <w:tcBorders>
              <w:top w:val="nil"/>
              <w:bottom w:val="nil"/>
            </w:tcBorders>
          </w:tcPr>
          <w:p w14:paraId="4862994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9E2111" w14:textId="7D8032D6"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12674379" w14:textId="77777777" w:rsidR="006E40C9" w:rsidRDefault="006E40C9">
            <w:pPr>
              <w:pStyle w:val="MeasureTableTextItalic"/>
            </w:pPr>
          </w:p>
        </w:tc>
        <w:tc>
          <w:tcPr>
            <w:tcW w:w="1124" w:type="dxa"/>
            <w:gridSpan w:val="2"/>
            <w:tcBorders>
              <w:top w:val="nil"/>
              <w:bottom w:val="nil"/>
            </w:tcBorders>
          </w:tcPr>
          <w:p w14:paraId="1E943893" w14:textId="77777777" w:rsidR="006E40C9" w:rsidRDefault="006E40C9">
            <w:pPr>
              <w:pStyle w:val="MeasureTableTextLeftAligned"/>
            </w:pPr>
          </w:p>
        </w:tc>
      </w:tr>
      <w:tr w:rsidR="006E40C9" w14:paraId="7932281B" w14:textId="77777777">
        <w:trPr>
          <w:cantSplit/>
          <w:jc w:val="center"/>
        </w:trPr>
        <w:tc>
          <w:tcPr>
            <w:tcW w:w="1934" w:type="dxa"/>
            <w:gridSpan w:val="2"/>
            <w:tcBorders>
              <w:top w:val="nil"/>
              <w:bottom w:val="nil"/>
            </w:tcBorders>
          </w:tcPr>
          <w:p w14:paraId="57596550" w14:textId="77777777" w:rsidR="006E40C9" w:rsidRDefault="006E40C9">
            <w:pPr>
              <w:pStyle w:val="MeasureTableTextItalic"/>
            </w:pPr>
            <w:r>
              <w:t>Commencement date:</w:t>
            </w:r>
          </w:p>
        </w:tc>
        <w:tc>
          <w:tcPr>
            <w:tcW w:w="3179" w:type="dxa"/>
            <w:gridSpan w:val="4"/>
            <w:tcBorders>
              <w:top w:val="nil"/>
              <w:bottom w:val="nil"/>
            </w:tcBorders>
          </w:tcPr>
          <w:p w14:paraId="1B90929E" w14:textId="77777777" w:rsidR="006E40C9" w:rsidRDefault="006E40C9">
            <w:pPr>
              <w:pStyle w:val="MeasureTableTextLeftAligned"/>
            </w:pPr>
            <w:r>
              <w:t>1998</w:t>
            </w:r>
          </w:p>
        </w:tc>
        <w:tc>
          <w:tcPr>
            <w:tcW w:w="1500" w:type="dxa"/>
            <w:gridSpan w:val="2"/>
            <w:tcBorders>
              <w:top w:val="nil"/>
              <w:bottom w:val="nil"/>
            </w:tcBorders>
          </w:tcPr>
          <w:p w14:paraId="14558819" w14:textId="77777777" w:rsidR="006E40C9" w:rsidRPr="00F32057" w:rsidRDefault="006E40C9">
            <w:pPr>
              <w:pStyle w:val="MeasureTableTextItalic"/>
            </w:pPr>
            <w:r>
              <w:t>Expiry date:</w:t>
            </w:r>
          </w:p>
        </w:tc>
        <w:tc>
          <w:tcPr>
            <w:tcW w:w="1124" w:type="dxa"/>
            <w:gridSpan w:val="2"/>
            <w:tcBorders>
              <w:top w:val="nil"/>
              <w:bottom w:val="nil"/>
            </w:tcBorders>
          </w:tcPr>
          <w:p w14:paraId="3052F29C" w14:textId="77777777" w:rsidR="006E40C9" w:rsidRPr="00F32057" w:rsidRDefault="006E40C9">
            <w:pPr>
              <w:pStyle w:val="MeasureTableTextLeftAligned"/>
            </w:pPr>
          </w:p>
        </w:tc>
      </w:tr>
      <w:tr w:rsidR="006E40C9" w14:paraId="3AFC13A2" w14:textId="77777777">
        <w:trPr>
          <w:cantSplit/>
          <w:jc w:val="center"/>
        </w:trPr>
        <w:tc>
          <w:tcPr>
            <w:tcW w:w="1934" w:type="dxa"/>
            <w:gridSpan w:val="2"/>
            <w:tcBorders>
              <w:top w:val="nil"/>
            </w:tcBorders>
          </w:tcPr>
          <w:p w14:paraId="1439810F" w14:textId="77777777" w:rsidR="006E40C9" w:rsidRDefault="006E40C9">
            <w:pPr>
              <w:pStyle w:val="MeasureTableTextItalic"/>
            </w:pPr>
            <w:r>
              <w:t>Legislative reference:</w:t>
            </w:r>
          </w:p>
        </w:tc>
        <w:tc>
          <w:tcPr>
            <w:tcW w:w="5803" w:type="dxa"/>
            <w:gridSpan w:val="8"/>
            <w:tcBorders>
              <w:top w:val="nil"/>
            </w:tcBorders>
          </w:tcPr>
          <w:p w14:paraId="7D18C9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405 of the </w:t>
            </w:r>
            <w:r>
              <w:rPr>
                <w:rFonts w:ascii="Arial" w:hAnsi="Arial" w:cs="Arial"/>
                <w:i/>
                <w:iCs/>
                <w:color w:val="000000"/>
                <w:sz w:val="16"/>
                <w:szCs w:val="16"/>
              </w:rPr>
              <w:t>Income Tax Assessment Act 1997</w:t>
            </w:r>
          </w:p>
        </w:tc>
      </w:tr>
    </w:tbl>
    <w:p w14:paraId="738A084A" w14:textId="77777777" w:rsidR="006E40C9" w:rsidRPr="00540040" w:rsidRDefault="006E40C9" w:rsidP="006E40C9">
      <w:pPr>
        <w:pStyle w:val="MeasureTableHeading"/>
      </w:pPr>
    </w:p>
    <w:p w14:paraId="116CE1F1" w14:textId="77777777" w:rsidR="006E40C9" w:rsidRDefault="006E40C9" w:rsidP="006E40C9">
      <w:r>
        <w:t xml:space="preserve">The benchmark tax treatment is that income tax is calculated on the taxable income of a taxpayer for an income year at their applicable rate of tax. </w:t>
      </w:r>
    </w:p>
    <w:p w14:paraId="19249320" w14:textId="77777777" w:rsidR="006E40C9" w:rsidRDefault="006E40C9" w:rsidP="006E40C9">
      <w:r>
        <w:t xml:space="preserve">However, special professionals (such as authors, </w:t>
      </w:r>
      <w:r>
        <w:fldChar w:fldCharType="begin"/>
      </w:r>
      <w:r>
        <w:instrText xml:space="preserve"> XE "Authors" </w:instrText>
      </w:r>
      <w:r>
        <w:fldChar w:fldCharType="end"/>
      </w:r>
      <w:r>
        <w:t xml:space="preserve">composers, </w:t>
      </w:r>
      <w:r>
        <w:fldChar w:fldCharType="begin"/>
      </w:r>
      <w:r>
        <w:instrText xml:space="preserve"> XE "Composers" </w:instrText>
      </w:r>
      <w:r>
        <w:fldChar w:fldCharType="end"/>
      </w:r>
      <w:r>
        <w:t>artists</w:t>
      </w:r>
      <w:r>
        <w:fldChar w:fldCharType="begin"/>
      </w:r>
      <w:r>
        <w:instrText xml:space="preserve"> XE "Artists" </w:instrText>
      </w:r>
      <w:r>
        <w:fldChar w:fldCharType="end"/>
      </w:r>
      <w:r>
        <w:t>, inventors</w:t>
      </w:r>
      <w:r>
        <w:fldChar w:fldCharType="begin"/>
      </w:r>
      <w:r>
        <w:instrText xml:space="preserve"> XE "Inventors" </w:instrText>
      </w:r>
      <w:r>
        <w:fldChar w:fldCharType="end"/>
      </w:r>
      <w:r>
        <w:t>, performing artists</w:t>
      </w:r>
      <w:r>
        <w:fldChar w:fldCharType="begin"/>
      </w:r>
      <w:r>
        <w:instrText xml:space="preserve"> XE "Performing artists" </w:instrText>
      </w:r>
      <w:r>
        <w:fldChar w:fldCharType="end"/>
      </w:r>
      <w:r>
        <w:t>, production associates</w:t>
      </w:r>
      <w:r>
        <w:fldChar w:fldCharType="begin"/>
      </w:r>
      <w:r>
        <w:instrText xml:space="preserve"> XE "Production associates" </w:instrText>
      </w:r>
      <w:r>
        <w:fldChar w:fldCharType="end"/>
      </w:r>
      <w:r>
        <w:t xml:space="preserve"> and sportspersons)</w:t>
      </w:r>
      <w:r>
        <w:fldChar w:fldCharType="begin"/>
      </w:r>
      <w:r>
        <w:instrText xml:space="preserve"> XE "</w:instrText>
      </w:r>
      <w:r w:rsidRPr="00F73F77">
        <w:instrText>Sportspersons</w:instrText>
      </w:r>
      <w:r>
        <w:instrText xml:space="preserve">" </w:instrText>
      </w:r>
      <w:r>
        <w:fldChar w:fldCharType="end"/>
      </w:r>
      <w:r>
        <w:t xml:space="preserve"> whose income can fluctuate significantly between income years, may be eligible for an income averaging</w:t>
      </w:r>
      <w:r>
        <w:fldChar w:fldCharType="begin"/>
      </w:r>
      <w:r>
        <w:instrText xml:space="preserve"> XE "I</w:instrText>
      </w:r>
      <w:r w:rsidRPr="00537191">
        <w:instrText>ncome averaging:</w:instrText>
      </w:r>
      <w:r>
        <w:instrText>S</w:instrText>
      </w:r>
      <w:r w:rsidRPr="00537191">
        <w:instrText>pecial professionals</w:instrText>
      </w:r>
      <w:r>
        <w:instrText xml:space="preserve">" </w:instrText>
      </w:r>
      <w:r>
        <w:fldChar w:fldCharType="end"/>
      </w:r>
      <w:r>
        <w:t xml:space="preserve"> scheme that reduces their overall tax liability. </w:t>
      </w:r>
    </w:p>
    <w:p w14:paraId="2B2CEB6C" w14:textId="77777777" w:rsidR="006E40C9" w:rsidRDefault="006E40C9" w:rsidP="0003254D">
      <w:pPr>
        <w:pStyle w:val="Heading4"/>
      </w:pPr>
      <w:r>
        <w:t>A46</w:t>
      </w:r>
      <w:r>
        <w:tab/>
        <w:t>Income tax exemption of certain Prime Minister's prizes</w:t>
      </w:r>
    </w:p>
    <w:p w14:paraId="75505BEF"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2608F0" w14:textId="77777777">
        <w:trPr>
          <w:cantSplit/>
          <w:jc w:val="center"/>
        </w:trPr>
        <w:tc>
          <w:tcPr>
            <w:tcW w:w="967" w:type="dxa"/>
            <w:tcBorders>
              <w:top w:val="single" w:sz="2" w:space="0" w:color="auto"/>
              <w:bottom w:val="single" w:sz="2" w:space="0" w:color="auto"/>
            </w:tcBorders>
          </w:tcPr>
          <w:p w14:paraId="26E3C78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6A488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6C5B2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2F0A1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46DEB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FA09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E3B266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E3DD521" w14:textId="77777777" w:rsidR="006E40C9" w:rsidRDefault="006E40C9">
            <w:pPr>
              <w:pStyle w:val="MeasureTableTextRightAligned"/>
            </w:pPr>
            <w:r>
              <w:t>2027-28</w:t>
            </w:r>
          </w:p>
        </w:tc>
      </w:tr>
      <w:tr w:rsidR="006E40C9" w14:paraId="4784D0AC" w14:textId="77777777">
        <w:trPr>
          <w:cantSplit/>
          <w:jc w:val="center"/>
        </w:trPr>
        <w:tc>
          <w:tcPr>
            <w:tcW w:w="967" w:type="dxa"/>
            <w:tcBorders>
              <w:top w:val="single" w:sz="2" w:space="0" w:color="auto"/>
              <w:bottom w:val="single" w:sz="2" w:space="0" w:color="auto"/>
            </w:tcBorders>
          </w:tcPr>
          <w:p w14:paraId="5F31B0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5221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E3AA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153A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5FF5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4A1F0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9598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B08467C" w14:textId="77777777" w:rsidR="006E40C9" w:rsidRDefault="006E40C9">
            <w:pPr>
              <w:pStyle w:val="MeasureTableTextRightAligned"/>
            </w:pPr>
            <w:r>
              <w:t>..</w:t>
            </w:r>
          </w:p>
        </w:tc>
      </w:tr>
      <w:tr w:rsidR="006E40C9" w14:paraId="51C08D68" w14:textId="77777777">
        <w:trPr>
          <w:cantSplit/>
          <w:jc w:val="center"/>
        </w:trPr>
        <w:tc>
          <w:tcPr>
            <w:tcW w:w="1934" w:type="dxa"/>
            <w:gridSpan w:val="2"/>
            <w:tcBorders>
              <w:top w:val="single" w:sz="2" w:space="0" w:color="auto"/>
              <w:bottom w:val="nil"/>
            </w:tcBorders>
          </w:tcPr>
          <w:p w14:paraId="4D46373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9C125EE" w14:textId="77777777" w:rsidR="006E40C9" w:rsidRDefault="006E40C9">
            <w:pPr>
              <w:pStyle w:val="MeasureTableTextLeftAligned"/>
            </w:pPr>
            <w:r>
              <w:t>Exemption</w:t>
            </w:r>
          </w:p>
        </w:tc>
        <w:tc>
          <w:tcPr>
            <w:tcW w:w="1500" w:type="dxa"/>
            <w:gridSpan w:val="2"/>
            <w:tcBorders>
              <w:top w:val="single" w:sz="2" w:space="0" w:color="auto"/>
              <w:bottom w:val="nil"/>
            </w:tcBorders>
          </w:tcPr>
          <w:p w14:paraId="21D8D2FC" w14:textId="30DC29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22D7E1" w14:textId="77777777" w:rsidR="006E40C9" w:rsidRDefault="006E40C9">
            <w:pPr>
              <w:pStyle w:val="MeasureTableTextLeftAligned"/>
            </w:pPr>
            <w:r>
              <w:t>A46</w:t>
            </w:r>
          </w:p>
        </w:tc>
      </w:tr>
      <w:tr w:rsidR="006E40C9" w14:paraId="45E3B0F1" w14:textId="77777777">
        <w:trPr>
          <w:cantSplit/>
          <w:jc w:val="center"/>
        </w:trPr>
        <w:tc>
          <w:tcPr>
            <w:tcW w:w="1934" w:type="dxa"/>
            <w:gridSpan w:val="2"/>
            <w:tcBorders>
              <w:top w:val="nil"/>
              <w:bottom w:val="nil"/>
            </w:tcBorders>
          </w:tcPr>
          <w:p w14:paraId="62FDB13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9853E90" w14:textId="77777777" w:rsidR="006E40C9" w:rsidRPr="00584CA7" w:rsidRDefault="006E40C9">
            <w:pPr>
              <w:pStyle w:val="MeasureTableTextLeftAligned"/>
            </w:pPr>
            <w:r>
              <w:t>Medium</w:t>
            </w:r>
          </w:p>
        </w:tc>
        <w:tc>
          <w:tcPr>
            <w:tcW w:w="1500" w:type="dxa"/>
            <w:gridSpan w:val="2"/>
            <w:tcBorders>
              <w:top w:val="nil"/>
              <w:bottom w:val="nil"/>
            </w:tcBorders>
          </w:tcPr>
          <w:p w14:paraId="47BDE624" w14:textId="77777777" w:rsidR="006E40C9" w:rsidRDefault="006E40C9">
            <w:pPr>
              <w:pStyle w:val="MeasureTableTextItalic"/>
            </w:pPr>
          </w:p>
        </w:tc>
        <w:tc>
          <w:tcPr>
            <w:tcW w:w="1124" w:type="dxa"/>
            <w:gridSpan w:val="2"/>
            <w:tcBorders>
              <w:top w:val="nil"/>
              <w:bottom w:val="nil"/>
            </w:tcBorders>
          </w:tcPr>
          <w:p w14:paraId="5B32C606" w14:textId="77777777" w:rsidR="006E40C9" w:rsidRDefault="006E40C9">
            <w:pPr>
              <w:pStyle w:val="MeasureTableTextLeftAligned"/>
            </w:pPr>
          </w:p>
        </w:tc>
      </w:tr>
      <w:tr w:rsidR="006E40C9" w14:paraId="58E9ECFC" w14:textId="77777777">
        <w:trPr>
          <w:cantSplit/>
          <w:jc w:val="center"/>
        </w:trPr>
        <w:tc>
          <w:tcPr>
            <w:tcW w:w="1934" w:type="dxa"/>
            <w:gridSpan w:val="2"/>
            <w:tcBorders>
              <w:top w:val="nil"/>
              <w:bottom w:val="nil"/>
            </w:tcBorders>
          </w:tcPr>
          <w:p w14:paraId="4B07E272" w14:textId="77777777" w:rsidR="006E40C9" w:rsidRDefault="006E40C9">
            <w:pPr>
              <w:pStyle w:val="MeasureTableTextItalic"/>
            </w:pPr>
            <w:r>
              <w:t>Commencement date:</w:t>
            </w:r>
          </w:p>
        </w:tc>
        <w:tc>
          <w:tcPr>
            <w:tcW w:w="3179" w:type="dxa"/>
            <w:gridSpan w:val="4"/>
            <w:tcBorders>
              <w:top w:val="nil"/>
              <w:bottom w:val="nil"/>
            </w:tcBorders>
          </w:tcPr>
          <w:p w14:paraId="0887018A" w14:textId="77777777" w:rsidR="006E40C9" w:rsidRDefault="006E40C9">
            <w:pPr>
              <w:pStyle w:val="MeasureTableTextLeftAligned"/>
            </w:pPr>
            <w:r>
              <w:t>1 July 2006</w:t>
            </w:r>
          </w:p>
        </w:tc>
        <w:tc>
          <w:tcPr>
            <w:tcW w:w="1500" w:type="dxa"/>
            <w:gridSpan w:val="2"/>
            <w:tcBorders>
              <w:top w:val="nil"/>
              <w:bottom w:val="nil"/>
            </w:tcBorders>
          </w:tcPr>
          <w:p w14:paraId="3E52C19B" w14:textId="77777777" w:rsidR="006E40C9" w:rsidRPr="00F32057" w:rsidRDefault="006E40C9">
            <w:pPr>
              <w:pStyle w:val="MeasureTableTextItalic"/>
            </w:pPr>
            <w:r>
              <w:t>Expiry date:</w:t>
            </w:r>
          </w:p>
        </w:tc>
        <w:tc>
          <w:tcPr>
            <w:tcW w:w="1124" w:type="dxa"/>
            <w:gridSpan w:val="2"/>
            <w:tcBorders>
              <w:top w:val="nil"/>
              <w:bottom w:val="nil"/>
            </w:tcBorders>
          </w:tcPr>
          <w:p w14:paraId="07DA332D" w14:textId="77777777" w:rsidR="006E40C9" w:rsidRPr="00F32057" w:rsidRDefault="006E40C9">
            <w:pPr>
              <w:pStyle w:val="MeasureTableTextLeftAligned"/>
            </w:pPr>
          </w:p>
        </w:tc>
      </w:tr>
      <w:tr w:rsidR="006E40C9" w14:paraId="4DF36FAF" w14:textId="77777777">
        <w:trPr>
          <w:cantSplit/>
          <w:jc w:val="center"/>
        </w:trPr>
        <w:tc>
          <w:tcPr>
            <w:tcW w:w="1934" w:type="dxa"/>
            <w:gridSpan w:val="2"/>
            <w:tcBorders>
              <w:top w:val="nil"/>
            </w:tcBorders>
          </w:tcPr>
          <w:p w14:paraId="21355CC3" w14:textId="77777777" w:rsidR="006E40C9" w:rsidRDefault="006E40C9">
            <w:pPr>
              <w:pStyle w:val="MeasureTableTextItalic"/>
            </w:pPr>
            <w:r>
              <w:t>Legislative reference:</w:t>
            </w:r>
          </w:p>
        </w:tc>
        <w:tc>
          <w:tcPr>
            <w:tcW w:w="5803" w:type="dxa"/>
            <w:gridSpan w:val="8"/>
            <w:tcBorders>
              <w:top w:val="nil"/>
            </w:tcBorders>
          </w:tcPr>
          <w:p w14:paraId="173456D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51-60 of the </w:t>
            </w:r>
            <w:r>
              <w:rPr>
                <w:rFonts w:ascii="Arial" w:hAnsi="Arial" w:cs="Arial"/>
                <w:i/>
                <w:iCs/>
                <w:color w:val="000000"/>
                <w:sz w:val="16"/>
                <w:szCs w:val="16"/>
              </w:rPr>
              <w:t>Income Tax Assessment Act 1997</w:t>
            </w:r>
          </w:p>
        </w:tc>
      </w:tr>
    </w:tbl>
    <w:p w14:paraId="0F106BA9" w14:textId="77777777" w:rsidR="006E40C9" w:rsidRPr="00540040" w:rsidRDefault="006E40C9" w:rsidP="006E40C9">
      <w:pPr>
        <w:pStyle w:val="MeasureTableHeading"/>
      </w:pPr>
    </w:p>
    <w:p w14:paraId="03FEF921" w14:textId="77777777" w:rsidR="006E40C9" w:rsidRDefault="006E40C9" w:rsidP="006E40C9">
      <w:r>
        <w:t>The benchmark tax treatment is that income tax is paid on the taxable income of a taxpayer for an income year at their applicable rate of tax. However, the Prime Minister’s Prize for Australian History, the Prime Minister’s Prize for Science</w:t>
      </w:r>
      <w:r>
        <w:fldChar w:fldCharType="begin"/>
      </w:r>
      <w:r>
        <w:instrText xml:space="preserve"> XE "Prime Minister's Prizes</w:instrText>
      </w:r>
      <w:r w:rsidDel="006B0C4F">
        <w:instrText xml:space="preserve"> </w:instrText>
      </w:r>
      <w:r>
        <w:instrText xml:space="preserve">" </w:instrText>
      </w:r>
      <w:r>
        <w:fldChar w:fldCharType="end"/>
      </w:r>
      <w:r>
        <w:t xml:space="preserve"> and the Prime Minister’s Literary Award are exempt from income tax. </w:t>
      </w:r>
    </w:p>
    <w:p w14:paraId="67A82C72" w14:textId="77777777" w:rsidR="006E40C9" w:rsidRDefault="006E40C9" w:rsidP="0003254D">
      <w:pPr>
        <w:pStyle w:val="Heading3"/>
      </w:pPr>
      <w:r>
        <w:t>Tax expenditures for other economic affairs</w:t>
      </w:r>
    </w:p>
    <w:p w14:paraId="39BDF9DD" w14:textId="77777777" w:rsidR="006E40C9" w:rsidRDefault="006E40C9" w:rsidP="0003254D">
      <w:pPr>
        <w:pStyle w:val="Heading4"/>
      </w:pPr>
      <w:r>
        <w:t>A47</w:t>
      </w:r>
      <w:r>
        <w:tab/>
        <w:t>Deductibility of COVID-19 test expenses</w:t>
      </w:r>
    </w:p>
    <w:p w14:paraId="48277511" w14:textId="2665932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8C47B2" w14:textId="77777777">
        <w:trPr>
          <w:cantSplit/>
          <w:jc w:val="center"/>
        </w:trPr>
        <w:tc>
          <w:tcPr>
            <w:tcW w:w="967" w:type="dxa"/>
            <w:tcBorders>
              <w:top w:val="single" w:sz="2" w:space="0" w:color="auto"/>
              <w:bottom w:val="single" w:sz="2" w:space="0" w:color="auto"/>
            </w:tcBorders>
          </w:tcPr>
          <w:p w14:paraId="2CC2E89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61B3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2C92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0572E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172FB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8E40B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569AE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808C1E" w14:textId="77777777" w:rsidR="006E40C9" w:rsidRDefault="006E40C9">
            <w:pPr>
              <w:pStyle w:val="MeasureTableTextRightAligned"/>
            </w:pPr>
            <w:r>
              <w:t>2027-28</w:t>
            </w:r>
          </w:p>
        </w:tc>
      </w:tr>
      <w:tr w:rsidR="006E40C9" w14:paraId="5862A425" w14:textId="77777777">
        <w:trPr>
          <w:cantSplit/>
          <w:jc w:val="center"/>
        </w:trPr>
        <w:tc>
          <w:tcPr>
            <w:tcW w:w="967" w:type="dxa"/>
            <w:tcBorders>
              <w:top w:val="single" w:sz="2" w:space="0" w:color="auto"/>
              <w:bottom w:val="single" w:sz="2" w:space="0" w:color="auto"/>
            </w:tcBorders>
          </w:tcPr>
          <w:p w14:paraId="47A7479D" w14:textId="77777777" w:rsidR="006E40C9" w:rsidRDefault="006E40C9">
            <w:pPr>
              <w:pStyle w:val="MeasureTableTextRightAligned"/>
            </w:pPr>
            <w:r>
              <w:t>-</w:t>
            </w:r>
          </w:p>
        </w:tc>
        <w:tc>
          <w:tcPr>
            <w:tcW w:w="967" w:type="dxa"/>
            <w:tcBorders>
              <w:top w:val="single" w:sz="2" w:space="0" w:color="auto"/>
              <w:bottom w:val="single" w:sz="2" w:space="0" w:color="auto"/>
            </w:tcBorders>
          </w:tcPr>
          <w:p w14:paraId="7773249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502E98"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7A18406D"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0F6C93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570F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0109A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8DC5983" w14:textId="77777777" w:rsidR="006E40C9" w:rsidRDefault="006E40C9">
            <w:pPr>
              <w:pStyle w:val="MeasureTableTextRightAligned"/>
            </w:pPr>
            <w:r>
              <w:t>*</w:t>
            </w:r>
          </w:p>
        </w:tc>
      </w:tr>
      <w:tr w:rsidR="006E40C9" w14:paraId="36973D23" w14:textId="77777777">
        <w:trPr>
          <w:cantSplit/>
          <w:jc w:val="center"/>
        </w:trPr>
        <w:tc>
          <w:tcPr>
            <w:tcW w:w="1934" w:type="dxa"/>
            <w:gridSpan w:val="2"/>
            <w:tcBorders>
              <w:top w:val="single" w:sz="2" w:space="0" w:color="auto"/>
              <w:bottom w:val="nil"/>
            </w:tcBorders>
          </w:tcPr>
          <w:p w14:paraId="5B400A1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CEF3DC" w14:textId="77777777" w:rsidR="006E40C9" w:rsidRDefault="006E40C9">
            <w:pPr>
              <w:pStyle w:val="MeasureTableTextLeftAligned"/>
            </w:pPr>
            <w:r>
              <w:t>Deduction</w:t>
            </w:r>
          </w:p>
        </w:tc>
        <w:tc>
          <w:tcPr>
            <w:tcW w:w="1500" w:type="dxa"/>
            <w:gridSpan w:val="2"/>
            <w:tcBorders>
              <w:top w:val="single" w:sz="2" w:space="0" w:color="auto"/>
              <w:bottom w:val="nil"/>
            </w:tcBorders>
          </w:tcPr>
          <w:p w14:paraId="186E15EB" w14:textId="2401AF9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24B876D" w14:textId="77777777" w:rsidR="006E40C9" w:rsidRDefault="006E40C9">
            <w:pPr>
              <w:pStyle w:val="MeasureTableTextLeftAligned"/>
            </w:pPr>
            <w:r>
              <w:t>A47</w:t>
            </w:r>
          </w:p>
        </w:tc>
      </w:tr>
      <w:tr w:rsidR="006E40C9" w14:paraId="4CC8B766" w14:textId="77777777">
        <w:trPr>
          <w:cantSplit/>
          <w:jc w:val="center"/>
        </w:trPr>
        <w:tc>
          <w:tcPr>
            <w:tcW w:w="1934" w:type="dxa"/>
            <w:gridSpan w:val="2"/>
            <w:tcBorders>
              <w:top w:val="nil"/>
              <w:bottom w:val="nil"/>
            </w:tcBorders>
          </w:tcPr>
          <w:p w14:paraId="631127B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2D02E1" w14:textId="7D33CA81"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DD42716" w14:textId="77777777" w:rsidR="006E40C9" w:rsidRDefault="006E40C9">
            <w:pPr>
              <w:pStyle w:val="MeasureTableTextItalic"/>
            </w:pPr>
            <w:r>
              <w:t>* Category</w:t>
            </w:r>
          </w:p>
        </w:tc>
        <w:tc>
          <w:tcPr>
            <w:tcW w:w="1124" w:type="dxa"/>
            <w:gridSpan w:val="2"/>
            <w:tcBorders>
              <w:top w:val="nil"/>
              <w:bottom w:val="nil"/>
            </w:tcBorders>
          </w:tcPr>
          <w:p w14:paraId="7EEC5D6A" w14:textId="77777777" w:rsidR="006E40C9" w:rsidRDefault="006E40C9">
            <w:pPr>
              <w:pStyle w:val="MeasureTableTextLeftAligned"/>
            </w:pPr>
            <w:r>
              <w:t>2+</w:t>
            </w:r>
          </w:p>
        </w:tc>
      </w:tr>
      <w:tr w:rsidR="006E40C9" w14:paraId="61E23145" w14:textId="77777777">
        <w:trPr>
          <w:cantSplit/>
          <w:jc w:val="center"/>
        </w:trPr>
        <w:tc>
          <w:tcPr>
            <w:tcW w:w="1934" w:type="dxa"/>
            <w:gridSpan w:val="2"/>
            <w:tcBorders>
              <w:top w:val="nil"/>
              <w:bottom w:val="nil"/>
            </w:tcBorders>
          </w:tcPr>
          <w:p w14:paraId="4B30A2B0" w14:textId="77777777" w:rsidR="006E40C9" w:rsidRDefault="006E40C9">
            <w:pPr>
              <w:pStyle w:val="MeasureTableTextItalic"/>
            </w:pPr>
            <w:r>
              <w:t>Commencement date:</w:t>
            </w:r>
          </w:p>
        </w:tc>
        <w:tc>
          <w:tcPr>
            <w:tcW w:w="3179" w:type="dxa"/>
            <w:gridSpan w:val="4"/>
            <w:tcBorders>
              <w:top w:val="nil"/>
              <w:bottom w:val="nil"/>
            </w:tcBorders>
          </w:tcPr>
          <w:p w14:paraId="23DE2397" w14:textId="77777777" w:rsidR="006E40C9" w:rsidRDefault="006E40C9">
            <w:pPr>
              <w:pStyle w:val="MeasureTableTextLeftAligned"/>
            </w:pPr>
            <w:r>
              <w:t>1 July 2021</w:t>
            </w:r>
          </w:p>
        </w:tc>
        <w:tc>
          <w:tcPr>
            <w:tcW w:w="1500" w:type="dxa"/>
            <w:gridSpan w:val="2"/>
            <w:tcBorders>
              <w:top w:val="nil"/>
              <w:bottom w:val="nil"/>
            </w:tcBorders>
          </w:tcPr>
          <w:p w14:paraId="1C080FAE" w14:textId="77777777" w:rsidR="006E40C9" w:rsidRPr="00F32057" w:rsidRDefault="006E40C9">
            <w:pPr>
              <w:pStyle w:val="MeasureTableTextItalic"/>
            </w:pPr>
            <w:r>
              <w:t>Expiry date:</w:t>
            </w:r>
          </w:p>
        </w:tc>
        <w:tc>
          <w:tcPr>
            <w:tcW w:w="1124" w:type="dxa"/>
            <w:gridSpan w:val="2"/>
            <w:tcBorders>
              <w:top w:val="nil"/>
              <w:bottom w:val="nil"/>
            </w:tcBorders>
          </w:tcPr>
          <w:p w14:paraId="7C4E460C" w14:textId="77777777" w:rsidR="006E40C9" w:rsidRPr="00F32057" w:rsidRDefault="006E40C9">
            <w:pPr>
              <w:pStyle w:val="MeasureTableTextLeftAligned"/>
            </w:pPr>
          </w:p>
        </w:tc>
      </w:tr>
      <w:tr w:rsidR="006E40C9" w14:paraId="57587129" w14:textId="77777777">
        <w:trPr>
          <w:cantSplit/>
          <w:jc w:val="center"/>
        </w:trPr>
        <w:tc>
          <w:tcPr>
            <w:tcW w:w="1934" w:type="dxa"/>
            <w:gridSpan w:val="2"/>
            <w:tcBorders>
              <w:top w:val="nil"/>
            </w:tcBorders>
          </w:tcPr>
          <w:p w14:paraId="3D890819" w14:textId="77777777" w:rsidR="006E40C9" w:rsidRDefault="006E40C9">
            <w:pPr>
              <w:pStyle w:val="MeasureTableTextItalic"/>
            </w:pPr>
            <w:r>
              <w:t>Legislative reference:</w:t>
            </w:r>
          </w:p>
        </w:tc>
        <w:tc>
          <w:tcPr>
            <w:tcW w:w="5803" w:type="dxa"/>
            <w:gridSpan w:val="8"/>
            <w:tcBorders>
              <w:top w:val="nil"/>
            </w:tcBorders>
          </w:tcPr>
          <w:p w14:paraId="4D086D5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25-125 </w:t>
            </w:r>
            <w:r>
              <w:rPr>
                <w:rFonts w:ascii="Arial" w:hAnsi="Arial" w:cs="Arial"/>
                <w:i/>
                <w:iCs/>
                <w:color w:val="000000"/>
                <w:sz w:val="16"/>
                <w:szCs w:val="16"/>
              </w:rPr>
              <w:t>Income Tax Assessment Act 1997</w:t>
            </w:r>
          </w:p>
        </w:tc>
      </w:tr>
    </w:tbl>
    <w:p w14:paraId="76FA0CB4" w14:textId="77777777" w:rsidR="006E40C9" w:rsidRPr="00540040" w:rsidRDefault="006E40C9" w:rsidP="006E40C9">
      <w:pPr>
        <w:pStyle w:val="MeasureTableHeading"/>
      </w:pPr>
    </w:p>
    <w:p w14:paraId="71C65B49" w14:textId="77777777" w:rsidR="006E40C9" w:rsidRDefault="006E40C9" w:rsidP="006E40C9">
      <w:pPr>
        <w:spacing w:before="200"/>
      </w:pPr>
      <w:r>
        <w:t>Under the benchmark, expenses are only deductible if they are connected to income earning activity. However, from 1 July 2021, the costs of taking a COVID-19 test to attend a place of work are tax deductible for individuals.</w:t>
      </w:r>
    </w:p>
    <w:p w14:paraId="61A8F023" w14:textId="77777777" w:rsidR="006E40C9" w:rsidRDefault="006E40C9" w:rsidP="0003254D">
      <w:pPr>
        <w:pStyle w:val="Heading4"/>
      </w:pPr>
      <w:r>
        <w:t>A48</w:t>
      </w:r>
      <w:r>
        <w:tab/>
        <w:t>Non-commercial losses deductions allowed for certain taxpayers with an adjusted taxable income under $250,000</w:t>
      </w:r>
    </w:p>
    <w:p w14:paraId="291148DB" w14:textId="01C7BDE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AC43EA" w14:textId="77777777">
        <w:trPr>
          <w:cantSplit/>
          <w:jc w:val="center"/>
        </w:trPr>
        <w:tc>
          <w:tcPr>
            <w:tcW w:w="967" w:type="dxa"/>
            <w:tcBorders>
              <w:top w:val="single" w:sz="2" w:space="0" w:color="auto"/>
              <w:bottom w:val="single" w:sz="2" w:space="0" w:color="auto"/>
            </w:tcBorders>
          </w:tcPr>
          <w:p w14:paraId="1724C0B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0301E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6DD73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E50A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C1741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8F7EB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FDA6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3F2CCEC" w14:textId="77777777" w:rsidR="006E40C9" w:rsidRDefault="006E40C9">
            <w:pPr>
              <w:pStyle w:val="MeasureTableTextRightAligned"/>
            </w:pPr>
            <w:r>
              <w:t>2027-28</w:t>
            </w:r>
          </w:p>
        </w:tc>
      </w:tr>
      <w:tr w:rsidR="006E40C9" w14:paraId="72017C17" w14:textId="77777777">
        <w:trPr>
          <w:cantSplit/>
          <w:jc w:val="center"/>
        </w:trPr>
        <w:tc>
          <w:tcPr>
            <w:tcW w:w="967" w:type="dxa"/>
            <w:tcBorders>
              <w:top w:val="single" w:sz="2" w:space="0" w:color="auto"/>
              <w:bottom w:val="single" w:sz="2" w:space="0" w:color="auto"/>
            </w:tcBorders>
          </w:tcPr>
          <w:p w14:paraId="4FB63B1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D063F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B13B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34DA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B2A8A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FCC1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9138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C32C020" w14:textId="77777777" w:rsidR="006E40C9" w:rsidRDefault="006E40C9">
            <w:pPr>
              <w:pStyle w:val="MeasureTableTextRightAligned"/>
            </w:pPr>
            <w:r>
              <w:t>*</w:t>
            </w:r>
          </w:p>
        </w:tc>
      </w:tr>
      <w:tr w:rsidR="006E40C9" w14:paraId="0F9C5D7E" w14:textId="77777777">
        <w:trPr>
          <w:cantSplit/>
          <w:jc w:val="center"/>
        </w:trPr>
        <w:tc>
          <w:tcPr>
            <w:tcW w:w="1934" w:type="dxa"/>
            <w:gridSpan w:val="2"/>
            <w:tcBorders>
              <w:top w:val="single" w:sz="2" w:space="0" w:color="auto"/>
              <w:bottom w:val="nil"/>
            </w:tcBorders>
          </w:tcPr>
          <w:p w14:paraId="3E0270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EB2DD3B" w14:textId="77777777" w:rsidR="006E40C9" w:rsidRDefault="006E40C9">
            <w:pPr>
              <w:pStyle w:val="MeasureTableTextLeftAligned"/>
            </w:pPr>
            <w:r>
              <w:t>Deduction</w:t>
            </w:r>
          </w:p>
        </w:tc>
        <w:tc>
          <w:tcPr>
            <w:tcW w:w="1500" w:type="dxa"/>
            <w:gridSpan w:val="2"/>
            <w:tcBorders>
              <w:top w:val="single" w:sz="2" w:space="0" w:color="auto"/>
              <w:bottom w:val="nil"/>
            </w:tcBorders>
          </w:tcPr>
          <w:p w14:paraId="2EDE15EC" w14:textId="5474C03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FBD162" w14:textId="77777777" w:rsidR="006E40C9" w:rsidRDefault="006E40C9">
            <w:pPr>
              <w:pStyle w:val="MeasureTableTextLeftAligned"/>
            </w:pPr>
            <w:r>
              <w:t>A48</w:t>
            </w:r>
          </w:p>
        </w:tc>
      </w:tr>
      <w:tr w:rsidR="006E40C9" w14:paraId="3CF98FC6" w14:textId="77777777">
        <w:trPr>
          <w:cantSplit/>
          <w:jc w:val="center"/>
        </w:trPr>
        <w:tc>
          <w:tcPr>
            <w:tcW w:w="1934" w:type="dxa"/>
            <w:gridSpan w:val="2"/>
            <w:tcBorders>
              <w:top w:val="nil"/>
              <w:bottom w:val="nil"/>
            </w:tcBorders>
          </w:tcPr>
          <w:p w14:paraId="7CBB69C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D63B02" w14:textId="77777777" w:rsidR="006E40C9" w:rsidRPr="00584CA7" w:rsidRDefault="006E40C9">
            <w:pPr>
              <w:pStyle w:val="MeasureTableTextLeftAligned"/>
            </w:pPr>
            <w:r>
              <w:t>Not Applicable</w:t>
            </w:r>
          </w:p>
        </w:tc>
        <w:tc>
          <w:tcPr>
            <w:tcW w:w="1500" w:type="dxa"/>
            <w:gridSpan w:val="2"/>
            <w:tcBorders>
              <w:top w:val="nil"/>
              <w:bottom w:val="nil"/>
            </w:tcBorders>
          </w:tcPr>
          <w:p w14:paraId="01A2804A" w14:textId="77777777" w:rsidR="006E40C9" w:rsidRDefault="006E40C9">
            <w:pPr>
              <w:pStyle w:val="MeasureTableTextItalic"/>
            </w:pPr>
            <w:r>
              <w:t>* Category</w:t>
            </w:r>
          </w:p>
        </w:tc>
        <w:tc>
          <w:tcPr>
            <w:tcW w:w="1124" w:type="dxa"/>
            <w:gridSpan w:val="2"/>
            <w:tcBorders>
              <w:top w:val="nil"/>
              <w:bottom w:val="nil"/>
            </w:tcBorders>
          </w:tcPr>
          <w:p w14:paraId="52205213" w14:textId="77777777" w:rsidR="006E40C9" w:rsidRDefault="006E40C9">
            <w:pPr>
              <w:pStyle w:val="MeasureTableTextLeftAligned"/>
            </w:pPr>
            <w:r>
              <w:t>3+</w:t>
            </w:r>
          </w:p>
        </w:tc>
      </w:tr>
      <w:tr w:rsidR="006E40C9" w14:paraId="5AAB1298" w14:textId="77777777">
        <w:trPr>
          <w:cantSplit/>
          <w:jc w:val="center"/>
        </w:trPr>
        <w:tc>
          <w:tcPr>
            <w:tcW w:w="1934" w:type="dxa"/>
            <w:gridSpan w:val="2"/>
            <w:tcBorders>
              <w:top w:val="nil"/>
              <w:bottom w:val="nil"/>
            </w:tcBorders>
          </w:tcPr>
          <w:p w14:paraId="4D0D814F" w14:textId="77777777" w:rsidR="006E40C9" w:rsidRDefault="006E40C9">
            <w:pPr>
              <w:pStyle w:val="MeasureTableTextItalic"/>
            </w:pPr>
            <w:r>
              <w:t>Commencement date:</w:t>
            </w:r>
          </w:p>
        </w:tc>
        <w:tc>
          <w:tcPr>
            <w:tcW w:w="3179" w:type="dxa"/>
            <w:gridSpan w:val="4"/>
            <w:tcBorders>
              <w:top w:val="nil"/>
              <w:bottom w:val="nil"/>
            </w:tcBorders>
          </w:tcPr>
          <w:p w14:paraId="1A26A07F" w14:textId="77777777" w:rsidR="006E40C9" w:rsidRDefault="006E40C9">
            <w:pPr>
              <w:pStyle w:val="MeasureTableTextLeftAligned"/>
            </w:pPr>
            <w:r>
              <w:t>1 July 2000</w:t>
            </w:r>
          </w:p>
        </w:tc>
        <w:tc>
          <w:tcPr>
            <w:tcW w:w="1500" w:type="dxa"/>
            <w:gridSpan w:val="2"/>
            <w:tcBorders>
              <w:top w:val="nil"/>
              <w:bottom w:val="nil"/>
            </w:tcBorders>
          </w:tcPr>
          <w:p w14:paraId="56E7F816" w14:textId="77777777" w:rsidR="006E40C9" w:rsidRPr="00F32057" w:rsidRDefault="006E40C9">
            <w:pPr>
              <w:pStyle w:val="MeasureTableTextItalic"/>
            </w:pPr>
            <w:r>
              <w:t>Expiry date:</w:t>
            </w:r>
          </w:p>
        </w:tc>
        <w:tc>
          <w:tcPr>
            <w:tcW w:w="1124" w:type="dxa"/>
            <w:gridSpan w:val="2"/>
            <w:tcBorders>
              <w:top w:val="nil"/>
              <w:bottom w:val="nil"/>
            </w:tcBorders>
          </w:tcPr>
          <w:p w14:paraId="1C253691" w14:textId="77777777" w:rsidR="006E40C9" w:rsidRPr="00F32057" w:rsidRDefault="006E40C9">
            <w:pPr>
              <w:pStyle w:val="MeasureTableTextLeftAligned"/>
            </w:pPr>
          </w:p>
        </w:tc>
      </w:tr>
      <w:tr w:rsidR="006E40C9" w14:paraId="30CAE1E0" w14:textId="77777777">
        <w:trPr>
          <w:cantSplit/>
          <w:jc w:val="center"/>
        </w:trPr>
        <w:tc>
          <w:tcPr>
            <w:tcW w:w="1934" w:type="dxa"/>
            <w:gridSpan w:val="2"/>
            <w:tcBorders>
              <w:top w:val="nil"/>
            </w:tcBorders>
          </w:tcPr>
          <w:p w14:paraId="6FF53AB7" w14:textId="77777777" w:rsidR="006E40C9" w:rsidRDefault="006E40C9">
            <w:pPr>
              <w:pStyle w:val="MeasureTableTextItalic"/>
            </w:pPr>
            <w:r>
              <w:t>Legislative reference:</w:t>
            </w:r>
          </w:p>
        </w:tc>
        <w:tc>
          <w:tcPr>
            <w:tcW w:w="5803" w:type="dxa"/>
            <w:gridSpan w:val="8"/>
            <w:tcBorders>
              <w:top w:val="nil"/>
            </w:tcBorders>
          </w:tcPr>
          <w:p w14:paraId="2DDA75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35 of the </w:t>
            </w:r>
            <w:r>
              <w:rPr>
                <w:rFonts w:ascii="Arial" w:hAnsi="Arial" w:cs="Arial"/>
                <w:i/>
                <w:iCs/>
                <w:color w:val="000000"/>
                <w:sz w:val="16"/>
                <w:szCs w:val="16"/>
              </w:rPr>
              <w:t>Income Tax Assessment Act 1997</w:t>
            </w:r>
          </w:p>
        </w:tc>
      </w:tr>
    </w:tbl>
    <w:p w14:paraId="72482524" w14:textId="77777777" w:rsidR="006E40C9" w:rsidRPr="00540040" w:rsidRDefault="006E40C9" w:rsidP="006E40C9">
      <w:pPr>
        <w:pStyle w:val="MeasureTableHeading"/>
      </w:pPr>
    </w:p>
    <w:p w14:paraId="54C5BCF4" w14:textId="77777777" w:rsidR="006E40C9" w:rsidRDefault="006E40C9" w:rsidP="006E40C9">
      <w:r>
        <w:t>Under the benchmark, losses arising from non</w:t>
      </w:r>
      <w:r>
        <w:noBreakHyphen/>
        <w:t xml:space="preserve">commercial business activities generally cannot be claimed as a deduction against other assessable income. </w:t>
      </w:r>
    </w:p>
    <w:p w14:paraId="40EEC59E" w14:textId="77777777" w:rsidR="006E40C9" w:rsidRDefault="006E40C9" w:rsidP="006E40C9">
      <w:r>
        <w:t>However, under the non</w:t>
      </w:r>
      <w:r>
        <w:noBreakHyphen/>
        <w:t xml:space="preserve">commercial loss rules, individuals carrying on a business and who have an adjusted taxable income of less than $250,000 may apply losses from a business activity against their other assessable income in that year if they satisfy one of four statutory tests, or if the Commissioner of Taxation exercises discretion. </w:t>
      </w:r>
    </w:p>
    <w:p w14:paraId="2320043C" w14:textId="77777777" w:rsidR="006E40C9" w:rsidRDefault="006E40C9" w:rsidP="006E40C9">
      <w:r>
        <w:t>This treatment results in some business activities that are non</w:t>
      </w:r>
      <w:r>
        <w:noBreakHyphen/>
        <w:t xml:space="preserve">commercial in nature being treated as commercial. Allowing losses from these activities to be offset against other assessable income gives rise to a tax expenditure. </w:t>
      </w:r>
      <w:r>
        <w:fldChar w:fldCharType="begin"/>
      </w:r>
      <w:r>
        <w:instrText xml:space="preserve"> XE "Non</w:instrText>
      </w:r>
      <w:r>
        <w:noBreakHyphen/>
        <w:instrText xml:space="preserve">commercial losses" </w:instrText>
      </w:r>
      <w:r>
        <w:fldChar w:fldCharType="end"/>
      </w:r>
    </w:p>
    <w:p w14:paraId="1E4F305D" w14:textId="77777777" w:rsidR="006E40C9" w:rsidRDefault="006E40C9" w:rsidP="0003254D">
      <w:pPr>
        <w:pStyle w:val="Heading4"/>
      </w:pPr>
      <w:r>
        <w:t>A49</w:t>
      </w:r>
      <w:r>
        <w:tab/>
        <w:t>Non-commercial losses exception rules for primary producers and artists</w:t>
      </w:r>
    </w:p>
    <w:p w14:paraId="5EFF2CF6" w14:textId="5634DF0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2B835A" w14:textId="77777777">
        <w:trPr>
          <w:cantSplit/>
          <w:jc w:val="center"/>
        </w:trPr>
        <w:tc>
          <w:tcPr>
            <w:tcW w:w="967" w:type="dxa"/>
            <w:tcBorders>
              <w:top w:val="single" w:sz="2" w:space="0" w:color="auto"/>
              <w:bottom w:val="single" w:sz="2" w:space="0" w:color="auto"/>
            </w:tcBorders>
          </w:tcPr>
          <w:p w14:paraId="7E6CB6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A803F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7AD697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B38C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33A2F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0FECEC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4F368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EBC683" w14:textId="77777777" w:rsidR="006E40C9" w:rsidRDefault="006E40C9">
            <w:pPr>
              <w:pStyle w:val="MeasureTableTextRightAligned"/>
            </w:pPr>
            <w:r>
              <w:t>2027-28</w:t>
            </w:r>
          </w:p>
        </w:tc>
      </w:tr>
      <w:tr w:rsidR="006E40C9" w14:paraId="0A7CE5EC" w14:textId="77777777">
        <w:trPr>
          <w:cantSplit/>
          <w:jc w:val="center"/>
        </w:trPr>
        <w:tc>
          <w:tcPr>
            <w:tcW w:w="967" w:type="dxa"/>
            <w:tcBorders>
              <w:top w:val="single" w:sz="2" w:space="0" w:color="auto"/>
              <w:bottom w:val="single" w:sz="2" w:space="0" w:color="auto"/>
            </w:tcBorders>
          </w:tcPr>
          <w:p w14:paraId="435B05E3" w14:textId="77777777" w:rsidR="006E40C9" w:rsidRDefault="006E40C9">
            <w:pPr>
              <w:pStyle w:val="MeasureTableTextRightAligned"/>
            </w:pPr>
            <w:r>
              <w:t>5</w:t>
            </w:r>
          </w:p>
        </w:tc>
        <w:tc>
          <w:tcPr>
            <w:tcW w:w="967" w:type="dxa"/>
            <w:tcBorders>
              <w:top w:val="single" w:sz="2" w:space="0" w:color="auto"/>
              <w:bottom w:val="single" w:sz="2" w:space="0" w:color="auto"/>
            </w:tcBorders>
          </w:tcPr>
          <w:p w14:paraId="15FDA86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F32A0E8"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1453B92E"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6AF3C577"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24EB696F"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76387CE5" w14:textId="77777777" w:rsidR="006E40C9" w:rsidRDefault="006E40C9">
            <w:pPr>
              <w:pStyle w:val="MeasureTableTextRightAligned"/>
            </w:pPr>
            <w:r>
              <w:t>2</w:t>
            </w:r>
          </w:p>
        </w:tc>
        <w:tc>
          <w:tcPr>
            <w:tcW w:w="968" w:type="dxa"/>
            <w:tcBorders>
              <w:top w:val="single" w:sz="2" w:space="0" w:color="auto"/>
              <w:bottom w:val="single" w:sz="2" w:space="0" w:color="auto"/>
            </w:tcBorders>
            <w:vAlign w:val="bottom"/>
          </w:tcPr>
          <w:p w14:paraId="701C5885" w14:textId="77777777" w:rsidR="006E40C9" w:rsidRDefault="006E40C9">
            <w:pPr>
              <w:pStyle w:val="MeasureTableTextRightAligned"/>
            </w:pPr>
            <w:r>
              <w:t>2</w:t>
            </w:r>
          </w:p>
        </w:tc>
      </w:tr>
      <w:tr w:rsidR="006E40C9" w14:paraId="5FAB7DE7" w14:textId="77777777">
        <w:trPr>
          <w:cantSplit/>
          <w:jc w:val="center"/>
        </w:trPr>
        <w:tc>
          <w:tcPr>
            <w:tcW w:w="1934" w:type="dxa"/>
            <w:gridSpan w:val="2"/>
            <w:tcBorders>
              <w:top w:val="single" w:sz="2" w:space="0" w:color="auto"/>
              <w:bottom w:val="nil"/>
            </w:tcBorders>
          </w:tcPr>
          <w:p w14:paraId="748D4F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C204D0B" w14:textId="77777777" w:rsidR="006E40C9" w:rsidRDefault="006E40C9">
            <w:pPr>
              <w:pStyle w:val="MeasureTableTextLeftAligned"/>
            </w:pPr>
            <w:r>
              <w:t>Exemption</w:t>
            </w:r>
          </w:p>
        </w:tc>
        <w:tc>
          <w:tcPr>
            <w:tcW w:w="1500" w:type="dxa"/>
            <w:gridSpan w:val="2"/>
            <w:tcBorders>
              <w:top w:val="single" w:sz="2" w:space="0" w:color="auto"/>
              <w:bottom w:val="nil"/>
            </w:tcBorders>
          </w:tcPr>
          <w:p w14:paraId="2E388C9E" w14:textId="7E36067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775959" w14:textId="77777777" w:rsidR="006E40C9" w:rsidRDefault="006E40C9">
            <w:pPr>
              <w:pStyle w:val="MeasureTableTextLeftAligned"/>
            </w:pPr>
            <w:r>
              <w:t>A49</w:t>
            </w:r>
          </w:p>
        </w:tc>
      </w:tr>
      <w:tr w:rsidR="006E40C9" w14:paraId="261B34D1" w14:textId="77777777">
        <w:trPr>
          <w:cantSplit/>
          <w:jc w:val="center"/>
        </w:trPr>
        <w:tc>
          <w:tcPr>
            <w:tcW w:w="1934" w:type="dxa"/>
            <w:gridSpan w:val="2"/>
            <w:tcBorders>
              <w:top w:val="nil"/>
              <w:bottom w:val="nil"/>
            </w:tcBorders>
          </w:tcPr>
          <w:p w14:paraId="5109E73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F77908" w14:textId="77777777" w:rsidR="006E40C9" w:rsidRPr="00584CA7" w:rsidRDefault="006E40C9">
            <w:pPr>
              <w:pStyle w:val="MeasureTableTextLeftAligned"/>
            </w:pPr>
            <w:r>
              <w:t>Medium</w:t>
            </w:r>
          </w:p>
        </w:tc>
        <w:tc>
          <w:tcPr>
            <w:tcW w:w="1500" w:type="dxa"/>
            <w:gridSpan w:val="2"/>
            <w:tcBorders>
              <w:top w:val="nil"/>
              <w:bottom w:val="nil"/>
            </w:tcBorders>
          </w:tcPr>
          <w:p w14:paraId="47EAD1CA" w14:textId="77777777" w:rsidR="006E40C9" w:rsidRDefault="006E40C9">
            <w:pPr>
              <w:pStyle w:val="MeasureTableTextItalic"/>
            </w:pPr>
          </w:p>
        </w:tc>
        <w:tc>
          <w:tcPr>
            <w:tcW w:w="1124" w:type="dxa"/>
            <w:gridSpan w:val="2"/>
            <w:tcBorders>
              <w:top w:val="nil"/>
              <w:bottom w:val="nil"/>
            </w:tcBorders>
          </w:tcPr>
          <w:p w14:paraId="167F20D4" w14:textId="77777777" w:rsidR="006E40C9" w:rsidRDefault="006E40C9">
            <w:pPr>
              <w:pStyle w:val="MeasureTableTextLeftAligned"/>
            </w:pPr>
          </w:p>
        </w:tc>
      </w:tr>
      <w:tr w:rsidR="006E40C9" w14:paraId="03575E2F" w14:textId="77777777">
        <w:trPr>
          <w:cantSplit/>
          <w:jc w:val="center"/>
        </w:trPr>
        <w:tc>
          <w:tcPr>
            <w:tcW w:w="1934" w:type="dxa"/>
            <w:gridSpan w:val="2"/>
            <w:tcBorders>
              <w:top w:val="nil"/>
              <w:bottom w:val="nil"/>
            </w:tcBorders>
          </w:tcPr>
          <w:p w14:paraId="7CC5FA8F" w14:textId="77777777" w:rsidR="006E40C9" w:rsidRDefault="006E40C9">
            <w:pPr>
              <w:pStyle w:val="MeasureTableTextItalic"/>
            </w:pPr>
            <w:r>
              <w:t>Commencement date:</w:t>
            </w:r>
          </w:p>
        </w:tc>
        <w:tc>
          <w:tcPr>
            <w:tcW w:w="3179" w:type="dxa"/>
            <w:gridSpan w:val="4"/>
            <w:tcBorders>
              <w:top w:val="nil"/>
              <w:bottom w:val="nil"/>
            </w:tcBorders>
          </w:tcPr>
          <w:p w14:paraId="522A2879" w14:textId="77777777" w:rsidR="006E40C9" w:rsidRDefault="006E40C9">
            <w:pPr>
              <w:pStyle w:val="MeasureTableTextLeftAligned"/>
            </w:pPr>
            <w:r>
              <w:t>1 July 2000</w:t>
            </w:r>
          </w:p>
        </w:tc>
        <w:tc>
          <w:tcPr>
            <w:tcW w:w="1500" w:type="dxa"/>
            <w:gridSpan w:val="2"/>
            <w:tcBorders>
              <w:top w:val="nil"/>
              <w:bottom w:val="nil"/>
            </w:tcBorders>
          </w:tcPr>
          <w:p w14:paraId="365F92C8" w14:textId="77777777" w:rsidR="006E40C9" w:rsidRPr="00F32057" w:rsidRDefault="006E40C9">
            <w:pPr>
              <w:pStyle w:val="MeasureTableTextItalic"/>
            </w:pPr>
            <w:r>
              <w:t>Expiry date:</w:t>
            </w:r>
          </w:p>
        </w:tc>
        <w:tc>
          <w:tcPr>
            <w:tcW w:w="1124" w:type="dxa"/>
            <w:gridSpan w:val="2"/>
            <w:tcBorders>
              <w:top w:val="nil"/>
              <w:bottom w:val="nil"/>
            </w:tcBorders>
          </w:tcPr>
          <w:p w14:paraId="0B8EE0EB" w14:textId="77777777" w:rsidR="006E40C9" w:rsidRPr="00F32057" w:rsidRDefault="006E40C9">
            <w:pPr>
              <w:pStyle w:val="MeasureTableTextLeftAligned"/>
            </w:pPr>
          </w:p>
        </w:tc>
      </w:tr>
      <w:tr w:rsidR="006E40C9" w14:paraId="491F0E27" w14:textId="77777777">
        <w:trPr>
          <w:cantSplit/>
          <w:jc w:val="center"/>
        </w:trPr>
        <w:tc>
          <w:tcPr>
            <w:tcW w:w="1934" w:type="dxa"/>
            <w:gridSpan w:val="2"/>
            <w:tcBorders>
              <w:top w:val="nil"/>
            </w:tcBorders>
          </w:tcPr>
          <w:p w14:paraId="49C4D723" w14:textId="77777777" w:rsidR="006E40C9" w:rsidRDefault="006E40C9">
            <w:pPr>
              <w:pStyle w:val="MeasureTableTextItalic"/>
            </w:pPr>
            <w:r>
              <w:t>Legislative reference:</w:t>
            </w:r>
          </w:p>
        </w:tc>
        <w:tc>
          <w:tcPr>
            <w:tcW w:w="5803" w:type="dxa"/>
            <w:gridSpan w:val="8"/>
            <w:tcBorders>
              <w:top w:val="nil"/>
            </w:tcBorders>
          </w:tcPr>
          <w:p w14:paraId="1F7E3E0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35-10(4) of the </w:t>
            </w:r>
            <w:r>
              <w:rPr>
                <w:rFonts w:ascii="Arial" w:hAnsi="Arial" w:cs="Arial"/>
                <w:i/>
                <w:iCs/>
                <w:color w:val="000000"/>
                <w:sz w:val="16"/>
                <w:szCs w:val="16"/>
              </w:rPr>
              <w:t>Income Tax Assessment Act 1997</w:t>
            </w:r>
          </w:p>
        </w:tc>
      </w:tr>
    </w:tbl>
    <w:p w14:paraId="476EC60F" w14:textId="77777777" w:rsidR="006E40C9" w:rsidRPr="00540040" w:rsidRDefault="006E40C9" w:rsidP="006E40C9">
      <w:pPr>
        <w:pStyle w:val="MeasureTableHeading"/>
      </w:pPr>
    </w:p>
    <w:p w14:paraId="7FB109C2" w14:textId="77777777" w:rsidR="006E40C9" w:rsidRDefault="006E40C9" w:rsidP="006E40C9">
      <w:pPr>
        <w:rPr>
          <w:snapToGrid w:val="0"/>
        </w:rPr>
      </w:pPr>
      <w:r>
        <w:rPr>
          <w:snapToGrid w:val="0"/>
        </w:rPr>
        <w:t>Under the benchmark, losses arising from non</w:t>
      </w:r>
      <w:r>
        <w:rPr>
          <w:snapToGrid w:val="0"/>
        </w:rPr>
        <w:noBreakHyphen/>
        <w:t>commercial business activities generally cannot be claimed as a deduction against other assessable income.</w:t>
      </w:r>
    </w:p>
    <w:p w14:paraId="45D04F49" w14:textId="77777777" w:rsidR="006E40C9" w:rsidRDefault="006E40C9" w:rsidP="006E40C9">
      <w:pPr>
        <w:rPr>
          <w:lang w:val="en-US"/>
        </w:rPr>
      </w:pPr>
      <w:r>
        <w:t>However, individuals that carry on a primary production</w:t>
      </w:r>
      <w:r>
        <w:fldChar w:fldCharType="begin"/>
      </w:r>
      <w:r>
        <w:instrText xml:space="preserve"> XE "Primary producers" </w:instrText>
      </w:r>
      <w:r>
        <w:fldChar w:fldCharType="end"/>
      </w:r>
      <w:r>
        <w:t xml:space="preserve"> or professional arts</w:t>
      </w:r>
      <w:r>
        <w:fldChar w:fldCharType="begin"/>
      </w:r>
      <w:r>
        <w:instrText xml:space="preserve"> XE "Artists" </w:instrText>
      </w:r>
      <w:r>
        <w:fldChar w:fldCharType="end"/>
      </w:r>
      <w:r>
        <w:t xml:space="preserve"> business, with assessable income from other sources of less than $40,000 (except net capital gains), can generally apply these losses against their other income as they are exempt from the non</w:t>
      </w:r>
      <w:r>
        <w:noBreakHyphen/>
        <w:t>commercial loss rules.</w:t>
      </w:r>
    </w:p>
    <w:p w14:paraId="637E8E71" w14:textId="77777777" w:rsidR="006E40C9" w:rsidRDefault="006E40C9" w:rsidP="006E40C9">
      <w:r>
        <w:t>This treatment results in some business activities that are non</w:t>
      </w:r>
      <w:r>
        <w:noBreakHyphen/>
        <w:t>commercial in nature being treated as commercial. Allowing losses from these activities to be offset against other assessable income gives rise to a tax expenditure.</w:t>
      </w:r>
    </w:p>
    <w:p w14:paraId="092B669C" w14:textId="77777777" w:rsidR="006E40C9" w:rsidRDefault="006E40C9" w:rsidP="0003254D">
      <w:pPr>
        <w:pStyle w:val="Heading4"/>
      </w:pPr>
      <w:r>
        <w:t>A50</w:t>
      </w:r>
      <w:r>
        <w:tab/>
        <w:t>Tax concessions for employee share schemes income</w:t>
      </w:r>
    </w:p>
    <w:p w14:paraId="610C352D" w14:textId="175E32B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8871FC" w14:textId="77777777">
        <w:trPr>
          <w:cantSplit/>
          <w:jc w:val="center"/>
        </w:trPr>
        <w:tc>
          <w:tcPr>
            <w:tcW w:w="967" w:type="dxa"/>
            <w:tcBorders>
              <w:top w:val="single" w:sz="2" w:space="0" w:color="auto"/>
              <w:bottom w:val="single" w:sz="2" w:space="0" w:color="auto"/>
            </w:tcBorders>
          </w:tcPr>
          <w:p w14:paraId="2C60FCA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C87A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92129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4F29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F5DC6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615E53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10646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DE4EF8" w14:textId="77777777" w:rsidR="006E40C9" w:rsidRDefault="006E40C9">
            <w:pPr>
              <w:pStyle w:val="MeasureTableTextRightAligned"/>
            </w:pPr>
            <w:r>
              <w:t>2027-28</w:t>
            </w:r>
          </w:p>
        </w:tc>
      </w:tr>
      <w:tr w:rsidR="006E40C9" w14:paraId="3B388AFB" w14:textId="77777777">
        <w:trPr>
          <w:cantSplit/>
          <w:jc w:val="center"/>
        </w:trPr>
        <w:tc>
          <w:tcPr>
            <w:tcW w:w="967" w:type="dxa"/>
            <w:tcBorders>
              <w:top w:val="single" w:sz="2" w:space="0" w:color="auto"/>
              <w:bottom w:val="single" w:sz="2" w:space="0" w:color="auto"/>
            </w:tcBorders>
          </w:tcPr>
          <w:p w14:paraId="0489ADF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E4636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C7465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E2F1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4EA03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65F22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508235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44020D6" w14:textId="77777777" w:rsidR="006E40C9" w:rsidRDefault="006E40C9">
            <w:pPr>
              <w:pStyle w:val="MeasureTableTextRightAligned"/>
            </w:pPr>
            <w:r>
              <w:t>*</w:t>
            </w:r>
          </w:p>
        </w:tc>
      </w:tr>
      <w:tr w:rsidR="006E40C9" w14:paraId="2BBCFAFE" w14:textId="77777777">
        <w:trPr>
          <w:cantSplit/>
          <w:jc w:val="center"/>
        </w:trPr>
        <w:tc>
          <w:tcPr>
            <w:tcW w:w="1934" w:type="dxa"/>
            <w:gridSpan w:val="2"/>
            <w:tcBorders>
              <w:top w:val="single" w:sz="2" w:space="0" w:color="auto"/>
              <w:bottom w:val="nil"/>
            </w:tcBorders>
          </w:tcPr>
          <w:p w14:paraId="0338A5D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3ED6BD"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18C0DBE5" w14:textId="69D0B1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C09265" w14:textId="77777777" w:rsidR="006E40C9" w:rsidRDefault="006E40C9">
            <w:pPr>
              <w:pStyle w:val="MeasureTableTextLeftAligned"/>
            </w:pPr>
            <w:r>
              <w:t>A50</w:t>
            </w:r>
          </w:p>
        </w:tc>
      </w:tr>
      <w:tr w:rsidR="006E40C9" w14:paraId="17186110" w14:textId="77777777">
        <w:trPr>
          <w:cantSplit/>
          <w:jc w:val="center"/>
        </w:trPr>
        <w:tc>
          <w:tcPr>
            <w:tcW w:w="1934" w:type="dxa"/>
            <w:gridSpan w:val="2"/>
            <w:tcBorders>
              <w:top w:val="nil"/>
              <w:bottom w:val="nil"/>
            </w:tcBorders>
          </w:tcPr>
          <w:p w14:paraId="0BF5B4F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2D627E" w14:textId="77777777" w:rsidR="006E40C9" w:rsidRPr="00584CA7" w:rsidRDefault="006E40C9">
            <w:pPr>
              <w:pStyle w:val="MeasureTableTextLeftAligned"/>
            </w:pPr>
            <w:r>
              <w:t>Not Applicable</w:t>
            </w:r>
          </w:p>
        </w:tc>
        <w:tc>
          <w:tcPr>
            <w:tcW w:w="1500" w:type="dxa"/>
            <w:gridSpan w:val="2"/>
            <w:tcBorders>
              <w:top w:val="nil"/>
              <w:bottom w:val="nil"/>
            </w:tcBorders>
          </w:tcPr>
          <w:p w14:paraId="24285D08" w14:textId="77777777" w:rsidR="006E40C9" w:rsidRDefault="006E40C9">
            <w:pPr>
              <w:pStyle w:val="MeasureTableTextItalic"/>
            </w:pPr>
            <w:r>
              <w:t>* Category</w:t>
            </w:r>
          </w:p>
        </w:tc>
        <w:tc>
          <w:tcPr>
            <w:tcW w:w="1124" w:type="dxa"/>
            <w:gridSpan w:val="2"/>
            <w:tcBorders>
              <w:top w:val="nil"/>
              <w:bottom w:val="nil"/>
            </w:tcBorders>
          </w:tcPr>
          <w:p w14:paraId="3B85CD0E" w14:textId="77777777" w:rsidR="006E40C9" w:rsidRDefault="006E40C9">
            <w:pPr>
              <w:pStyle w:val="MeasureTableTextLeftAligned"/>
            </w:pPr>
            <w:r>
              <w:t>3+</w:t>
            </w:r>
          </w:p>
        </w:tc>
      </w:tr>
      <w:tr w:rsidR="006E40C9" w14:paraId="346405FB" w14:textId="77777777">
        <w:trPr>
          <w:cantSplit/>
          <w:jc w:val="center"/>
        </w:trPr>
        <w:tc>
          <w:tcPr>
            <w:tcW w:w="1934" w:type="dxa"/>
            <w:gridSpan w:val="2"/>
            <w:tcBorders>
              <w:top w:val="nil"/>
              <w:bottom w:val="nil"/>
            </w:tcBorders>
          </w:tcPr>
          <w:p w14:paraId="1D506786" w14:textId="77777777" w:rsidR="006E40C9" w:rsidRDefault="006E40C9">
            <w:pPr>
              <w:pStyle w:val="MeasureTableTextItalic"/>
            </w:pPr>
            <w:r>
              <w:t>Commencement date:</w:t>
            </w:r>
          </w:p>
        </w:tc>
        <w:tc>
          <w:tcPr>
            <w:tcW w:w="3179" w:type="dxa"/>
            <w:gridSpan w:val="4"/>
            <w:tcBorders>
              <w:top w:val="nil"/>
              <w:bottom w:val="nil"/>
            </w:tcBorders>
          </w:tcPr>
          <w:p w14:paraId="30A048D0" w14:textId="77777777" w:rsidR="006E40C9" w:rsidRDefault="006E40C9">
            <w:pPr>
              <w:pStyle w:val="MeasureTableTextLeftAligned"/>
            </w:pPr>
            <w:r>
              <w:t>28 March 1995</w:t>
            </w:r>
          </w:p>
        </w:tc>
        <w:tc>
          <w:tcPr>
            <w:tcW w:w="1500" w:type="dxa"/>
            <w:gridSpan w:val="2"/>
            <w:tcBorders>
              <w:top w:val="nil"/>
              <w:bottom w:val="nil"/>
            </w:tcBorders>
          </w:tcPr>
          <w:p w14:paraId="101611D5" w14:textId="77777777" w:rsidR="006E40C9" w:rsidRPr="00F32057" w:rsidRDefault="006E40C9">
            <w:pPr>
              <w:pStyle w:val="MeasureTableTextItalic"/>
            </w:pPr>
            <w:r>
              <w:t>Expiry date:</w:t>
            </w:r>
          </w:p>
        </w:tc>
        <w:tc>
          <w:tcPr>
            <w:tcW w:w="1124" w:type="dxa"/>
            <w:gridSpan w:val="2"/>
            <w:tcBorders>
              <w:top w:val="nil"/>
              <w:bottom w:val="nil"/>
            </w:tcBorders>
          </w:tcPr>
          <w:p w14:paraId="39B6C9AF" w14:textId="77777777" w:rsidR="006E40C9" w:rsidRPr="00F32057" w:rsidRDefault="006E40C9">
            <w:pPr>
              <w:pStyle w:val="MeasureTableTextLeftAligned"/>
            </w:pPr>
          </w:p>
        </w:tc>
      </w:tr>
      <w:tr w:rsidR="006E40C9" w14:paraId="7B3D73DD" w14:textId="77777777">
        <w:trPr>
          <w:cantSplit/>
          <w:jc w:val="center"/>
        </w:trPr>
        <w:tc>
          <w:tcPr>
            <w:tcW w:w="1934" w:type="dxa"/>
            <w:gridSpan w:val="2"/>
            <w:tcBorders>
              <w:top w:val="nil"/>
            </w:tcBorders>
          </w:tcPr>
          <w:p w14:paraId="7C464BFE" w14:textId="77777777" w:rsidR="006E40C9" w:rsidRDefault="006E40C9">
            <w:pPr>
              <w:pStyle w:val="MeasureTableTextItalic"/>
            </w:pPr>
            <w:r>
              <w:t>Legislative reference:</w:t>
            </w:r>
          </w:p>
        </w:tc>
        <w:tc>
          <w:tcPr>
            <w:tcW w:w="5803" w:type="dxa"/>
            <w:gridSpan w:val="8"/>
            <w:tcBorders>
              <w:top w:val="nil"/>
            </w:tcBorders>
          </w:tcPr>
          <w:p w14:paraId="2FDE390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83A of the </w:t>
            </w:r>
            <w:r>
              <w:rPr>
                <w:rFonts w:ascii="Arial" w:hAnsi="Arial" w:cs="Arial"/>
                <w:i/>
                <w:iCs/>
                <w:color w:val="000000"/>
                <w:sz w:val="16"/>
                <w:szCs w:val="16"/>
              </w:rPr>
              <w:t>Income Tax Assessment Act</w:t>
            </w:r>
            <w:r>
              <w:rPr>
                <w:rFonts w:ascii="Arial" w:hAnsi="Arial" w:cs="Arial"/>
                <w:i/>
                <w:iCs/>
                <w:caps/>
                <w:color w:val="000000"/>
                <w:sz w:val="16"/>
                <w:szCs w:val="16"/>
              </w:rPr>
              <w:t xml:space="preserve"> 1997</w:t>
            </w:r>
          </w:p>
        </w:tc>
      </w:tr>
    </w:tbl>
    <w:p w14:paraId="7F92CE55" w14:textId="77777777" w:rsidR="006E40C9" w:rsidRPr="00540040" w:rsidRDefault="006E40C9" w:rsidP="006E40C9">
      <w:pPr>
        <w:pStyle w:val="MeasureTableHeading"/>
      </w:pPr>
    </w:p>
    <w:p w14:paraId="3E028632" w14:textId="77777777" w:rsidR="006E40C9" w:rsidRDefault="006E40C9" w:rsidP="006E40C9">
      <w:r>
        <w:t>The benchmark tax treatment is that discounts on shares and rights acquired under an employee share scheme (ESS)</w:t>
      </w:r>
      <w:r>
        <w:fldChar w:fldCharType="begin"/>
      </w:r>
      <w:r>
        <w:instrText xml:space="preserve"> XE "Employee share schemes" </w:instrText>
      </w:r>
      <w:r>
        <w:fldChar w:fldCharType="end"/>
      </w:r>
      <w:r>
        <w:t xml:space="preserve"> are included in a taxpayer’s assessable income in the year the shares or rights are acquired. However, there are a range of concessions available. An upfront tax exemption of $1,000 for eligible schemes is available to taxpayers earning less than $180,000 and a deferral of tax is available where there is a real risk of forfeiture.</w:t>
      </w:r>
    </w:p>
    <w:p w14:paraId="01E2F4A0" w14:textId="4E2C4601" w:rsidR="006E40C9" w:rsidRDefault="006E40C9" w:rsidP="006E40C9">
      <w:r>
        <w:t>On 1 July 2015, additional ESS tax concessions took effect. The taxing point for rights now generally occurs when the rights are exercised (converted to shares). There is also a tax deferral (for rights) or exemption (for shares) on the discount component of ESS interests provided at a small discount to employees of eligible start</w:t>
      </w:r>
      <w:r>
        <w:noBreakHyphen/>
        <w:t>up companies.</w:t>
      </w:r>
      <w:r>
        <w:fldChar w:fldCharType="begin"/>
      </w:r>
      <w:r>
        <w:instrText xml:space="preserve"> XE "</w:instrText>
      </w:r>
      <w:r w:rsidRPr="005635C1">
        <w:instrText>Start-up companies</w:instrText>
      </w:r>
      <w:r>
        <w:instrText xml:space="preserve">" </w:instrText>
      </w:r>
      <w:r>
        <w:fldChar w:fldCharType="end"/>
      </w:r>
      <w:r>
        <w:t xml:space="preserve"> </w:t>
      </w:r>
    </w:p>
    <w:p w14:paraId="3DF78995" w14:textId="19A9EA6E" w:rsidR="006E40C9" w:rsidRDefault="006E40C9" w:rsidP="00805AA3">
      <w:r>
        <w:t xml:space="preserve">On 1 July 2022, cessation of employment was removed as a taxing point for tax-deferred schemes available to all companies. </w:t>
      </w:r>
      <w:r w:rsidRPr="00C42662">
        <w:t>In relation to these schemes, for ESS interests that are shares the deferred taxing point is the earliest of:</w:t>
      </w:r>
      <w:r>
        <w:t xml:space="preserve"> where there is no risk of forfeiture and no restrictions on disposal; or the maximum period of deferral of 15 years. </w:t>
      </w:r>
    </w:p>
    <w:p w14:paraId="5C65E747" w14:textId="77777777" w:rsidR="006E40C9" w:rsidRDefault="006E40C9" w:rsidP="00805AA3">
      <w:r>
        <w:t xml:space="preserve">For ESS interests which are rights, the deferred taxing point is the earliest of: where the right has not been exercised and there is no real risk of forfeiture and no restrictions on disposal; where the right has been exercised and there is no real risk of forfeiture and no restrictions on disposal of the underlying share; or </w:t>
      </w:r>
      <w:r w:rsidRPr="00361DF7">
        <w:t>the maximum period of deferral of 15 years</w:t>
      </w:r>
      <w:r>
        <w:t>.</w:t>
      </w:r>
    </w:p>
    <w:p w14:paraId="4C6679F1" w14:textId="77777777" w:rsidR="006E40C9" w:rsidRDefault="006E40C9" w:rsidP="0003254D">
      <w:pPr>
        <w:pStyle w:val="Heading4"/>
      </w:pPr>
      <w:r>
        <w:t>A51</w:t>
      </w:r>
      <w:r>
        <w:tab/>
        <w:t>Tax deferral advantage arising from personal after-tax contributions to a pension or annuity</w:t>
      </w:r>
    </w:p>
    <w:p w14:paraId="1260E2A7" w14:textId="7E7A470C"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7B4BB4" w14:textId="77777777">
        <w:trPr>
          <w:cantSplit/>
          <w:jc w:val="center"/>
        </w:trPr>
        <w:tc>
          <w:tcPr>
            <w:tcW w:w="967" w:type="dxa"/>
            <w:tcBorders>
              <w:top w:val="single" w:sz="2" w:space="0" w:color="auto"/>
              <w:bottom w:val="single" w:sz="2" w:space="0" w:color="auto"/>
            </w:tcBorders>
          </w:tcPr>
          <w:p w14:paraId="29E3DAD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4E359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46B3F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642A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BA43B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C5C9E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E09D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0B1D99" w14:textId="77777777" w:rsidR="006E40C9" w:rsidRDefault="006E40C9">
            <w:pPr>
              <w:pStyle w:val="MeasureTableTextRightAligned"/>
            </w:pPr>
            <w:r>
              <w:t>2027-28</w:t>
            </w:r>
          </w:p>
        </w:tc>
      </w:tr>
      <w:tr w:rsidR="006E40C9" w14:paraId="01A16777" w14:textId="77777777">
        <w:trPr>
          <w:cantSplit/>
          <w:jc w:val="center"/>
        </w:trPr>
        <w:tc>
          <w:tcPr>
            <w:tcW w:w="967" w:type="dxa"/>
            <w:tcBorders>
              <w:top w:val="single" w:sz="2" w:space="0" w:color="auto"/>
              <w:bottom w:val="single" w:sz="2" w:space="0" w:color="auto"/>
            </w:tcBorders>
          </w:tcPr>
          <w:p w14:paraId="5613F90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7465E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1A670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476A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D241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43659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038C1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22EB16" w14:textId="77777777" w:rsidR="006E40C9" w:rsidRDefault="006E40C9">
            <w:pPr>
              <w:pStyle w:val="MeasureTableTextRightAligned"/>
            </w:pPr>
            <w:r>
              <w:t>*</w:t>
            </w:r>
          </w:p>
        </w:tc>
      </w:tr>
      <w:tr w:rsidR="006E40C9" w14:paraId="1DD6F54E" w14:textId="77777777">
        <w:trPr>
          <w:cantSplit/>
          <w:jc w:val="center"/>
        </w:trPr>
        <w:tc>
          <w:tcPr>
            <w:tcW w:w="1934" w:type="dxa"/>
            <w:gridSpan w:val="2"/>
            <w:tcBorders>
              <w:top w:val="single" w:sz="2" w:space="0" w:color="auto"/>
              <w:bottom w:val="nil"/>
            </w:tcBorders>
          </w:tcPr>
          <w:p w14:paraId="280AE3C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CFF3F9" w14:textId="77777777" w:rsidR="006E40C9" w:rsidRDefault="006E40C9">
            <w:pPr>
              <w:pStyle w:val="MeasureTableTextLeftAligned"/>
            </w:pPr>
            <w:r>
              <w:t>Deferral</w:t>
            </w:r>
          </w:p>
        </w:tc>
        <w:tc>
          <w:tcPr>
            <w:tcW w:w="1500" w:type="dxa"/>
            <w:gridSpan w:val="2"/>
            <w:tcBorders>
              <w:top w:val="single" w:sz="2" w:space="0" w:color="auto"/>
              <w:bottom w:val="nil"/>
            </w:tcBorders>
          </w:tcPr>
          <w:p w14:paraId="78CF77C6" w14:textId="1FCC46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32E70F" w14:textId="77777777" w:rsidR="006E40C9" w:rsidRDefault="006E40C9">
            <w:pPr>
              <w:pStyle w:val="MeasureTableTextLeftAligned"/>
            </w:pPr>
            <w:r>
              <w:t>A51</w:t>
            </w:r>
          </w:p>
        </w:tc>
      </w:tr>
      <w:tr w:rsidR="006E40C9" w14:paraId="08F90E17" w14:textId="77777777">
        <w:trPr>
          <w:cantSplit/>
          <w:jc w:val="center"/>
        </w:trPr>
        <w:tc>
          <w:tcPr>
            <w:tcW w:w="1934" w:type="dxa"/>
            <w:gridSpan w:val="2"/>
            <w:tcBorders>
              <w:top w:val="nil"/>
              <w:bottom w:val="nil"/>
            </w:tcBorders>
          </w:tcPr>
          <w:p w14:paraId="5A8D76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04D2D9" w14:textId="77777777" w:rsidR="006E40C9" w:rsidRPr="00584CA7" w:rsidRDefault="006E40C9">
            <w:pPr>
              <w:pStyle w:val="MeasureTableTextLeftAligned"/>
            </w:pPr>
            <w:r>
              <w:t>Not Applicable</w:t>
            </w:r>
          </w:p>
        </w:tc>
        <w:tc>
          <w:tcPr>
            <w:tcW w:w="1500" w:type="dxa"/>
            <w:gridSpan w:val="2"/>
            <w:tcBorders>
              <w:top w:val="nil"/>
              <w:bottom w:val="nil"/>
            </w:tcBorders>
          </w:tcPr>
          <w:p w14:paraId="5419787E" w14:textId="77777777" w:rsidR="006E40C9" w:rsidRDefault="006E40C9">
            <w:pPr>
              <w:pStyle w:val="MeasureTableTextItalic"/>
            </w:pPr>
            <w:r>
              <w:t>* Category</w:t>
            </w:r>
          </w:p>
        </w:tc>
        <w:tc>
          <w:tcPr>
            <w:tcW w:w="1124" w:type="dxa"/>
            <w:gridSpan w:val="2"/>
            <w:tcBorders>
              <w:top w:val="nil"/>
              <w:bottom w:val="nil"/>
            </w:tcBorders>
          </w:tcPr>
          <w:p w14:paraId="70305350" w14:textId="77777777" w:rsidR="006E40C9" w:rsidRDefault="006E40C9">
            <w:pPr>
              <w:pStyle w:val="MeasureTableTextLeftAligned"/>
            </w:pPr>
            <w:r>
              <w:t>3+</w:t>
            </w:r>
          </w:p>
        </w:tc>
      </w:tr>
      <w:tr w:rsidR="006E40C9" w14:paraId="5D3FF305" w14:textId="77777777">
        <w:trPr>
          <w:cantSplit/>
          <w:jc w:val="center"/>
        </w:trPr>
        <w:tc>
          <w:tcPr>
            <w:tcW w:w="1934" w:type="dxa"/>
            <w:gridSpan w:val="2"/>
            <w:tcBorders>
              <w:top w:val="nil"/>
              <w:bottom w:val="nil"/>
            </w:tcBorders>
          </w:tcPr>
          <w:p w14:paraId="559E3CBB" w14:textId="77777777" w:rsidR="006E40C9" w:rsidRDefault="006E40C9">
            <w:pPr>
              <w:pStyle w:val="MeasureTableTextItalic"/>
            </w:pPr>
            <w:r>
              <w:t>Commencement date:</w:t>
            </w:r>
          </w:p>
        </w:tc>
        <w:tc>
          <w:tcPr>
            <w:tcW w:w="3179" w:type="dxa"/>
            <w:gridSpan w:val="4"/>
            <w:tcBorders>
              <w:top w:val="nil"/>
              <w:bottom w:val="nil"/>
            </w:tcBorders>
          </w:tcPr>
          <w:p w14:paraId="328CAA80" w14:textId="77777777" w:rsidR="006E40C9" w:rsidRDefault="006E40C9">
            <w:pPr>
              <w:pStyle w:val="MeasureTableTextLeftAligned"/>
            </w:pPr>
            <w:r>
              <w:t>Introduced before 1985</w:t>
            </w:r>
          </w:p>
        </w:tc>
        <w:tc>
          <w:tcPr>
            <w:tcW w:w="1500" w:type="dxa"/>
            <w:gridSpan w:val="2"/>
            <w:tcBorders>
              <w:top w:val="nil"/>
              <w:bottom w:val="nil"/>
            </w:tcBorders>
          </w:tcPr>
          <w:p w14:paraId="5975BECD" w14:textId="77777777" w:rsidR="006E40C9" w:rsidRPr="00F32057" w:rsidRDefault="006E40C9">
            <w:pPr>
              <w:pStyle w:val="MeasureTableTextItalic"/>
            </w:pPr>
            <w:r>
              <w:t>Expiry date:</w:t>
            </w:r>
          </w:p>
        </w:tc>
        <w:tc>
          <w:tcPr>
            <w:tcW w:w="1124" w:type="dxa"/>
            <w:gridSpan w:val="2"/>
            <w:tcBorders>
              <w:top w:val="nil"/>
              <w:bottom w:val="nil"/>
            </w:tcBorders>
          </w:tcPr>
          <w:p w14:paraId="15259132" w14:textId="77777777" w:rsidR="006E40C9" w:rsidRPr="00F32057" w:rsidRDefault="006E40C9">
            <w:pPr>
              <w:pStyle w:val="MeasureTableTextLeftAligned"/>
            </w:pPr>
          </w:p>
        </w:tc>
      </w:tr>
      <w:tr w:rsidR="006E40C9" w14:paraId="409DEC08" w14:textId="77777777">
        <w:trPr>
          <w:cantSplit/>
          <w:jc w:val="center"/>
        </w:trPr>
        <w:tc>
          <w:tcPr>
            <w:tcW w:w="1934" w:type="dxa"/>
            <w:gridSpan w:val="2"/>
            <w:tcBorders>
              <w:top w:val="nil"/>
            </w:tcBorders>
          </w:tcPr>
          <w:p w14:paraId="795AE812" w14:textId="77777777" w:rsidR="006E40C9" w:rsidRDefault="006E40C9">
            <w:pPr>
              <w:pStyle w:val="MeasureTableTextItalic"/>
            </w:pPr>
            <w:r>
              <w:t>Legislative reference:</w:t>
            </w:r>
          </w:p>
        </w:tc>
        <w:tc>
          <w:tcPr>
            <w:tcW w:w="5803" w:type="dxa"/>
            <w:gridSpan w:val="8"/>
            <w:tcBorders>
              <w:top w:val="nil"/>
            </w:tcBorders>
          </w:tcPr>
          <w:p w14:paraId="2F85F1E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27H of the </w:t>
            </w:r>
            <w:r>
              <w:rPr>
                <w:rFonts w:ascii="Arial" w:hAnsi="Arial" w:cs="Arial"/>
                <w:i/>
                <w:iCs/>
                <w:color w:val="000000"/>
                <w:sz w:val="16"/>
                <w:szCs w:val="16"/>
              </w:rPr>
              <w:t>Income Tax Assessment Act 1936</w:t>
            </w:r>
          </w:p>
        </w:tc>
      </w:tr>
    </w:tbl>
    <w:p w14:paraId="2599F83E" w14:textId="77777777" w:rsidR="00805AA3" w:rsidRDefault="00805AA3" w:rsidP="00805AA3">
      <w:pPr>
        <w:rPr>
          <w:rStyle w:val="normaltextrun"/>
          <w:rFonts w:cs="Calibri"/>
        </w:rPr>
      </w:pPr>
    </w:p>
    <w:p w14:paraId="0F2644D3" w14:textId="6F8995E3" w:rsidR="00805AA3" w:rsidRPr="00805AA3" w:rsidRDefault="006E40C9" w:rsidP="00805AA3">
      <w:pPr>
        <w:rPr>
          <w:rFonts w:cs="Calibri"/>
        </w:rPr>
      </w:pPr>
      <w:r w:rsidRPr="00805AA3">
        <w:t>Under the benchmark, earnings on savings held outside of the superannuation system are included as part of an individual’s taxable income with tax paid at marginal rates in the income year they are received</w:t>
      </w:r>
      <w:r w:rsidR="009F5E3D">
        <w:t xml:space="preserve">. </w:t>
      </w:r>
      <w:r w:rsidR="00805AA3" w:rsidRPr="00805AA3">
        <w:t xml:space="preserve"> </w:t>
      </w:r>
    </w:p>
    <w:p w14:paraId="132A9F77" w14:textId="658DE20F" w:rsidR="006E40C9" w:rsidRPr="00805AA3" w:rsidRDefault="006E40C9" w:rsidP="00805AA3">
      <w:r w:rsidRPr="00805AA3">
        <w:t>However, earnings on savings supporting non-superannuation pension or annuity payments are apportioned to the recipient’s taxable income evenly over the term of the income stream in each income year these payments are received. This results in a tax expenditure because it provides a tax deferral advantage to the recipient between the year earnings are received and the year those earnings are included in taxable income. </w:t>
      </w:r>
    </w:p>
    <w:p w14:paraId="65345538" w14:textId="77777777" w:rsidR="006E40C9" w:rsidRDefault="006E40C9" w:rsidP="0003254D">
      <w:pPr>
        <w:pStyle w:val="Heading4"/>
      </w:pPr>
      <w:r>
        <w:t>A52</w:t>
      </w:r>
      <w:r>
        <w:tab/>
        <w:t>Union dues and subscriptions to business associations deduction</w:t>
      </w:r>
    </w:p>
    <w:p w14:paraId="23B64001" w14:textId="2C06E5CA"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E44EDB" w14:textId="77777777">
        <w:trPr>
          <w:cantSplit/>
          <w:jc w:val="center"/>
        </w:trPr>
        <w:tc>
          <w:tcPr>
            <w:tcW w:w="967" w:type="dxa"/>
            <w:tcBorders>
              <w:top w:val="single" w:sz="2" w:space="0" w:color="auto"/>
              <w:bottom w:val="single" w:sz="2" w:space="0" w:color="auto"/>
            </w:tcBorders>
          </w:tcPr>
          <w:p w14:paraId="21C2271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62E7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D66C8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2028B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C5D0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DE077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6D2199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2C346F" w14:textId="77777777" w:rsidR="006E40C9" w:rsidRDefault="006E40C9">
            <w:pPr>
              <w:pStyle w:val="MeasureTableTextRightAligned"/>
            </w:pPr>
            <w:r>
              <w:t>2027-28</w:t>
            </w:r>
          </w:p>
        </w:tc>
      </w:tr>
      <w:tr w:rsidR="006E40C9" w14:paraId="15B2C2DE" w14:textId="77777777">
        <w:trPr>
          <w:cantSplit/>
          <w:jc w:val="center"/>
        </w:trPr>
        <w:tc>
          <w:tcPr>
            <w:tcW w:w="967" w:type="dxa"/>
            <w:tcBorders>
              <w:top w:val="single" w:sz="2" w:space="0" w:color="auto"/>
              <w:bottom w:val="single" w:sz="2" w:space="0" w:color="auto"/>
            </w:tcBorders>
          </w:tcPr>
          <w:p w14:paraId="10B1FAC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EF831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858D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9560C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AD748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5B28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133FD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95538A" w14:textId="77777777" w:rsidR="006E40C9" w:rsidRDefault="006E40C9">
            <w:pPr>
              <w:pStyle w:val="MeasureTableTextRightAligned"/>
            </w:pPr>
            <w:r>
              <w:t>..</w:t>
            </w:r>
          </w:p>
        </w:tc>
      </w:tr>
      <w:tr w:rsidR="006E40C9" w14:paraId="6BE39CDE" w14:textId="77777777">
        <w:trPr>
          <w:cantSplit/>
          <w:jc w:val="center"/>
        </w:trPr>
        <w:tc>
          <w:tcPr>
            <w:tcW w:w="1934" w:type="dxa"/>
            <w:gridSpan w:val="2"/>
            <w:tcBorders>
              <w:top w:val="single" w:sz="2" w:space="0" w:color="auto"/>
              <w:bottom w:val="nil"/>
            </w:tcBorders>
          </w:tcPr>
          <w:p w14:paraId="05EA85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1D054A" w14:textId="77777777" w:rsidR="006E40C9" w:rsidRDefault="006E40C9">
            <w:pPr>
              <w:pStyle w:val="MeasureTableTextLeftAligned"/>
            </w:pPr>
            <w:r>
              <w:t>Deduction</w:t>
            </w:r>
          </w:p>
        </w:tc>
        <w:tc>
          <w:tcPr>
            <w:tcW w:w="1500" w:type="dxa"/>
            <w:gridSpan w:val="2"/>
            <w:tcBorders>
              <w:top w:val="single" w:sz="2" w:space="0" w:color="auto"/>
              <w:bottom w:val="nil"/>
            </w:tcBorders>
          </w:tcPr>
          <w:p w14:paraId="2160913F" w14:textId="67EE1EA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B0DB8E" w14:textId="77777777" w:rsidR="006E40C9" w:rsidRDefault="006E40C9">
            <w:pPr>
              <w:pStyle w:val="MeasureTableTextLeftAligned"/>
            </w:pPr>
            <w:r>
              <w:t>A52</w:t>
            </w:r>
          </w:p>
        </w:tc>
      </w:tr>
      <w:tr w:rsidR="006E40C9" w14:paraId="3ED66F9D" w14:textId="77777777">
        <w:trPr>
          <w:cantSplit/>
          <w:jc w:val="center"/>
        </w:trPr>
        <w:tc>
          <w:tcPr>
            <w:tcW w:w="1934" w:type="dxa"/>
            <w:gridSpan w:val="2"/>
            <w:tcBorders>
              <w:top w:val="nil"/>
              <w:bottom w:val="nil"/>
            </w:tcBorders>
          </w:tcPr>
          <w:p w14:paraId="1605D90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639611" w14:textId="77777777" w:rsidR="006E40C9" w:rsidRPr="00584CA7" w:rsidRDefault="006E40C9">
            <w:pPr>
              <w:pStyle w:val="MeasureTableTextLeftAligned"/>
            </w:pPr>
            <w:r>
              <w:t>Medium</w:t>
            </w:r>
          </w:p>
        </w:tc>
        <w:tc>
          <w:tcPr>
            <w:tcW w:w="1500" w:type="dxa"/>
            <w:gridSpan w:val="2"/>
            <w:tcBorders>
              <w:top w:val="nil"/>
              <w:bottom w:val="nil"/>
            </w:tcBorders>
          </w:tcPr>
          <w:p w14:paraId="7C80F0AD" w14:textId="77777777" w:rsidR="006E40C9" w:rsidRDefault="006E40C9">
            <w:pPr>
              <w:pStyle w:val="MeasureTableTextItalic"/>
            </w:pPr>
          </w:p>
        </w:tc>
        <w:tc>
          <w:tcPr>
            <w:tcW w:w="1124" w:type="dxa"/>
            <w:gridSpan w:val="2"/>
            <w:tcBorders>
              <w:top w:val="nil"/>
              <w:bottom w:val="nil"/>
            </w:tcBorders>
          </w:tcPr>
          <w:p w14:paraId="799E0944" w14:textId="77777777" w:rsidR="006E40C9" w:rsidRDefault="006E40C9">
            <w:pPr>
              <w:pStyle w:val="MeasureTableTextLeftAligned"/>
            </w:pPr>
          </w:p>
        </w:tc>
      </w:tr>
      <w:tr w:rsidR="006E40C9" w14:paraId="59406003" w14:textId="77777777">
        <w:trPr>
          <w:cantSplit/>
          <w:jc w:val="center"/>
        </w:trPr>
        <w:tc>
          <w:tcPr>
            <w:tcW w:w="1934" w:type="dxa"/>
            <w:gridSpan w:val="2"/>
            <w:tcBorders>
              <w:top w:val="nil"/>
              <w:bottom w:val="nil"/>
            </w:tcBorders>
          </w:tcPr>
          <w:p w14:paraId="4384A1E4" w14:textId="77777777" w:rsidR="006E40C9" w:rsidRDefault="006E40C9">
            <w:pPr>
              <w:pStyle w:val="MeasureTableTextItalic"/>
            </w:pPr>
            <w:r>
              <w:t>Commencement date:</w:t>
            </w:r>
          </w:p>
        </w:tc>
        <w:tc>
          <w:tcPr>
            <w:tcW w:w="3179" w:type="dxa"/>
            <w:gridSpan w:val="4"/>
            <w:tcBorders>
              <w:top w:val="nil"/>
              <w:bottom w:val="nil"/>
            </w:tcBorders>
          </w:tcPr>
          <w:p w14:paraId="52438916" w14:textId="77777777" w:rsidR="006E40C9" w:rsidRDefault="006E40C9">
            <w:pPr>
              <w:pStyle w:val="MeasureTableTextLeftAligned"/>
            </w:pPr>
            <w:r>
              <w:t>Introduced before 1985</w:t>
            </w:r>
          </w:p>
        </w:tc>
        <w:tc>
          <w:tcPr>
            <w:tcW w:w="1500" w:type="dxa"/>
            <w:gridSpan w:val="2"/>
            <w:tcBorders>
              <w:top w:val="nil"/>
              <w:bottom w:val="nil"/>
            </w:tcBorders>
          </w:tcPr>
          <w:p w14:paraId="03EEE1FE" w14:textId="77777777" w:rsidR="006E40C9" w:rsidRPr="00F32057" w:rsidRDefault="006E40C9">
            <w:pPr>
              <w:pStyle w:val="MeasureTableTextItalic"/>
            </w:pPr>
            <w:r>
              <w:t>Expiry date:</w:t>
            </w:r>
          </w:p>
        </w:tc>
        <w:tc>
          <w:tcPr>
            <w:tcW w:w="1124" w:type="dxa"/>
            <w:gridSpan w:val="2"/>
            <w:tcBorders>
              <w:top w:val="nil"/>
              <w:bottom w:val="nil"/>
            </w:tcBorders>
          </w:tcPr>
          <w:p w14:paraId="7E608E4F" w14:textId="77777777" w:rsidR="006E40C9" w:rsidRPr="00F32057" w:rsidRDefault="006E40C9">
            <w:pPr>
              <w:pStyle w:val="MeasureTableTextLeftAligned"/>
            </w:pPr>
          </w:p>
        </w:tc>
      </w:tr>
      <w:tr w:rsidR="006E40C9" w14:paraId="36E95B21" w14:textId="77777777">
        <w:trPr>
          <w:cantSplit/>
          <w:jc w:val="center"/>
        </w:trPr>
        <w:tc>
          <w:tcPr>
            <w:tcW w:w="1934" w:type="dxa"/>
            <w:gridSpan w:val="2"/>
            <w:tcBorders>
              <w:top w:val="nil"/>
            </w:tcBorders>
          </w:tcPr>
          <w:p w14:paraId="15B041E9" w14:textId="77777777" w:rsidR="006E40C9" w:rsidRDefault="006E40C9">
            <w:pPr>
              <w:pStyle w:val="MeasureTableTextItalic"/>
            </w:pPr>
            <w:r>
              <w:t>Legislative reference:</w:t>
            </w:r>
          </w:p>
        </w:tc>
        <w:tc>
          <w:tcPr>
            <w:tcW w:w="5803" w:type="dxa"/>
            <w:gridSpan w:val="8"/>
            <w:tcBorders>
              <w:top w:val="nil"/>
            </w:tcBorders>
          </w:tcPr>
          <w:p w14:paraId="25DD53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25-55 of the </w:t>
            </w:r>
            <w:r>
              <w:rPr>
                <w:rFonts w:ascii="Arial" w:hAnsi="Arial" w:cs="Arial"/>
                <w:i/>
                <w:iCs/>
                <w:color w:val="000000"/>
                <w:sz w:val="16"/>
                <w:szCs w:val="16"/>
              </w:rPr>
              <w:t>Income Tax Assessment Act 1997</w:t>
            </w:r>
          </w:p>
        </w:tc>
      </w:tr>
    </w:tbl>
    <w:p w14:paraId="3159C506" w14:textId="77777777" w:rsidR="006E40C9" w:rsidRPr="00540040" w:rsidRDefault="006E40C9" w:rsidP="006E40C9">
      <w:pPr>
        <w:pStyle w:val="MeasureTableHeading"/>
      </w:pPr>
    </w:p>
    <w:p w14:paraId="5BE84E52" w14:textId="77777777" w:rsidR="006E40C9" w:rsidRDefault="006E40C9" w:rsidP="006E40C9">
      <w:r>
        <w:t>Under the benchmark, expenses are only deductible if they are connected to income earning activity. As such, union dues or professional association fees related to earning assessable income are deductible. However, joining fees, union dues</w:t>
      </w:r>
      <w:r>
        <w:fldChar w:fldCharType="begin"/>
      </w:r>
      <w:r>
        <w:instrText xml:space="preserve"> XE "U</w:instrText>
      </w:r>
      <w:r w:rsidRPr="0067576A">
        <w:instrText>nion dues</w:instrText>
      </w:r>
      <w:r>
        <w:instrText xml:space="preserve">" </w:instrText>
      </w:r>
      <w:r>
        <w:fldChar w:fldCharType="end"/>
      </w:r>
      <w:r>
        <w:t xml:space="preserve"> or subscriptions to trade</w:t>
      </w:r>
      <w:r>
        <w:fldChar w:fldCharType="begin"/>
      </w:r>
      <w:r>
        <w:instrText xml:space="preserve"> XE "Trade unions and registered associations" </w:instrText>
      </w:r>
      <w:r>
        <w:fldChar w:fldCharType="end"/>
      </w:r>
      <w:r>
        <w:t>, business</w:t>
      </w:r>
      <w:r>
        <w:fldChar w:fldCharType="begin"/>
      </w:r>
      <w:r>
        <w:instrText xml:space="preserve"> XE "Business associations" </w:instrText>
      </w:r>
      <w:r>
        <w:fldChar w:fldCharType="end"/>
      </w:r>
      <w:r>
        <w:t xml:space="preserve"> or professional associations that are not related to earning assessable income</w:t>
      </w:r>
      <w:r>
        <w:fldChar w:fldCharType="begin"/>
      </w:r>
      <w:r>
        <w:instrText xml:space="preserve"> XE "Professional associations" </w:instrText>
      </w:r>
      <w:r>
        <w:fldChar w:fldCharType="end"/>
      </w:r>
      <w:r>
        <w:t xml:space="preserve"> are specifically tax deductible up to a maximum amount of $42.</w:t>
      </w:r>
    </w:p>
    <w:p w14:paraId="7A118324" w14:textId="77777777" w:rsidR="006E40C9" w:rsidRDefault="006E40C9" w:rsidP="0003254D">
      <w:pPr>
        <w:pStyle w:val="Heading4"/>
      </w:pPr>
      <w:r>
        <w:t>A53</w:t>
      </w:r>
      <w:r>
        <w:tab/>
        <w:t>Denial of deductions for illegal activities</w:t>
      </w:r>
    </w:p>
    <w:p w14:paraId="0CE0F6BD" w14:textId="61FA21B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DB00E73" w14:textId="77777777">
        <w:trPr>
          <w:cantSplit/>
          <w:jc w:val="center"/>
        </w:trPr>
        <w:tc>
          <w:tcPr>
            <w:tcW w:w="967" w:type="dxa"/>
            <w:tcBorders>
              <w:top w:val="single" w:sz="2" w:space="0" w:color="auto"/>
              <w:bottom w:val="single" w:sz="2" w:space="0" w:color="auto"/>
            </w:tcBorders>
          </w:tcPr>
          <w:p w14:paraId="2D6671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1C0D5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39A3E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514C6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EBE3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94E2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CBDB2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A36D98" w14:textId="77777777" w:rsidR="006E40C9" w:rsidRDefault="006E40C9">
            <w:pPr>
              <w:pStyle w:val="MeasureTableTextRightAligned"/>
            </w:pPr>
            <w:r>
              <w:t>2027-28</w:t>
            </w:r>
          </w:p>
        </w:tc>
      </w:tr>
      <w:tr w:rsidR="006E40C9" w14:paraId="6AD5B94F" w14:textId="77777777">
        <w:trPr>
          <w:cantSplit/>
          <w:jc w:val="center"/>
        </w:trPr>
        <w:tc>
          <w:tcPr>
            <w:tcW w:w="967" w:type="dxa"/>
            <w:tcBorders>
              <w:top w:val="single" w:sz="2" w:space="0" w:color="auto"/>
              <w:bottom w:val="single" w:sz="2" w:space="0" w:color="auto"/>
            </w:tcBorders>
          </w:tcPr>
          <w:p w14:paraId="46272E6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2B79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D8BFE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4461D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DA9D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D309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42C70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E08186" w14:textId="77777777" w:rsidR="006E40C9" w:rsidRDefault="006E40C9">
            <w:pPr>
              <w:pStyle w:val="MeasureTableTextRightAligned"/>
            </w:pPr>
            <w:r>
              <w:t>*</w:t>
            </w:r>
          </w:p>
        </w:tc>
      </w:tr>
      <w:tr w:rsidR="006E40C9" w14:paraId="2A5FD913" w14:textId="77777777">
        <w:trPr>
          <w:cantSplit/>
          <w:jc w:val="center"/>
        </w:trPr>
        <w:tc>
          <w:tcPr>
            <w:tcW w:w="1934" w:type="dxa"/>
            <w:gridSpan w:val="2"/>
            <w:tcBorders>
              <w:top w:val="single" w:sz="2" w:space="0" w:color="auto"/>
              <w:bottom w:val="nil"/>
            </w:tcBorders>
          </w:tcPr>
          <w:p w14:paraId="2432FE6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5705F1"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4C8BDBCC" w14:textId="1180780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7BF482" w14:textId="77777777" w:rsidR="006E40C9" w:rsidRDefault="006E40C9">
            <w:pPr>
              <w:pStyle w:val="MeasureTableTextLeftAligned"/>
            </w:pPr>
            <w:r>
              <w:t>A53</w:t>
            </w:r>
          </w:p>
        </w:tc>
      </w:tr>
      <w:tr w:rsidR="006E40C9" w14:paraId="6B1A6CB1" w14:textId="77777777">
        <w:trPr>
          <w:cantSplit/>
          <w:jc w:val="center"/>
        </w:trPr>
        <w:tc>
          <w:tcPr>
            <w:tcW w:w="1934" w:type="dxa"/>
            <w:gridSpan w:val="2"/>
            <w:tcBorders>
              <w:top w:val="nil"/>
              <w:bottom w:val="nil"/>
            </w:tcBorders>
          </w:tcPr>
          <w:p w14:paraId="3A176A1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4D08E9" w14:textId="77777777" w:rsidR="006E40C9" w:rsidRPr="00584CA7" w:rsidRDefault="006E40C9">
            <w:pPr>
              <w:pStyle w:val="MeasureTableTextLeftAligned"/>
            </w:pPr>
            <w:r>
              <w:t>Not Applicable</w:t>
            </w:r>
          </w:p>
        </w:tc>
        <w:tc>
          <w:tcPr>
            <w:tcW w:w="1500" w:type="dxa"/>
            <w:gridSpan w:val="2"/>
            <w:tcBorders>
              <w:top w:val="nil"/>
              <w:bottom w:val="nil"/>
            </w:tcBorders>
          </w:tcPr>
          <w:p w14:paraId="395B9A5A" w14:textId="77777777" w:rsidR="006E40C9" w:rsidRDefault="006E40C9">
            <w:pPr>
              <w:pStyle w:val="MeasureTableTextItalic"/>
            </w:pPr>
            <w:r>
              <w:t>* Category</w:t>
            </w:r>
          </w:p>
        </w:tc>
        <w:tc>
          <w:tcPr>
            <w:tcW w:w="1124" w:type="dxa"/>
            <w:gridSpan w:val="2"/>
            <w:tcBorders>
              <w:top w:val="nil"/>
              <w:bottom w:val="nil"/>
            </w:tcBorders>
          </w:tcPr>
          <w:p w14:paraId="0A3D4205" w14:textId="77777777" w:rsidR="006E40C9" w:rsidRDefault="006E40C9">
            <w:pPr>
              <w:pStyle w:val="MeasureTableTextLeftAligned"/>
            </w:pPr>
            <w:r>
              <w:t>1-</w:t>
            </w:r>
          </w:p>
        </w:tc>
      </w:tr>
      <w:tr w:rsidR="006E40C9" w14:paraId="72BD3823" w14:textId="77777777">
        <w:trPr>
          <w:cantSplit/>
          <w:jc w:val="center"/>
        </w:trPr>
        <w:tc>
          <w:tcPr>
            <w:tcW w:w="1934" w:type="dxa"/>
            <w:gridSpan w:val="2"/>
            <w:tcBorders>
              <w:top w:val="nil"/>
              <w:bottom w:val="nil"/>
            </w:tcBorders>
          </w:tcPr>
          <w:p w14:paraId="6FC8A8F3" w14:textId="77777777" w:rsidR="006E40C9" w:rsidRDefault="006E40C9">
            <w:pPr>
              <w:pStyle w:val="MeasureTableTextItalic"/>
            </w:pPr>
            <w:r>
              <w:t>Commencement date:</w:t>
            </w:r>
          </w:p>
        </w:tc>
        <w:tc>
          <w:tcPr>
            <w:tcW w:w="3179" w:type="dxa"/>
            <w:gridSpan w:val="4"/>
            <w:tcBorders>
              <w:top w:val="nil"/>
              <w:bottom w:val="nil"/>
            </w:tcBorders>
          </w:tcPr>
          <w:p w14:paraId="00066CCA" w14:textId="77777777" w:rsidR="006E40C9" w:rsidRDefault="006E40C9">
            <w:pPr>
              <w:pStyle w:val="MeasureTableTextLeftAligned"/>
            </w:pPr>
            <w:r>
              <w:t>1 July 1999 (bribery), 30 April 2005 (illegal activities)</w:t>
            </w:r>
          </w:p>
        </w:tc>
        <w:tc>
          <w:tcPr>
            <w:tcW w:w="1500" w:type="dxa"/>
            <w:gridSpan w:val="2"/>
            <w:tcBorders>
              <w:top w:val="nil"/>
              <w:bottom w:val="nil"/>
            </w:tcBorders>
          </w:tcPr>
          <w:p w14:paraId="11883443" w14:textId="77777777" w:rsidR="006E40C9" w:rsidRPr="00F32057" w:rsidRDefault="006E40C9">
            <w:pPr>
              <w:pStyle w:val="MeasureTableTextItalic"/>
            </w:pPr>
            <w:r>
              <w:t>Expiry date:</w:t>
            </w:r>
          </w:p>
        </w:tc>
        <w:tc>
          <w:tcPr>
            <w:tcW w:w="1124" w:type="dxa"/>
            <w:gridSpan w:val="2"/>
            <w:tcBorders>
              <w:top w:val="nil"/>
              <w:bottom w:val="nil"/>
            </w:tcBorders>
          </w:tcPr>
          <w:p w14:paraId="3149AEA2" w14:textId="77777777" w:rsidR="006E40C9" w:rsidRPr="00F32057" w:rsidRDefault="006E40C9">
            <w:pPr>
              <w:pStyle w:val="MeasureTableTextLeftAligned"/>
            </w:pPr>
          </w:p>
        </w:tc>
      </w:tr>
      <w:tr w:rsidR="006E40C9" w14:paraId="0321BBC8" w14:textId="77777777">
        <w:trPr>
          <w:cantSplit/>
          <w:jc w:val="center"/>
        </w:trPr>
        <w:tc>
          <w:tcPr>
            <w:tcW w:w="1934" w:type="dxa"/>
            <w:gridSpan w:val="2"/>
            <w:tcBorders>
              <w:top w:val="nil"/>
            </w:tcBorders>
          </w:tcPr>
          <w:p w14:paraId="601F82AF" w14:textId="77777777" w:rsidR="006E40C9" w:rsidRDefault="006E40C9">
            <w:pPr>
              <w:pStyle w:val="MeasureTableTextItalic"/>
            </w:pPr>
            <w:r>
              <w:t>Legislative reference:</w:t>
            </w:r>
          </w:p>
        </w:tc>
        <w:tc>
          <w:tcPr>
            <w:tcW w:w="5803" w:type="dxa"/>
            <w:gridSpan w:val="8"/>
            <w:tcBorders>
              <w:top w:val="nil"/>
            </w:tcBorders>
          </w:tcPr>
          <w:p w14:paraId="33E56A0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26-52, 26-53 and 26-54 of the </w:t>
            </w:r>
            <w:r>
              <w:rPr>
                <w:rFonts w:ascii="Arial" w:hAnsi="Arial" w:cs="Arial"/>
                <w:i/>
                <w:iCs/>
                <w:color w:val="000000"/>
                <w:sz w:val="16"/>
                <w:szCs w:val="16"/>
              </w:rPr>
              <w:t>Income Tax Assessment Act 1997</w:t>
            </w:r>
          </w:p>
        </w:tc>
      </w:tr>
    </w:tbl>
    <w:p w14:paraId="402D9956" w14:textId="77777777" w:rsidR="006E40C9" w:rsidRPr="00540040" w:rsidRDefault="006E40C9" w:rsidP="006E40C9">
      <w:pPr>
        <w:pStyle w:val="MeasureTableHeading"/>
      </w:pPr>
    </w:p>
    <w:p w14:paraId="30603C21" w14:textId="77777777" w:rsidR="006E40C9" w:rsidRDefault="006E40C9" w:rsidP="006E40C9">
      <w:r>
        <w:t>Under the benchmark expenses incurred in earning income are deductible at historical cost. Deductibility is denied for a loss or outgoing that is a bribe to a public official, including a foreign public official.</w:t>
      </w:r>
    </w:p>
    <w:p w14:paraId="76EF9E31" w14:textId="77777777" w:rsidR="006E40C9" w:rsidRDefault="006E40C9" w:rsidP="006E40C9">
      <w:r>
        <w:t>Deductions are also denied for expenditure to the extent it is incurred in the furtherance of, or directly in relation to, activities in respect of which the taxpayer has been convicted of an indictable offence. Indictable offences are those punishable by imprisonment for at least one year.</w:t>
      </w:r>
      <w:r>
        <w:fldChar w:fldCharType="begin"/>
      </w:r>
      <w:r>
        <w:instrText xml:space="preserve"> XE "Illegal activities" </w:instrText>
      </w:r>
      <w:r>
        <w:fldChar w:fldCharType="end"/>
      </w:r>
    </w:p>
    <w:p w14:paraId="6194C6B1" w14:textId="77777777" w:rsidR="006E40C9" w:rsidRDefault="006E40C9" w:rsidP="0003254D">
      <w:pPr>
        <w:pStyle w:val="Heading4"/>
      </w:pPr>
      <w:r>
        <w:t>A54</w:t>
      </w:r>
      <w:r>
        <w:tab/>
        <w:t>Increased tax rates for certain minors</w:t>
      </w:r>
    </w:p>
    <w:p w14:paraId="23976F1C" w14:textId="2DF8A34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398AC8" w14:textId="77777777">
        <w:trPr>
          <w:cantSplit/>
          <w:jc w:val="center"/>
        </w:trPr>
        <w:tc>
          <w:tcPr>
            <w:tcW w:w="967" w:type="dxa"/>
            <w:tcBorders>
              <w:top w:val="single" w:sz="2" w:space="0" w:color="auto"/>
              <w:bottom w:val="single" w:sz="2" w:space="0" w:color="auto"/>
            </w:tcBorders>
          </w:tcPr>
          <w:p w14:paraId="038E53D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6337B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03BB8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3DC07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0CBB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753B8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7A40A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0F90F9" w14:textId="77777777" w:rsidR="006E40C9" w:rsidRDefault="006E40C9">
            <w:pPr>
              <w:pStyle w:val="MeasureTableTextRightAligned"/>
            </w:pPr>
            <w:r>
              <w:t>2027-28</w:t>
            </w:r>
          </w:p>
        </w:tc>
      </w:tr>
      <w:tr w:rsidR="006E40C9" w14:paraId="428C84C8" w14:textId="77777777">
        <w:trPr>
          <w:cantSplit/>
          <w:jc w:val="center"/>
        </w:trPr>
        <w:tc>
          <w:tcPr>
            <w:tcW w:w="967" w:type="dxa"/>
            <w:tcBorders>
              <w:top w:val="single" w:sz="2" w:space="0" w:color="auto"/>
              <w:bottom w:val="single" w:sz="2" w:space="0" w:color="auto"/>
            </w:tcBorders>
          </w:tcPr>
          <w:p w14:paraId="148DEAD5" w14:textId="77777777" w:rsidR="006E40C9" w:rsidRDefault="006E40C9">
            <w:pPr>
              <w:pStyle w:val="MeasureTableTextRightAligned"/>
            </w:pPr>
            <w:r>
              <w:t>-3</w:t>
            </w:r>
          </w:p>
        </w:tc>
        <w:tc>
          <w:tcPr>
            <w:tcW w:w="967" w:type="dxa"/>
            <w:tcBorders>
              <w:top w:val="single" w:sz="2" w:space="0" w:color="auto"/>
              <w:bottom w:val="single" w:sz="2" w:space="0" w:color="auto"/>
            </w:tcBorders>
          </w:tcPr>
          <w:p w14:paraId="2376AE7E"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1B10EBB2"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732ECFEC"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65EB7CC7"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161EDBCD"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38E30477"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782F1D86" w14:textId="77777777" w:rsidR="006E40C9" w:rsidRDefault="006E40C9">
            <w:pPr>
              <w:pStyle w:val="MeasureTableTextRightAligned"/>
            </w:pPr>
            <w:r>
              <w:t>-4</w:t>
            </w:r>
          </w:p>
        </w:tc>
      </w:tr>
      <w:tr w:rsidR="006E40C9" w14:paraId="31468993" w14:textId="77777777">
        <w:trPr>
          <w:cantSplit/>
          <w:jc w:val="center"/>
        </w:trPr>
        <w:tc>
          <w:tcPr>
            <w:tcW w:w="1934" w:type="dxa"/>
            <w:gridSpan w:val="2"/>
            <w:tcBorders>
              <w:top w:val="single" w:sz="2" w:space="0" w:color="auto"/>
              <w:bottom w:val="nil"/>
            </w:tcBorders>
          </w:tcPr>
          <w:p w14:paraId="23CEC41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45CBF2"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66ADED16" w14:textId="2A38F7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6D4D98" w14:textId="77777777" w:rsidR="006E40C9" w:rsidRDefault="006E40C9">
            <w:pPr>
              <w:pStyle w:val="MeasureTableTextLeftAligned"/>
            </w:pPr>
            <w:r>
              <w:t>A54</w:t>
            </w:r>
          </w:p>
        </w:tc>
      </w:tr>
      <w:tr w:rsidR="006E40C9" w14:paraId="1072835E" w14:textId="77777777">
        <w:trPr>
          <w:cantSplit/>
          <w:jc w:val="center"/>
        </w:trPr>
        <w:tc>
          <w:tcPr>
            <w:tcW w:w="1934" w:type="dxa"/>
            <w:gridSpan w:val="2"/>
            <w:tcBorders>
              <w:top w:val="nil"/>
              <w:bottom w:val="nil"/>
            </w:tcBorders>
          </w:tcPr>
          <w:p w14:paraId="7A189F9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AE95B5" w14:textId="16C6F637"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DB2095C" w14:textId="77777777" w:rsidR="006E40C9" w:rsidRDefault="006E40C9">
            <w:pPr>
              <w:pStyle w:val="MeasureTableTextItalic"/>
            </w:pPr>
          </w:p>
        </w:tc>
        <w:tc>
          <w:tcPr>
            <w:tcW w:w="1124" w:type="dxa"/>
            <w:gridSpan w:val="2"/>
            <w:tcBorders>
              <w:top w:val="nil"/>
              <w:bottom w:val="nil"/>
            </w:tcBorders>
          </w:tcPr>
          <w:p w14:paraId="421DE8A3" w14:textId="77777777" w:rsidR="006E40C9" w:rsidRDefault="006E40C9">
            <w:pPr>
              <w:pStyle w:val="MeasureTableTextLeftAligned"/>
            </w:pPr>
          </w:p>
        </w:tc>
      </w:tr>
      <w:tr w:rsidR="006E40C9" w14:paraId="63ABE78F" w14:textId="77777777">
        <w:trPr>
          <w:cantSplit/>
          <w:jc w:val="center"/>
        </w:trPr>
        <w:tc>
          <w:tcPr>
            <w:tcW w:w="1934" w:type="dxa"/>
            <w:gridSpan w:val="2"/>
            <w:tcBorders>
              <w:top w:val="nil"/>
              <w:bottom w:val="nil"/>
            </w:tcBorders>
          </w:tcPr>
          <w:p w14:paraId="142671F0" w14:textId="77777777" w:rsidR="006E40C9" w:rsidRDefault="006E40C9">
            <w:pPr>
              <w:pStyle w:val="MeasureTableTextItalic"/>
            </w:pPr>
            <w:r>
              <w:t>Commencement date:</w:t>
            </w:r>
          </w:p>
        </w:tc>
        <w:tc>
          <w:tcPr>
            <w:tcW w:w="3179" w:type="dxa"/>
            <w:gridSpan w:val="4"/>
            <w:tcBorders>
              <w:top w:val="nil"/>
              <w:bottom w:val="nil"/>
            </w:tcBorders>
          </w:tcPr>
          <w:p w14:paraId="21EDADED" w14:textId="77777777" w:rsidR="006E40C9" w:rsidRDefault="006E40C9">
            <w:pPr>
              <w:pStyle w:val="MeasureTableTextLeftAligned"/>
            </w:pPr>
            <w:r>
              <w:t>Introduced before 1985</w:t>
            </w:r>
          </w:p>
        </w:tc>
        <w:tc>
          <w:tcPr>
            <w:tcW w:w="1500" w:type="dxa"/>
            <w:gridSpan w:val="2"/>
            <w:tcBorders>
              <w:top w:val="nil"/>
              <w:bottom w:val="nil"/>
            </w:tcBorders>
          </w:tcPr>
          <w:p w14:paraId="3636173E" w14:textId="77777777" w:rsidR="006E40C9" w:rsidRPr="00F32057" w:rsidRDefault="006E40C9">
            <w:pPr>
              <w:pStyle w:val="MeasureTableTextItalic"/>
            </w:pPr>
            <w:r>
              <w:t>Expiry date:</w:t>
            </w:r>
          </w:p>
        </w:tc>
        <w:tc>
          <w:tcPr>
            <w:tcW w:w="1124" w:type="dxa"/>
            <w:gridSpan w:val="2"/>
            <w:tcBorders>
              <w:top w:val="nil"/>
              <w:bottom w:val="nil"/>
            </w:tcBorders>
          </w:tcPr>
          <w:p w14:paraId="54267D90" w14:textId="77777777" w:rsidR="006E40C9" w:rsidRPr="00F32057" w:rsidRDefault="006E40C9">
            <w:pPr>
              <w:pStyle w:val="MeasureTableTextLeftAligned"/>
            </w:pPr>
          </w:p>
        </w:tc>
      </w:tr>
      <w:tr w:rsidR="006E40C9" w14:paraId="040C83C6" w14:textId="77777777">
        <w:trPr>
          <w:cantSplit/>
          <w:jc w:val="center"/>
        </w:trPr>
        <w:tc>
          <w:tcPr>
            <w:tcW w:w="1934" w:type="dxa"/>
            <w:gridSpan w:val="2"/>
            <w:tcBorders>
              <w:top w:val="nil"/>
            </w:tcBorders>
          </w:tcPr>
          <w:p w14:paraId="54DF4884" w14:textId="77777777" w:rsidR="006E40C9" w:rsidRDefault="006E40C9">
            <w:pPr>
              <w:pStyle w:val="MeasureTableTextItalic"/>
            </w:pPr>
            <w:r>
              <w:t>Legislative reference:</w:t>
            </w:r>
          </w:p>
        </w:tc>
        <w:tc>
          <w:tcPr>
            <w:tcW w:w="5803" w:type="dxa"/>
            <w:gridSpan w:val="8"/>
            <w:tcBorders>
              <w:top w:val="nil"/>
            </w:tcBorders>
          </w:tcPr>
          <w:p w14:paraId="14EDDB8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III Division 6AA of the </w:t>
            </w:r>
            <w:r>
              <w:rPr>
                <w:rFonts w:ascii="Arial" w:hAnsi="Arial" w:cs="Arial"/>
                <w:i/>
                <w:iCs/>
                <w:color w:val="000000"/>
                <w:sz w:val="16"/>
                <w:szCs w:val="16"/>
              </w:rPr>
              <w:t>Income Tax Assessment Act 1936</w:t>
            </w:r>
          </w:p>
        </w:tc>
      </w:tr>
    </w:tbl>
    <w:p w14:paraId="6F27E458" w14:textId="77777777" w:rsidR="006E40C9" w:rsidRPr="00540040" w:rsidRDefault="006E40C9" w:rsidP="006E40C9">
      <w:pPr>
        <w:pStyle w:val="MeasureTableHeading"/>
      </w:pPr>
    </w:p>
    <w:p w14:paraId="6870049E" w14:textId="77777777" w:rsidR="006E40C9" w:rsidRDefault="006E40C9" w:rsidP="006E40C9">
      <w:r>
        <w:t>The benchmark tax treatment is that income tax is paid on the taxable income of a taxpayer for an income year at their applicable rate of tax. However, higher rates of taxation apply to the unearned income of certain minors</w:t>
      </w:r>
      <w:r>
        <w:fldChar w:fldCharType="begin"/>
      </w:r>
      <w:r>
        <w:instrText xml:space="preserve"> XE "</w:instrText>
      </w:r>
      <w:r w:rsidRPr="00B36AD0">
        <w:instrText>Minors</w:instrText>
      </w:r>
      <w:r>
        <w:instrText xml:space="preserve">" </w:instrText>
      </w:r>
      <w:r>
        <w:fldChar w:fldCharType="end"/>
      </w:r>
      <w:r>
        <w:t xml:space="preserve"> (for example, those classed as not being in a full</w:t>
      </w:r>
      <w:r>
        <w:noBreakHyphen/>
        <w:t>time occupation). Unearned income</w:t>
      </w:r>
      <w:r>
        <w:fldChar w:fldCharType="begin"/>
      </w:r>
      <w:r>
        <w:instrText xml:space="preserve"> XE "Unearned income" </w:instrText>
      </w:r>
      <w:r>
        <w:fldChar w:fldCharType="end"/>
      </w:r>
      <w:r>
        <w:t xml:space="preserve"> includes dividend, interest, rent, royalties and other income from property. Further, minors are unable to use the low income tax offset or the low and middle income tax offset to reduce the tax payable on unearned income.</w:t>
      </w:r>
    </w:p>
    <w:p w14:paraId="2C6E1CF5" w14:textId="77777777" w:rsidR="006E40C9" w:rsidRDefault="006E40C9" w:rsidP="0003254D">
      <w:pPr>
        <w:pStyle w:val="Heading4"/>
      </w:pPr>
      <w:r>
        <w:t>A55</w:t>
      </w:r>
      <w:r>
        <w:tab/>
        <w:t>Limit plant and equipment depreciation deductions to outlays actually incurred by investors</w:t>
      </w:r>
    </w:p>
    <w:p w14:paraId="1759AAA3" w14:textId="5E0FE4C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AB4B29F" w14:textId="77777777">
        <w:trPr>
          <w:cantSplit/>
          <w:jc w:val="center"/>
        </w:trPr>
        <w:tc>
          <w:tcPr>
            <w:tcW w:w="967" w:type="dxa"/>
            <w:tcBorders>
              <w:top w:val="single" w:sz="2" w:space="0" w:color="auto"/>
              <w:bottom w:val="single" w:sz="2" w:space="0" w:color="auto"/>
            </w:tcBorders>
          </w:tcPr>
          <w:p w14:paraId="65F3FB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06C7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0E8A8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E5F4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BDCE6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8B93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B22ED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BAA766" w14:textId="77777777" w:rsidR="006E40C9" w:rsidRDefault="006E40C9">
            <w:pPr>
              <w:pStyle w:val="MeasureTableTextRightAligned"/>
            </w:pPr>
            <w:r>
              <w:t>2027-28</w:t>
            </w:r>
          </w:p>
        </w:tc>
      </w:tr>
      <w:tr w:rsidR="006E40C9" w14:paraId="261828CD" w14:textId="77777777">
        <w:trPr>
          <w:cantSplit/>
          <w:jc w:val="center"/>
        </w:trPr>
        <w:tc>
          <w:tcPr>
            <w:tcW w:w="967" w:type="dxa"/>
            <w:tcBorders>
              <w:top w:val="single" w:sz="2" w:space="0" w:color="auto"/>
              <w:bottom w:val="single" w:sz="2" w:space="0" w:color="auto"/>
            </w:tcBorders>
          </w:tcPr>
          <w:p w14:paraId="71354AEF" w14:textId="77777777" w:rsidR="006E40C9" w:rsidRDefault="006E40C9">
            <w:pPr>
              <w:pStyle w:val="MeasureTableTextRightAligned"/>
            </w:pPr>
            <w:r>
              <w:t>-115</w:t>
            </w:r>
          </w:p>
        </w:tc>
        <w:tc>
          <w:tcPr>
            <w:tcW w:w="967" w:type="dxa"/>
            <w:tcBorders>
              <w:top w:val="single" w:sz="2" w:space="0" w:color="auto"/>
              <w:bottom w:val="single" w:sz="2" w:space="0" w:color="auto"/>
            </w:tcBorders>
          </w:tcPr>
          <w:p w14:paraId="2488B67A" w14:textId="77777777" w:rsidR="006E40C9" w:rsidRDefault="006E40C9">
            <w:pPr>
              <w:pStyle w:val="MeasureTableTextRightAligned"/>
            </w:pPr>
            <w:r>
              <w:t>-125</w:t>
            </w:r>
          </w:p>
        </w:tc>
        <w:tc>
          <w:tcPr>
            <w:tcW w:w="967" w:type="dxa"/>
            <w:tcBorders>
              <w:top w:val="single" w:sz="2" w:space="0" w:color="auto"/>
              <w:bottom w:val="single" w:sz="2" w:space="0" w:color="auto"/>
            </w:tcBorders>
            <w:vAlign w:val="bottom"/>
          </w:tcPr>
          <w:p w14:paraId="2BCD1F58" w14:textId="77777777" w:rsidR="006E40C9" w:rsidRDefault="006E40C9">
            <w:pPr>
              <w:pStyle w:val="MeasureTableTextRightAligned"/>
            </w:pPr>
            <w:r>
              <w:t>-135</w:t>
            </w:r>
          </w:p>
        </w:tc>
        <w:tc>
          <w:tcPr>
            <w:tcW w:w="967" w:type="dxa"/>
            <w:tcBorders>
              <w:top w:val="single" w:sz="2" w:space="0" w:color="auto"/>
              <w:bottom w:val="single" w:sz="2" w:space="0" w:color="auto"/>
            </w:tcBorders>
            <w:vAlign w:val="bottom"/>
          </w:tcPr>
          <w:p w14:paraId="77382F35"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417805F4"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34894BAA"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1228936D" w14:textId="77777777" w:rsidR="006E40C9" w:rsidRDefault="006E40C9">
            <w:pPr>
              <w:pStyle w:val="MeasureTableTextRightAligned"/>
            </w:pPr>
            <w:r>
              <w:t>-150</w:t>
            </w:r>
          </w:p>
        </w:tc>
        <w:tc>
          <w:tcPr>
            <w:tcW w:w="968" w:type="dxa"/>
            <w:tcBorders>
              <w:top w:val="single" w:sz="2" w:space="0" w:color="auto"/>
              <w:bottom w:val="single" w:sz="2" w:space="0" w:color="auto"/>
            </w:tcBorders>
            <w:vAlign w:val="bottom"/>
          </w:tcPr>
          <w:p w14:paraId="39AC67D5" w14:textId="77777777" w:rsidR="006E40C9" w:rsidRDefault="006E40C9">
            <w:pPr>
              <w:pStyle w:val="MeasureTableTextRightAligned"/>
            </w:pPr>
            <w:r>
              <w:t>-150</w:t>
            </w:r>
          </w:p>
        </w:tc>
      </w:tr>
      <w:tr w:rsidR="006E40C9" w14:paraId="63ADD91C" w14:textId="77777777">
        <w:trPr>
          <w:cantSplit/>
          <w:jc w:val="center"/>
        </w:trPr>
        <w:tc>
          <w:tcPr>
            <w:tcW w:w="1934" w:type="dxa"/>
            <w:gridSpan w:val="2"/>
            <w:tcBorders>
              <w:top w:val="single" w:sz="2" w:space="0" w:color="auto"/>
              <w:bottom w:val="nil"/>
            </w:tcBorders>
          </w:tcPr>
          <w:p w14:paraId="07E212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F8CDAC"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11F6E8A0" w14:textId="7B43049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846EAE3" w14:textId="77777777" w:rsidR="006E40C9" w:rsidRDefault="006E40C9">
            <w:pPr>
              <w:pStyle w:val="MeasureTableTextLeftAligned"/>
            </w:pPr>
            <w:r>
              <w:t>A55</w:t>
            </w:r>
          </w:p>
        </w:tc>
      </w:tr>
      <w:tr w:rsidR="006E40C9" w14:paraId="72B8CE45" w14:textId="77777777">
        <w:trPr>
          <w:cantSplit/>
          <w:jc w:val="center"/>
        </w:trPr>
        <w:tc>
          <w:tcPr>
            <w:tcW w:w="1934" w:type="dxa"/>
            <w:gridSpan w:val="2"/>
            <w:tcBorders>
              <w:top w:val="nil"/>
              <w:bottom w:val="nil"/>
            </w:tcBorders>
          </w:tcPr>
          <w:p w14:paraId="1F6EEE6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BD8A9C" w14:textId="77777777" w:rsidR="006E40C9" w:rsidRPr="00584CA7" w:rsidRDefault="006E40C9">
            <w:pPr>
              <w:pStyle w:val="MeasureTableTextLeftAligned"/>
            </w:pPr>
            <w:r>
              <w:t>Low</w:t>
            </w:r>
          </w:p>
        </w:tc>
        <w:tc>
          <w:tcPr>
            <w:tcW w:w="1500" w:type="dxa"/>
            <w:gridSpan w:val="2"/>
            <w:tcBorders>
              <w:top w:val="nil"/>
              <w:bottom w:val="nil"/>
            </w:tcBorders>
          </w:tcPr>
          <w:p w14:paraId="6B7B79A8" w14:textId="77777777" w:rsidR="006E40C9" w:rsidRDefault="006E40C9">
            <w:pPr>
              <w:pStyle w:val="MeasureTableTextItalic"/>
            </w:pPr>
          </w:p>
        </w:tc>
        <w:tc>
          <w:tcPr>
            <w:tcW w:w="1124" w:type="dxa"/>
            <w:gridSpan w:val="2"/>
            <w:tcBorders>
              <w:top w:val="nil"/>
              <w:bottom w:val="nil"/>
            </w:tcBorders>
          </w:tcPr>
          <w:p w14:paraId="7AF70CF3" w14:textId="77777777" w:rsidR="006E40C9" w:rsidRDefault="006E40C9">
            <w:pPr>
              <w:pStyle w:val="MeasureTableTextLeftAligned"/>
            </w:pPr>
          </w:p>
        </w:tc>
      </w:tr>
      <w:tr w:rsidR="006E40C9" w14:paraId="5A405EB7" w14:textId="77777777">
        <w:trPr>
          <w:cantSplit/>
          <w:jc w:val="center"/>
        </w:trPr>
        <w:tc>
          <w:tcPr>
            <w:tcW w:w="1934" w:type="dxa"/>
            <w:gridSpan w:val="2"/>
            <w:tcBorders>
              <w:top w:val="nil"/>
              <w:bottom w:val="nil"/>
            </w:tcBorders>
          </w:tcPr>
          <w:p w14:paraId="36CE20FB" w14:textId="77777777" w:rsidR="006E40C9" w:rsidRDefault="006E40C9">
            <w:pPr>
              <w:pStyle w:val="MeasureTableTextItalic"/>
            </w:pPr>
            <w:r>
              <w:t>Commencement date:</w:t>
            </w:r>
          </w:p>
        </w:tc>
        <w:tc>
          <w:tcPr>
            <w:tcW w:w="3179" w:type="dxa"/>
            <w:gridSpan w:val="4"/>
            <w:tcBorders>
              <w:top w:val="nil"/>
              <w:bottom w:val="nil"/>
            </w:tcBorders>
          </w:tcPr>
          <w:p w14:paraId="1CD41706" w14:textId="77777777" w:rsidR="006E40C9" w:rsidRDefault="006E40C9">
            <w:pPr>
              <w:pStyle w:val="MeasureTableTextLeftAligned"/>
            </w:pPr>
            <w:r>
              <w:t>1 July 2017</w:t>
            </w:r>
          </w:p>
        </w:tc>
        <w:tc>
          <w:tcPr>
            <w:tcW w:w="1500" w:type="dxa"/>
            <w:gridSpan w:val="2"/>
            <w:tcBorders>
              <w:top w:val="nil"/>
              <w:bottom w:val="nil"/>
            </w:tcBorders>
          </w:tcPr>
          <w:p w14:paraId="0F8412DB" w14:textId="77777777" w:rsidR="006E40C9" w:rsidRPr="00F32057" w:rsidRDefault="006E40C9">
            <w:pPr>
              <w:pStyle w:val="MeasureTableTextItalic"/>
            </w:pPr>
            <w:r>
              <w:t>Expiry date:</w:t>
            </w:r>
          </w:p>
        </w:tc>
        <w:tc>
          <w:tcPr>
            <w:tcW w:w="1124" w:type="dxa"/>
            <w:gridSpan w:val="2"/>
            <w:tcBorders>
              <w:top w:val="nil"/>
              <w:bottom w:val="nil"/>
            </w:tcBorders>
          </w:tcPr>
          <w:p w14:paraId="58D40E95" w14:textId="77777777" w:rsidR="006E40C9" w:rsidRPr="00F32057" w:rsidRDefault="006E40C9">
            <w:pPr>
              <w:pStyle w:val="MeasureTableTextLeftAligned"/>
            </w:pPr>
          </w:p>
        </w:tc>
      </w:tr>
      <w:tr w:rsidR="006E40C9" w14:paraId="0D5C27FC" w14:textId="77777777">
        <w:trPr>
          <w:cantSplit/>
          <w:jc w:val="center"/>
        </w:trPr>
        <w:tc>
          <w:tcPr>
            <w:tcW w:w="1934" w:type="dxa"/>
            <w:gridSpan w:val="2"/>
            <w:tcBorders>
              <w:top w:val="nil"/>
            </w:tcBorders>
          </w:tcPr>
          <w:p w14:paraId="727E8498" w14:textId="77777777" w:rsidR="006E40C9" w:rsidRDefault="006E40C9">
            <w:pPr>
              <w:pStyle w:val="MeasureTableTextItalic"/>
            </w:pPr>
            <w:r>
              <w:t>Legislative reference:</w:t>
            </w:r>
          </w:p>
        </w:tc>
        <w:tc>
          <w:tcPr>
            <w:tcW w:w="5803" w:type="dxa"/>
            <w:gridSpan w:val="8"/>
            <w:tcBorders>
              <w:top w:val="nil"/>
            </w:tcBorders>
          </w:tcPr>
          <w:p w14:paraId="7AB1AD8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40-27 of the </w:t>
            </w:r>
            <w:r>
              <w:rPr>
                <w:rFonts w:ascii="Arial" w:hAnsi="Arial" w:cs="Arial"/>
                <w:i/>
                <w:iCs/>
                <w:color w:val="000000"/>
                <w:sz w:val="16"/>
                <w:szCs w:val="16"/>
              </w:rPr>
              <w:t>Income Tax Assessment Act 1997</w:t>
            </w:r>
          </w:p>
        </w:tc>
      </w:tr>
    </w:tbl>
    <w:p w14:paraId="2376AAB7" w14:textId="77777777" w:rsidR="006E40C9" w:rsidRPr="00540040" w:rsidRDefault="006E40C9" w:rsidP="006E40C9">
      <w:pPr>
        <w:pStyle w:val="MeasureTableHeading"/>
      </w:pPr>
    </w:p>
    <w:p w14:paraId="1A8002DA" w14:textId="77777777" w:rsidR="006E40C9" w:rsidRDefault="006E40C9" w:rsidP="006E40C9">
      <w:r>
        <w:t xml:space="preserve">Under the benchmark, expenses are only deductible if they are connected to an income earning activity. However, from 1 July 2017, plant and equipment depreciation deductions are limited to outlays actually incurred by investors in residential real estate properties. Plant and equipment </w:t>
      </w:r>
      <w:r>
        <w:fldChar w:fldCharType="begin"/>
      </w:r>
      <w:r>
        <w:instrText xml:space="preserve"> XE "</w:instrText>
      </w:r>
      <w:r w:rsidRPr="007425BB">
        <w:instrText>Plant and equipment depreciation</w:instrText>
      </w:r>
      <w:r>
        <w:instrText xml:space="preserve">" </w:instrText>
      </w:r>
      <w:r>
        <w:fldChar w:fldCharType="end"/>
      </w:r>
      <w:r>
        <w:t>items are usually mechanical fixtures or those which can be ‘easily’ removed from a property such as dishwashers and ceiling fans. Acquisitions of existing plant and equipment items will be reflected in the cost base for capital gains tax purposes for subsequent investors. Plant and equipment forming part of residential investment properties as of 9 May 2017 (including contracts already entered into at 7:30PM (AEST) on 9 May 2017) will continue to give rise to deductions for depreciation until either the investor no longer owns the asset, or the asset reaches the end of its effective life.</w:t>
      </w:r>
    </w:p>
    <w:p w14:paraId="3BFA2CE7" w14:textId="51AF5E1B" w:rsidR="006E40C9" w:rsidRDefault="006E40C9" w:rsidP="006E40C9">
      <w:pPr>
        <w:rPr>
          <w:rFonts w:eastAsia="Calibri"/>
          <w:lang w:eastAsia="en-US"/>
        </w:rPr>
      </w:pPr>
      <w:r>
        <w:t>This results in a negative tax</w:t>
      </w:r>
      <w:r w:rsidDel="00095135">
        <w:t xml:space="preserve"> </w:t>
      </w:r>
      <w:r>
        <w:t>expenditure, which reflects the general principle that individual taxpayers are entitled to a deduction for expenses incurred in earning assessable income.</w:t>
      </w:r>
      <w:r>
        <w:rPr>
          <w:rFonts w:eastAsia="Calibri"/>
          <w:lang w:eastAsia="en-US"/>
        </w:rPr>
        <w:fldChar w:fldCharType="begin"/>
      </w:r>
      <w:r>
        <w:instrText xml:space="preserve"> XE "Depreciation deductions" </w:instrText>
      </w:r>
      <w:r>
        <w:rPr>
          <w:rFonts w:eastAsia="Calibri"/>
          <w:lang w:eastAsia="en-US"/>
        </w:rPr>
        <w:fldChar w:fldCharType="end"/>
      </w:r>
    </w:p>
    <w:p w14:paraId="07996D3E" w14:textId="77777777" w:rsidR="006E40C9" w:rsidRDefault="006E40C9" w:rsidP="0003254D">
      <w:pPr>
        <w:pStyle w:val="Heading4"/>
      </w:pPr>
      <w:r>
        <w:t>A56</w:t>
      </w:r>
      <w:r>
        <w:tab/>
        <w:t>Part-year tax free threshold</w:t>
      </w:r>
    </w:p>
    <w:p w14:paraId="24009667" w14:textId="75718E1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F10B62C" w14:textId="77777777">
        <w:trPr>
          <w:cantSplit/>
          <w:jc w:val="center"/>
        </w:trPr>
        <w:tc>
          <w:tcPr>
            <w:tcW w:w="967" w:type="dxa"/>
            <w:tcBorders>
              <w:top w:val="single" w:sz="2" w:space="0" w:color="auto"/>
              <w:bottom w:val="single" w:sz="2" w:space="0" w:color="auto"/>
            </w:tcBorders>
          </w:tcPr>
          <w:p w14:paraId="4596ADB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092CC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AC5ACF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89DA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99A8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EBC62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1DE8D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7A40B2" w14:textId="77777777" w:rsidR="006E40C9" w:rsidRDefault="006E40C9">
            <w:pPr>
              <w:pStyle w:val="MeasureTableTextRightAligned"/>
            </w:pPr>
            <w:r>
              <w:t>2027-28</w:t>
            </w:r>
          </w:p>
        </w:tc>
      </w:tr>
      <w:tr w:rsidR="006E40C9" w14:paraId="374AD107" w14:textId="77777777">
        <w:trPr>
          <w:cantSplit/>
          <w:jc w:val="center"/>
        </w:trPr>
        <w:tc>
          <w:tcPr>
            <w:tcW w:w="967" w:type="dxa"/>
            <w:tcBorders>
              <w:top w:val="single" w:sz="2" w:space="0" w:color="auto"/>
              <w:bottom w:val="single" w:sz="2" w:space="0" w:color="auto"/>
            </w:tcBorders>
          </w:tcPr>
          <w:p w14:paraId="2F2970BB" w14:textId="77777777" w:rsidR="006E40C9" w:rsidRDefault="006E40C9">
            <w:pPr>
              <w:pStyle w:val="MeasureTableTextRightAligned"/>
            </w:pPr>
            <w:r>
              <w:t>-14</w:t>
            </w:r>
          </w:p>
        </w:tc>
        <w:tc>
          <w:tcPr>
            <w:tcW w:w="967" w:type="dxa"/>
            <w:tcBorders>
              <w:top w:val="single" w:sz="2" w:space="0" w:color="auto"/>
              <w:bottom w:val="single" w:sz="2" w:space="0" w:color="auto"/>
            </w:tcBorders>
          </w:tcPr>
          <w:p w14:paraId="63D678FE" w14:textId="77777777" w:rsidR="006E40C9" w:rsidRDefault="006E40C9">
            <w:pPr>
              <w:pStyle w:val="MeasureTableTextRightAligned"/>
            </w:pPr>
            <w:r>
              <w:t>-10</w:t>
            </w:r>
          </w:p>
        </w:tc>
        <w:tc>
          <w:tcPr>
            <w:tcW w:w="967" w:type="dxa"/>
            <w:tcBorders>
              <w:top w:val="single" w:sz="2" w:space="0" w:color="auto"/>
              <w:bottom w:val="single" w:sz="2" w:space="0" w:color="auto"/>
            </w:tcBorders>
            <w:vAlign w:val="bottom"/>
          </w:tcPr>
          <w:p w14:paraId="35EC97EB"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508CDE93"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47437CD4"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0318992D" w14:textId="77777777" w:rsidR="006E40C9" w:rsidRDefault="006E40C9">
            <w:pPr>
              <w:pStyle w:val="MeasureTableTextRightAligned"/>
            </w:pPr>
            <w:r>
              <w:t>-17</w:t>
            </w:r>
          </w:p>
        </w:tc>
        <w:tc>
          <w:tcPr>
            <w:tcW w:w="967" w:type="dxa"/>
            <w:gridSpan w:val="2"/>
            <w:tcBorders>
              <w:top w:val="single" w:sz="2" w:space="0" w:color="auto"/>
              <w:bottom w:val="single" w:sz="2" w:space="0" w:color="auto"/>
            </w:tcBorders>
            <w:vAlign w:val="bottom"/>
          </w:tcPr>
          <w:p w14:paraId="61B903C0" w14:textId="77777777" w:rsidR="006E40C9" w:rsidRDefault="006E40C9">
            <w:pPr>
              <w:pStyle w:val="MeasureTableTextRightAligned"/>
            </w:pPr>
            <w:r>
              <w:t>-17</w:t>
            </w:r>
          </w:p>
        </w:tc>
        <w:tc>
          <w:tcPr>
            <w:tcW w:w="968" w:type="dxa"/>
            <w:tcBorders>
              <w:top w:val="single" w:sz="2" w:space="0" w:color="auto"/>
              <w:bottom w:val="single" w:sz="2" w:space="0" w:color="auto"/>
            </w:tcBorders>
            <w:vAlign w:val="bottom"/>
          </w:tcPr>
          <w:p w14:paraId="11D1C3A2" w14:textId="77777777" w:rsidR="006E40C9" w:rsidRDefault="006E40C9">
            <w:pPr>
              <w:pStyle w:val="MeasureTableTextRightAligned"/>
            </w:pPr>
            <w:r>
              <w:t>-17</w:t>
            </w:r>
          </w:p>
        </w:tc>
      </w:tr>
      <w:tr w:rsidR="006E40C9" w14:paraId="78D86424" w14:textId="77777777">
        <w:trPr>
          <w:cantSplit/>
          <w:jc w:val="center"/>
        </w:trPr>
        <w:tc>
          <w:tcPr>
            <w:tcW w:w="1934" w:type="dxa"/>
            <w:gridSpan w:val="2"/>
            <w:tcBorders>
              <w:top w:val="single" w:sz="2" w:space="0" w:color="auto"/>
              <w:bottom w:val="nil"/>
            </w:tcBorders>
          </w:tcPr>
          <w:p w14:paraId="4C41D5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4B04444"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937B16E" w14:textId="717807F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EA2CC" w14:textId="77777777" w:rsidR="006E40C9" w:rsidRDefault="006E40C9">
            <w:pPr>
              <w:pStyle w:val="MeasureTableTextLeftAligned"/>
            </w:pPr>
            <w:r>
              <w:t>A56</w:t>
            </w:r>
          </w:p>
        </w:tc>
      </w:tr>
      <w:tr w:rsidR="006E40C9" w14:paraId="58AC3CF2" w14:textId="77777777">
        <w:trPr>
          <w:cantSplit/>
          <w:jc w:val="center"/>
        </w:trPr>
        <w:tc>
          <w:tcPr>
            <w:tcW w:w="1934" w:type="dxa"/>
            <w:gridSpan w:val="2"/>
            <w:tcBorders>
              <w:top w:val="nil"/>
              <w:bottom w:val="nil"/>
            </w:tcBorders>
          </w:tcPr>
          <w:p w14:paraId="2086B8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73516B" w14:textId="34DC6D3E"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20766B7" w14:textId="77777777" w:rsidR="006E40C9" w:rsidRDefault="006E40C9">
            <w:pPr>
              <w:pStyle w:val="MeasureTableTextItalic"/>
            </w:pPr>
          </w:p>
        </w:tc>
        <w:tc>
          <w:tcPr>
            <w:tcW w:w="1124" w:type="dxa"/>
            <w:gridSpan w:val="2"/>
            <w:tcBorders>
              <w:top w:val="nil"/>
              <w:bottom w:val="nil"/>
            </w:tcBorders>
          </w:tcPr>
          <w:p w14:paraId="30FC433D" w14:textId="77777777" w:rsidR="006E40C9" w:rsidRDefault="006E40C9">
            <w:pPr>
              <w:pStyle w:val="MeasureTableTextLeftAligned"/>
            </w:pPr>
          </w:p>
        </w:tc>
      </w:tr>
      <w:tr w:rsidR="006E40C9" w14:paraId="0118C10B" w14:textId="77777777">
        <w:trPr>
          <w:cantSplit/>
          <w:jc w:val="center"/>
        </w:trPr>
        <w:tc>
          <w:tcPr>
            <w:tcW w:w="1934" w:type="dxa"/>
            <w:gridSpan w:val="2"/>
            <w:tcBorders>
              <w:top w:val="nil"/>
              <w:bottom w:val="nil"/>
            </w:tcBorders>
          </w:tcPr>
          <w:p w14:paraId="62AAFC2F" w14:textId="77777777" w:rsidR="006E40C9" w:rsidRDefault="006E40C9">
            <w:pPr>
              <w:pStyle w:val="MeasureTableTextItalic"/>
            </w:pPr>
            <w:r>
              <w:t>Commencement date:</w:t>
            </w:r>
          </w:p>
        </w:tc>
        <w:tc>
          <w:tcPr>
            <w:tcW w:w="3179" w:type="dxa"/>
            <w:gridSpan w:val="4"/>
            <w:tcBorders>
              <w:top w:val="nil"/>
              <w:bottom w:val="nil"/>
            </w:tcBorders>
          </w:tcPr>
          <w:p w14:paraId="549982F8" w14:textId="77777777" w:rsidR="006E40C9" w:rsidRDefault="006E40C9">
            <w:pPr>
              <w:pStyle w:val="MeasureTableTextLeftAligned"/>
            </w:pPr>
            <w:r>
              <w:t>1 July 1986</w:t>
            </w:r>
          </w:p>
        </w:tc>
        <w:tc>
          <w:tcPr>
            <w:tcW w:w="1500" w:type="dxa"/>
            <w:gridSpan w:val="2"/>
            <w:tcBorders>
              <w:top w:val="nil"/>
              <w:bottom w:val="nil"/>
            </w:tcBorders>
          </w:tcPr>
          <w:p w14:paraId="20425384" w14:textId="77777777" w:rsidR="006E40C9" w:rsidRPr="00F32057" w:rsidRDefault="006E40C9">
            <w:pPr>
              <w:pStyle w:val="MeasureTableTextItalic"/>
            </w:pPr>
            <w:r>
              <w:t>Expiry date:</w:t>
            </w:r>
          </w:p>
        </w:tc>
        <w:tc>
          <w:tcPr>
            <w:tcW w:w="1124" w:type="dxa"/>
            <w:gridSpan w:val="2"/>
            <w:tcBorders>
              <w:top w:val="nil"/>
              <w:bottom w:val="nil"/>
            </w:tcBorders>
          </w:tcPr>
          <w:p w14:paraId="2B8AA640" w14:textId="77777777" w:rsidR="006E40C9" w:rsidRPr="00F32057" w:rsidRDefault="006E40C9">
            <w:pPr>
              <w:pStyle w:val="MeasureTableTextLeftAligned"/>
            </w:pPr>
          </w:p>
        </w:tc>
      </w:tr>
      <w:tr w:rsidR="006E40C9" w14:paraId="1AA81FD3" w14:textId="77777777">
        <w:trPr>
          <w:cantSplit/>
          <w:jc w:val="center"/>
        </w:trPr>
        <w:tc>
          <w:tcPr>
            <w:tcW w:w="1934" w:type="dxa"/>
            <w:gridSpan w:val="2"/>
            <w:tcBorders>
              <w:top w:val="nil"/>
            </w:tcBorders>
          </w:tcPr>
          <w:p w14:paraId="2DB263AB" w14:textId="77777777" w:rsidR="006E40C9" w:rsidRDefault="006E40C9">
            <w:pPr>
              <w:pStyle w:val="MeasureTableTextItalic"/>
            </w:pPr>
            <w:r>
              <w:t>Legislative reference:</w:t>
            </w:r>
          </w:p>
        </w:tc>
        <w:tc>
          <w:tcPr>
            <w:tcW w:w="5803" w:type="dxa"/>
            <w:gridSpan w:val="8"/>
            <w:tcBorders>
              <w:top w:val="nil"/>
            </w:tcBorders>
          </w:tcPr>
          <w:p w14:paraId="2FA652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16 to 20 of the </w:t>
            </w:r>
            <w:r>
              <w:rPr>
                <w:rFonts w:ascii="Arial" w:hAnsi="Arial" w:cs="Arial"/>
                <w:i/>
                <w:iCs/>
                <w:color w:val="000000"/>
                <w:sz w:val="16"/>
                <w:szCs w:val="16"/>
              </w:rPr>
              <w:t>Income Tax Rates Act 1986</w:t>
            </w:r>
          </w:p>
        </w:tc>
      </w:tr>
    </w:tbl>
    <w:p w14:paraId="3ED9AD38" w14:textId="77777777" w:rsidR="006E40C9" w:rsidRPr="00540040" w:rsidRDefault="006E40C9" w:rsidP="006E40C9">
      <w:pPr>
        <w:pStyle w:val="MeasureTableHeading"/>
      </w:pPr>
    </w:p>
    <w:p w14:paraId="3FD70B15" w14:textId="2C235AF5" w:rsidR="006E40C9" w:rsidRDefault="006E40C9" w:rsidP="006E40C9">
      <w:r>
        <w:t>Under the benchmark, income tax is paid on the taxable income of a taxpayer for an income year at their applicable rate. However, taxpayers who become an Australian resident for the first time, or cease to be an Australian resident, do not receive the full value of the statutory tax</w:t>
      </w:r>
      <w:r>
        <w:noBreakHyphen/>
        <w:t>free threshold. From 1 July 2012, they are able to access a tax</w:t>
      </w:r>
      <w:r>
        <w:noBreakHyphen/>
        <w:t>free threshold of at least $13,464, plus a pro</w:t>
      </w:r>
      <w:r>
        <w:noBreakHyphen/>
        <w:t xml:space="preserve">rated share of $4,736 corresponding to the number of months in the year that they are a resident for tax purposes. </w:t>
      </w:r>
    </w:p>
    <w:p w14:paraId="37D0FC98" w14:textId="77777777" w:rsidR="006E40C9" w:rsidRDefault="006E40C9" w:rsidP="0003254D">
      <w:pPr>
        <w:pStyle w:val="Heading4"/>
      </w:pPr>
      <w:r>
        <w:t>A57</w:t>
      </w:r>
      <w:r>
        <w:tab/>
        <w:t>Philanthropy – deduction for gifts to deductible gift recipients</w:t>
      </w:r>
    </w:p>
    <w:p w14:paraId="6777367F" w14:textId="4856B50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C4B86C" w14:textId="77777777">
        <w:trPr>
          <w:cantSplit/>
          <w:jc w:val="center"/>
        </w:trPr>
        <w:tc>
          <w:tcPr>
            <w:tcW w:w="967" w:type="dxa"/>
            <w:tcBorders>
              <w:top w:val="single" w:sz="2" w:space="0" w:color="auto"/>
              <w:bottom w:val="single" w:sz="2" w:space="0" w:color="auto"/>
            </w:tcBorders>
          </w:tcPr>
          <w:p w14:paraId="637299D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841EE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A14E7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04B21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4E9E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C17120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1C06D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3F2D97" w14:textId="77777777" w:rsidR="006E40C9" w:rsidRDefault="006E40C9">
            <w:pPr>
              <w:pStyle w:val="MeasureTableTextRightAligned"/>
            </w:pPr>
            <w:r>
              <w:t>2027-28</w:t>
            </w:r>
          </w:p>
        </w:tc>
      </w:tr>
      <w:tr w:rsidR="006E40C9" w14:paraId="51EBB5E6" w14:textId="77777777">
        <w:trPr>
          <w:cantSplit/>
          <w:jc w:val="center"/>
        </w:trPr>
        <w:tc>
          <w:tcPr>
            <w:tcW w:w="967" w:type="dxa"/>
            <w:tcBorders>
              <w:top w:val="single" w:sz="2" w:space="0" w:color="auto"/>
              <w:bottom w:val="single" w:sz="2" w:space="0" w:color="auto"/>
            </w:tcBorders>
          </w:tcPr>
          <w:p w14:paraId="79E3D468" w14:textId="77777777" w:rsidR="006E40C9" w:rsidRDefault="006E40C9">
            <w:pPr>
              <w:pStyle w:val="MeasureTableTextRightAligned"/>
            </w:pPr>
            <w:r>
              <w:t>1,615</w:t>
            </w:r>
          </w:p>
        </w:tc>
        <w:tc>
          <w:tcPr>
            <w:tcW w:w="967" w:type="dxa"/>
            <w:tcBorders>
              <w:top w:val="single" w:sz="2" w:space="0" w:color="auto"/>
              <w:bottom w:val="single" w:sz="2" w:space="0" w:color="auto"/>
            </w:tcBorders>
          </w:tcPr>
          <w:p w14:paraId="34589D6E" w14:textId="77777777" w:rsidR="006E40C9" w:rsidRDefault="006E40C9">
            <w:pPr>
              <w:pStyle w:val="MeasureTableTextRightAligned"/>
            </w:pPr>
            <w:r>
              <w:t>1,630</w:t>
            </w:r>
          </w:p>
        </w:tc>
        <w:tc>
          <w:tcPr>
            <w:tcW w:w="967" w:type="dxa"/>
            <w:tcBorders>
              <w:top w:val="single" w:sz="2" w:space="0" w:color="auto"/>
              <w:bottom w:val="single" w:sz="2" w:space="0" w:color="auto"/>
            </w:tcBorders>
            <w:vAlign w:val="bottom"/>
          </w:tcPr>
          <w:p w14:paraId="469C6458" w14:textId="77777777" w:rsidR="006E40C9" w:rsidRDefault="006E40C9">
            <w:pPr>
              <w:pStyle w:val="MeasureTableTextRightAligned"/>
            </w:pPr>
            <w:r>
              <w:t>1,535</w:t>
            </w:r>
          </w:p>
        </w:tc>
        <w:tc>
          <w:tcPr>
            <w:tcW w:w="967" w:type="dxa"/>
            <w:tcBorders>
              <w:top w:val="single" w:sz="2" w:space="0" w:color="auto"/>
              <w:bottom w:val="single" w:sz="2" w:space="0" w:color="auto"/>
            </w:tcBorders>
            <w:vAlign w:val="bottom"/>
          </w:tcPr>
          <w:p w14:paraId="78C26692" w14:textId="77777777" w:rsidR="006E40C9" w:rsidRDefault="006E40C9">
            <w:pPr>
              <w:pStyle w:val="MeasureTableTextRightAligned"/>
            </w:pPr>
            <w:r>
              <w:t>4,025</w:t>
            </w:r>
          </w:p>
        </w:tc>
        <w:tc>
          <w:tcPr>
            <w:tcW w:w="967" w:type="dxa"/>
            <w:tcBorders>
              <w:top w:val="single" w:sz="2" w:space="0" w:color="auto"/>
              <w:bottom w:val="single" w:sz="2" w:space="0" w:color="auto"/>
            </w:tcBorders>
            <w:vAlign w:val="bottom"/>
          </w:tcPr>
          <w:p w14:paraId="54E5F0BD" w14:textId="77777777" w:rsidR="006E40C9" w:rsidRDefault="006E40C9">
            <w:pPr>
              <w:pStyle w:val="MeasureTableTextRightAligned"/>
            </w:pPr>
            <w:r>
              <w:t>1,515</w:t>
            </w:r>
          </w:p>
        </w:tc>
        <w:tc>
          <w:tcPr>
            <w:tcW w:w="967" w:type="dxa"/>
            <w:gridSpan w:val="2"/>
            <w:tcBorders>
              <w:top w:val="single" w:sz="2" w:space="0" w:color="auto"/>
              <w:bottom w:val="single" w:sz="2" w:space="0" w:color="auto"/>
            </w:tcBorders>
            <w:vAlign w:val="bottom"/>
          </w:tcPr>
          <w:p w14:paraId="14516CB0" w14:textId="77777777" w:rsidR="006E40C9" w:rsidRDefault="006E40C9">
            <w:pPr>
              <w:pStyle w:val="MeasureTableTextRightAligned"/>
            </w:pPr>
            <w:r>
              <w:t>1,420</w:t>
            </w:r>
          </w:p>
        </w:tc>
        <w:tc>
          <w:tcPr>
            <w:tcW w:w="967" w:type="dxa"/>
            <w:gridSpan w:val="2"/>
            <w:tcBorders>
              <w:top w:val="single" w:sz="2" w:space="0" w:color="auto"/>
              <w:bottom w:val="single" w:sz="2" w:space="0" w:color="auto"/>
            </w:tcBorders>
            <w:vAlign w:val="bottom"/>
          </w:tcPr>
          <w:p w14:paraId="12C3503E" w14:textId="77777777" w:rsidR="006E40C9" w:rsidRDefault="006E40C9">
            <w:pPr>
              <w:pStyle w:val="MeasureTableTextRightAligned"/>
            </w:pPr>
            <w:r>
              <w:t>1,470</w:t>
            </w:r>
          </w:p>
        </w:tc>
        <w:tc>
          <w:tcPr>
            <w:tcW w:w="968" w:type="dxa"/>
            <w:tcBorders>
              <w:top w:val="single" w:sz="2" w:space="0" w:color="auto"/>
              <w:bottom w:val="single" w:sz="2" w:space="0" w:color="auto"/>
            </w:tcBorders>
            <w:vAlign w:val="bottom"/>
          </w:tcPr>
          <w:p w14:paraId="69EA05C1" w14:textId="77777777" w:rsidR="006E40C9" w:rsidRDefault="006E40C9">
            <w:pPr>
              <w:pStyle w:val="MeasureTableTextRightAligned"/>
            </w:pPr>
            <w:r>
              <w:t>1,520</w:t>
            </w:r>
          </w:p>
        </w:tc>
      </w:tr>
      <w:tr w:rsidR="006E40C9" w14:paraId="1223D542" w14:textId="77777777">
        <w:trPr>
          <w:cantSplit/>
          <w:jc w:val="center"/>
        </w:trPr>
        <w:tc>
          <w:tcPr>
            <w:tcW w:w="1934" w:type="dxa"/>
            <w:gridSpan w:val="2"/>
            <w:tcBorders>
              <w:top w:val="single" w:sz="2" w:space="0" w:color="auto"/>
              <w:bottom w:val="nil"/>
            </w:tcBorders>
          </w:tcPr>
          <w:p w14:paraId="5AAE0A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1E50B4B" w14:textId="77777777" w:rsidR="006E40C9" w:rsidRDefault="006E40C9">
            <w:pPr>
              <w:pStyle w:val="MeasureTableTextLeftAligned"/>
            </w:pPr>
            <w:r>
              <w:t>Deduction</w:t>
            </w:r>
          </w:p>
        </w:tc>
        <w:tc>
          <w:tcPr>
            <w:tcW w:w="1500" w:type="dxa"/>
            <w:gridSpan w:val="2"/>
            <w:tcBorders>
              <w:top w:val="single" w:sz="2" w:space="0" w:color="auto"/>
              <w:bottom w:val="nil"/>
            </w:tcBorders>
          </w:tcPr>
          <w:p w14:paraId="2AEF321C" w14:textId="4275FBF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622B4C" w14:textId="77777777" w:rsidR="006E40C9" w:rsidRDefault="006E40C9">
            <w:pPr>
              <w:pStyle w:val="MeasureTableTextLeftAligned"/>
            </w:pPr>
            <w:r>
              <w:t>A57</w:t>
            </w:r>
          </w:p>
        </w:tc>
      </w:tr>
      <w:tr w:rsidR="006E40C9" w14:paraId="61446873" w14:textId="77777777">
        <w:trPr>
          <w:cantSplit/>
          <w:jc w:val="center"/>
        </w:trPr>
        <w:tc>
          <w:tcPr>
            <w:tcW w:w="1934" w:type="dxa"/>
            <w:gridSpan w:val="2"/>
            <w:tcBorders>
              <w:top w:val="nil"/>
              <w:bottom w:val="nil"/>
            </w:tcBorders>
          </w:tcPr>
          <w:p w14:paraId="03B905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22D4A9" w14:textId="396883B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F454E62" w14:textId="77777777" w:rsidR="006E40C9" w:rsidRDefault="006E40C9">
            <w:pPr>
              <w:pStyle w:val="MeasureTableTextItalic"/>
            </w:pPr>
          </w:p>
        </w:tc>
        <w:tc>
          <w:tcPr>
            <w:tcW w:w="1124" w:type="dxa"/>
            <w:gridSpan w:val="2"/>
            <w:tcBorders>
              <w:top w:val="nil"/>
              <w:bottom w:val="nil"/>
            </w:tcBorders>
          </w:tcPr>
          <w:p w14:paraId="70DCCA29" w14:textId="77777777" w:rsidR="006E40C9" w:rsidRDefault="006E40C9">
            <w:pPr>
              <w:pStyle w:val="MeasureTableTextLeftAligned"/>
            </w:pPr>
          </w:p>
        </w:tc>
      </w:tr>
      <w:tr w:rsidR="006E40C9" w14:paraId="4AE22D27" w14:textId="77777777">
        <w:trPr>
          <w:cantSplit/>
          <w:jc w:val="center"/>
        </w:trPr>
        <w:tc>
          <w:tcPr>
            <w:tcW w:w="1934" w:type="dxa"/>
            <w:gridSpan w:val="2"/>
            <w:tcBorders>
              <w:top w:val="nil"/>
              <w:bottom w:val="nil"/>
            </w:tcBorders>
          </w:tcPr>
          <w:p w14:paraId="1867F0CD" w14:textId="77777777" w:rsidR="006E40C9" w:rsidRDefault="006E40C9">
            <w:pPr>
              <w:pStyle w:val="MeasureTableTextItalic"/>
            </w:pPr>
            <w:r>
              <w:t>Commencement date:</w:t>
            </w:r>
          </w:p>
        </w:tc>
        <w:tc>
          <w:tcPr>
            <w:tcW w:w="3179" w:type="dxa"/>
            <w:gridSpan w:val="4"/>
            <w:tcBorders>
              <w:top w:val="nil"/>
              <w:bottom w:val="nil"/>
            </w:tcBorders>
          </w:tcPr>
          <w:p w14:paraId="668DA6F6" w14:textId="77777777" w:rsidR="006E40C9" w:rsidRDefault="006E40C9">
            <w:pPr>
              <w:pStyle w:val="MeasureTableTextLeftAligned"/>
            </w:pPr>
            <w:r>
              <w:t>Introduced before 1985</w:t>
            </w:r>
          </w:p>
        </w:tc>
        <w:tc>
          <w:tcPr>
            <w:tcW w:w="1500" w:type="dxa"/>
            <w:gridSpan w:val="2"/>
            <w:tcBorders>
              <w:top w:val="nil"/>
              <w:bottom w:val="nil"/>
            </w:tcBorders>
          </w:tcPr>
          <w:p w14:paraId="634B17F0" w14:textId="77777777" w:rsidR="006E40C9" w:rsidRPr="00F32057" w:rsidRDefault="006E40C9">
            <w:pPr>
              <w:pStyle w:val="MeasureTableTextItalic"/>
            </w:pPr>
            <w:r>
              <w:t>Expiry date:</w:t>
            </w:r>
          </w:p>
        </w:tc>
        <w:tc>
          <w:tcPr>
            <w:tcW w:w="1124" w:type="dxa"/>
            <w:gridSpan w:val="2"/>
            <w:tcBorders>
              <w:top w:val="nil"/>
              <w:bottom w:val="nil"/>
            </w:tcBorders>
          </w:tcPr>
          <w:p w14:paraId="52E23398" w14:textId="77777777" w:rsidR="006E40C9" w:rsidRPr="00F32057" w:rsidRDefault="006E40C9">
            <w:pPr>
              <w:pStyle w:val="MeasureTableTextLeftAligned"/>
            </w:pPr>
          </w:p>
        </w:tc>
      </w:tr>
      <w:tr w:rsidR="006E40C9" w14:paraId="148609AF" w14:textId="77777777">
        <w:trPr>
          <w:cantSplit/>
          <w:jc w:val="center"/>
        </w:trPr>
        <w:tc>
          <w:tcPr>
            <w:tcW w:w="1934" w:type="dxa"/>
            <w:gridSpan w:val="2"/>
            <w:tcBorders>
              <w:top w:val="nil"/>
            </w:tcBorders>
          </w:tcPr>
          <w:p w14:paraId="61EB1053" w14:textId="77777777" w:rsidR="006E40C9" w:rsidRDefault="006E40C9">
            <w:pPr>
              <w:pStyle w:val="MeasureTableTextItalic"/>
            </w:pPr>
            <w:r>
              <w:t>Legislative reference:</w:t>
            </w:r>
          </w:p>
        </w:tc>
        <w:tc>
          <w:tcPr>
            <w:tcW w:w="5803" w:type="dxa"/>
            <w:gridSpan w:val="8"/>
            <w:tcBorders>
              <w:top w:val="nil"/>
            </w:tcBorders>
          </w:tcPr>
          <w:p w14:paraId="11DE343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30 of the </w:t>
            </w:r>
            <w:r>
              <w:rPr>
                <w:rFonts w:ascii="Arial" w:hAnsi="Arial" w:cs="Arial"/>
                <w:i/>
                <w:iCs/>
                <w:color w:val="000000"/>
                <w:sz w:val="16"/>
                <w:szCs w:val="16"/>
              </w:rPr>
              <w:t>Income Tax Assessment Act 1997</w:t>
            </w:r>
          </w:p>
        </w:tc>
      </w:tr>
    </w:tbl>
    <w:p w14:paraId="752E4108" w14:textId="77777777" w:rsidR="006E40C9" w:rsidRPr="00540040" w:rsidRDefault="006E40C9" w:rsidP="006E40C9">
      <w:pPr>
        <w:pStyle w:val="MeasureTableHeading"/>
      </w:pPr>
    </w:p>
    <w:p w14:paraId="0A81D488" w14:textId="27F2628A" w:rsidR="006E40C9" w:rsidRDefault="006E40C9" w:rsidP="006E40C9">
      <w:pPr>
        <w:rPr>
          <w:rFonts w:eastAsia="Calibri"/>
          <w:lang w:eastAsia="en-US"/>
        </w:rPr>
      </w:pPr>
      <w:r>
        <w:t>Under the benchmark, expenses are only deductible if they are connected to income earning activity. However, gifts of cash and property (subject to certain conditions) to deductible gift recipients are tax deductible.</w:t>
      </w:r>
      <w:r>
        <w:rPr>
          <w:rFonts w:eastAsia="Calibri"/>
          <w:lang w:eastAsia="en-US"/>
        </w:rPr>
        <w:t xml:space="preserve"> </w:t>
      </w:r>
      <w:r>
        <w:rPr>
          <w:rFonts w:eastAsia="Calibri"/>
          <w:lang w:eastAsia="en-US"/>
        </w:rPr>
        <w:fldChar w:fldCharType="begin"/>
      </w:r>
      <w:r>
        <w:instrText xml:space="preserve"> XE "Deductible gift recipients" </w:instrText>
      </w:r>
      <w:r>
        <w:rPr>
          <w:rFonts w:eastAsia="Calibri"/>
          <w:lang w:eastAsia="en-US"/>
        </w:rPr>
        <w:fldChar w:fldCharType="end"/>
      </w:r>
    </w:p>
    <w:p w14:paraId="31C32C5D" w14:textId="28CD3526" w:rsidR="006E40C9" w:rsidRDefault="006E40C9" w:rsidP="0003254D">
      <w:pPr>
        <w:pStyle w:val="Heading4"/>
      </w:pPr>
      <w:r>
        <w:t>A58</w:t>
      </w:r>
      <w:r>
        <w:tab/>
        <w:t xml:space="preserve">Philanthropy – deduction for gifts to private </w:t>
      </w:r>
      <w:r w:rsidR="00D3034C">
        <w:t>giving</w:t>
      </w:r>
      <w:r>
        <w:t xml:space="preserve"> funds</w:t>
      </w:r>
    </w:p>
    <w:p w14:paraId="2789C627" w14:textId="5F7093E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9D8222" w14:textId="77777777">
        <w:trPr>
          <w:cantSplit/>
          <w:jc w:val="center"/>
        </w:trPr>
        <w:tc>
          <w:tcPr>
            <w:tcW w:w="967" w:type="dxa"/>
            <w:tcBorders>
              <w:top w:val="single" w:sz="2" w:space="0" w:color="auto"/>
              <w:bottom w:val="single" w:sz="2" w:space="0" w:color="auto"/>
            </w:tcBorders>
          </w:tcPr>
          <w:p w14:paraId="6B837BE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E34BCB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83949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B7E9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953E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8A95F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77DF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99956A3" w14:textId="77777777" w:rsidR="006E40C9" w:rsidRDefault="006E40C9">
            <w:pPr>
              <w:pStyle w:val="MeasureTableTextRightAligned"/>
            </w:pPr>
            <w:r>
              <w:t>2027-28</w:t>
            </w:r>
          </w:p>
        </w:tc>
      </w:tr>
      <w:tr w:rsidR="006E40C9" w14:paraId="5DA675F8" w14:textId="77777777">
        <w:trPr>
          <w:cantSplit/>
          <w:jc w:val="center"/>
        </w:trPr>
        <w:tc>
          <w:tcPr>
            <w:tcW w:w="967" w:type="dxa"/>
            <w:tcBorders>
              <w:top w:val="single" w:sz="2" w:space="0" w:color="auto"/>
              <w:bottom w:val="single" w:sz="2" w:space="0" w:color="auto"/>
            </w:tcBorders>
          </w:tcPr>
          <w:p w14:paraId="279620CE" w14:textId="77777777" w:rsidR="006E40C9" w:rsidRDefault="006E40C9">
            <w:pPr>
              <w:pStyle w:val="MeasureTableTextRightAligned"/>
            </w:pPr>
            <w:r>
              <w:t>355</w:t>
            </w:r>
          </w:p>
        </w:tc>
        <w:tc>
          <w:tcPr>
            <w:tcW w:w="967" w:type="dxa"/>
            <w:tcBorders>
              <w:top w:val="single" w:sz="2" w:space="0" w:color="auto"/>
              <w:bottom w:val="single" w:sz="2" w:space="0" w:color="auto"/>
            </w:tcBorders>
          </w:tcPr>
          <w:p w14:paraId="45753921" w14:textId="77777777" w:rsidR="006E40C9" w:rsidRDefault="006E40C9">
            <w:pPr>
              <w:pStyle w:val="MeasureTableTextRightAligned"/>
            </w:pPr>
            <w:r>
              <w:t>530</w:t>
            </w:r>
          </w:p>
        </w:tc>
        <w:tc>
          <w:tcPr>
            <w:tcW w:w="967" w:type="dxa"/>
            <w:tcBorders>
              <w:top w:val="single" w:sz="2" w:space="0" w:color="auto"/>
              <w:bottom w:val="single" w:sz="2" w:space="0" w:color="auto"/>
            </w:tcBorders>
            <w:vAlign w:val="bottom"/>
          </w:tcPr>
          <w:p w14:paraId="3D1D8CF7"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31B5C1BD" w14:textId="77777777" w:rsidR="006E40C9" w:rsidRDefault="006E40C9">
            <w:pPr>
              <w:pStyle w:val="MeasureTableTextRightAligned"/>
            </w:pPr>
            <w:r>
              <w:t>680</w:t>
            </w:r>
          </w:p>
        </w:tc>
        <w:tc>
          <w:tcPr>
            <w:tcW w:w="967" w:type="dxa"/>
            <w:tcBorders>
              <w:top w:val="single" w:sz="2" w:space="0" w:color="auto"/>
              <w:bottom w:val="single" w:sz="2" w:space="0" w:color="auto"/>
            </w:tcBorders>
            <w:vAlign w:val="bottom"/>
          </w:tcPr>
          <w:p w14:paraId="24D6399E"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496D2097" w14:textId="77777777" w:rsidR="006E40C9" w:rsidRDefault="006E40C9">
            <w:pPr>
              <w:pStyle w:val="MeasureTableTextRightAligned"/>
            </w:pPr>
            <w:r>
              <w:t>720</w:t>
            </w:r>
          </w:p>
        </w:tc>
        <w:tc>
          <w:tcPr>
            <w:tcW w:w="967" w:type="dxa"/>
            <w:gridSpan w:val="2"/>
            <w:tcBorders>
              <w:top w:val="single" w:sz="2" w:space="0" w:color="auto"/>
              <w:bottom w:val="single" w:sz="2" w:space="0" w:color="auto"/>
            </w:tcBorders>
            <w:vAlign w:val="bottom"/>
          </w:tcPr>
          <w:p w14:paraId="7A88118D" w14:textId="77777777" w:rsidR="006E40C9" w:rsidRDefault="006E40C9">
            <w:pPr>
              <w:pStyle w:val="MeasureTableTextRightAligned"/>
            </w:pPr>
            <w:r>
              <w:t>740</w:t>
            </w:r>
          </w:p>
        </w:tc>
        <w:tc>
          <w:tcPr>
            <w:tcW w:w="968" w:type="dxa"/>
            <w:tcBorders>
              <w:top w:val="single" w:sz="2" w:space="0" w:color="auto"/>
              <w:bottom w:val="single" w:sz="2" w:space="0" w:color="auto"/>
            </w:tcBorders>
            <w:vAlign w:val="bottom"/>
          </w:tcPr>
          <w:p w14:paraId="5116401D" w14:textId="77777777" w:rsidR="006E40C9" w:rsidRDefault="006E40C9">
            <w:pPr>
              <w:pStyle w:val="MeasureTableTextRightAligned"/>
            </w:pPr>
            <w:r>
              <w:t>765</w:t>
            </w:r>
          </w:p>
        </w:tc>
      </w:tr>
      <w:tr w:rsidR="006E40C9" w14:paraId="7CDEE363" w14:textId="77777777">
        <w:trPr>
          <w:cantSplit/>
          <w:jc w:val="center"/>
        </w:trPr>
        <w:tc>
          <w:tcPr>
            <w:tcW w:w="1934" w:type="dxa"/>
            <w:gridSpan w:val="2"/>
            <w:tcBorders>
              <w:top w:val="single" w:sz="2" w:space="0" w:color="auto"/>
              <w:bottom w:val="nil"/>
            </w:tcBorders>
          </w:tcPr>
          <w:p w14:paraId="5608985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C91501" w14:textId="77777777" w:rsidR="006E40C9" w:rsidRDefault="006E40C9">
            <w:pPr>
              <w:pStyle w:val="MeasureTableTextLeftAligned"/>
            </w:pPr>
            <w:r>
              <w:t>Deduction</w:t>
            </w:r>
          </w:p>
        </w:tc>
        <w:tc>
          <w:tcPr>
            <w:tcW w:w="1500" w:type="dxa"/>
            <w:gridSpan w:val="2"/>
            <w:tcBorders>
              <w:top w:val="single" w:sz="2" w:space="0" w:color="auto"/>
              <w:bottom w:val="nil"/>
            </w:tcBorders>
          </w:tcPr>
          <w:p w14:paraId="17378136" w14:textId="07AAA99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64B0C9" w14:textId="77777777" w:rsidR="006E40C9" w:rsidRDefault="006E40C9">
            <w:pPr>
              <w:pStyle w:val="MeasureTableTextLeftAligned"/>
            </w:pPr>
            <w:r>
              <w:t>A58</w:t>
            </w:r>
          </w:p>
        </w:tc>
      </w:tr>
      <w:tr w:rsidR="006E40C9" w14:paraId="2A6654B6" w14:textId="77777777">
        <w:trPr>
          <w:cantSplit/>
          <w:jc w:val="center"/>
        </w:trPr>
        <w:tc>
          <w:tcPr>
            <w:tcW w:w="1934" w:type="dxa"/>
            <w:gridSpan w:val="2"/>
            <w:tcBorders>
              <w:top w:val="nil"/>
              <w:bottom w:val="nil"/>
            </w:tcBorders>
          </w:tcPr>
          <w:p w14:paraId="0DC63B0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D39BAB" w14:textId="23F00D3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907A8F7" w14:textId="77777777" w:rsidR="006E40C9" w:rsidRDefault="006E40C9">
            <w:pPr>
              <w:pStyle w:val="MeasureTableTextItalic"/>
            </w:pPr>
          </w:p>
        </w:tc>
        <w:tc>
          <w:tcPr>
            <w:tcW w:w="1124" w:type="dxa"/>
            <w:gridSpan w:val="2"/>
            <w:tcBorders>
              <w:top w:val="nil"/>
              <w:bottom w:val="nil"/>
            </w:tcBorders>
          </w:tcPr>
          <w:p w14:paraId="75E9EE42" w14:textId="77777777" w:rsidR="006E40C9" w:rsidRDefault="006E40C9">
            <w:pPr>
              <w:pStyle w:val="MeasureTableTextLeftAligned"/>
            </w:pPr>
          </w:p>
        </w:tc>
      </w:tr>
      <w:tr w:rsidR="006E40C9" w14:paraId="29B6B408" w14:textId="77777777">
        <w:trPr>
          <w:cantSplit/>
          <w:jc w:val="center"/>
        </w:trPr>
        <w:tc>
          <w:tcPr>
            <w:tcW w:w="1934" w:type="dxa"/>
            <w:gridSpan w:val="2"/>
            <w:tcBorders>
              <w:top w:val="nil"/>
              <w:bottom w:val="nil"/>
            </w:tcBorders>
          </w:tcPr>
          <w:p w14:paraId="32CC91F9" w14:textId="77777777" w:rsidR="006E40C9" w:rsidRDefault="006E40C9">
            <w:pPr>
              <w:pStyle w:val="MeasureTableTextItalic"/>
            </w:pPr>
            <w:r>
              <w:t>Commencement date:</w:t>
            </w:r>
          </w:p>
        </w:tc>
        <w:tc>
          <w:tcPr>
            <w:tcW w:w="3179" w:type="dxa"/>
            <w:gridSpan w:val="4"/>
            <w:tcBorders>
              <w:top w:val="nil"/>
              <w:bottom w:val="nil"/>
            </w:tcBorders>
          </w:tcPr>
          <w:p w14:paraId="6D08DEB6" w14:textId="77777777" w:rsidR="006E40C9" w:rsidRDefault="006E40C9">
            <w:pPr>
              <w:pStyle w:val="MeasureTableTextLeftAligned"/>
            </w:pPr>
            <w:r>
              <w:t>1 October 2009</w:t>
            </w:r>
          </w:p>
        </w:tc>
        <w:tc>
          <w:tcPr>
            <w:tcW w:w="1500" w:type="dxa"/>
            <w:gridSpan w:val="2"/>
            <w:tcBorders>
              <w:top w:val="nil"/>
              <w:bottom w:val="nil"/>
            </w:tcBorders>
          </w:tcPr>
          <w:p w14:paraId="0854E37B" w14:textId="77777777" w:rsidR="006E40C9" w:rsidRPr="00F32057" w:rsidRDefault="006E40C9">
            <w:pPr>
              <w:pStyle w:val="MeasureTableTextItalic"/>
            </w:pPr>
            <w:r>
              <w:t>Expiry date:</w:t>
            </w:r>
          </w:p>
        </w:tc>
        <w:tc>
          <w:tcPr>
            <w:tcW w:w="1124" w:type="dxa"/>
            <w:gridSpan w:val="2"/>
            <w:tcBorders>
              <w:top w:val="nil"/>
              <w:bottom w:val="nil"/>
            </w:tcBorders>
          </w:tcPr>
          <w:p w14:paraId="3BA7A6CC" w14:textId="77777777" w:rsidR="006E40C9" w:rsidRPr="00F32057" w:rsidRDefault="006E40C9">
            <w:pPr>
              <w:pStyle w:val="MeasureTableTextLeftAligned"/>
            </w:pPr>
          </w:p>
        </w:tc>
      </w:tr>
      <w:tr w:rsidR="006E40C9" w14:paraId="0AC0F555" w14:textId="77777777">
        <w:trPr>
          <w:cantSplit/>
          <w:jc w:val="center"/>
        </w:trPr>
        <w:tc>
          <w:tcPr>
            <w:tcW w:w="1934" w:type="dxa"/>
            <w:gridSpan w:val="2"/>
            <w:tcBorders>
              <w:top w:val="nil"/>
            </w:tcBorders>
          </w:tcPr>
          <w:p w14:paraId="61255B2A" w14:textId="77777777" w:rsidR="006E40C9" w:rsidRDefault="006E40C9">
            <w:pPr>
              <w:pStyle w:val="MeasureTableTextItalic"/>
            </w:pPr>
            <w:r>
              <w:t>Legislative reference:</w:t>
            </w:r>
          </w:p>
        </w:tc>
        <w:tc>
          <w:tcPr>
            <w:tcW w:w="5803" w:type="dxa"/>
            <w:gridSpan w:val="8"/>
            <w:tcBorders>
              <w:top w:val="nil"/>
            </w:tcBorders>
          </w:tcPr>
          <w:p w14:paraId="7127464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Item 2 of the table in Section 30-15 of the</w:t>
            </w:r>
            <w:r>
              <w:rPr>
                <w:rFonts w:ascii="Arial" w:hAnsi="Arial" w:cs="Arial"/>
                <w:i/>
                <w:iCs/>
                <w:color w:val="000000"/>
                <w:sz w:val="16"/>
                <w:szCs w:val="16"/>
              </w:rPr>
              <w:t xml:space="preserve"> Income Tax Assessment Act 1997</w:t>
            </w:r>
          </w:p>
        </w:tc>
      </w:tr>
    </w:tbl>
    <w:p w14:paraId="27906D03" w14:textId="77777777" w:rsidR="006E40C9" w:rsidRPr="00540040" w:rsidRDefault="006E40C9" w:rsidP="006E40C9">
      <w:pPr>
        <w:pStyle w:val="MeasureTableHeading"/>
      </w:pPr>
    </w:p>
    <w:p w14:paraId="6AB2C93B" w14:textId="1BD418D4" w:rsidR="006E40C9" w:rsidRDefault="006E40C9" w:rsidP="006E40C9">
      <w:r>
        <w:t>Under the benchmark, expenses are only deductible if they are connected to income earning activity. However, gifts of cash and property (subject to certain conditions</w:t>
      </w:r>
      <w:r w:rsidR="00F42F0C">
        <w:t>)</w:t>
      </w:r>
      <w:r>
        <w:t xml:space="preserve"> to private </w:t>
      </w:r>
      <w:r w:rsidR="009B00B0">
        <w:t>giving</w:t>
      </w:r>
      <w:r>
        <w:t xml:space="preserve"> funds</w:t>
      </w:r>
      <w:r>
        <w:fldChar w:fldCharType="begin"/>
      </w:r>
      <w:r>
        <w:instrText xml:space="preserve"> XE "Private Ancillary Funds" </w:instrText>
      </w:r>
      <w:r>
        <w:fldChar w:fldCharType="end"/>
      </w:r>
      <w:r>
        <w:t xml:space="preserve"> that have deductible gift recipient</w:t>
      </w:r>
      <w:r>
        <w:fldChar w:fldCharType="begin"/>
      </w:r>
      <w:r>
        <w:instrText xml:space="preserve"> XE "Deductible gift recipients" </w:instrText>
      </w:r>
      <w:r>
        <w:fldChar w:fldCharType="end"/>
      </w:r>
      <w:r>
        <w:t xml:space="preserve"> status are tax deductible. Private </w:t>
      </w:r>
      <w:r w:rsidR="009B00B0">
        <w:t>giving</w:t>
      </w:r>
      <w:r>
        <w:t xml:space="preserve"> funds are funds established by businesses, families and individuals solely for the purpose of disbursing funds to deductible gift recipients, or the establishment of deductible gift recipients.</w:t>
      </w:r>
    </w:p>
    <w:p w14:paraId="67DEBEAA" w14:textId="77777777" w:rsidR="006E40C9" w:rsidRDefault="006E40C9" w:rsidP="0003254D">
      <w:pPr>
        <w:pStyle w:val="Heading3"/>
      </w:pPr>
      <w:r>
        <w:t>Concessions under the substantiation provisions for employment-related expenses</w:t>
      </w:r>
    </w:p>
    <w:p w14:paraId="67455E9D" w14:textId="77777777" w:rsidR="006E40C9" w:rsidRDefault="006E40C9" w:rsidP="0003254D">
      <w:pPr>
        <w:pStyle w:val="Heading4"/>
      </w:pPr>
      <w:r>
        <w:t>A59</w:t>
      </w:r>
      <w:r>
        <w:tab/>
        <w:t>Car expenses – alternatives to the logbook method</w:t>
      </w:r>
    </w:p>
    <w:p w14:paraId="6B4BAB96" w14:textId="27F68AE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699113" w14:textId="77777777">
        <w:trPr>
          <w:cantSplit/>
          <w:jc w:val="center"/>
        </w:trPr>
        <w:tc>
          <w:tcPr>
            <w:tcW w:w="967" w:type="dxa"/>
            <w:tcBorders>
              <w:top w:val="single" w:sz="2" w:space="0" w:color="auto"/>
              <w:bottom w:val="single" w:sz="2" w:space="0" w:color="auto"/>
            </w:tcBorders>
          </w:tcPr>
          <w:p w14:paraId="510291A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A9B812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AB761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1DC66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50628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E0FF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1C25A1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807703C" w14:textId="77777777" w:rsidR="006E40C9" w:rsidRDefault="006E40C9">
            <w:pPr>
              <w:pStyle w:val="MeasureTableTextRightAligned"/>
            </w:pPr>
            <w:r>
              <w:t>2027-28</w:t>
            </w:r>
          </w:p>
        </w:tc>
      </w:tr>
      <w:tr w:rsidR="006E40C9" w14:paraId="699DFB2A" w14:textId="77777777">
        <w:trPr>
          <w:cantSplit/>
          <w:jc w:val="center"/>
        </w:trPr>
        <w:tc>
          <w:tcPr>
            <w:tcW w:w="967" w:type="dxa"/>
            <w:tcBorders>
              <w:top w:val="single" w:sz="2" w:space="0" w:color="auto"/>
              <w:bottom w:val="single" w:sz="2" w:space="0" w:color="auto"/>
            </w:tcBorders>
          </w:tcPr>
          <w:p w14:paraId="4CEF7997"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1881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CB35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18A0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4C929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43B4A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1AAB71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3EB476" w14:textId="77777777" w:rsidR="006E40C9" w:rsidRDefault="006E40C9">
            <w:pPr>
              <w:pStyle w:val="MeasureTableTextRightAligned"/>
            </w:pPr>
            <w:r>
              <w:t>*</w:t>
            </w:r>
          </w:p>
        </w:tc>
      </w:tr>
      <w:tr w:rsidR="006E40C9" w14:paraId="6810494B" w14:textId="77777777">
        <w:trPr>
          <w:cantSplit/>
          <w:jc w:val="center"/>
        </w:trPr>
        <w:tc>
          <w:tcPr>
            <w:tcW w:w="1934" w:type="dxa"/>
            <w:gridSpan w:val="2"/>
            <w:tcBorders>
              <w:top w:val="single" w:sz="2" w:space="0" w:color="auto"/>
              <w:bottom w:val="nil"/>
            </w:tcBorders>
          </w:tcPr>
          <w:p w14:paraId="6CB974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B5DCE3" w14:textId="77777777" w:rsidR="006E40C9" w:rsidRDefault="006E40C9">
            <w:pPr>
              <w:pStyle w:val="MeasureTableTextLeftAligned"/>
            </w:pPr>
            <w:r>
              <w:t>Deduction</w:t>
            </w:r>
          </w:p>
        </w:tc>
        <w:tc>
          <w:tcPr>
            <w:tcW w:w="1500" w:type="dxa"/>
            <w:gridSpan w:val="2"/>
            <w:tcBorders>
              <w:top w:val="single" w:sz="2" w:space="0" w:color="auto"/>
              <w:bottom w:val="nil"/>
            </w:tcBorders>
          </w:tcPr>
          <w:p w14:paraId="58E7BA6B" w14:textId="67C213D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E77F6D" w14:textId="77777777" w:rsidR="006E40C9" w:rsidRDefault="006E40C9">
            <w:pPr>
              <w:pStyle w:val="MeasureTableTextLeftAligned"/>
            </w:pPr>
            <w:r>
              <w:t>A59</w:t>
            </w:r>
          </w:p>
        </w:tc>
      </w:tr>
      <w:tr w:rsidR="006E40C9" w14:paraId="2866A41C" w14:textId="77777777">
        <w:trPr>
          <w:cantSplit/>
          <w:jc w:val="center"/>
        </w:trPr>
        <w:tc>
          <w:tcPr>
            <w:tcW w:w="1934" w:type="dxa"/>
            <w:gridSpan w:val="2"/>
            <w:tcBorders>
              <w:top w:val="nil"/>
              <w:bottom w:val="nil"/>
            </w:tcBorders>
          </w:tcPr>
          <w:p w14:paraId="53D8B42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838027" w14:textId="77777777" w:rsidR="006E40C9" w:rsidRPr="00584CA7" w:rsidRDefault="006E40C9">
            <w:pPr>
              <w:pStyle w:val="MeasureTableTextLeftAligned"/>
            </w:pPr>
            <w:r>
              <w:t>Not Applicable</w:t>
            </w:r>
          </w:p>
        </w:tc>
        <w:tc>
          <w:tcPr>
            <w:tcW w:w="1500" w:type="dxa"/>
            <w:gridSpan w:val="2"/>
            <w:tcBorders>
              <w:top w:val="nil"/>
              <w:bottom w:val="nil"/>
            </w:tcBorders>
          </w:tcPr>
          <w:p w14:paraId="3ED81F0D" w14:textId="77777777" w:rsidR="006E40C9" w:rsidRDefault="006E40C9">
            <w:pPr>
              <w:pStyle w:val="MeasureTableTextItalic"/>
            </w:pPr>
            <w:r>
              <w:t>* Category</w:t>
            </w:r>
          </w:p>
        </w:tc>
        <w:tc>
          <w:tcPr>
            <w:tcW w:w="1124" w:type="dxa"/>
            <w:gridSpan w:val="2"/>
            <w:tcBorders>
              <w:top w:val="nil"/>
              <w:bottom w:val="nil"/>
            </w:tcBorders>
          </w:tcPr>
          <w:p w14:paraId="042C091F" w14:textId="77777777" w:rsidR="006E40C9" w:rsidRDefault="006E40C9">
            <w:pPr>
              <w:pStyle w:val="MeasureTableTextLeftAligned"/>
            </w:pPr>
            <w:r>
              <w:t>3+</w:t>
            </w:r>
          </w:p>
        </w:tc>
      </w:tr>
      <w:tr w:rsidR="006E40C9" w14:paraId="5D9D0006" w14:textId="77777777">
        <w:trPr>
          <w:cantSplit/>
          <w:jc w:val="center"/>
        </w:trPr>
        <w:tc>
          <w:tcPr>
            <w:tcW w:w="1934" w:type="dxa"/>
            <w:gridSpan w:val="2"/>
            <w:tcBorders>
              <w:top w:val="nil"/>
              <w:bottom w:val="nil"/>
            </w:tcBorders>
          </w:tcPr>
          <w:p w14:paraId="04B28258" w14:textId="77777777" w:rsidR="006E40C9" w:rsidRDefault="006E40C9">
            <w:pPr>
              <w:pStyle w:val="MeasureTableTextItalic"/>
            </w:pPr>
            <w:r>
              <w:t>Commencement date:</w:t>
            </w:r>
          </w:p>
        </w:tc>
        <w:tc>
          <w:tcPr>
            <w:tcW w:w="3179" w:type="dxa"/>
            <w:gridSpan w:val="4"/>
            <w:tcBorders>
              <w:top w:val="nil"/>
              <w:bottom w:val="nil"/>
            </w:tcBorders>
          </w:tcPr>
          <w:p w14:paraId="4F3F17F9" w14:textId="77777777" w:rsidR="006E40C9" w:rsidRDefault="006E40C9">
            <w:pPr>
              <w:pStyle w:val="MeasureTableTextLeftAligned"/>
            </w:pPr>
            <w:r>
              <w:t>1 July 1986</w:t>
            </w:r>
          </w:p>
        </w:tc>
        <w:tc>
          <w:tcPr>
            <w:tcW w:w="1500" w:type="dxa"/>
            <w:gridSpan w:val="2"/>
            <w:tcBorders>
              <w:top w:val="nil"/>
              <w:bottom w:val="nil"/>
            </w:tcBorders>
          </w:tcPr>
          <w:p w14:paraId="42879987" w14:textId="77777777" w:rsidR="006E40C9" w:rsidRPr="00F32057" w:rsidRDefault="006E40C9">
            <w:pPr>
              <w:pStyle w:val="MeasureTableTextItalic"/>
            </w:pPr>
            <w:r>
              <w:t>Expiry date:</w:t>
            </w:r>
          </w:p>
        </w:tc>
        <w:tc>
          <w:tcPr>
            <w:tcW w:w="1124" w:type="dxa"/>
            <w:gridSpan w:val="2"/>
            <w:tcBorders>
              <w:top w:val="nil"/>
              <w:bottom w:val="nil"/>
            </w:tcBorders>
          </w:tcPr>
          <w:p w14:paraId="6719A35C" w14:textId="77777777" w:rsidR="006E40C9" w:rsidRPr="00F32057" w:rsidRDefault="006E40C9">
            <w:pPr>
              <w:pStyle w:val="MeasureTableTextLeftAligned"/>
            </w:pPr>
          </w:p>
        </w:tc>
      </w:tr>
      <w:tr w:rsidR="006E40C9" w14:paraId="3C38BD2E" w14:textId="77777777">
        <w:trPr>
          <w:cantSplit/>
          <w:jc w:val="center"/>
        </w:trPr>
        <w:tc>
          <w:tcPr>
            <w:tcW w:w="1934" w:type="dxa"/>
            <w:gridSpan w:val="2"/>
            <w:tcBorders>
              <w:top w:val="nil"/>
            </w:tcBorders>
          </w:tcPr>
          <w:p w14:paraId="6B16CCD4" w14:textId="77777777" w:rsidR="006E40C9" w:rsidRDefault="006E40C9">
            <w:pPr>
              <w:pStyle w:val="MeasureTableTextItalic"/>
            </w:pPr>
            <w:r>
              <w:t>Legislative reference:</w:t>
            </w:r>
          </w:p>
        </w:tc>
        <w:tc>
          <w:tcPr>
            <w:tcW w:w="5803" w:type="dxa"/>
            <w:gridSpan w:val="8"/>
            <w:tcBorders>
              <w:top w:val="nil"/>
            </w:tcBorders>
          </w:tcPr>
          <w:p w14:paraId="64BCDB5F" w14:textId="77777777" w:rsidR="006E40C9" w:rsidRPr="00F32057" w:rsidRDefault="006E40C9">
            <w:pPr>
              <w:keepNext/>
              <w:widowControl w:val="0"/>
              <w:autoSpaceDE w:val="0"/>
              <w:autoSpaceDN w:val="0"/>
              <w:adjustRightInd w:val="0"/>
              <w:spacing w:before="20" w:after="20" w:line="240" w:lineRule="auto"/>
            </w:pPr>
            <w:r>
              <w:rPr>
                <w:rFonts w:ascii="Arial" w:hAnsi="Arial" w:cs="Arial"/>
                <w:color w:val="000000"/>
                <w:sz w:val="16"/>
                <w:szCs w:val="16"/>
              </w:rPr>
              <w:t xml:space="preserve">Division 28 of the </w:t>
            </w:r>
            <w:r>
              <w:rPr>
                <w:rFonts w:ascii="Arial" w:hAnsi="Arial" w:cs="Arial"/>
                <w:i/>
                <w:iCs/>
                <w:color w:val="000000"/>
                <w:sz w:val="16"/>
                <w:szCs w:val="16"/>
              </w:rPr>
              <w:t>Income Tax Assessment Act 1997</w:t>
            </w:r>
          </w:p>
        </w:tc>
      </w:tr>
    </w:tbl>
    <w:p w14:paraId="67BE563D" w14:textId="77777777" w:rsidR="006E40C9" w:rsidRPr="00540040" w:rsidRDefault="006E40C9" w:rsidP="006E40C9">
      <w:pPr>
        <w:pStyle w:val="MeasureTableHeading"/>
      </w:pPr>
    </w:p>
    <w:p w14:paraId="0BFF5BC6" w14:textId="77777777" w:rsidR="006E40C9" w:rsidRDefault="006E40C9" w:rsidP="006E40C9">
      <w:r>
        <w:t xml:space="preserve">Under the benchmark, expenses are only deductible if they are connected to income earning activity. To value actual car expense deductions under the benchmark, taxpayers use the logbook method. However, the ‘cents per kilometre’ method is available up to a maximum of 5,000 business kilometres. </w:t>
      </w:r>
      <w:r>
        <w:fldChar w:fldCharType="begin"/>
      </w:r>
      <w:r>
        <w:instrText xml:space="preserve"> XE "Car expense deductions" </w:instrText>
      </w:r>
      <w:r>
        <w:fldChar w:fldCharType="end"/>
      </w:r>
    </w:p>
    <w:p w14:paraId="5E7066D6" w14:textId="77777777" w:rsidR="006E40C9" w:rsidRDefault="006E40C9" w:rsidP="0003254D">
      <w:pPr>
        <w:pStyle w:val="Heading3"/>
      </w:pPr>
      <w:r>
        <w:t>Miscellaneous tax expenditures</w:t>
      </w:r>
    </w:p>
    <w:p w14:paraId="19260A85" w14:textId="77777777" w:rsidR="006E40C9" w:rsidRDefault="006E40C9" w:rsidP="0003254D">
      <w:pPr>
        <w:pStyle w:val="Heading4"/>
      </w:pPr>
      <w:r>
        <w:t>A60</w:t>
      </w:r>
      <w:r>
        <w:tab/>
        <w:t>Tax offset on certain payments of income received in arrears</w:t>
      </w:r>
    </w:p>
    <w:p w14:paraId="636E3D92" w14:textId="3EB1CA51"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37FB8B" w14:textId="77777777">
        <w:trPr>
          <w:cantSplit/>
          <w:jc w:val="center"/>
        </w:trPr>
        <w:tc>
          <w:tcPr>
            <w:tcW w:w="967" w:type="dxa"/>
            <w:tcBorders>
              <w:top w:val="single" w:sz="2" w:space="0" w:color="auto"/>
              <w:bottom w:val="single" w:sz="2" w:space="0" w:color="auto"/>
            </w:tcBorders>
          </w:tcPr>
          <w:p w14:paraId="173CFF2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15515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EDE25B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5A80C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0C1A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694A5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B55315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5197C4" w14:textId="77777777" w:rsidR="006E40C9" w:rsidRDefault="006E40C9">
            <w:pPr>
              <w:pStyle w:val="MeasureTableTextRightAligned"/>
            </w:pPr>
            <w:r>
              <w:t>2027-28</w:t>
            </w:r>
          </w:p>
        </w:tc>
      </w:tr>
      <w:tr w:rsidR="006E40C9" w14:paraId="77D34719" w14:textId="77777777">
        <w:trPr>
          <w:cantSplit/>
          <w:jc w:val="center"/>
        </w:trPr>
        <w:tc>
          <w:tcPr>
            <w:tcW w:w="967" w:type="dxa"/>
            <w:tcBorders>
              <w:top w:val="single" w:sz="2" w:space="0" w:color="auto"/>
              <w:bottom w:val="single" w:sz="2" w:space="0" w:color="auto"/>
            </w:tcBorders>
          </w:tcPr>
          <w:p w14:paraId="7DB9C5F4" w14:textId="77777777" w:rsidR="006E40C9" w:rsidRDefault="006E40C9">
            <w:pPr>
              <w:pStyle w:val="MeasureTableTextRightAligned"/>
            </w:pPr>
            <w:r>
              <w:t>25</w:t>
            </w:r>
          </w:p>
        </w:tc>
        <w:tc>
          <w:tcPr>
            <w:tcW w:w="967" w:type="dxa"/>
            <w:tcBorders>
              <w:top w:val="single" w:sz="2" w:space="0" w:color="auto"/>
              <w:bottom w:val="single" w:sz="2" w:space="0" w:color="auto"/>
            </w:tcBorders>
          </w:tcPr>
          <w:p w14:paraId="5AEC2643"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3084C5A9"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709FBEC1"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3B65F490"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51641B4B"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0877E411"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7A750F27" w14:textId="77777777" w:rsidR="006E40C9" w:rsidRDefault="006E40C9">
            <w:pPr>
              <w:pStyle w:val="MeasureTableTextRightAligned"/>
            </w:pPr>
            <w:r>
              <w:t>25</w:t>
            </w:r>
          </w:p>
        </w:tc>
      </w:tr>
      <w:tr w:rsidR="006E40C9" w14:paraId="30F6E311" w14:textId="77777777">
        <w:trPr>
          <w:cantSplit/>
          <w:jc w:val="center"/>
        </w:trPr>
        <w:tc>
          <w:tcPr>
            <w:tcW w:w="1934" w:type="dxa"/>
            <w:gridSpan w:val="2"/>
            <w:tcBorders>
              <w:top w:val="single" w:sz="2" w:space="0" w:color="auto"/>
              <w:bottom w:val="nil"/>
            </w:tcBorders>
          </w:tcPr>
          <w:p w14:paraId="7F5B74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990982" w14:textId="77777777" w:rsidR="006E40C9" w:rsidRDefault="006E40C9">
            <w:pPr>
              <w:pStyle w:val="MeasureTableTextLeftAligned"/>
            </w:pPr>
            <w:r>
              <w:t>Offset</w:t>
            </w:r>
          </w:p>
        </w:tc>
        <w:tc>
          <w:tcPr>
            <w:tcW w:w="1500" w:type="dxa"/>
            <w:gridSpan w:val="2"/>
            <w:tcBorders>
              <w:top w:val="single" w:sz="2" w:space="0" w:color="auto"/>
              <w:bottom w:val="nil"/>
            </w:tcBorders>
          </w:tcPr>
          <w:p w14:paraId="740EC49F" w14:textId="13707C4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9A0676" w14:textId="77777777" w:rsidR="006E40C9" w:rsidRDefault="006E40C9">
            <w:pPr>
              <w:pStyle w:val="MeasureTableTextLeftAligned"/>
            </w:pPr>
            <w:r>
              <w:t>A60</w:t>
            </w:r>
          </w:p>
        </w:tc>
      </w:tr>
      <w:tr w:rsidR="006E40C9" w14:paraId="7711968D" w14:textId="77777777">
        <w:trPr>
          <w:cantSplit/>
          <w:jc w:val="center"/>
        </w:trPr>
        <w:tc>
          <w:tcPr>
            <w:tcW w:w="1934" w:type="dxa"/>
            <w:gridSpan w:val="2"/>
            <w:tcBorders>
              <w:top w:val="nil"/>
              <w:bottom w:val="nil"/>
            </w:tcBorders>
          </w:tcPr>
          <w:p w14:paraId="0A71C2F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9506121" w14:textId="77777777" w:rsidR="006E40C9" w:rsidRPr="00584CA7" w:rsidRDefault="006E40C9">
            <w:pPr>
              <w:pStyle w:val="MeasureTableTextLeftAligned"/>
            </w:pPr>
            <w:r>
              <w:t>Medium</w:t>
            </w:r>
          </w:p>
        </w:tc>
        <w:tc>
          <w:tcPr>
            <w:tcW w:w="1500" w:type="dxa"/>
            <w:gridSpan w:val="2"/>
            <w:tcBorders>
              <w:top w:val="nil"/>
              <w:bottom w:val="nil"/>
            </w:tcBorders>
          </w:tcPr>
          <w:p w14:paraId="2BAB1711" w14:textId="77777777" w:rsidR="006E40C9" w:rsidRDefault="006E40C9">
            <w:pPr>
              <w:pStyle w:val="MeasureTableTextItalic"/>
            </w:pPr>
          </w:p>
        </w:tc>
        <w:tc>
          <w:tcPr>
            <w:tcW w:w="1124" w:type="dxa"/>
            <w:gridSpan w:val="2"/>
            <w:tcBorders>
              <w:top w:val="nil"/>
              <w:bottom w:val="nil"/>
            </w:tcBorders>
          </w:tcPr>
          <w:p w14:paraId="5DA0A61D" w14:textId="77777777" w:rsidR="006E40C9" w:rsidRDefault="006E40C9">
            <w:pPr>
              <w:pStyle w:val="MeasureTableTextLeftAligned"/>
            </w:pPr>
          </w:p>
        </w:tc>
      </w:tr>
      <w:tr w:rsidR="006E40C9" w14:paraId="3F32B4A2" w14:textId="77777777">
        <w:trPr>
          <w:cantSplit/>
          <w:jc w:val="center"/>
        </w:trPr>
        <w:tc>
          <w:tcPr>
            <w:tcW w:w="1934" w:type="dxa"/>
            <w:gridSpan w:val="2"/>
            <w:tcBorders>
              <w:top w:val="nil"/>
              <w:bottom w:val="nil"/>
            </w:tcBorders>
          </w:tcPr>
          <w:p w14:paraId="78C98E43" w14:textId="77777777" w:rsidR="006E40C9" w:rsidRDefault="006E40C9">
            <w:pPr>
              <w:pStyle w:val="MeasureTableTextItalic"/>
            </w:pPr>
            <w:r>
              <w:t>Commencement date:</w:t>
            </w:r>
          </w:p>
        </w:tc>
        <w:tc>
          <w:tcPr>
            <w:tcW w:w="3179" w:type="dxa"/>
            <w:gridSpan w:val="4"/>
            <w:tcBorders>
              <w:top w:val="nil"/>
              <w:bottom w:val="nil"/>
            </w:tcBorders>
          </w:tcPr>
          <w:p w14:paraId="6763A808" w14:textId="77777777" w:rsidR="006E40C9" w:rsidRDefault="006E40C9">
            <w:pPr>
              <w:pStyle w:val="MeasureTableTextLeftAligned"/>
            </w:pPr>
            <w:r>
              <w:t>1 July 1986</w:t>
            </w:r>
          </w:p>
        </w:tc>
        <w:tc>
          <w:tcPr>
            <w:tcW w:w="1500" w:type="dxa"/>
            <w:gridSpan w:val="2"/>
            <w:tcBorders>
              <w:top w:val="nil"/>
              <w:bottom w:val="nil"/>
            </w:tcBorders>
          </w:tcPr>
          <w:p w14:paraId="7532394F" w14:textId="77777777" w:rsidR="006E40C9" w:rsidRPr="00F32057" w:rsidRDefault="006E40C9">
            <w:pPr>
              <w:pStyle w:val="MeasureTableTextItalic"/>
            </w:pPr>
            <w:r>
              <w:t>Expiry date:</w:t>
            </w:r>
          </w:p>
        </w:tc>
        <w:tc>
          <w:tcPr>
            <w:tcW w:w="1124" w:type="dxa"/>
            <w:gridSpan w:val="2"/>
            <w:tcBorders>
              <w:top w:val="nil"/>
              <w:bottom w:val="nil"/>
            </w:tcBorders>
          </w:tcPr>
          <w:p w14:paraId="22CD75F3" w14:textId="77777777" w:rsidR="006E40C9" w:rsidRPr="00F32057" w:rsidRDefault="006E40C9">
            <w:pPr>
              <w:pStyle w:val="MeasureTableTextLeftAligned"/>
            </w:pPr>
          </w:p>
        </w:tc>
      </w:tr>
      <w:tr w:rsidR="006E40C9" w14:paraId="464F9894" w14:textId="77777777">
        <w:trPr>
          <w:cantSplit/>
          <w:jc w:val="center"/>
        </w:trPr>
        <w:tc>
          <w:tcPr>
            <w:tcW w:w="1934" w:type="dxa"/>
            <w:gridSpan w:val="2"/>
            <w:tcBorders>
              <w:top w:val="nil"/>
            </w:tcBorders>
          </w:tcPr>
          <w:p w14:paraId="17487E06" w14:textId="77777777" w:rsidR="006E40C9" w:rsidRDefault="006E40C9">
            <w:pPr>
              <w:pStyle w:val="MeasureTableTextItalic"/>
            </w:pPr>
            <w:r>
              <w:t>Legislative reference:</w:t>
            </w:r>
          </w:p>
        </w:tc>
        <w:tc>
          <w:tcPr>
            <w:tcW w:w="5803" w:type="dxa"/>
            <w:gridSpan w:val="8"/>
            <w:tcBorders>
              <w:top w:val="nil"/>
            </w:tcBorders>
          </w:tcPr>
          <w:p w14:paraId="531777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159ZR to 159ZRD of the </w:t>
            </w:r>
            <w:r>
              <w:rPr>
                <w:rFonts w:ascii="Arial" w:hAnsi="Arial" w:cs="Arial"/>
                <w:i/>
                <w:iCs/>
                <w:color w:val="000000"/>
                <w:sz w:val="16"/>
                <w:szCs w:val="16"/>
              </w:rPr>
              <w:t>Income Tax Assessment Act 1936</w:t>
            </w:r>
          </w:p>
        </w:tc>
      </w:tr>
    </w:tbl>
    <w:p w14:paraId="769D3902" w14:textId="77777777" w:rsidR="006E40C9" w:rsidRPr="00540040" w:rsidRDefault="006E40C9" w:rsidP="006E40C9">
      <w:pPr>
        <w:pStyle w:val="MeasureTableHeading"/>
      </w:pPr>
    </w:p>
    <w:p w14:paraId="08A0FA5D" w14:textId="77777777" w:rsidR="006E40C9" w:rsidRDefault="006E40C9" w:rsidP="006E40C9">
      <w:pPr>
        <w:rPr>
          <w:rFonts w:eastAsia="Calibri"/>
          <w:lang w:eastAsia="en-US"/>
        </w:rPr>
      </w:pPr>
      <w:r>
        <w:t>The benchmark tax treatment is that income tax is paid on the taxable income of a taxpayer for an income year at their applicable rate of tax. However, individual taxpayers who receive lump sum payments of certain income, for example, salary and wages, which accrued in earlier income years may be entitled to a tax offset.</w:t>
      </w:r>
      <w:r>
        <w:rPr>
          <w:rFonts w:eastAsia="Calibri"/>
          <w:lang w:eastAsia="en-US"/>
        </w:rPr>
        <w:t xml:space="preserve"> </w:t>
      </w:r>
      <w:r>
        <w:rPr>
          <w:rFonts w:eastAsia="Calibri"/>
          <w:lang w:eastAsia="en-US"/>
        </w:rPr>
        <w:fldChar w:fldCharType="begin"/>
      </w:r>
      <w:r>
        <w:instrText xml:space="preserve"> XE "Offset for income received in arrears" </w:instrText>
      </w:r>
      <w:r>
        <w:rPr>
          <w:rFonts w:eastAsia="Calibri"/>
          <w:lang w:eastAsia="en-US"/>
        </w:rPr>
        <w:fldChar w:fldCharType="end"/>
      </w:r>
    </w:p>
    <w:p w14:paraId="22B18659" w14:textId="77777777" w:rsidR="006E40C9" w:rsidRDefault="006E40C9" w:rsidP="0003254D">
      <w:pPr>
        <w:pStyle w:val="Heading4"/>
      </w:pPr>
      <w:r>
        <w:t>A61</w:t>
      </w:r>
      <w:r>
        <w:tab/>
        <w:t>Exemption for personal injury annuities</w:t>
      </w:r>
    </w:p>
    <w:p w14:paraId="0F7BBF87" w14:textId="5BA8F76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8A91EB" w14:textId="77777777">
        <w:trPr>
          <w:cantSplit/>
          <w:jc w:val="center"/>
        </w:trPr>
        <w:tc>
          <w:tcPr>
            <w:tcW w:w="967" w:type="dxa"/>
            <w:tcBorders>
              <w:top w:val="single" w:sz="2" w:space="0" w:color="auto"/>
              <w:bottom w:val="single" w:sz="2" w:space="0" w:color="auto"/>
            </w:tcBorders>
          </w:tcPr>
          <w:p w14:paraId="196F64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1714C2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82CF8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604EB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B80F0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247B7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A0955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8DE4AD" w14:textId="77777777" w:rsidR="006E40C9" w:rsidRDefault="006E40C9">
            <w:pPr>
              <w:pStyle w:val="MeasureTableTextRightAligned"/>
            </w:pPr>
            <w:r>
              <w:t>2027-28</w:t>
            </w:r>
          </w:p>
        </w:tc>
      </w:tr>
      <w:tr w:rsidR="006E40C9" w14:paraId="0DCF95EB" w14:textId="77777777">
        <w:trPr>
          <w:cantSplit/>
          <w:jc w:val="center"/>
        </w:trPr>
        <w:tc>
          <w:tcPr>
            <w:tcW w:w="967" w:type="dxa"/>
            <w:tcBorders>
              <w:top w:val="single" w:sz="2" w:space="0" w:color="auto"/>
              <w:bottom w:val="single" w:sz="2" w:space="0" w:color="auto"/>
            </w:tcBorders>
          </w:tcPr>
          <w:p w14:paraId="0E0CD2B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FD8B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EDF92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7D64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7626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A028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44768B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8A46ED" w14:textId="77777777" w:rsidR="006E40C9" w:rsidRDefault="006E40C9">
            <w:pPr>
              <w:pStyle w:val="MeasureTableTextRightAligned"/>
            </w:pPr>
            <w:r>
              <w:t>..</w:t>
            </w:r>
          </w:p>
        </w:tc>
      </w:tr>
      <w:tr w:rsidR="006E40C9" w14:paraId="48682ACA" w14:textId="77777777">
        <w:trPr>
          <w:cantSplit/>
          <w:jc w:val="center"/>
        </w:trPr>
        <w:tc>
          <w:tcPr>
            <w:tcW w:w="1934" w:type="dxa"/>
            <w:gridSpan w:val="2"/>
            <w:tcBorders>
              <w:top w:val="single" w:sz="2" w:space="0" w:color="auto"/>
              <w:bottom w:val="nil"/>
            </w:tcBorders>
          </w:tcPr>
          <w:p w14:paraId="6FB7051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4BB825" w14:textId="77777777" w:rsidR="006E40C9" w:rsidRDefault="006E40C9">
            <w:pPr>
              <w:pStyle w:val="MeasureTableTextLeftAligned"/>
            </w:pPr>
            <w:r>
              <w:t>Exemption</w:t>
            </w:r>
          </w:p>
        </w:tc>
        <w:tc>
          <w:tcPr>
            <w:tcW w:w="1500" w:type="dxa"/>
            <w:gridSpan w:val="2"/>
            <w:tcBorders>
              <w:top w:val="single" w:sz="2" w:space="0" w:color="auto"/>
              <w:bottom w:val="nil"/>
            </w:tcBorders>
          </w:tcPr>
          <w:p w14:paraId="02E44D78" w14:textId="3B030F2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B7CA8E6" w14:textId="77777777" w:rsidR="006E40C9" w:rsidRDefault="006E40C9">
            <w:pPr>
              <w:pStyle w:val="MeasureTableTextLeftAligned"/>
            </w:pPr>
            <w:r>
              <w:t>A61</w:t>
            </w:r>
          </w:p>
        </w:tc>
      </w:tr>
      <w:tr w:rsidR="006E40C9" w14:paraId="27A0C0DC" w14:textId="77777777">
        <w:trPr>
          <w:cantSplit/>
          <w:jc w:val="center"/>
        </w:trPr>
        <w:tc>
          <w:tcPr>
            <w:tcW w:w="1934" w:type="dxa"/>
            <w:gridSpan w:val="2"/>
            <w:tcBorders>
              <w:top w:val="nil"/>
              <w:bottom w:val="nil"/>
            </w:tcBorders>
          </w:tcPr>
          <w:p w14:paraId="5F3E70C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7A2277" w14:textId="2E310DD4"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D891FB2" w14:textId="77777777" w:rsidR="006E40C9" w:rsidRDefault="006E40C9">
            <w:pPr>
              <w:pStyle w:val="MeasureTableTextItalic"/>
            </w:pPr>
          </w:p>
        </w:tc>
        <w:tc>
          <w:tcPr>
            <w:tcW w:w="1124" w:type="dxa"/>
            <w:gridSpan w:val="2"/>
            <w:tcBorders>
              <w:top w:val="nil"/>
              <w:bottom w:val="nil"/>
            </w:tcBorders>
          </w:tcPr>
          <w:p w14:paraId="7091E23A" w14:textId="77777777" w:rsidR="006E40C9" w:rsidRDefault="006E40C9">
            <w:pPr>
              <w:pStyle w:val="MeasureTableTextLeftAligned"/>
            </w:pPr>
          </w:p>
        </w:tc>
      </w:tr>
      <w:tr w:rsidR="006E40C9" w14:paraId="428D38D0" w14:textId="77777777">
        <w:trPr>
          <w:cantSplit/>
          <w:jc w:val="center"/>
        </w:trPr>
        <w:tc>
          <w:tcPr>
            <w:tcW w:w="1934" w:type="dxa"/>
            <w:gridSpan w:val="2"/>
            <w:tcBorders>
              <w:top w:val="nil"/>
              <w:bottom w:val="nil"/>
            </w:tcBorders>
          </w:tcPr>
          <w:p w14:paraId="5D138014" w14:textId="77777777" w:rsidR="006E40C9" w:rsidRDefault="006E40C9">
            <w:pPr>
              <w:pStyle w:val="MeasureTableTextItalic"/>
            </w:pPr>
            <w:r>
              <w:t>Commencement date:</w:t>
            </w:r>
          </w:p>
        </w:tc>
        <w:tc>
          <w:tcPr>
            <w:tcW w:w="3179" w:type="dxa"/>
            <w:gridSpan w:val="4"/>
            <w:tcBorders>
              <w:top w:val="nil"/>
              <w:bottom w:val="nil"/>
            </w:tcBorders>
          </w:tcPr>
          <w:p w14:paraId="50255608" w14:textId="77777777" w:rsidR="006E40C9" w:rsidRDefault="006E40C9">
            <w:pPr>
              <w:pStyle w:val="MeasureTableTextLeftAligned"/>
            </w:pPr>
            <w:r>
              <w:t>1 July 2001</w:t>
            </w:r>
          </w:p>
        </w:tc>
        <w:tc>
          <w:tcPr>
            <w:tcW w:w="1500" w:type="dxa"/>
            <w:gridSpan w:val="2"/>
            <w:tcBorders>
              <w:top w:val="nil"/>
              <w:bottom w:val="nil"/>
            </w:tcBorders>
          </w:tcPr>
          <w:p w14:paraId="436257C8" w14:textId="77777777" w:rsidR="006E40C9" w:rsidRPr="00F32057" w:rsidRDefault="006E40C9">
            <w:pPr>
              <w:pStyle w:val="MeasureTableTextItalic"/>
            </w:pPr>
            <w:r>
              <w:t>Expiry date:</w:t>
            </w:r>
          </w:p>
        </w:tc>
        <w:tc>
          <w:tcPr>
            <w:tcW w:w="1124" w:type="dxa"/>
            <w:gridSpan w:val="2"/>
            <w:tcBorders>
              <w:top w:val="nil"/>
              <w:bottom w:val="nil"/>
            </w:tcBorders>
          </w:tcPr>
          <w:p w14:paraId="2ECE7C8F" w14:textId="77777777" w:rsidR="006E40C9" w:rsidRPr="00F32057" w:rsidRDefault="006E40C9">
            <w:pPr>
              <w:pStyle w:val="MeasureTableTextLeftAligned"/>
            </w:pPr>
          </w:p>
        </w:tc>
      </w:tr>
      <w:tr w:rsidR="006E40C9" w14:paraId="7092E58C" w14:textId="77777777">
        <w:trPr>
          <w:cantSplit/>
          <w:jc w:val="center"/>
        </w:trPr>
        <w:tc>
          <w:tcPr>
            <w:tcW w:w="1934" w:type="dxa"/>
            <w:gridSpan w:val="2"/>
            <w:tcBorders>
              <w:top w:val="nil"/>
            </w:tcBorders>
          </w:tcPr>
          <w:p w14:paraId="3EC96C9D" w14:textId="77777777" w:rsidR="006E40C9" w:rsidRDefault="006E40C9">
            <w:pPr>
              <w:pStyle w:val="MeasureTableTextItalic"/>
            </w:pPr>
            <w:r>
              <w:t>Legislative reference:</w:t>
            </w:r>
          </w:p>
        </w:tc>
        <w:tc>
          <w:tcPr>
            <w:tcW w:w="5803" w:type="dxa"/>
            <w:gridSpan w:val="8"/>
            <w:tcBorders>
              <w:top w:val="nil"/>
            </w:tcBorders>
          </w:tcPr>
          <w:p w14:paraId="50588FD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54 of the </w:t>
            </w:r>
            <w:r>
              <w:rPr>
                <w:rFonts w:ascii="Arial" w:hAnsi="Arial" w:cs="Arial"/>
                <w:i/>
                <w:iCs/>
                <w:color w:val="000000"/>
                <w:sz w:val="16"/>
                <w:szCs w:val="16"/>
              </w:rPr>
              <w:t>Income Tax Assessment Act 1997</w:t>
            </w:r>
          </w:p>
        </w:tc>
      </w:tr>
    </w:tbl>
    <w:p w14:paraId="4E7D1FC6" w14:textId="77777777" w:rsidR="006E40C9" w:rsidRPr="00540040" w:rsidRDefault="006E40C9" w:rsidP="006E40C9">
      <w:pPr>
        <w:pStyle w:val="MeasureTableHeading"/>
      </w:pPr>
    </w:p>
    <w:p w14:paraId="3138C8C5" w14:textId="77777777" w:rsidR="006E40C9" w:rsidRDefault="006E40C9" w:rsidP="006E40C9">
      <w:r>
        <w:t>The benchmark tax treatment is that income tax is paid on the taxable income of a taxpayer for an income year at their applicable rate of tax. However, certain annuities provided to personal injury victims</w:t>
      </w:r>
      <w:r>
        <w:fldChar w:fldCharType="begin"/>
      </w:r>
      <w:r>
        <w:instrText xml:space="preserve"> XE "Personal injury victims" </w:instrText>
      </w:r>
      <w:r>
        <w:fldChar w:fldCharType="end"/>
      </w:r>
      <w:r>
        <w:t xml:space="preserve"> under structured settlements and orders are exempt from income tax. This allows personal injury victims who would be eligible to receive large tax</w:t>
      </w:r>
      <w:r>
        <w:noBreakHyphen/>
        <w:t>free lump sum compensation payments to receive all or part of their compensation in the form of a tax</w:t>
      </w:r>
      <w:r>
        <w:noBreakHyphen/>
        <w:t>free annuity or annuities.</w:t>
      </w:r>
    </w:p>
    <w:p w14:paraId="6A7AFF3C" w14:textId="77777777" w:rsidR="006E40C9" w:rsidRDefault="006E40C9" w:rsidP="0003254D">
      <w:pPr>
        <w:pStyle w:val="Heading4"/>
      </w:pPr>
      <w:r>
        <w:t>A62</w:t>
      </w:r>
      <w:r>
        <w:tab/>
        <w:t>Exemption of post-judgment interest awards in personal injury compensation cases</w:t>
      </w:r>
    </w:p>
    <w:p w14:paraId="0B9EA08E" w14:textId="465550D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E09E6A3" w14:textId="77777777">
        <w:trPr>
          <w:cantSplit/>
          <w:jc w:val="center"/>
        </w:trPr>
        <w:tc>
          <w:tcPr>
            <w:tcW w:w="967" w:type="dxa"/>
            <w:tcBorders>
              <w:top w:val="single" w:sz="2" w:space="0" w:color="auto"/>
              <w:bottom w:val="single" w:sz="2" w:space="0" w:color="auto"/>
            </w:tcBorders>
          </w:tcPr>
          <w:p w14:paraId="5F820F7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B977A8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D447F6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D7B3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90D709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3A440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4454D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B78A2C9" w14:textId="77777777" w:rsidR="006E40C9" w:rsidRDefault="006E40C9">
            <w:pPr>
              <w:pStyle w:val="MeasureTableTextRightAligned"/>
            </w:pPr>
            <w:r>
              <w:t>2027-28</w:t>
            </w:r>
          </w:p>
        </w:tc>
      </w:tr>
      <w:tr w:rsidR="006E40C9" w14:paraId="3350799E" w14:textId="77777777">
        <w:trPr>
          <w:cantSplit/>
          <w:jc w:val="center"/>
        </w:trPr>
        <w:tc>
          <w:tcPr>
            <w:tcW w:w="967" w:type="dxa"/>
            <w:tcBorders>
              <w:top w:val="single" w:sz="2" w:space="0" w:color="auto"/>
              <w:bottom w:val="single" w:sz="2" w:space="0" w:color="auto"/>
            </w:tcBorders>
          </w:tcPr>
          <w:p w14:paraId="3CE1F187" w14:textId="77777777" w:rsidR="006E40C9" w:rsidRDefault="006E40C9">
            <w:pPr>
              <w:pStyle w:val="MeasureTableTextRightAligned"/>
            </w:pPr>
            <w:r>
              <w:t>4</w:t>
            </w:r>
          </w:p>
        </w:tc>
        <w:tc>
          <w:tcPr>
            <w:tcW w:w="967" w:type="dxa"/>
            <w:tcBorders>
              <w:top w:val="single" w:sz="2" w:space="0" w:color="auto"/>
              <w:bottom w:val="single" w:sz="2" w:space="0" w:color="auto"/>
            </w:tcBorders>
          </w:tcPr>
          <w:p w14:paraId="42FB9A9D"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49675951"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1CDA61ED"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00EB915A"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6833CB69"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260F714F" w14:textId="77777777" w:rsidR="006E40C9" w:rsidRDefault="006E40C9">
            <w:pPr>
              <w:pStyle w:val="MeasureTableTextRightAligned"/>
            </w:pPr>
            <w:r>
              <w:t>4</w:t>
            </w:r>
          </w:p>
        </w:tc>
        <w:tc>
          <w:tcPr>
            <w:tcW w:w="968" w:type="dxa"/>
            <w:tcBorders>
              <w:top w:val="single" w:sz="2" w:space="0" w:color="auto"/>
              <w:bottom w:val="single" w:sz="2" w:space="0" w:color="auto"/>
            </w:tcBorders>
            <w:vAlign w:val="bottom"/>
          </w:tcPr>
          <w:p w14:paraId="397AB3CC" w14:textId="77777777" w:rsidR="006E40C9" w:rsidRDefault="006E40C9">
            <w:pPr>
              <w:pStyle w:val="MeasureTableTextRightAligned"/>
            </w:pPr>
            <w:r>
              <w:t>4</w:t>
            </w:r>
          </w:p>
        </w:tc>
      </w:tr>
      <w:tr w:rsidR="006E40C9" w14:paraId="72F816A4" w14:textId="77777777">
        <w:trPr>
          <w:cantSplit/>
          <w:jc w:val="center"/>
        </w:trPr>
        <w:tc>
          <w:tcPr>
            <w:tcW w:w="1934" w:type="dxa"/>
            <w:gridSpan w:val="2"/>
            <w:tcBorders>
              <w:top w:val="single" w:sz="2" w:space="0" w:color="auto"/>
              <w:bottom w:val="nil"/>
            </w:tcBorders>
          </w:tcPr>
          <w:p w14:paraId="31567A7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A404EF" w14:textId="77777777" w:rsidR="006E40C9" w:rsidRDefault="006E40C9">
            <w:pPr>
              <w:pStyle w:val="MeasureTableTextLeftAligned"/>
            </w:pPr>
            <w:r>
              <w:t>Exemption</w:t>
            </w:r>
          </w:p>
        </w:tc>
        <w:tc>
          <w:tcPr>
            <w:tcW w:w="1500" w:type="dxa"/>
            <w:gridSpan w:val="2"/>
            <w:tcBorders>
              <w:top w:val="single" w:sz="2" w:space="0" w:color="auto"/>
              <w:bottom w:val="nil"/>
            </w:tcBorders>
          </w:tcPr>
          <w:p w14:paraId="785E3464" w14:textId="5BEECB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0CCBED" w14:textId="77777777" w:rsidR="006E40C9" w:rsidRDefault="006E40C9">
            <w:pPr>
              <w:pStyle w:val="MeasureTableTextLeftAligned"/>
            </w:pPr>
            <w:r>
              <w:t>A62</w:t>
            </w:r>
          </w:p>
        </w:tc>
      </w:tr>
      <w:tr w:rsidR="006E40C9" w14:paraId="6279AB88" w14:textId="77777777">
        <w:trPr>
          <w:cantSplit/>
          <w:jc w:val="center"/>
        </w:trPr>
        <w:tc>
          <w:tcPr>
            <w:tcW w:w="1934" w:type="dxa"/>
            <w:gridSpan w:val="2"/>
            <w:tcBorders>
              <w:top w:val="nil"/>
              <w:bottom w:val="nil"/>
            </w:tcBorders>
          </w:tcPr>
          <w:p w14:paraId="32897FB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F5B6A5" w14:textId="77777777" w:rsidR="006E40C9" w:rsidRPr="00584CA7" w:rsidRDefault="006E40C9">
            <w:pPr>
              <w:pStyle w:val="MeasureTableTextLeftAligned"/>
            </w:pPr>
            <w:r>
              <w:t>Low</w:t>
            </w:r>
          </w:p>
        </w:tc>
        <w:tc>
          <w:tcPr>
            <w:tcW w:w="1500" w:type="dxa"/>
            <w:gridSpan w:val="2"/>
            <w:tcBorders>
              <w:top w:val="nil"/>
              <w:bottom w:val="nil"/>
            </w:tcBorders>
          </w:tcPr>
          <w:p w14:paraId="706CBAFE" w14:textId="77777777" w:rsidR="006E40C9" w:rsidRDefault="006E40C9">
            <w:pPr>
              <w:pStyle w:val="MeasureTableTextItalic"/>
            </w:pPr>
          </w:p>
        </w:tc>
        <w:tc>
          <w:tcPr>
            <w:tcW w:w="1124" w:type="dxa"/>
            <w:gridSpan w:val="2"/>
            <w:tcBorders>
              <w:top w:val="nil"/>
              <w:bottom w:val="nil"/>
            </w:tcBorders>
          </w:tcPr>
          <w:p w14:paraId="164EA76D" w14:textId="77777777" w:rsidR="006E40C9" w:rsidRDefault="006E40C9">
            <w:pPr>
              <w:pStyle w:val="MeasureTableTextLeftAligned"/>
            </w:pPr>
          </w:p>
        </w:tc>
      </w:tr>
      <w:tr w:rsidR="006E40C9" w14:paraId="50EC3D26" w14:textId="77777777">
        <w:trPr>
          <w:cantSplit/>
          <w:jc w:val="center"/>
        </w:trPr>
        <w:tc>
          <w:tcPr>
            <w:tcW w:w="1934" w:type="dxa"/>
            <w:gridSpan w:val="2"/>
            <w:tcBorders>
              <w:top w:val="nil"/>
              <w:bottom w:val="nil"/>
            </w:tcBorders>
          </w:tcPr>
          <w:p w14:paraId="70B65D51" w14:textId="77777777" w:rsidR="006E40C9" w:rsidRDefault="006E40C9">
            <w:pPr>
              <w:pStyle w:val="MeasureTableTextItalic"/>
            </w:pPr>
            <w:r>
              <w:t>Commencement date:</w:t>
            </w:r>
          </w:p>
        </w:tc>
        <w:tc>
          <w:tcPr>
            <w:tcW w:w="3179" w:type="dxa"/>
            <w:gridSpan w:val="4"/>
            <w:tcBorders>
              <w:top w:val="nil"/>
              <w:bottom w:val="nil"/>
            </w:tcBorders>
          </w:tcPr>
          <w:p w14:paraId="1F26CF42" w14:textId="77777777" w:rsidR="006E40C9" w:rsidRDefault="006E40C9">
            <w:pPr>
              <w:pStyle w:val="MeasureTableTextLeftAligned"/>
            </w:pPr>
            <w:r>
              <w:t>1 July 1992</w:t>
            </w:r>
          </w:p>
        </w:tc>
        <w:tc>
          <w:tcPr>
            <w:tcW w:w="1500" w:type="dxa"/>
            <w:gridSpan w:val="2"/>
            <w:tcBorders>
              <w:top w:val="nil"/>
              <w:bottom w:val="nil"/>
            </w:tcBorders>
          </w:tcPr>
          <w:p w14:paraId="2EE9E0EF" w14:textId="77777777" w:rsidR="006E40C9" w:rsidRPr="00F32057" w:rsidRDefault="006E40C9">
            <w:pPr>
              <w:pStyle w:val="MeasureTableTextItalic"/>
            </w:pPr>
            <w:r>
              <w:t>Expiry date:</w:t>
            </w:r>
          </w:p>
        </w:tc>
        <w:tc>
          <w:tcPr>
            <w:tcW w:w="1124" w:type="dxa"/>
            <w:gridSpan w:val="2"/>
            <w:tcBorders>
              <w:top w:val="nil"/>
              <w:bottom w:val="nil"/>
            </w:tcBorders>
          </w:tcPr>
          <w:p w14:paraId="5D66EF03" w14:textId="77777777" w:rsidR="006E40C9" w:rsidRPr="00F32057" w:rsidRDefault="006E40C9">
            <w:pPr>
              <w:pStyle w:val="MeasureTableTextLeftAligned"/>
            </w:pPr>
          </w:p>
        </w:tc>
      </w:tr>
      <w:tr w:rsidR="006E40C9" w14:paraId="6327FA53" w14:textId="77777777">
        <w:trPr>
          <w:cantSplit/>
          <w:jc w:val="center"/>
        </w:trPr>
        <w:tc>
          <w:tcPr>
            <w:tcW w:w="1934" w:type="dxa"/>
            <w:gridSpan w:val="2"/>
            <w:tcBorders>
              <w:top w:val="nil"/>
            </w:tcBorders>
          </w:tcPr>
          <w:p w14:paraId="11F2CCB3" w14:textId="77777777" w:rsidR="006E40C9" w:rsidRDefault="006E40C9">
            <w:pPr>
              <w:pStyle w:val="MeasureTableTextItalic"/>
            </w:pPr>
            <w:r>
              <w:t>Legislative reference:</w:t>
            </w:r>
          </w:p>
        </w:tc>
        <w:tc>
          <w:tcPr>
            <w:tcW w:w="5803" w:type="dxa"/>
            <w:gridSpan w:val="8"/>
            <w:tcBorders>
              <w:top w:val="nil"/>
            </w:tcBorders>
          </w:tcPr>
          <w:p w14:paraId="2AA3A61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51-57 of the </w:t>
            </w:r>
            <w:r>
              <w:rPr>
                <w:rFonts w:ascii="Arial" w:hAnsi="Arial" w:cs="Arial"/>
                <w:i/>
                <w:iCs/>
                <w:color w:val="000000"/>
                <w:sz w:val="16"/>
                <w:szCs w:val="16"/>
              </w:rPr>
              <w:t>Income Tax Assessment Act 1997</w:t>
            </w:r>
          </w:p>
        </w:tc>
      </w:tr>
    </w:tbl>
    <w:p w14:paraId="0FBB3BEA" w14:textId="77777777" w:rsidR="006E40C9" w:rsidRPr="00540040" w:rsidRDefault="006E40C9" w:rsidP="006E40C9">
      <w:pPr>
        <w:pStyle w:val="MeasureTableHeading"/>
      </w:pPr>
    </w:p>
    <w:p w14:paraId="1CF639DB" w14:textId="77777777" w:rsidR="006E40C9" w:rsidRDefault="006E40C9" w:rsidP="006E40C9">
      <w:r>
        <w:t xml:space="preserve">The benchmark tax treatment is that income tax is paid on the taxable income of a taxpayer for an income year at their applicable rate of tax. However, interest accruing on a judgment debt arising in personal injury compensation cases, </w:t>
      </w:r>
      <w:r>
        <w:fldChar w:fldCharType="begin"/>
      </w:r>
      <w:r>
        <w:instrText xml:space="preserve"> XE "Personal injury compensation cases" </w:instrText>
      </w:r>
      <w:r>
        <w:fldChar w:fldCharType="end"/>
      </w:r>
      <w:r>
        <w:t xml:space="preserve">which relates to the period between the original judgment and when the judgment is finalised, is exempt from income tax. </w:t>
      </w:r>
    </w:p>
    <w:p w14:paraId="2D1642BA" w14:textId="77777777" w:rsidR="006E40C9" w:rsidRDefault="006E40C9" w:rsidP="0003254D">
      <w:pPr>
        <w:pStyle w:val="Heading4"/>
      </w:pPr>
      <w:r>
        <w:t>A63</w:t>
      </w:r>
      <w:r>
        <w:tab/>
        <w:t>Low-value depreciating assets – immediate deduction</w:t>
      </w:r>
    </w:p>
    <w:p w14:paraId="4A0AADF0" w14:textId="2401EDA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C01F72F" w14:textId="77777777">
        <w:trPr>
          <w:cantSplit/>
          <w:jc w:val="center"/>
        </w:trPr>
        <w:tc>
          <w:tcPr>
            <w:tcW w:w="967" w:type="dxa"/>
            <w:tcBorders>
              <w:top w:val="single" w:sz="2" w:space="0" w:color="auto"/>
              <w:bottom w:val="single" w:sz="2" w:space="0" w:color="auto"/>
            </w:tcBorders>
          </w:tcPr>
          <w:p w14:paraId="16BFBE4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F2BD4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F54E5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7029C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A3A153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14BD20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C5B04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F08B484" w14:textId="77777777" w:rsidR="006E40C9" w:rsidRDefault="006E40C9">
            <w:pPr>
              <w:pStyle w:val="MeasureTableTextRightAligned"/>
            </w:pPr>
            <w:r>
              <w:t>2027-28</w:t>
            </w:r>
          </w:p>
        </w:tc>
      </w:tr>
      <w:tr w:rsidR="006E40C9" w14:paraId="4AAAAA2F" w14:textId="77777777">
        <w:trPr>
          <w:cantSplit/>
          <w:jc w:val="center"/>
        </w:trPr>
        <w:tc>
          <w:tcPr>
            <w:tcW w:w="967" w:type="dxa"/>
            <w:tcBorders>
              <w:top w:val="single" w:sz="2" w:space="0" w:color="auto"/>
              <w:bottom w:val="single" w:sz="2" w:space="0" w:color="auto"/>
            </w:tcBorders>
          </w:tcPr>
          <w:p w14:paraId="627487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844F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EDD90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ABA9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916F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2632B0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17673F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84CF047" w14:textId="77777777" w:rsidR="006E40C9" w:rsidRDefault="006E40C9">
            <w:pPr>
              <w:pStyle w:val="MeasureTableTextRightAligned"/>
            </w:pPr>
            <w:r>
              <w:t>*</w:t>
            </w:r>
          </w:p>
        </w:tc>
      </w:tr>
      <w:tr w:rsidR="006E40C9" w14:paraId="789DA648" w14:textId="77777777">
        <w:trPr>
          <w:cantSplit/>
          <w:jc w:val="center"/>
        </w:trPr>
        <w:tc>
          <w:tcPr>
            <w:tcW w:w="1934" w:type="dxa"/>
            <w:gridSpan w:val="2"/>
            <w:tcBorders>
              <w:top w:val="single" w:sz="2" w:space="0" w:color="auto"/>
              <w:bottom w:val="nil"/>
            </w:tcBorders>
          </w:tcPr>
          <w:p w14:paraId="104FB77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3E7419" w14:textId="77777777" w:rsidR="006E40C9" w:rsidRDefault="006E40C9">
            <w:pPr>
              <w:pStyle w:val="MeasureTableTextLeftAligned"/>
            </w:pPr>
            <w:r>
              <w:t>Deduction</w:t>
            </w:r>
          </w:p>
        </w:tc>
        <w:tc>
          <w:tcPr>
            <w:tcW w:w="1500" w:type="dxa"/>
            <w:gridSpan w:val="2"/>
            <w:tcBorders>
              <w:top w:val="single" w:sz="2" w:space="0" w:color="auto"/>
              <w:bottom w:val="nil"/>
            </w:tcBorders>
          </w:tcPr>
          <w:p w14:paraId="3FF8C670" w14:textId="7B2A4DE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5E18AFB" w14:textId="77777777" w:rsidR="006E40C9" w:rsidRDefault="006E40C9">
            <w:pPr>
              <w:pStyle w:val="MeasureTableTextLeftAligned"/>
            </w:pPr>
            <w:r>
              <w:t>A63</w:t>
            </w:r>
          </w:p>
        </w:tc>
      </w:tr>
      <w:tr w:rsidR="006E40C9" w14:paraId="5DBD59F1" w14:textId="77777777">
        <w:trPr>
          <w:cantSplit/>
          <w:jc w:val="center"/>
        </w:trPr>
        <w:tc>
          <w:tcPr>
            <w:tcW w:w="1934" w:type="dxa"/>
            <w:gridSpan w:val="2"/>
            <w:tcBorders>
              <w:top w:val="nil"/>
              <w:bottom w:val="nil"/>
            </w:tcBorders>
          </w:tcPr>
          <w:p w14:paraId="530115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B4574E" w14:textId="77777777" w:rsidR="006E40C9" w:rsidRPr="00584CA7" w:rsidRDefault="006E40C9">
            <w:pPr>
              <w:pStyle w:val="MeasureTableTextLeftAligned"/>
            </w:pPr>
            <w:r>
              <w:t>Not Applicable</w:t>
            </w:r>
          </w:p>
        </w:tc>
        <w:tc>
          <w:tcPr>
            <w:tcW w:w="1500" w:type="dxa"/>
            <w:gridSpan w:val="2"/>
            <w:tcBorders>
              <w:top w:val="nil"/>
              <w:bottom w:val="nil"/>
            </w:tcBorders>
          </w:tcPr>
          <w:p w14:paraId="00863C7B" w14:textId="77777777" w:rsidR="006E40C9" w:rsidRDefault="006E40C9">
            <w:pPr>
              <w:pStyle w:val="MeasureTableTextItalic"/>
            </w:pPr>
            <w:r>
              <w:t>* Category</w:t>
            </w:r>
          </w:p>
        </w:tc>
        <w:tc>
          <w:tcPr>
            <w:tcW w:w="1124" w:type="dxa"/>
            <w:gridSpan w:val="2"/>
            <w:tcBorders>
              <w:top w:val="nil"/>
              <w:bottom w:val="nil"/>
            </w:tcBorders>
          </w:tcPr>
          <w:p w14:paraId="38CAF8F3" w14:textId="77777777" w:rsidR="006E40C9" w:rsidRDefault="006E40C9">
            <w:pPr>
              <w:pStyle w:val="MeasureTableTextLeftAligned"/>
            </w:pPr>
            <w:r>
              <w:t>2+</w:t>
            </w:r>
          </w:p>
        </w:tc>
      </w:tr>
      <w:tr w:rsidR="006E40C9" w14:paraId="323F6806" w14:textId="77777777">
        <w:trPr>
          <w:cantSplit/>
          <w:jc w:val="center"/>
        </w:trPr>
        <w:tc>
          <w:tcPr>
            <w:tcW w:w="1934" w:type="dxa"/>
            <w:gridSpan w:val="2"/>
            <w:tcBorders>
              <w:top w:val="nil"/>
              <w:bottom w:val="nil"/>
            </w:tcBorders>
          </w:tcPr>
          <w:p w14:paraId="44306BC9" w14:textId="77777777" w:rsidR="006E40C9" w:rsidRDefault="006E40C9">
            <w:pPr>
              <w:pStyle w:val="MeasureTableTextItalic"/>
            </w:pPr>
            <w:r>
              <w:t>Commencement date:</w:t>
            </w:r>
          </w:p>
        </w:tc>
        <w:tc>
          <w:tcPr>
            <w:tcW w:w="3179" w:type="dxa"/>
            <w:gridSpan w:val="4"/>
            <w:tcBorders>
              <w:top w:val="nil"/>
              <w:bottom w:val="nil"/>
            </w:tcBorders>
          </w:tcPr>
          <w:p w14:paraId="10A3D3D1" w14:textId="77777777" w:rsidR="006E40C9" w:rsidRDefault="006E40C9">
            <w:pPr>
              <w:pStyle w:val="MeasureTableTextLeftAligned"/>
            </w:pPr>
            <w:r>
              <w:t>2001</w:t>
            </w:r>
          </w:p>
        </w:tc>
        <w:tc>
          <w:tcPr>
            <w:tcW w:w="1500" w:type="dxa"/>
            <w:gridSpan w:val="2"/>
            <w:tcBorders>
              <w:top w:val="nil"/>
              <w:bottom w:val="nil"/>
            </w:tcBorders>
          </w:tcPr>
          <w:p w14:paraId="7801AB93" w14:textId="77777777" w:rsidR="006E40C9" w:rsidRPr="00F32057" w:rsidRDefault="006E40C9">
            <w:pPr>
              <w:pStyle w:val="MeasureTableTextItalic"/>
            </w:pPr>
            <w:r>
              <w:t>Expiry date:</w:t>
            </w:r>
          </w:p>
        </w:tc>
        <w:tc>
          <w:tcPr>
            <w:tcW w:w="1124" w:type="dxa"/>
            <w:gridSpan w:val="2"/>
            <w:tcBorders>
              <w:top w:val="nil"/>
              <w:bottom w:val="nil"/>
            </w:tcBorders>
          </w:tcPr>
          <w:p w14:paraId="73201E82" w14:textId="77777777" w:rsidR="006E40C9" w:rsidRPr="00F32057" w:rsidRDefault="006E40C9">
            <w:pPr>
              <w:pStyle w:val="MeasureTableTextLeftAligned"/>
            </w:pPr>
          </w:p>
        </w:tc>
      </w:tr>
      <w:tr w:rsidR="006E40C9" w14:paraId="5BB40E7B" w14:textId="77777777">
        <w:trPr>
          <w:cantSplit/>
          <w:jc w:val="center"/>
        </w:trPr>
        <w:tc>
          <w:tcPr>
            <w:tcW w:w="1934" w:type="dxa"/>
            <w:gridSpan w:val="2"/>
            <w:tcBorders>
              <w:top w:val="nil"/>
            </w:tcBorders>
          </w:tcPr>
          <w:p w14:paraId="45867F54" w14:textId="77777777" w:rsidR="006E40C9" w:rsidRDefault="006E40C9">
            <w:pPr>
              <w:pStyle w:val="MeasureTableTextItalic"/>
            </w:pPr>
            <w:r>
              <w:t>Legislative reference:</w:t>
            </w:r>
          </w:p>
        </w:tc>
        <w:tc>
          <w:tcPr>
            <w:tcW w:w="5803" w:type="dxa"/>
            <w:gridSpan w:val="8"/>
            <w:tcBorders>
              <w:top w:val="nil"/>
            </w:tcBorders>
          </w:tcPr>
          <w:p w14:paraId="53CF887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Subsections 40-25(1) and 40-80(2) of the </w:t>
            </w:r>
            <w:r>
              <w:rPr>
                <w:rFonts w:ascii="Arial" w:hAnsi="Arial" w:cs="Arial"/>
                <w:i/>
                <w:iCs/>
                <w:color w:val="000000"/>
                <w:sz w:val="16"/>
                <w:szCs w:val="16"/>
              </w:rPr>
              <w:t>Income Tax Assessment Act 1997</w:t>
            </w:r>
          </w:p>
        </w:tc>
      </w:tr>
    </w:tbl>
    <w:p w14:paraId="259C742E" w14:textId="77777777" w:rsidR="006E40C9" w:rsidRPr="00540040" w:rsidRDefault="006E40C9" w:rsidP="006E40C9">
      <w:pPr>
        <w:pStyle w:val="MeasureTableHeading"/>
      </w:pPr>
    </w:p>
    <w:p w14:paraId="7E21C6F9" w14:textId="77777777" w:rsidR="006E40C9" w:rsidRDefault="006E40C9" w:rsidP="006E40C9">
      <w:r>
        <w:t>Under the benchmark, assets are depreciated over their effective lives. However, an immediate deduction is available for depreciating assets costing $300 or less where those assets are used mostly to earn non</w:t>
      </w:r>
      <w:r>
        <w:noBreakHyphen/>
        <w:t xml:space="preserve">business income. </w:t>
      </w:r>
      <w:r>
        <w:fldChar w:fldCharType="begin"/>
      </w:r>
      <w:r>
        <w:instrText xml:space="preserve"> XE "Low</w:instrText>
      </w:r>
      <w:r>
        <w:noBreakHyphen/>
        <w:instrText xml:space="preserve">value depreciating assets" </w:instrText>
      </w:r>
      <w:r>
        <w:fldChar w:fldCharType="end"/>
      </w:r>
    </w:p>
    <w:p w14:paraId="651E0D2C" w14:textId="77777777" w:rsidR="00CC3F2D" w:rsidRDefault="00CC3F2D">
      <w:pPr>
        <w:spacing w:after="0" w:line="240" w:lineRule="auto"/>
        <w:jc w:val="left"/>
        <w:rPr>
          <w:rFonts w:ascii="Arial Bold" w:hAnsi="Arial Bold"/>
          <w:b/>
          <w:color w:val="000000"/>
          <w:spacing w:val="-6"/>
          <w:sz w:val="27"/>
        </w:rPr>
      </w:pPr>
      <w:r>
        <w:br w:type="page"/>
      </w:r>
    </w:p>
    <w:p w14:paraId="70DB3C7C" w14:textId="77777777" w:rsidR="006E40C9" w:rsidRDefault="006E40C9" w:rsidP="003218AC">
      <w:pPr>
        <w:pStyle w:val="Heading3"/>
      </w:pPr>
      <w:bookmarkStart w:id="77" w:name="_Toc183710292"/>
      <w:r>
        <w:t>Business income</w:t>
      </w:r>
      <w:bookmarkEnd w:id="77"/>
    </w:p>
    <w:p w14:paraId="25AC4EF8" w14:textId="77777777" w:rsidR="006E40C9" w:rsidRDefault="006E40C9" w:rsidP="0003254D">
      <w:pPr>
        <w:pStyle w:val="Heading3"/>
      </w:pPr>
      <w:r>
        <w:t>Tax expenditures for general public services</w:t>
      </w:r>
    </w:p>
    <w:p w14:paraId="5E5E458D" w14:textId="77777777" w:rsidR="006E40C9" w:rsidRDefault="006E40C9" w:rsidP="0003254D">
      <w:pPr>
        <w:pStyle w:val="Heading4"/>
      </w:pPr>
      <w:r>
        <w:t>B1</w:t>
      </w:r>
      <w:r>
        <w:tab/>
        <w:t>Local government bodies income tax exemption</w:t>
      </w:r>
    </w:p>
    <w:p w14:paraId="619F1AAC" w14:textId="43027C39" w:rsidR="006E40C9" w:rsidRDefault="006E40C9" w:rsidP="006E40C9">
      <w:pPr>
        <w:pStyle w:val="MeasureTableHeading"/>
      </w:pPr>
      <w:r>
        <w:t>Other purposes</w:t>
      </w:r>
      <w:r w:rsidR="009F5E3D">
        <w:t xml:space="preserve"> – </w:t>
      </w:r>
      <w:r>
        <w:t>General purpose inter-governmental transactions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0D7932" w14:textId="77777777">
        <w:trPr>
          <w:cantSplit/>
          <w:jc w:val="center"/>
        </w:trPr>
        <w:tc>
          <w:tcPr>
            <w:tcW w:w="967" w:type="dxa"/>
            <w:tcBorders>
              <w:top w:val="single" w:sz="2" w:space="0" w:color="auto"/>
              <w:bottom w:val="single" w:sz="2" w:space="0" w:color="auto"/>
            </w:tcBorders>
          </w:tcPr>
          <w:p w14:paraId="2FCF1A4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2F7E1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4060F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8BA4B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AD69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4693E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A5D2B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91E510" w14:textId="77777777" w:rsidR="006E40C9" w:rsidRDefault="006E40C9">
            <w:pPr>
              <w:pStyle w:val="MeasureTableTextRightAligned"/>
            </w:pPr>
            <w:r>
              <w:t>2027-28</w:t>
            </w:r>
          </w:p>
        </w:tc>
      </w:tr>
      <w:tr w:rsidR="006E40C9" w14:paraId="10AC123B" w14:textId="77777777">
        <w:trPr>
          <w:cantSplit/>
          <w:jc w:val="center"/>
        </w:trPr>
        <w:tc>
          <w:tcPr>
            <w:tcW w:w="967" w:type="dxa"/>
            <w:tcBorders>
              <w:top w:val="single" w:sz="2" w:space="0" w:color="auto"/>
              <w:bottom w:val="single" w:sz="2" w:space="0" w:color="auto"/>
            </w:tcBorders>
          </w:tcPr>
          <w:p w14:paraId="54EF3999" w14:textId="77777777" w:rsidR="006E40C9" w:rsidRDefault="006E40C9">
            <w:pPr>
              <w:pStyle w:val="MeasureTableTextRightAligned"/>
            </w:pPr>
            <w:r>
              <w:t>1,720</w:t>
            </w:r>
          </w:p>
        </w:tc>
        <w:tc>
          <w:tcPr>
            <w:tcW w:w="967" w:type="dxa"/>
            <w:tcBorders>
              <w:top w:val="single" w:sz="2" w:space="0" w:color="auto"/>
              <w:bottom w:val="single" w:sz="2" w:space="0" w:color="auto"/>
            </w:tcBorders>
          </w:tcPr>
          <w:p w14:paraId="78817287" w14:textId="77777777" w:rsidR="006E40C9" w:rsidRDefault="006E40C9">
            <w:pPr>
              <w:pStyle w:val="MeasureTableTextRightAligned"/>
            </w:pPr>
            <w:r>
              <w:t>1,880</w:t>
            </w:r>
          </w:p>
        </w:tc>
        <w:tc>
          <w:tcPr>
            <w:tcW w:w="967" w:type="dxa"/>
            <w:tcBorders>
              <w:top w:val="single" w:sz="2" w:space="0" w:color="auto"/>
              <w:bottom w:val="single" w:sz="2" w:space="0" w:color="auto"/>
            </w:tcBorders>
            <w:vAlign w:val="bottom"/>
          </w:tcPr>
          <w:p w14:paraId="19139DFB" w14:textId="77777777" w:rsidR="006E40C9" w:rsidRDefault="006E40C9">
            <w:pPr>
              <w:pStyle w:val="MeasureTableTextRightAligned"/>
            </w:pPr>
            <w:r>
              <w:t>2,000</w:t>
            </w:r>
          </w:p>
        </w:tc>
        <w:tc>
          <w:tcPr>
            <w:tcW w:w="967" w:type="dxa"/>
            <w:tcBorders>
              <w:top w:val="single" w:sz="2" w:space="0" w:color="auto"/>
              <w:bottom w:val="single" w:sz="2" w:space="0" w:color="auto"/>
            </w:tcBorders>
            <w:vAlign w:val="bottom"/>
          </w:tcPr>
          <w:p w14:paraId="20A06041" w14:textId="77777777" w:rsidR="006E40C9" w:rsidRDefault="006E40C9">
            <w:pPr>
              <w:pStyle w:val="MeasureTableTextRightAligned"/>
            </w:pPr>
            <w:r>
              <w:t>2,040</w:t>
            </w:r>
          </w:p>
        </w:tc>
        <w:tc>
          <w:tcPr>
            <w:tcW w:w="967" w:type="dxa"/>
            <w:tcBorders>
              <w:top w:val="single" w:sz="2" w:space="0" w:color="auto"/>
              <w:bottom w:val="single" w:sz="2" w:space="0" w:color="auto"/>
            </w:tcBorders>
            <w:vAlign w:val="bottom"/>
          </w:tcPr>
          <w:p w14:paraId="43996EB0" w14:textId="77777777" w:rsidR="006E40C9" w:rsidRDefault="006E40C9">
            <w:pPr>
              <w:pStyle w:val="MeasureTableTextRightAligned"/>
            </w:pPr>
            <w:r>
              <w:t>2,060</w:t>
            </w:r>
          </w:p>
        </w:tc>
        <w:tc>
          <w:tcPr>
            <w:tcW w:w="967" w:type="dxa"/>
            <w:gridSpan w:val="2"/>
            <w:tcBorders>
              <w:top w:val="single" w:sz="2" w:space="0" w:color="auto"/>
              <w:bottom w:val="single" w:sz="2" w:space="0" w:color="auto"/>
            </w:tcBorders>
            <w:vAlign w:val="bottom"/>
          </w:tcPr>
          <w:p w14:paraId="70381DF1" w14:textId="77777777" w:rsidR="006E40C9" w:rsidRDefault="006E40C9">
            <w:pPr>
              <w:pStyle w:val="MeasureTableTextRightAligned"/>
            </w:pPr>
            <w:r>
              <w:t>2,090</w:t>
            </w:r>
          </w:p>
        </w:tc>
        <w:tc>
          <w:tcPr>
            <w:tcW w:w="967" w:type="dxa"/>
            <w:gridSpan w:val="2"/>
            <w:tcBorders>
              <w:top w:val="single" w:sz="2" w:space="0" w:color="auto"/>
              <w:bottom w:val="single" w:sz="2" w:space="0" w:color="auto"/>
            </w:tcBorders>
            <w:vAlign w:val="bottom"/>
          </w:tcPr>
          <w:p w14:paraId="33E195BF" w14:textId="77777777" w:rsidR="006E40C9" w:rsidRDefault="006E40C9">
            <w:pPr>
              <w:pStyle w:val="MeasureTableTextRightAligned"/>
            </w:pPr>
            <w:r>
              <w:t>2,120</w:t>
            </w:r>
          </w:p>
        </w:tc>
        <w:tc>
          <w:tcPr>
            <w:tcW w:w="968" w:type="dxa"/>
            <w:tcBorders>
              <w:top w:val="single" w:sz="2" w:space="0" w:color="auto"/>
              <w:bottom w:val="single" w:sz="2" w:space="0" w:color="auto"/>
            </w:tcBorders>
            <w:vAlign w:val="bottom"/>
          </w:tcPr>
          <w:p w14:paraId="703A8924" w14:textId="77777777" w:rsidR="006E40C9" w:rsidRDefault="006E40C9">
            <w:pPr>
              <w:pStyle w:val="MeasureTableTextRightAligned"/>
            </w:pPr>
            <w:r>
              <w:t>2,150</w:t>
            </w:r>
          </w:p>
        </w:tc>
      </w:tr>
      <w:tr w:rsidR="006E40C9" w14:paraId="05C3C36F" w14:textId="77777777">
        <w:trPr>
          <w:cantSplit/>
          <w:jc w:val="center"/>
        </w:trPr>
        <w:tc>
          <w:tcPr>
            <w:tcW w:w="1934" w:type="dxa"/>
            <w:gridSpan w:val="2"/>
            <w:tcBorders>
              <w:top w:val="single" w:sz="2" w:space="0" w:color="auto"/>
              <w:bottom w:val="nil"/>
            </w:tcBorders>
          </w:tcPr>
          <w:p w14:paraId="3444277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ABE03F" w14:textId="77777777" w:rsidR="006E40C9" w:rsidRDefault="006E40C9">
            <w:pPr>
              <w:pStyle w:val="MeasureTableTextLeftAligned"/>
            </w:pPr>
            <w:r>
              <w:t>Exemption</w:t>
            </w:r>
          </w:p>
        </w:tc>
        <w:tc>
          <w:tcPr>
            <w:tcW w:w="1500" w:type="dxa"/>
            <w:gridSpan w:val="2"/>
            <w:tcBorders>
              <w:top w:val="single" w:sz="2" w:space="0" w:color="auto"/>
              <w:bottom w:val="nil"/>
            </w:tcBorders>
          </w:tcPr>
          <w:p w14:paraId="1DC691B4" w14:textId="53A98B7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D05E6F" w14:textId="77777777" w:rsidR="006E40C9" w:rsidRDefault="006E40C9">
            <w:pPr>
              <w:pStyle w:val="MeasureTableTextLeftAligned"/>
            </w:pPr>
            <w:r>
              <w:t>B1</w:t>
            </w:r>
          </w:p>
        </w:tc>
      </w:tr>
      <w:tr w:rsidR="006E40C9" w14:paraId="5277F859" w14:textId="77777777">
        <w:trPr>
          <w:cantSplit/>
          <w:jc w:val="center"/>
        </w:trPr>
        <w:tc>
          <w:tcPr>
            <w:tcW w:w="1934" w:type="dxa"/>
            <w:gridSpan w:val="2"/>
            <w:tcBorders>
              <w:top w:val="nil"/>
              <w:bottom w:val="nil"/>
            </w:tcBorders>
          </w:tcPr>
          <w:p w14:paraId="422D3D8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C9D894E" w14:textId="77777777" w:rsidR="006E40C9" w:rsidRPr="00584CA7" w:rsidRDefault="006E40C9">
            <w:pPr>
              <w:pStyle w:val="MeasureTableTextLeftAligned"/>
            </w:pPr>
            <w:r>
              <w:t>Medium</w:t>
            </w:r>
          </w:p>
        </w:tc>
        <w:tc>
          <w:tcPr>
            <w:tcW w:w="1500" w:type="dxa"/>
            <w:gridSpan w:val="2"/>
            <w:tcBorders>
              <w:top w:val="nil"/>
              <w:bottom w:val="nil"/>
            </w:tcBorders>
          </w:tcPr>
          <w:p w14:paraId="22A95073" w14:textId="77777777" w:rsidR="006E40C9" w:rsidRDefault="006E40C9">
            <w:pPr>
              <w:pStyle w:val="MeasureTableTextItalic"/>
            </w:pPr>
          </w:p>
        </w:tc>
        <w:tc>
          <w:tcPr>
            <w:tcW w:w="1124" w:type="dxa"/>
            <w:gridSpan w:val="2"/>
            <w:tcBorders>
              <w:top w:val="nil"/>
              <w:bottom w:val="nil"/>
            </w:tcBorders>
          </w:tcPr>
          <w:p w14:paraId="548020D2" w14:textId="77777777" w:rsidR="006E40C9" w:rsidRDefault="006E40C9">
            <w:pPr>
              <w:pStyle w:val="MeasureTableTextLeftAligned"/>
            </w:pPr>
          </w:p>
        </w:tc>
      </w:tr>
      <w:tr w:rsidR="006E40C9" w14:paraId="38CD0ACA" w14:textId="77777777">
        <w:trPr>
          <w:cantSplit/>
          <w:jc w:val="center"/>
        </w:trPr>
        <w:tc>
          <w:tcPr>
            <w:tcW w:w="1934" w:type="dxa"/>
            <w:gridSpan w:val="2"/>
            <w:tcBorders>
              <w:top w:val="nil"/>
              <w:bottom w:val="nil"/>
            </w:tcBorders>
          </w:tcPr>
          <w:p w14:paraId="5F7F42ED" w14:textId="77777777" w:rsidR="006E40C9" w:rsidRDefault="006E40C9">
            <w:pPr>
              <w:pStyle w:val="MeasureTableTextItalic"/>
            </w:pPr>
            <w:r>
              <w:t>Commencement date:</w:t>
            </w:r>
          </w:p>
        </w:tc>
        <w:tc>
          <w:tcPr>
            <w:tcW w:w="3179" w:type="dxa"/>
            <w:gridSpan w:val="4"/>
            <w:tcBorders>
              <w:top w:val="nil"/>
              <w:bottom w:val="nil"/>
            </w:tcBorders>
          </w:tcPr>
          <w:p w14:paraId="30375AB6" w14:textId="77777777" w:rsidR="006E40C9" w:rsidRDefault="006E40C9">
            <w:pPr>
              <w:pStyle w:val="MeasureTableTextLeftAligned"/>
            </w:pPr>
            <w:r>
              <w:t>Introduced before 1985</w:t>
            </w:r>
          </w:p>
        </w:tc>
        <w:tc>
          <w:tcPr>
            <w:tcW w:w="1500" w:type="dxa"/>
            <w:gridSpan w:val="2"/>
            <w:tcBorders>
              <w:top w:val="nil"/>
              <w:bottom w:val="nil"/>
            </w:tcBorders>
          </w:tcPr>
          <w:p w14:paraId="569FBF13" w14:textId="77777777" w:rsidR="006E40C9" w:rsidRPr="00F32057" w:rsidRDefault="006E40C9">
            <w:pPr>
              <w:pStyle w:val="MeasureTableTextItalic"/>
            </w:pPr>
            <w:r>
              <w:t>Expiry date:</w:t>
            </w:r>
          </w:p>
        </w:tc>
        <w:tc>
          <w:tcPr>
            <w:tcW w:w="1124" w:type="dxa"/>
            <w:gridSpan w:val="2"/>
            <w:tcBorders>
              <w:top w:val="nil"/>
              <w:bottom w:val="nil"/>
            </w:tcBorders>
          </w:tcPr>
          <w:p w14:paraId="49721644" w14:textId="77777777" w:rsidR="006E40C9" w:rsidRPr="00F32057" w:rsidRDefault="006E40C9">
            <w:pPr>
              <w:pStyle w:val="MeasureTableTextLeftAligned"/>
            </w:pPr>
          </w:p>
        </w:tc>
      </w:tr>
      <w:tr w:rsidR="006E40C9" w14:paraId="125D6467" w14:textId="77777777">
        <w:trPr>
          <w:cantSplit/>
          <w:jc w:val="center"/>
        </w:trPr>
        <w:tc>
          <w:tcPr>
            <w:tcW w:w="1934" w:type="dxa"/>
            <w:gridSpan w:val="2"/>
            <w:tcBorders>
              <w:top w:val="nil"/>
            </w:tcBorders>
          </w:tcPr>
          <w:p w14:paraId="2D23CA4A" w14:textId="77777777" w:rsidR="006E40C9" w:rsidRDefault="006E40C9">
            <w:pPr>
              <w:pStyle w:val="MeasureTableTextItalic"/>
            </w:pPr>
            <w:r>
              <w:t>Legislative reference:</w:t>
            </w:r>
          </w:p>
        </w:tc>
        <w:tc>
          <w:tcPr>
            <w:tcW w:w="5803" w:type="dxa"/>
            <w:gridSpan w:val="8"/>
            <w:tcBorders>
              <w:top w:val="nil"/>
            </w:tcBorders>
          </w:tcPr>
          <w:p w14:paraId="511449BB"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Item 5.1 in the table in Section 50-25 of the </w:t>
            </w:r>
            <w:r>
              <w:rPr>
                <w:rFonts w:ascii="Arial" w:hAnsi="Arial" w:cs="Arial"/>
                <w:i/>
                <w:iCs/>
                <w:color w:val="000000"/>
                <w:sz w:val="16"/>
                <w:szCs w:val="16"/>
              </w:rPr>
              <w:t>Income Tax Assessment Act 1997</w:t>
            </w:r>
          </w:p>
        </w:tc>
      </w:tr>
    </w:tbl>
    <w:p w14:paraId="23E17240" w14:textId="77777777" w:rsidR="006E40C9" w:rsidRPr="00540040" w:rsidRDefault="006E40C9" w:rsidP="006E40C9">
      <w:pPr>
        <w:pStyle w:val="MeasureTableHeading"/>
      </w:pPr>
    </w:p>
    <w:p w14:paraId="1AE8C8E2" w14:textId="77777777" w:rsidR="006E40C9" w:rsidRDefault="006E40C9" w:rsidP="006E40C9">
      <w:r>
        <w:t>Under the benchmark tax treatment, corporations are taxable units that are liable to pay tax. Public authorities, constitutionally protected funds, local government</w:t>
      </w:r>
      <w:r>
        <w:fldChar w:fldCharType="begin"/>
      </w:r>
      <w:r>
        <w:instrText xml:space="preserve"> XE "L</w:instrText>
      </w:r>
      <w:r w:rsidRPr="00462AEF">
        <w:instrText>ocal government</w:instrText>
      </w:r>
      <w:r>
        <w:instrText xml:space="preserve">" </w:instrText>
      </w:r>
      <w:r>
        <w:fldChar w:fldCharType="end"/>
      </w:r>
      <w:r>
        <w:t xml:space="preserve"> bodies and </w:t>
      </w:r>
      <w:r w:rsidRPr="000E4CA8">
        <w:t>municipal corporations</w:t>
      </w:r>
      <w:r>
        <w:t xml:space="preserve"> are exempted from income tax, including </w:t>
      </w:r>
      <w:r w:rsidRPr="000E4CA8">
        <w:t>local governing bodies in Norfolk, Cocos (Keeling) and Christmas Islands.</w:t>
      </w:r>
    </w:p>
    <w:p w14:paraId="6F6F5273" w14:textId="77777777" w:rsidR="006E40C9" w:rsidRDefault="006E40C9" w:rsidP="0003254D">
      <w:pPr>
        <w:pStyle w:val="Heading3"/>
      </w:pPr>
      <w:r>
        <w:t>International tax expenditures</w:t>
      </w:r>
    </w:p>
    <w:p w14:paraId="1CBB0981" w14:textId="77777777" w:rsidR="006E40C9" w:rsidRDefault="006E40C9" w:rsidP="0003254D">
      <w:pPr>
        <w:pStyle w:val="Heading4"/>
      </w:pPr>
      <w:r>
        <w:t>B2</w:t>
      </w:r>
      <w:r>
        <w:tab/>
        <w:t>Dividend withholding tax, interest withholding tax and royalty withholding tax exemptions for overseas charitable institutions</w:t>
      </w:r>
    </w:p>
    <w:p w14:paraId="4E6859ED" w14:textId="16247230"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CB906F" w14:textId="77777777">
        <w:trPr>
          <w:cantSplit/>
          <w:jc w:val="center"/>
        </w:trPr>
        <w:tc>
          <w:tcPr>
            <w:tcW w:w="967" w:type="dxa"/>
            <w:tcBorders>
              <w:top w:val="single" w:sz="2" w:space="0" w:color="auto"/>
              <w:bottom w:val="single" w:sz="2" w:space="0" w:color="auto"/>
            </w:tcBorders>
          </w:tcPr>
          <w:p w14:paraId="144EBE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F0FED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6C585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86C9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F55AD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AA5FD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2B995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A771F6" w14:textId="77777777" w:rsidR="006E40C9" w:rsidRDefault="006E40C9">
            <w:pPr>
              <w:pStyle w:val="MeasureTableTextRightAligned"/>
            </w:pPr>
            <w:r>
              <w:t>2027-28</w:t>
            </w:r>
          </w:p>
        </w:tc>
      </w:tr>
      <w:tr w:rsidR="006E40C9" w14:paraId="0CACD2EC" w14:textId="77777777">
        <w:trPr>
          <w:cantSplit/>
          <w:jc w:val="center"/>
        </w:trPr>
        <w:tc>
          <w:tcPr>
            <w:tcW w:w="967" w:type="dxa"/>
            <w:tcBorders>
              <w:top w:val="single" w:sz="2" w:space="0" w:color="auto"/>
              <w:bottom w:val="single" w:sz="2" w:space="0" w:color="auto"/>
            </w:tcBorders>
          </w:tcPr>
          <w:p w14:paraId="6A70B04A"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27E9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23FC8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9B7C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16FC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D1C5E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A2676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46548F6" w14:textId="77777777" w:rsidR="006E40C9" w:rsidRDefault="006E40C9">
            <w:pPr>
              <w:pStyle w:val="MeasureTableTextRightAligned"/>
            </w:pPr>
            <w:r>
              <w:t>*</w:t>
            </w:r>
          </w:p>
        </w:tc>
      </w:tr>
      <w:tr w:rsidR="006E40C9" w14:paraId="56D4A87D" w14:textId="77777777">
        <w:trPr>
          <w:cantSplit/>
          <w:jc w:val="center"/>
        </w:trPr>
        <w:tc>
          <w:tcPr>
            <w:tcW w:w="1934" w:type="dxa"/>
            <w:gridSpan w:val="2"/>
            <w:tcBorders>
              <w:top w:val="single" w:sz="2" w:space="0" w:color="auto"/>
              <w:bottom w:val="nil"/>
            </w:tcBorders>
          </w:tcPr>
          <w:p w14:paraId="5D245B2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C9186B" w14:textId="77777777" w:rsidR="006E40C9" w:rsidRDefault="006E40C9">
            <w:pPr>
              <w:pStyle w:val="MeasureTableTextLeftAligned"/>
            </w:pPr>
            <w:r>
              <w:t>Exemption</w:t>
            </w:r>
          </w:p>
        </w:tc>
        <w:tc>
          <w:tcPr>
            <w:tcW w:w="1500" w:type="dxa"/>
            <w:gridSpan w:val="2"/>
            <w:tcBorders>
              <w:top w:val="single" w:sz="2" w:space="0" w:color="auto"/>
              <w:bottom w:val="nil"/>
            </w:tcBorders>
          </w:tcPr>
          <w:p w14:paraId="7BBA9E61" w14:textId="3F63659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5AE374" w14:textId="77777777" w:rsidR="006E40C9" w:rsidRDefault="006E40C9">
            <w:pPr>
              <w:pStyle w:val="MeasureTableTextLeftAligned"/>
            </w:pPr>
            <w:r>
              <w:t>B2</w:t>
            </w:r>
          </w:p>
        </w:tc>
      </w:tr>
      <w:tr w:rsidR="006E40C9" w14:paraId="3D636479" w14:textId="77777777">
        <w:trPr>
          <w:cantSplit/>
          <w:jc w:val="center"/>
        </w:trPr>
        <w:tc>
          <w:tcPr>
            <w:tcW w:w="1934" w:type="dxa"/>
            <w:gridSpan w:val="2"/>
            <w:tcBorders>
              <w:top w:val="nil"/>
              <w:bottom w:val="nil"/>
            </w:tcBorders>
          </w:tcPr>
          <w:p w14:paraId="3750AAF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CBB7A42" w14:textId="77777777" w:rsidR="006E40C9" w:rsidRPr="00584CA7" w:rsidRDefault="006E40C9">
            <w:pPr>
              <w:pStyle w:val="MeasureTableTextLeftAligned"/>
            </w:pPr>
            <w:r>
              <w:t>Not Applicable</w:t>
            </w:r>
          </w:p>
        </w:tc>
        <w:tc>
          <w:tcPr>
            <w:tcW w:w="1500" w:type="dxa"/>
            <w:gridSpan w:val="2"/>
            <w:tcBorders>
              <w:top w:val="nil"/>
              <w:bottom w:val="nil"/>
            </w:tcBorders>
          </w:tcPr>
          <w:p w14:paraId="2F4DF61E" w14:textId="77777777" w:rsidR="006E40C9" w:rsidRDefault="006E40C9">
            <w:pPr>
              <w:pStyle w:val="MeasureTableTextItalic"/>
            </w:pPr>
            <w:r>
              <w:t>* Category</w:t>
            </w:r>
          </w:p>
        </w:tc>
        <w:tc>
          <w:tcPr>
            <w:tcW w:w="1124" w:type="dxa"/>
            <w:gridSpan w:val="2"/>
            <w:tcBorders>
              <w:top w:val="nil"/>
              <w:bottom w:val="nil"/>
            </w:tcBorders>
          </w:tcPr>
          <w:p w14:paraId="5CE7A2F4" w14:textId="77777777" w:rsidR="006E40C9" w:rsidRDefault="006E40C9">
            <w:pPr>
              <w:pStyle w:val="MeasureTableTextLeftAligned"/>
            </w:pPr>
            <w:r>
              <w:t>2+</w:t>
            </w:r>
          </w:p>
        </w:tc>
      </w:tr>
      <w:tr w:rsidR="006E40C9" w14:paraId="21B847EE" w14:textId="77777777">
        <w:trPr>
          <w:cantSplit/>
          <w:jc w:val="center"/>
        </w:trPr>
        <w:tc>
          <w:tcPr>
            <w:tcW w:w="1934" w:type="dxa"/>
            <w:gridSpan w:val="2"/>
            <w:tcBorders>
              <w:top w:val="nil"/>
              <w:bottom w:val="nil"/>
            </w:tcBorders>
          </w:tcPr>
          <w:p w14:paraId="29125D23" w14:textId="77777777" w:rsidR="006E40C9" w:rsidRDefault="006E40C9">
            <w:pPr>
              <w:pStyle w:val="MeasureTableTextItalic"/>
            </w:pPr>
            <w:r>
              <w:t>Commencement date:</w:t>
            </w:r>
          </w:p>
        </w:tc>
        <w:tc>
          <w:tcPr>
            <w:tcW w:w="3179" w:type="dxa"/>
            <w:gridSpan w:val="4"/>
            <w:tcBorders>
              <w:top w:val="nil"/>
              <w:bottom w:val="nil"/>
            </w:tcBorders>
          </w:tcPr>
          <w:p w14:paraId="408BBFC3" w14:textId="77777777" w:rsidR="006E40C9" w:rsidRDefault="006E40C9">
            <w:pPr>
              <w:pStyle w:val="MeasureTableTextLeftAligned"/>
            </w:pPr>
            <w:r>
              <w:t>1999</w:t>
            </w:r>
          </w:p>
        </w:tc>
        <w:tc>
          <w:tcPr>
            <w:tcW w:w="1500" w:type="dxa"/>
            <w:gridSpan w:val="2"/>
            <w:tcBorders>
              <w:top w:val="nil"/>
              <w:bottom w:val="nil"/>
            </w:tcBorders>
          </w:tcPr>
          <w:p w14:paraId="4C487095" w14:textId="77777777" w:rsidR="006E40C9" w:rsidRPr="00F32057" w:rsidRDefault="006E40C9">
            <w:pPr>
              <w:pStyle w:val="MeasureTableTextItalic"/>
            </w:pPr>
            <w:r>
              <w:t>Expiry date:</w:t>
            </w:r>
          </w:p>
        </w:tc>
        <w:tc>
          <w:tcPr>
            <w:tcW w:w="1124" w:type="dxa"/>
            <w:gridSpan w:val="2"/>
            <w:tcBorders>
              <w:top w:val="nil"/>
              <w:bottom w:val="nil"/>
            </w:tcBorders>
          </w:tcPr>
          <w:p w14:paraId="1213EEAE" w14:textId="77777777" w:rsidR="006E40C9" w:rsidRPr="00F32057" w:rsidRDefault="006E40C9">
            <w:pPr>
              <w:pStyle w:val="MeasureTableTextLeftAligned"/>
            </w:pPr>
          </w:p>
        </w:tc>
      </w:tr>
      <w:tr w:rsidR="006E40C9" w14:paraId="21F6E974" w14:textId="77777777">
        <w:trPr>
          <w:cantSplit/>
          <w:jc w:val="center"/>
        </w:trPr>
        <w:tc>
          <w:tcPr>
            <w:tcW w:w="1934" w:type="dxa"/>
            <w:gridSpan w:val="2"/>
            <w:tcBorders>
              <w:top w:val="nil"/>
            </w:tcBorders>
          </w:tcPr>
          <w:p w14:paraId="35AC2A36" w14:textId="77777777" w:rsidR="006E40C9" w:rsidRDefault="006E40C9">
            <w:pPr>
              <w:pStyle w:val="MeasureTableTextItalic"/>
            </w:pPr>
            <w:r>
              <w:t>Legislative reference:</w:t>
            </w:r>
          </w:p>
        </w:tc>
        <w:tc>
          <w:tcPr>
            <w:tcW w:w="5803" w:type="dxa"/>
            <w:gridSpan w:val="8"/>
            <w:tcBorders>
              <w:top w:val="nil"/>
            </w:tcBorders>
          </w:tcPr>
          <w:p w14:paraId="28DC2EAA"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Paragraph 128B(3)(aa) of the </w:t>
            </w:r>
            <w:r>
              <w:rPr>
                <w:rFonts w:ascii="Arial" w:hAnsi="Arial" w:cs="Arial"/>
                <w:i/>
                <w:iCs/>
                <w:color w:val="000000"/>
                <w:sz w:val="16"/>
                <w:szCs w:val="16"/>
              </w:rPr>
              <w:t>Income Tax Assessment Act 1936</w:t>
            </w:r>
          </w:p>
        </w:tc>
      </w:tr>
    </w:tbl>
    <w:p w14:paraId="1866DBBD" w14:textId="77777777" w:rsidR="006E40C9" w:rsidRPr="00540040" w:rsidRDefault="006E40C9" w:rsidP="006E40C9">
      <w:pPr>
        <w:pStyle w:val="MeasureTableHeading"/>
      </w:pPr>
    </w:p>
    <w:p w14:paraId="3D0897E9" w14:textId="45AB7CA8" w:rsidR="006E40C9" w:rsidRDefault="006E40C9" w:rsidP="006E40C9">
      <w:r>
        <w:t>Under the benchmark, dividends, interest and royalties paid to non</w:t>
      </w:r>
      <w:r>
        <w:noBreakHyphen/>
        <w:t>residents are generally subject to withholding tax at a flat rate. However, dividends, i</w:t>
      </w:r>
      <w:r w:rsidRPr="00442782">
        <w:t xml:space="preserve">nterest and </w:t>
      </w:r>
      <w:r>
        <w:t xml:space="preserve">royalties </w:t>
      </w:r>
      <w:r w:rsidRPr="00442782">
        <w:t>received by certain overseas charitable institutions</w:t>
      </w:r>
      <w:r>
        <w:fldChar w:fldCharType="begin"/>
      </w:r>
      <w:r>
        <w:instrText xml:space="preserve"> XE "O</w:instrText>
      </w:r>
      <w:r w:rsidRPr="00ED7D0C">
        <w:instrText>verseas charitable institutions</w:instrText>
      </w:r>
      <w:r>
        <w:instrText xml:space="preserve">" </w:instrText>
      </w:r>
      <w:r>
        <w:fldChar w:fldCharType="end"/>
      </w:r>
      <w:r w:rsidRPr="00442782">
        <w:t xml:space="preserve"> are exempt from the </w:t>
      </w:r>
      <w:r>
        <w:t xml:space="preserve">dividend, </w:t>
      </w:r>
      <w:r w:rsidRPr="00442782">
        <w:t xml:space="preserve">interest and </w:t>
      </w:r>
      <w:r>
        <w:t>royalty</w:t>
      </w:r>
      <w:r w:rsidRPr="00442782">
        <w:t xml:space="preserve"> withholding tax, respectively. This exemption only applies where the institutions are exempt from tax in their home country.</w:t>
      </w:r>
    </w:p>
    <w:p w14:paraId="0DB88C9B" w14:textId="77777777" w:rsidR="006E40C9" w:rsidRDefault="006E40C9" w:rsidP="0003254D">
      <w:pPr>
        <w:pStyle w:val="Heading4"/>
      </w:pPr>
      <w:r>
        <w:t>B3</w:t>
      </w:r>
      <w:r>
        <w:tab/>
        <w:t>Exemptions for prescribed international organisations</w:t>
      </w:r>
    </w:p>
    <w:p w14:paraId="7BF6CA4E" w14:textId="404DDE8E"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E37812" w14:textId="77777777">
        <w:trPr>
          <w:cantSplit/>
          <w:jc w:val="center"/>
        </w:trPr>
        <w:tc>
          <w:tcPr>
            <w:tcW w:w="967" w:type="dxa"/>
            <w:tcBorders>
              <w:top w:val="single" w:sz="2" w:space="0" w:color="auto"/>
              <w:bottom w:val="single" w:sz="2" w:space="0" w:color="auto"/>
            </w:tcBorders>
          </w:tcPr>
          <w:p w14:paraId="45BC14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B76460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6845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4B384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BA84A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7F255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8C7BF4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014C93" w14:textId="77777777" w:rsidR="006E40C9" w:rsidRDefault="006E40C9">
            <w:pPr>
              <w:pStyle w:val="MeasureTableTextRightAligned"/>
            </w:pPr>
            <w:r>
              <w:t>2027-28</w:t>
            </w:r>
          </w:p>
        </w:tc>
      </w:tr>
      <w:tr w:rsidR="006E40C9" w14:paraId="517B2F25" w14:textId="77777777">
        <w:trPr>
          <w:cantSplit/>
          <w:jc w:val="center"/>
        </w:trPr>
        <w:tc>
          <w:tcPr>
            <w:tcW w:w="967" w:type="dxa"/>
            <w:tcBorders>
              <w:top w:val="single" w:sz="2" w:space="0" w:color="auto"/>
              <w:bottom w:val="single" w:sz="2" w:space="0" w:color="auto"/>
            </w:tcBorders>
          </w:tcPr>
          <w:p w14:paraId="1F822E1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0301E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FF7F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4D773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8466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6AD8A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005F9C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4CE85D" w14:textId="77777777" w:rsidR="006E40C9" w:rsidRDefault="006E40C9">
            <w:pPr>
              <w:pStyle w:val="MeasureTableTextRightAligned"/>
            </w:pPr>
            <w:r>
              <w:t>*</w:t>
            </w:r>
          </w:p>
        </w:tc>
      </w:tr>
      <w:tr w:rsidR="006E40C9" w14:paraId="3C0096A3" w14:textId="77777777">
        <w:trPr>
          <w:cantSplit/>
          <w:jc w:val="center"/>
        </w:trPr>
        <w:tc>
          <w:tcPr>
            <w:tcW w:w="1934" w:type="dxa"/>
            <w:gridSpan w:val="2"/>
            <w:tcBorders>
              <w:top w:val="single" w:sz="2" w:space="0" w:color="auto"/>
              <w:bottom w:val="nil"/>
            </w:tcBorders>
          </w:tcPr>
          <w:p w14:paraId="7DCC85E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3A5C4B" w14:textId="77777777" w:rsidR="006E40C9" w:rsidRDefault="006E40C9">
            <w:pPr>
              <w:pStyle w:val="MeasureTableTextLeftAligned"/>
            </w:pPr>
            <w:r>
              <w:t>Exemption</w:t>
            </w:r>
          </w:p>
        </w:tc>
        <w:tc>
          <w:tcPr>
            <w:tcW w:w="1500" w:type="dxa"/>
            <w:gridSpan w:val="2"/>
            <w:tcBorders>
              <w:top w:val="single" w:sz="2" w:space="0" w:color="auto"/>
              <w:bottom w:val="nil"/>
            </w:tcBorders>
          </w:tcPr>
          <w:p w14:paraId="1BF36D82" w14:textId="3DAAF2D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BCD9E8" w14:textId="77777777" w:rsidR="006E40C9" w:rsidRDefault="006E40C9">
            <w:pPr>
              <w:pStyle w:val="MeasureTableTextLeftAligned"/>
            </w:pPr>
            <w:r>
              <w:t>B3</w:t>
            </w:r>
          </w:p>
        </w:tc>
      </w:tr>
      <w:tr w:rsidR="006E40C9" w14:paraId="5804781E" w14:textId="77777777">
        <w:trPr>
          <w:cantSplit/>
          <w:jc w:val="center"/>
        </w:trPr>
        <w:tc>
          <w:tcPr>
            <w:tcW w:w="1934" w:type="dxa"/>
            <w:gridSpan w:val="2"/>
            <w:tcBorders>
              <w:top w:val="nil"/>
              <w:bottom w:val="nil"/>
            </w:tcBorders>
          </w:tcPr>
          <w:p w14:paraId="7D9FC0A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ADE363" w14:textId="77777777" w:rsidR="006E40C9" w:rsidRPr="00584CA7" w:rsidRDefault="006E40C9">
            <w:pPr>
              <w:pStyle w:val="MeasureTableTextLeftAligned"/>
            </w:pPr>
            <w:r>
              <w:t>Not Applicable</w:t>
            </w:r>
          </w:p>
        </w:tc>
        <w:tc>
          <w:tcPr>
            <w:tcW w:w="1500" w:type="dxa"/>
            <w:gridSpan w:val="2"/>
            <w:tcBorders>
              <w:top w:val="nil"/>
              <w:bottom w:val="nil"/>
            </w:tcBorders>
          </w:tcPr>
          <w:p w14:paraId="4DF93364" w14:textId="77777777" w:rsidR="006E40C9" w:rsidRDefault="006E40C9">
            <w:pPr>
              <w:pStyle w:val="MeasureTableTextItalic"/>
            </w:pPr>
            <w:r>
              <w:t>* Category</w:t>
            </w:r>
          </w:p>
        </w:tc>
        <w:tc>
          <w:tcPr>
            <w:tcW w:w="1124" w:type="dxa"/>
            <w:gridSpan w:val="2"/>
            <w:tcBorders>
              <w:top w:val="nil"/>
              <w:bottom w:val="nil"/>
            </w:tcBorders>
          </w:tcPr>
          <w:p w14:paraId="6C3568DB" w14:textId="77777777" w:rsidR="006E40C9" w:rsidRDefault="006E40C9">
            <w:pPr>
              <w:pStyle w:val="MeasureTableTextLeftAligned"/>
            </w:pPr>
            <w:r>
              <w:t>1+</w:t>
            </w:r>
          </w:p>
        </w:tc>
      </w:tr>
      <w:tr w:rsidR="006E40C9" w14:paraId="51FCB826" w14:textId="77777777">
        <w:trPr>
          <w:cantSplit/>
          <w:jc w:val="center"/>
        </w:trPr>
        <w:tc>
          <w:tcPr>
            <w:tcW w:w="1934" w:type="dxa"/>
            <w:gridSpan w:val="2"/>
            <w:tcBorders>
              <w:top w:val="nil"/>
              <w:bottom w:val="nil"/>
            </w:tcBorders>
          </w:tcPr>
          <w:p w14:paraId="3E80F9BB" w14:textId="77777777" w:rsidR="006E40C9" w:rsidRDefault="006E40C9">
            <w:pPr>
              <w:pStyle w:val="MeasureTableTextItalic"/>
            </w:pPr>
            <w:r>
              <w:t>Commencement date:</w:t>
            </w:r>
          </w:p>
        </w:tc>
        <w:tc>
          <w:tcPr>
            <w:tcW w:w="3179" w:type="dxa"/>
            <w:gridSpan w:val="4"/>
            <w:tcBorders>
              <w:top w:val="nil"/>
              <w:bottom w:val="nil"/>
            </w:tcBorders>
          </w:tcPr>
          <w:p w14:paraId="74F944CF" w14:textId="77777777" w:rsidR="006E40C9" w:rsidRDefault="006E40C9">
            <w:pPr>
              <w:pStyle w:val="MeasureTableTextLeftAligned"/>
            </w:pPr>
            <w:r>
              <w:t>1963</w:t>
            </w:r>
          </w:p>
        </w:tc>
        <w:tc>
          <w:tcPr>
            <w:tcW w:w="1500" w:type="dxa"/>
            <w:gridSpan w:val="2"/>
            <w:tcBorders>
              <w:top w:val="nil"/>
              <w:bottom w:val="nil"/>
            </w:tcBorders>
          </w:tcPr>
          <w:p w14:paraId="19D1BD27" w14:textId="77777777" w:rsidR="006E40C9" w:rsidRPr="00F32057" w:rsidRDefault="006E40C9">
            <w:pPr>
              <w:pStyle w:val="MeasureTableTextItalic"/>
            </w:pPr>
            <w:r>
              <w:t>Expiry date:</w:t>
            </w:r>
          </w:p>
        </w:tc>
        <w:tc>
          <w:tcPr>
            <w:tcW w:w="1124" w:type="dxa"/>
            <w:gridSpan w:val="2"/>
            <w:tcBorders>
              <w:top w:val="nil"/>
              <w:bottom w:val="nil"/>
            </w:tcBorders>
          </w:tcPr>
          <w:p w14:paraId="1E522FB3" w14:textId="77777777" w:rsidR="006E40C9" w:rsidRPr="00F32057" w:rsidRDefault="006E40C9">
            <w:pPr>
              <w:pStyle w:val="MeasureTableTextLeftAligned"/>
            </w:pPr>
          </w:p>
        </w:tc>
      </w:tr>
      <w:tr w:rsidR="006E40C9" w14:paraId="1E48260E" w14:textId="77777777">
        <w:trPr>
          <w:cantSplit/>
          <w:jc w:val="center"/>
        </w:trPr>
        <w:tc>
          <w:tcPr>
            <w:tcW w:w="1934" w:type="dxa"/>
            <w:gridSpan w:val="2"/>
            <w:tcBorders>
              <w:top w:val="nil"/>
            </w:tcBorders>
          </w:tcPr>
          <w:p w14:paraId="673166A4" w14:textId="77777777" w:rsidR="006E40C9" w:rsidRDefault="006E40C9">
            <w:pPr>
              <w:pStyle w:val="MeasureTableTextItalic"/>
            </w:pPr>
            <w:r>
              <w:t>Legislative reference:</w:t>
            </w:r>
          </w:p>
        </w:tc>
        <w:tc>
          <w:tcPr>
            <w:tcW w:w="5803" w:type="dxa"/>
            <w:gridSpan w:val="8"/>
            <w:tcBorders>
              <w:top w:val="nil"/>
            </w:tcBorders>
          </w:tcPr>
          <w:p w14:paraId="6D3B7D7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6 of the </w:t>
            </w:r>
            <w:r>
              <w:rPr>
                <w:rFonts w:ascii="Arial" w:hAnsi="Arial" w:cs="Arial"/>
                <w:i/>
                <w:iCs/>
                <w:color w:val="000000"/>
                <w:sz w:val="16"/>
                <w:szCs w:val="16"/>
              </w:rPr>
              <w:t>International Organisations (Privileges and Immunities) Act 1963</w:t>
            </w:r>
          </w:p>
        </w:tc>
      </w:tr>
    </w:tbl>
    <w:p w14:paraId="50E89E02" w14:textId="77777777" w:rsidR="006E40C9" w:rsidRPr="00540040" w:rsidRDefault="006E40C9" w:rsidP="006E40C9">
      <w:pPr>
        <w:pStyle w:val="MeasureTableHeading"/>
      </w:pPr>
    </w:p>
    <w:p w14:paraId="0702920A" w14:textId="77777777" w:rsidR="006E40C9" w:rsidRDefault="006E40C9" w:rsidP="006E40C9">
      <w:pPr>
        <w:spacing w:after="0" w:line="240" w:lineRule="auto"/>
        <w:jc w:val="left"/>
      </w:pPr>
      <w:r>
        <w:t>Under the benchmark,</w:t>
      </w:r>
      <w:r w:rsidRPr="00F37D1F">
        <w:t xml:space="preserve"> income </w:t>
      </w:r>
      <w:r>
        <w:fldChar w:fldCharType="begin"/>
      </w:r>
      <w:r>
        <w:instrText xml:space="preserve"> XE "I</w:instrText>
      </w:r>
      <w:r w:rsidRPr="003D786D">
        <w:instrText>nternational organisations</w:instrText>
      </w:r>
      <w:r>
        <w:instrText xml:space="preserve">" </w:instrText>
      </w:r>
      <w:r>
        <w:fldChar w:fldCharType="end"/>
      </w:r>
      <w:r>
        <w:t>derived by organisations that are not exempt entities is generally taxable</w:t>
      </w:r>
      <w:r w:rsidRPr="00F37D1F">
        <w:t>.</w:t>
      </w:r>
      <w:r>
        <w:t xml:space="preserve"> However, the income of certain prescribed international organisations is exempt from income tax.</w:t>
      </w:r>
      <w:r w:rsidRPr="00F37D1F">
        <w:t xml:space="preserve"> </w:t>
      </w:r>
      <w:r>
        <w:t xml:space="preserve">Interest and dividends received by such organisations are also exempt from withholding tax. </w:t>
      </w:r>
      <w:r w:rsidRPr="00F37D1F">
        <w:t>Prescribed international organisations include the United Nations, the World Trade Organisation, the Organisation for Economic Cooperation and Development and various United Nations specialised agencies.</w:t>
      </w:r>
      <w:r w:rsidRPr="00224433">
        <w:t xml:space="preserve"> </w:t>
      </w:r>
    </w:p>
    <w:p w14:paraId="08A93EE9" w14:textId="77777777" w:rsidR="006E40C9" w:rsidRDefault="006E40C9" w:rsidP="0003254D">
      <w:pPr>
        <w:pStyle w:val="Heading4"/>
      </w:pPr>
      <w:r>
        <w:t>B4</w:t>
      </w:r>
      <w:r>
        <w:tab/>
        <w:t>Investment Manager Regime</w:t>
      </w:r>
    </w:p>
    <w:p w14:paraId="5FDF29BD" w14:textId="251BDF22"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7F4779" w14:textId="77777777">
        <w:trPr>
          <w:cantSplit/>
          <w:jc w:val="center"/>
        </w:trPr>
        <w:tc>
          <w:tcPr>
            <w:tcW w:w="967" w:type="dxa"/>
            <w:tcBorders>
              <w:top w:val="single" w:sz="2" w:space="0" w:color="auto"/>
              <w:bottom w:val="single" w:sz="2" w:space="0" w:color="auto"/>
            </w:tcBorders>
          </w:tcPr>
          <w:p w14:paraId="0F5121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74D20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A9A76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85DA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7EC3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260A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7B5E2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2D8F6C1" w14:textId="77777777" w:rsidR="006E40C9" w:rsidRDefault="006E40C9">
            <w:pPr>
              <w:pStyle w:val="MeasureTableTextRightAligned"/>
            </w:pPr>
            <w:r>
              <w:t>2027-28</w:t>
            </w:r>
          </w:p>
        </w:tc>
      </w:tr>
      <w:tr w:rsidR="006E40C9" w14:paraId="329EF0B3" w14:textId="77777777">
        <w:trPr>
          <w:cantSplit/>
          <w:jc w:val="center"/>
        </w:trPr>
        <w:tc>
          <w:tcPr>
            <w:tcW w:w="967" w:type="dxa"/>
            <w:tcBorders>
              <w:top w:val="single" w:sz="2" w:space="0" w:color="auto"/>
              <w:bottom w:val="single" w:sz="2" w:space="0" w:color="auto"/>
            </w:tcBorders>
          </w:tcPr>
          <w:p w14:paraId="15E59C17"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A1DB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6E79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32EA0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48271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0F96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91E2DE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D40A61" w14:textId="77777777" w:rsidR="006E40C9" w:rsidRDefault="006E40C9">
            <w:pPr>
              <w:pStyle w:val="MeasureTableTextRightAligned"/>
            </w:pPr>
            <w:r>
              <w:t>*</w:t>
            </w:r>
          </w:p>
        </w:tc>
      </w:tr>
      <w:tr w:rsidR="006E40C9" w14:paraId="1D3F41F9" w14:textId="77777777">
        <w:trPr>
          <w:cantSplit/>
          <w:jc w:val="center"/>
        </w:trPr>
        <w:tc>
          <w:tcPr>
            <w:tcW w:w="1934" w:type="dxa"/>
            <w:gridSpan w:val="2"/>
            <w:tcBorders>
              <w:top w:val="single" w:sz="2" w:space="0" w:color="auto"/>
              <w:bottom w:val="nil"/>
            </w:tcBorders>
          </w:tcPr>
          <w:p w14:paraId="1684C5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E8ACB50" w14:textId="77777777" w:rsidR="006E40C9" w:rsidRDefault="006E40C9">
            <w:pPr>
              <w:pStyle w:val="MeasureTableTextLeftAligned"/>
            </w:pPr>
            <w:r>
              <w:t>Exemption</w:t>
            </w:r>
          </w:p>
        </w:tc>
        <w:tc>
          <w:tcPr>
            <w:tcW w:w="1500" w:type="dxa"/>
            <w:gridSpan w:val="2"/>
            <w:tcBorders>
              <w:top w:val="single" w:sz="2" w:space="0" w:color="auto"/>
              <w:bottom w:val="nil"/>
            </w:tcBorders>
          </w:tcPr>
          <w:p w14:paraId="2DA6BDD7" w14:textId="775D867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CDABA8" w14:textId="77777777" w:rsidR="006E40C9" w:rsidRDefault="006E40C9">
            <w:pPr>
              <w:pStyle w:val="MeasureTableTextLeftAligned"/>
            </w:pPr>
            <w:r>
              <w:t>B4</w:t>
            </w:r>
          </w:p>
        </w:tc>
      </w:tr>
      <w:tr w:rsidR="006E40C9" w14:paraId="4841791B" w14:textId="77777777">
        <w:trPr>
          <w:cantSplit/>
          <w:jc w:val="center"/>
        </w:trPr>
        <w:tc>
          <w:tcPr>
            <w:tcW w:w="1934" w:type="dxa"/>
            <w:gridSpan w:val="2"/>
            <w:tcBorders>
              <w:top w:val="nil"/>
              <w:bottom w:val="nil"/>
            </w:tcBorders>
          </w:tcPr>
          <w:p w14:paraId="1ED29D5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EAC8B5" w14:textId="77777777" w:rsidR="006E40C9" w:rsidRPr="00584CA7" w:rsidRDefault="006E40C9">
            <w:pPr>
              <w:pStyle w:val="MeasureTableTextLeftAligned"/>
            </w:pPr>
            <w:r>
              <w:t>Not Applicable</w:t>
            </w:r>
          </w:p>
        </w:tc>
        <w:tc>
          <w:tcPr>
            <w:tcW w:w="1500" w:type="dxa"/>
            <w:gridSpan w:val="2"/>
            <w:tcBorders>
              <w:top w:val="nil"/>
              <w:bottom w:val="nil"/>
            </w:tcBorders>
          </w:tcPr>
          <w:p w14:paraId="1A2280C7" w14:textId="77777777" w:rsidR="006E40C9" w:rsidRDefault="006E40C9">
            <w:pPr>
              <w:pStyle w:val="MeasureTableTextItalic"/>
            </w:pPr>
            <w:r>
              <w:t>* Category</w:t>
            </w:r>
          </w:p>
        </w:tc>
        <w:tc>
          <w:tcPr>
            <w:tcW w:w="1124" w:type="dxa"/>
            <w:gridSpan w:val="2"/>
            <w:tcBorders>
              <w:top w:val="nil"/>
              <w:bottom w:val="nil"/>
            </w:tcBorders>
          </w:tcPr>
          <w:p w14:paraId="38B30E89" w14:textId="77777777" w:rsidR="006E40C9" w:rsidRDefault="006E40C9">
            <w:pPr>
              <w:pStyle w:val="MeasureTableTextLeftAligned"/>
            </w:pPr>
            <w:r>
              <w:t>2+</w:t>
            </w:r>
          </w:p>
        </w:tc>
      </w:tr>
      <w:tr w:rsidR="006E40C9" w14:paraId="65D37A8E" w14:textId="77777777">
        <w:trPr>
          <w:cantSplit/>
          <w:jc w:val="center"/>
        </w:trPr>
        <w:tc>
          <w:tcPr>
            <w:tcW w:w="1934" w:type="dxa"/>
            <w:gridSpan w:val="2"/>
            <w:tcBorders>
              <w:top w:val="nil"/>
              <w:bottom w:val="nil"/>
            </w:tcBorders>
          </w:tcPr>
          <w:p w14:paraId="12CFEAC3" w14:textId="77777777" w:rsidR="006E40C9" w:rsidRDefault="006E40C9">
            <w:pPr>
              <w:pStyle w:val="MeasureTableTextItalic"/>
            </w:pPr>
            <w:r>
              <w:t>Commencement date:</w:t>
            </w:r>
          </w:p>
        </w:tc>
        <w:tc>
          <w:tcPr>
            <w:tcW w:w="3179" w:type="dxa"/>
            <w:gridSpan w:val="4"/>
            <w:tcBorders>
              <w:top w:val="nil"/>
              <w:bottom w:val="nil"/>
            </w:tcBorders>
          </w:tcPr>
          <w:p w14:paraId="4D6DE82C" w14:textId="77777777" w:rsidR="006E40C9" w:rsidRDefault="006E40C9">
            <w:pPr>
              <w:pStyle w:val="MeasureTableTextLeftAligned"/>
            </w:pPr>
            <w:r>
              <w:t>1 July 2011</w:t>
            </w:r>
          </w:p>
        </w:tc>
        <w:tc>
          <w:tcPr>
            <w:tcW w:w="1500" w:type="dxa"/>
            <w:gridSpan w:val="2"/>
            <w:tcBorders>
              <w:top w:val="nil"/>
              <w:bottom w:val="nil"/>
            </w:tcBorders>
          </w:tcPr>
          <w:p w14:paraId="0C70B5B5" w14:textId="77777777" w:rsidR="006E40C9" w:rsidRPr="00F32057" w:rsidRDefault="006E40C9">
            <w:pPr>
              <w:pStyle w:val="MeasureTableTextItalic"/>
            </w:pPr>
            <w:r>
              <w:t>Expiry date:</w:t>
            </w:r>
          </w:p>
        </w:tc>
        <w:tc>
          <w:tcPr>
            <w:tcW w:w="1124" w:type="dxa"/>
            <w:gridSpan w:val="2"/>
            <w:tcBorders>
              <w:top w:val="nil"/>
              <w:bottom w:val="nil"/>
            </w:tcBorders>
          </w:tcPr>
          <w:p w14:paraId="5AF78C70" w14:textId="77777777" w:rsidR="006E40C9" w:rsidRPr="00F32057" w:rsidRDefault="006E40C9">
            <w:pPr>
              <w:pStyle w:val="MeasureTableTextLeftAligned"/>
            </w:pPr>
          </w:p>
        </w:tc>
      </w:tr>
      <w:tr w:rsidR="006E40C9" w14:paraId="7CA0917D" w14:textId="77777777">
        <w:trPr>
          <w:cantSplit/>
          <w:jc w:val="center"/>
        </w:trPr>
        <w:tc>
          <w:tcPr>
            <w:tcW w:w="1934" w:type="dxa"/>
            <w:gridSpan w:val="2"/>
            <w:tcBorders>
              <w:top w:val="nil"/>
            </w:tcBorders>
          </w:tcPr>
          <w:p w14:paraId="7D117991" w14:textId="77777777" w:rsidR="006E40C9" w:rsidRDefault="006E40C9">
            <w:pPr>
              <w:pStyle w:val="MeasureTableTextItalic"/>
            </w:pPr>
            <w:r>
              <w:t>Legislative reference:</w:t>
            </w:r>
          </w:p>
        </w:tc>
        <w:tc>
          <w:tcPr>
            <w:tcW w:w="5803" w:type="dxa"/>
            <w:gridSpan w:val="8"/>
            <w:tcBorders>
              <w:top w:val="nil"/>
            </w:tcBorders>
          </w:tcPr>
          <w:p w14:paraId="2271A3A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842-I of the </w:t>
            </w:r>
            <w:r>
              <w:rPr>
                <w:rFonts w:ascii="Arial" w:hAnsi="Arial" w:cs="Arial"/>
                <w:i/>
                <w:iCs/>
                <w:color w:val="000000"/>
                <w:sz w:val="16"/>
                <w:szCs w:val="16"/>
              </w:rPr>
              <w:t>Income Tax Assessment Act 1997</w:t>
            </w:r>
          </w:p>
        </w:tc>
      </w:tr>
    </w:tbl>
    <w:p w14:paraId="36FA555B" w14:textId="77777777" w:rsidR="006E40C9" w:rsidRPr="00540040" w:rsidRDefault="006E40C9" w:rsidP="006E40C9">
      <w:pPr>
        <w:pStyle w:val="MeasureTableHeading"/>
      </w:pPr>
    </w:p>
    <w:p w14:paraId="3CA96218" w14:textId="77777777" w:rsidR="006E40C9" w:rsidRPr="00F24344" w:rsidRDefault="006E40C9" w:rsidP="006E40C9">
      <w:r w:rsidRPr="00F24344">
        <w:t>The income tax law generally exempts non</w:t>
      </w:r>
      <w:r>
        <w:noBreakHyphen/>
      </w:r>
      <w:r w:rsidRPr="00F24344">
        <w:t xml:space="preserve">resident investors in respect of capital gains made on ‘non land rich’ investments, however tax uncertainty can arise in some instances. The Investment Manager Regime (IMR) seeks to address this potential uncertainty by providing that, subject to meeting the appropriate tests, foreign investors that invest into Australia via a foreign fund or through an independent Australian fund manager can disregard certain Australian tax consequences in relation to gains and losses on the disposal of specific assets. </w:t>
      </w:r>
    </w:p>
    <w:p w14:paraId="49250AFC" w14:textId="77777777" w:rsidR="006E40C9" w:rsidRDefault="006E40C9" w:rsidP="006E40C9">
      <w:r w:rsidRPr="00F24344">
        <w:t>The effect of the IMR is that when a foreign investor invests in Australia through a foreign fund or an independent Australian fund manager it will generally be in the same tax position as if it had invested directly. The IMR does not apply to Australian residents or to returns or gains attributable to Australian real property.</w:t>
      </w:r>
    </w:p>
    <w:p w14:paraId="2D233E57" w14:textId="77777777" w:rsidR="006E40C9" w:rsidRDefault="006E40C9" w:rsidP="0003254D">
      <w:pPr>
        <w:pStyle w:val="Heading4"/>
      </w:pPr>
      <w:r>
        <w:t>B5</w:t>
      </w:r>
      <w:r>
        <w:tab/>
        <w:t>Reduced withholding tax under international tax treaties</w:t>
      </w:r>
    </w:p>
    <w:p w14:paraId="3C1B4C73" w14:textId="2CCEA6BD"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CC2892" w14:textId="77777777">
        <w:trPr>
          <w:cantSplit/>
          <w:jc w:val="center"/>
        </w:trPr>
        <w:tc>
          <w:tcPr>
            <w:tcW w:w="967" w:type="dxa"/>
            <w:tcBorders>
              <w:top w:val="single" w:sz="2" w:space="0" w:color="auto"/>
              <w:bottom w:val="single" w:sz="2" w:space="0" w:color="auto"/>
            </w:tcBorders>
          </w:tcPr>
          <w:p w14:paraId="7E509E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CF6DB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B01C8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426EC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A0DA6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E782E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9597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E03E8B" w14:textId="77777777" w:rsidR="006E40C9" w:rsidRDefault="006E40C9">
            <w:pPr>
              <w:pStyle w:val="MeasureTableTextRightAligned"/>
            </w:pPr>
            <w:r>
              <w:t>2027-28</w:t>
            </w:r>
          </w:p>
        </w:tc>
      </w:tr>
      <w:tr w:rsidR="006E40C9" w14:paraId="774C8C07" w14:textId="77777777">
        <w:trPr>
          <w:cantSplit/>
          <w:jc w:val="center"/>
        </w:trPr>
        <w:tc>
          <w:tcPr>
            <w:tcW w:w="967" w:type="dxa"/>
            <w:tcBorders>
              <w:top w:val="single" w:sz="2" w:space="0" w:color="auto"/>
              <w:bottom w:val="single" w:sz="2" w:space="0" w:color="auto"/>
            </w:tcBorders>
          </w:tcPr>
          <w:p w14:paraId="713D4D37" w14:textId="77777777" w:rsidR="006E40C9" w:rsidRDefault="006E40C9">
            <w:pPr>
              <w:pStyle w:val="MeasureTableTextRightAligned"/>
            </w:pPr>
            <w:r>
              <w:t>650</w:t>
            </w:r>
          </w:p>
        </w:tc>
        <w:tc>
          <w:tcPr>
            <w:tcW w:w="967" w:type="dxa"/>
            <w:tcBorders>
              <w:top w:val="single" w:sz="2" w:space="0" w:color="auto"/>
              <w:bottom w:val="single" w:sz="2" w:space="0" w:color="auto"/>
            </w:tcBorders>
          </w:tcPr>
          <w:p w14:paraId="57C83190" w14:textId="77777777" w:rsidR="006E40C9" w:rsidRDefault="006E40C9">
            <w:pPr>
              <w:pStyle w:val="MeasureTableTextRightAligned"/>
            </w:pPr>
            <w:r>
              <w:t>680</w:t>
            </w:r>
          </w:p>
        </w:tc>
        <w:tc>
          <w:tcPr>
            <w:tcW w:w="967" w:type="dxa"/>
            <w:tcBorders>
              <w:top w:val="single" w:sz="2" w:space="0" w:color="auto"/>
              <w:bottom w:val="single" w:sz="2" w:space="0" w:color="auto"/>
            </w:tcBorders>
            <w:vAlign w:val="bottom"/>
          </w:tcPr>
          <w:p w14:paraId="36224172" w14:textId="77777777" w:rsidR="006E40C9" w:rsidRDefault="006E40C9">
            <w:pPr>
              <w:pStyle w:val="MeasureTableTextRightAligned"/>
            </w:pPr>
            <w:r>
              <w:t>910</w:t>
            </w:r>
          </w:p>
        </w:tc>
        <w:tc>
          <w:tcPr>
            <w:tcW w:w="967" w:type="dxa"/>
            <w:tcBorders>
              <w:top w:val="single" w:sz="2" w:space="0" w:color="auto"/>
              <w:bottom w:val="single" w:sz="2" w:space="0" w:color="auto"/>
            </w:tcBorders>
            <w:vAlign w:val="bottom"/>
          </w:tcPr>
          <w:p w14:paraId="5B358DFA" w14:textId="77777777" w:rsidR="006E40C9" w:rsidRDefault="006E40C9">
            <w:pPr>
              <w:pStyle w:val="MeasureTableTextRightAligned"/>
            </w:pPr>
            <w:r>
              <w:t>1,000</w:t>
            </w:r>
          </w:p>
        </w:tc>
        <w:tc>
          <w:tcPr>
            <w:tcW w:w="967" w:type="dxa"/>
            <w:tcBorders>
              <w:top w:val="single" w:sz="2" w:space="0" w:color="auto"/>
              <w:bottom w:val="single" w:sz="2" w:space="0" w:color="auto"/>
            </w:tcBorders>
            <w:vAlign w:val="bottom"/>
          </w:tcPr>
          <w:p w14:paraId="30948850" w14:textId="77777777" w:rsidR="006E40C9" w:rsidRDefault="006E40C9">
            <w:pPr>
              <w:pStyle w:val="MeasureTableTextRightAligned"/>
            </w:pPr>
            <w:r>
              <w:t>1,080</w:t>
            </w:r>
          </w:p>
        </w:tc>
        <w:tc>
          <w:tcPr>
            <w:tcW w:w="967" w:type="dxa"/>
            <w:gridSpan w:val="2"/>
            <w:tcBorders>
              <w:top w:val="single" w:sz="2" w:space="0" w:color="auto"/>
              <w:bottom w:val="single" w:sz="2" w:space="0" w:color="auto"/>
            </w:tcBorders>
            <w:vAlign w:val="bottom"/>
          </w:tcPr>
          <w:p w14:paraId="4D3E2C65" w14:textId="77777777" w:rsidR="006E40C9" w:rsidRDefault="006E40C9">
            <w:pPr>
              <w:pStyle w:val="MeasureTableTextRightAligned"/>
            </w:pPr>
            <w:r>
              <w:t>1,180</w:t>
            </w:r>
          </w:p>
        </w:tc>
        <w:tc>
          <w:tcPr>
            <w:tcW w:w="967" w:type="dxa"/>
            <w:gridSpan w:val="2"/>
            <w:tcBorders>
              <w:top w:val="single" w:sz="2" w:space="0" w:color="auto"/>
              <w:bottom w:val="single" w:sz="2" w:space="0" w:color="auto"/>
            </w:tcBorders>
            <w:vAlign w:val="bottom"/>
          </w:tcPr>
          <w:p w14:paraId="6539F588" w14:textId="77777777" w:rsidR="006E40C9" w:rsidRDefault="006E40C9">
            <w:pPr>
              <w:pStyle w:val="MeasureTableTextRightAligned"/>
            </w:pPr>
            <w:r>
              <w:t>1,280</w:t>
            </w:r>
          </w:p>
        </w:tc>
        <w:tc>
          <w:tcPr>
            <w:tcW w:w="968" w:type="dxa"/>
            <w:tcBorders>
              <w:top w:val="single" w:sz="2" w:space="0" w:color="auto"/>
              <w:bottom w:val="single" w:sz="2" w:space="0" w:color="auto"/>
            </w:tcBorders>
            <w:vAlign w:val="bottom"/>
          </w:tcPr>
          <w:p w14:paraId="7B8D503F" w14:textId="77777777" w:rsidR="006E40C9" w:rsidRDefault="006E40C9">
            <w:pPr>
              <w:pStyle w:val="MeasureTableTextRightAligned"/>
            </w:pPr>
            <w:r>
              <w:t>1,390</w:t>
            </w:r>
          </w:p>
        </w:tc>
      </w:tr>
      <w:tr w:rsidR="006E40C9" w14:paraId="66DDAB35" w14:textId="77777777">
        <w:trPr>
          <w:cantSplit/>
          <w:jc w:val="center"/>
        </w:trPr>
        <w:tc>
          <w:tcPr>
            <w:tcW w:w="1934" w:type="dxa"/>
            <w:gridSpan w:val="2"/>
            <w:tcBorders>
              <w:top w:val="single" w:sz="2" w:space="0" w:color="auto"/>
              <w:bottom w:val="nil"/>
            </w:tcBorders>
          </w:tcPr>
          <w:p w14:paraId="4EA4CE3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8826EB"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3949C06A" w14:textId="766B4C3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D678171" w14:textId="77777777" w:rsidR="006E40C9" w:rsidRDefault="006E40C9">
            <w:pPr>
              <w:pStyle w:val="MeasureTableTextLeftAligned"/>
            </w:pPr>
            <w:r>
              <w:t>B5</w:t>
            </w:r>
          </w:p>
        </w:tc>
      </w:tr>
      <w:tr w:rsidR="006E40C9" w14:paraId="17B68771" w14:textId="77777777">
        <w:trPr>
          <w:cantSplit/>
          <w:jc w:val="center"/>
        </w:trPr>
        <w:tc>
          <w:tcPr>
            <w:tcW w:w="1934" w:type="dxa"/>
            <w:gridSpan w:val="2"/>
            <w:tcBorders>
              <w:top w:val="nil"/>
              <w:bottom w:val="nil"/>
            </w:tcBorders>
          </w:tcPr>
          <w:p w14:paraId="60FE04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F87F21" w14:textId="77777777" w:rsidR="006E40C9" w:rsidRPr="00584CA7" w:rsidRDefault="006E40C9">
            <w:pPr>
              <w:pStyle w:val="MeasureTableTextLeftAligned"/>
            </w:pPr>
            <w:r>
              <w:t>Low</w:t>
            </w:r>
          </w:p>
        </w:tc>
        <w:tc>
          <w:tcPr>
            <w:tcW w:w="1500" w:type="dxa"/>
            <w:gridSpan w:val="2"/>
            <w:tcBorders>
              <w:top w:val="nil"/>
              <w:bottom w:val="nil"/>
            </w:tcBorders>
          </w:tcPr>
          <w:p w14:paraId="5731D773" w14:textId="77777777" w:rsidR="006E40C9" w:rsidRDefault="006E40C9">
            <w:pPr>
              <w:pStyle w:val="MeasureTableTextItalic"/>
            </w:pPr>
          </w:p>
        </w:tc>
        <w:tc>
          <w:tcPr>
            <w:tcW w:w="1124" w:type="dxa"/>
            <w:gridSpan w:val="2"/>
            <w:tcBorders>
              <w:top w:val="nil"/>
              <w:bottom w:val="nil"/>
            </w:tcBorders>
          </w:tcPr>
          <w:p w14:paraId="2E23350A" w14:textId="77777777" w:rsidR="006E40C9" w:rsidRDefault="006E40C9">
            <w:pPr>
              <w:pStyle w:val="MeasureTableTextLeftAligned"/>
            </w:pPr>
          </w:p>
        </w:tc>
      </w:tr>
      <w:tr w:rsidR="006E40C9" w14:paraId="4CA73087" w14:textId="77777777">
        <w:trPr>
          <w:cantSplit/>
          <w:jc w:val="center"/>
        </w:trPr>
        <w:tc>
          <w:tcPr>
            <w:tcW w:w="1934" w:type="dxa"/>
            <w:gridSpan w:val="2"/>
            <w:tcBorders>
              <w:top w:val="nil"/>
              <w:bottom w:val="nil"/>
            </w:tcBorders>
          </w:tcPr>
          <w:p w14:paraId="5076C67A" w14:textId="77777777" w:rsidR="006E40C9" w:rsidRDefault="006E40C9">
            <w:pPr>
              <w:pStyle w:val="MeasureTableTextItalic"/>
            </w:pPr>
            <w:r>
              <w:t>Commencement date:</w:t>
            </w:r>
          </w:p>
        </w:tc>
        <w:tc>
          <w:tcPr>
            <w:tcW w:w="3179" w:type="dxa"/>
            <w:gridSpan w:val="4"/>
            <w:tcBorders>
              <w:top w:val="nil"/>
              <w:bottom w:val="nil"/>
            </w:tcBorders>
          </w:tcPr>
          <w:p w14:paraId="77A91AA5" w14:textId="77777777" w:rsidR="006E40C9" w:rsidRDefault="006E40C9">
            <w:pPr>
              <w:pStyle w:val="MeasureTableTextLeftAligned"/>
            </w:pPr>
            <w:r>
              <w:t>2008</w:t>
            </w:r>
          </w:p>
        </w:tc>
        <w:tc>
          <w:tcPr>
            <w:tcW w:w="1500" w:type="dxa"/>
            <w:gridSpan w:val="2"/>
            <w:tcBorders>
              <w:top w:val="nil"/>
              <w:bottom w:val="nil"/>
            </w:tcBorders>
          </w:tcPr>
          <w:p w14:paraId="2D703476" w14:textId="77777777" w:rsidR="006E40C9" w:rsidRPr="00F32057" w:rsidRDefault="006E40C9">
            <w:pPr>
              <w:pStyle w:val="MeasureTableTextItalic"/>
            </w:pPr>
            <w:r>
              <w:t>Expiry date:</w:t>
            </w:r>
          </w:p>
        </w:tc>
        <w:tc>
          <w:tcPr>
            <w:tcW w:w="1124" w:type="dxa"/>
            <w:gridSpan w:val="2"/>
            <w:tcBorders>
              <w:top w:val="nil"/>
              <w:bottom w:val="nil"/>
            </w:tcBorders>
          </w:tcPr>
          <w:p w14:paraId="44996AE8" w14:textId="77777777" w:rsidR="006E40C9" w:rsidRPr="00F32057" w:rsidRDefault="006E40C9">
            <w:pPr>
              <w:pStyle w:val="MeasureTableTextLeftAligned"/>
            </w:pPr>
          </w:p>
        </w:tc>
      </w:tr>
      <w:tr w:rsidR="006E40C9" w14:paraId="265EB09D" w14:textId="77777777">
        <w:trPr>
          <w:cantSplit/>
          <w:jc w:val="center"/>
        </w:trPr>
        <w:tc>
          <w:tcPr>
            <w:tcW w:w="1934" w:type="dxa"/>
            <w:gridSpan w:val="2"/>
            <w:tcBorders>
              <w:top w:val="nil"/>
            </w:tcBorders>
          </w:tcPr>
          <w:p w14:paraId="44FD9A9C" w14:textId="77777777" w:rsidR="006E40C9" w:rsidRDefault="006E40C9">
            <w:pPr>
              <w:pStyle w:val="MeasureTableTextItalic"/>
            </w:pPr>
            <w:r>
              <w:t>Legislative reference:</w:t>
            </w:r>
          </w:p>
        </w:tc>
        <w:tc>
          <w:tcPr>
            <w:tcW w:w="5803" w:type="dxa"/>
            <w:gridSpan w:val="8"/>
            <w:tcBorders>
              <w:top w:val="nil"/>
            </w:tcBorders>
          </w:tcPr>
          <w:p w14:paraId="50213E45"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International Tax Agreements Act 1953</w:t>
            </w:r>
          </w:p>
        </w:tc>
      </w:tr>
    </w:tbl>
    <w:p w14:paraId="19AA3ED2" w14:textId="77777777" w:rsidR="006E40C9" w:rsidRPr="00540040" w:rsidRDefault="006E40C9" w:rsidP="006E40C9">
      <w:pPr>
        <w:pStyle w:val="MeasureTableHeading"/>
      </w:pPr>
    </w:p>
    <w:p w14:paraId="3338B237" w14:textId="77777777" w:rsidR="006E40C9" w:rsidRDefault="006E40C9" w:rsidP="006E40C9">
      <w:r>
        <w:t>Under the benchmark, dividends, interest and royalties paid to non</w:t>
      </w:r>
      <w:r>
        <w:noBreakHyphen/>
        <w:t xml:space="preserve">residents are generally subject to withholding tax at a flat rate. </w:t>
      </w:r>
      <w:r w:rsidRPr="000C1862">
        <w:t>Tax treaties</w:t>
      </w:r>
      <w:r>
        <w:fldChar w:fldCharType="begin"/>
      </w:r>
      <w:r>
        <w:instrText xml:space="preserve"> XE "</w:instrText>
      </w:r>
      <w:r w:rsidRPr="004E5DB7">
        <w:instrText>International tax treaties</w:instrText>
      </w:r>
      <w:r>
        <w:instrText xml:space="preserve">" </w:instrText>
      </w:r>
      <w:r>
        <w:fldChar w:fldCharType="end"/>
      </w:r>
      <w:r w:rsidRPr="000C1862">
        <w:t xml:space="preserve"> reduce or eliminate double taxation caused by the exercise of source and residence country taxing rights on cross border income flows</w:t>
      </w:r>
      <w:r>
        <w:t xml:space="preserve">. </w:t>
      </w:r>
      <w:r w:rsidRPr="000C1862">
        <w:t>Under Australia</w:t>
      </w:r>
      <w:r>
        <w:t>’</w:t>
      </w:r>
      <w:r w:rsidRPr="000C1862">
        <w:t>s tax treaties, certain dividends, interest and royalties attract reduced withholding tax rates</w:t>
      </w:r>
      <w:r>
        <w:t>. For some treaties, t</w:t>
      </w:r>
      <w:r w:rsidRPr="000C1862">
        <w:t>hese include interest withholding tax exemptions for financial institutions</w:t>
      </w:r>
      <w:r>
        <w:t>, pension funds</w:t>
      </w:r>
      <w:r w:rsidRPr="000C1862">
        <w:t xml:space="preserve"> and </w:t>
      </w:r>
      <w:r>
        <w:t>g</w:t>
      </w:r>
      <w:r w:rsidRPr="000C1862">
        <w:t xml:space="preserve">overnments and dividend withholding tax </w:t>
      </w:r>
      <w:r>
        <w:t>exemptions</w:t>
      </w:r>
      <w:r w:rsidRPr="000C1862">
        <w:t xml:space="preserve"> </w:t>
      </w:r>
      <w:r>
        <w:t xml:space="preserve">for pension funds and governments, and </w:t>
      </w:r>
      <w:r w:rsidRPr="000C1862">
        <w:t>where dividends are paid to companies with controlling interests in the companies paying the dividends, provided that certain integrity measures are satisfied</w:t>
      </w:r>
      <w:r>
        <w:t xml:space="preserve">. </w:t>
      </w:r>
    </w:p>
    <w:p w14:paraId="2119BD1A" w14:textId="5EDA18F0" w:rsidR="006E40C9" w:rsidRDefault="006E40C9" w:rsidP="006E40C9">
      <w:r>
        <w:t xml:space="preserve">Australia has signed 48 tax treaties, with 46 of the tax treaties being currently in force. </w:t>
      </w:r>
    </w:p>
    <w:p w14:paraId="73784F1B" w14:textId="77777777" w:rsidR="006E40C9" w:rsidRDefault="006E40C9" w:rsidP="0003254D">
      <w:pPr>
        <w:pStyle w:val="Heading4"/>
      </w:pPr>
      <w:r>
        <w:t>B6</w:t>
      </w:r>
      <w:r>
        <w:tab/>
        <w:t>Income tax exemption for persons connected with certain US Government projects in Australia</w:t>
      </w:r>
    </w:p>
    <w:p w14:paraId="697FB5A5"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BB0554F" w14:textId="77777777">
        <w:trPr>
          <w:cantSplit/>
          <w:jc w:val="center"/>
        </w:trPr>
        <w:tc>
          <w:tcPr>
            <w:tcW w:w="967" w:type="dxa"/>
            <w:tcBorders>
              <w:top w:val="single" w:sz="2" w:space="0" w:color="auto"/>
              <w:bottom w:val="single" w:sz="2" w:space="0" w:color="auto"/>
            </w:tcBorders>
          </w:tcPr>
          <w:p w14:paraId="6368581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07C8A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6A8F91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68EC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34302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CB8D20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5ED6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5A926F" w14:textId="77777777" w:rsidR="006E40C9" w:rsidRDefault="006E40C9">
            <w:pPr>
              <w:pStyle w:val="MeasureTableTextRightAligned"/>
            </w:pPr>
            <w:r>
              <w:t>2027-28</w:t>
            </w:r>
          </w:p>
        </w:tc>
      </w:tr>
      <w:tr w:rsidR="006E40C9" w14:paraId="2C7A014B" w14:textId="77777777">
        <w:trPr>
          <w:cantSplit/>
          <w:jc w:val="center"/>
        </w:trPr>
        <w:tc>
          <w:tcPr>
            <w:tcW w:w="967" w:type="dxa"/>
            <w:tcBorders>
              <w:top w:val="single" w:sz="2" w:space="0" w:color="auto"/>
              <w:bottom w:val="single" w:sz="2" w:space="0" w:color="auto"/>
            </w:tcBorders>
          </w:tcPr>
          <w:p w14:paraId="16C59F41" w14:textId="77777777" w:rsidR="006E40C9" w:rsidRDefault="006E40C9">
            <w:pPr>
              <w:pStyle w:val="MeasureTableTextRightAligned"/>
            </w:pPr>
            <w:r>
              <w:t>*</w:t>
            </w:r>
          </w:p>
        </w:tc>
        <w:tc>
          <w:tcPr>
            <w:tcW w:w="967" w:type="dxa"/>
            <w:tcBorders>
              <w:top w:val="single" w:sz="2" w:space="0" w:color="auto"/>
              <w:bottom w:val="single" w:sz="2" w:space="0" w:color="auto"/>
            </w:tcBorders>
          </w:tcPr>
          <w:p w14:paraId="367B352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B266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08386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8689AE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0ADDA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E5BAF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74350A8" w14:textId="77777777" w:rsidR="006E40C9" w:rsidRDefault="006E40C9">
            <w:pPr>
              <w:pStyle w:val="MeasureTableTextRightAligned"/>
            </w:pPr>
            <w:r>
              <w:t>*</w:t>
            </w:r>
          </w:p>
        </w:tc>
      </w:tr>
      <w:tr w:rsidR="006E40C9" w14:paraId="6AB5A066" w14:textId="77777777">
        <w:trPr>
          <w:cantSplit/>
          <w:jc w:val="center"/>
        </w:trPr>
        <w:tc>
          <w:tcPr>
            <w:tcW w:w="1934" w:type="dxa"/>
            <w:gridSpan w:val="2"/>
            <w:tcBorders>
              <w:top w:val="single" w:sz="2" w:space="0" w:color="auto"/>
              <w:bottom w:val="nil"/>
            </w:tcBorders>
          </w:tcPr>
          <w:p w14:paraId="5F905FE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BD0474" w14:textId="77777777" w:rsidR="006E40C9" w:rsidRDefault="006E40C9">
            <w:pPr>
              <w:pStyle w:val="MeasureTableTextLeftAligned"/>
            </w:pPr>
            <w:r>
              <w:t>Exemption</w:t>
            </w:r>
          </w:p>
        </w:tc>
        <w:tc>
          <w:tcPr>
            <w:tcW w:w="1500" w:type="dxa"/>
            <w:gridSpan w:val="2"/>
            <w:tcBorders>
              <w:top w:val="single" w:sz="2" w:space="0" w:color="auto"/>
              <w:bottom w:val="nil"/>
            </w:tcBorders>
          </w:tcPr>
          <w:p w14:paraId="2E60AB8F" w14:textId="796667E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DA2697C" w14:textId="77777777" w:rsidR="006E40C9" w:rsidRDefault="006E40C9">
            <w:pPr>
              <w:pStyle w:val="MeasureTableTextLeftAligned"/>
            </w:pPr>
            <w:r>
              <w:t>B6</w:t>
            </w:r>
          </w:p>
        </w:tc>
      </w:tr>
      <w:tr w:rsidR="006E40C9" w14:paraId="621037AE" w14:textId="77777777">
        <w:trPr>
          <w:cantSplit/>
          <w:jc w:val="center"/>
        </w:trPr>
        <w:tc>
          <w:tcPr>
            <w:tcW w:w="1934" w:type="dxa"/>
            <w:gridSpan w:val="2"/>
            <w:tcBorders>
              <w:top w:val="nil"/>
              <w:bottom w:val="nil"/>
            </w:tcBorders>
          </w:tcPr>
          <w:p w14:paraId="54D747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1E054D8" w14:textId="77777777" w:rsidR="006E40C9" w:rsidRPr="00584CA7" w:rsidRDefault="006E40C9">
            <w:pPr>
              <w:pStyle w:val="MeasureTableTextLeftAligned"/>
            </w:pPr>
            <w:r>
              <w:t>Not Applicable</w:t>
            </w:r>
          </w:p>
        </w:tc>
        <w:tc>
          <w:tcPr>
            <w:tcW w:w="1500" w:type="dxa"/>
            <w:gridSpan w:val="2"/>
            <w:tcBorders>
              <w:top w:val="nil"/>
              <w:bottom w:val="nil"/>
            </w:tcBorders>
          </w:tcPr>
          <w:p w14:paraId="7623C8E5" w14:textId="77777777" w:rsidR="006E40C9" w:rsidRDefault="006E40C9">
            <w:pPr>
              <w:pStyle w:val="MeasureTableTextItalic"/>
            </w:pPr>
            <w:r>
              <w:t>* Category</w:t>
            </w:r>
          </w:p>
        </w:tc>
        <w:tc>
          <w:tcPr>
            <w:tcW w:w="1124" w:type="dxa"/>
            <w:gridSpan w:val="2"/>
            <w:tcBorders>
              <w:top w:val="nil"/>
              <w:bottom w:val="nil"/>
            </w:tcBorders>
          </w:tcPr>
          <w:p w14:paraId="55DEDEA5" w14:textId="77777777" w:rsidR="006E40C9" w:rsidRDefault="006E40C9">
            <w:pPr>
              <w:pStyle w:val="MeasureTableTextLeftAligned"/>
            </w:pPr>
            <w:r>
              <w:t>1+</w:t>
            </w:r>
          </w:p>
        </w:tc>
      </w:tr>
      <w:tr w:rsidR="006E40C9" w14:paraId="339101C8" w14:textId="77777777">
        <w:trPr>
          <w:cantSplit/>
          <w:jc w:val="center"/>
        </w:trPr>
        <w:tc>
          <w:tcPr>
            <w:tcW w:w="1934" w:type="dxa"/>
            <w:gridSpan w:val="2"/>
            <w:tcBorders>
              <w:top w:val="nil"/>
              <w:bottom w:val="nil"/>
            </w:tcBorders>
          </w:tcPr>
          <w:p w14:paraId="233502F4" w14:textId="77777777" w:rsidR="006E40C9" w:rsidRDefault="006E40C9">
            <w:pPr>
              <w:pStyle w:val="MeasureTableTextItalic"/>
            </w:pPr>
            <w:r>
              <w:t>Commencement date:</w:t>
            </w:r>
          </w:p>
        </w:tc>
        <w:tc>
          <w:tcPr>
            <w:tcW w:w="3179" w:type="dxa"/>
            <w:gridSpan w:val="4"/>
            <w:tcBorders>
              <w:top w:val="nil"/>
              <w:bottom w:val="nil"/>
            </w:tcBorders>
          </w:tcPr>
          <w:p w14:paraId="43BEFDF7" w14:textId="77777777" w:rsidR="006E40C9" w:rsidRDefault="006E40C9">
            <w:pPr>
              <w:pStyle w:val="MeasureTableTextLeftAligned"/>
            </w:pPr>
            <w:r>
              <w:t>Introduced before 1985</w:t>
            </w:r>
          </w:p>
        </w:tc>
        <w:tc>
          <w:tcPr>
            <w:tcW w:w="1500" w:type="dxa"/>
            <w:gridSpan w:val="2"/>
            <w:tcBorders>
              <w:top w:val="nil"/>
              <w:bottom w:val="nil"/>
            </w:tcBorders>
          </w:tcPr>
          <w:p w14:paraId="1121D6D5" w14:textId="77777777" w:rsidR="006E40C9" w:rsidRPr="00F32057" w:rsidRDefault="006E40C9">
            <w:pPr>
              <w:pStyle w:val="MeasureTableTextItalic"/>
            </w:pPr>
            <w:r>
              <w:t>Expiry date:</w:t>
            </w:r>
          </w:p>
        </w:tc>
        <w:tc>
          <w:tcPr>
            <w:tcW w:w="1124" w:type="dxa"/>
            <w:gridSpan w:val="2"/>
            <w:tcBorders>
              <w:top w:val="nil"/>
              <w:bottom w:val="nil"/>
            </w:tcBorders>
          </w:tcPr>
          <w:p w14:paraId="5A3B64A5" w14:textId="77777777" w:rsidR="006E40C9" w:rsidRPr="00F32057" w:rsidRDefault="006E40C9">
            <w:pPr>
              <w:pStyle w:val="MeasureTableTextLeftAligned"/>
            </w:pPr>
          </w:p>
        </w:tc>
      </w:tr>
      <w:tr w:rsidR="006E40C9" w14:paraId="6F5EB8DD" w14:textId="77777777">
        <w:trPr>
          <w:cantSplit/>
          <w:jc w:val="center"/>
        </w:trPr>
        <w:tc>
          <w:tcPr>
            <w:tcW w:w="1934" w:type="dxa"/>
            <w:gridSpan w:val="2"/>
            <w:tcBorders>
              <w:top w:val="nil"/>
            </w:tcBorders>
          </w:tcPr>
          <w:p w14:paraId="5CFE2873" w14:textId="77777777" w:rsidR="006E40C9" w:rsidRDefault="006E40C9">
            <w:pPr>
              <w:pStyle w:val="MeasureTableTextItalic"/>
            </w:pPr>
            <w:r>
              <w:t>Legislative reference:</w:t>
            </w:r>
          </w:p>
        </w:tc>
        <w:tc>
          <w:tcPr>
            <w:tcW w:w="5803" w:type="dxa"/>
            <w:gridSpan w:val="8"/>
            <w:tcBorders>
              <w:top w:val="nil"/>
            </w:tcBorders>
          </w:tcPr>
          <w:p w14:paraId="1D62B8F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23AA of the </w:t>
            </w:r>
            <w:r>
              <w:rPr>
                <w:rFonts w:ascii="Arial" w:hAnsi="Arial" w:cs="Arial"/>
                <w:i/>
                <w:iCs/>
                <w:color w:val="000000"/>
                <w:sz w:val="16"/>
                <w:szCs w:val="16"/>
              </w:rPr>
              <w:t>Income Tax Assessment Act 1936</w:t>
            </w:r>
          </w:p>
        </w:tc>
      </w:tr>
    </w:tbl>
    <w:p w14:paraId="1FE6EE06" w14:textId="77777777" w:rsidR="006E40C9" w:rsidRPr="00540040" w:rsidRDefault="006E40C9" w:rsidP="006E40C9">
      <w:pPr>
        <w:pStyle w:val="MeasureTableHeading"/>
      </w:pPr>
    </w:p>
    <w:p w14:paraId="794619D8" w14:textId="77777777" w:rsidR="006E40C9" w:rsidRDefault="006E40C9" w:rsidP="006E40C9">
      <w:r>
        <w:t>Under the benchmark, foreign residents are generally taxed on their Australian</w:t>
      </w:r>
      <w:r>
        <w:noBreakHyphen/>
        <w:t xml:space="preserve">sourced income, such as money they earn working in Australia. </w:t>
      </w:r>
      <w:r w:rsidRPr="00675D49">
        <w:t xml:space="preserve">The </w:t>
      </w:r>
      <w:r>
        <w:t xml:space="preserve">profit and remuneration </w:t>
      </w:r>
      <w:r w:rsidRPr="00675D49">
        <w:t xml:space="preserve">of United States </w:t>
      </w:r>
      <w:r>
        <w:t xml:space="preserve">contractors, armed forces members and their associated employees, or others connected with certain approved United States Government projects in Australia are </w:t>
      </w:r>
      <w:r w:rsidRPr="00675D49">
        <w:t>exempt from Australian income tax</w:t>
      </w:r>
      <w:r>
        <w:t xml:space="preserve">, </w:t>
      </w:r>
      <w:r w:rsidRPr="00675D49">
        <w:t xml:space="preserve">where the income is subject to tax in the United States. </w:t>
      </w:r>
      <w:r>
        <w:t>Projects</w:t>
      </w:r>
      <w:r>
        <w:fldChar w:fldCharType="begin"/>
      </w:r>
      <w:r>
        <w:instrText xml:space="preserve"> XE "</w:instrText>
      </w:r>
      <w:r w:rsidRPr="00F9000F">
        <w:instrText>US Government projects</w:instrText>
      </w:r>
      <w:r>
        <w:instrText xml:space="preserve">" </w:instrText>
      </w:r>
      <w:r>
        <w:fldChar w:fldCharType="end"/>
      </w:r>
      <w:r>
        <w:t xml:space="preserve"> to which the exemption applies include the North West Cape Naval Communication Station, the Joint Defence Space Research Facility, the Sparta project, the Joint Defence Space Communications Station, and the Force Posture Initiatives.</w:t>
      </w:r>
    </w:p>
    <w:p w14:paraId="115A601E" w14:textId="77777777" w:rsidR="006E40C9" w:rsidRDefault="006E40C9" w:rsidP="0003254D">
      <w:pPr>
        <w:pStyle w:val="Heading4"/>
      </w:pPr>
      <w:r>
        <w:t>B7</w:t>
      </w:r>
      <w:r>
        <w:tab/>
        <w:t>Concessional tax treatment of offshore banking units</w:t>
      </w:r>
    </w:p>
    <w:p w14:paraId="5326210F" w14:textId="2EB04F1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41B9AE3" w14:textId="77777777">
        <w:trPr>
          <w:cantSplit/>
          <w:jc w:val="center"/>
        </w:trPr>
        <w:tc>
          <w:tcPr>
            <w:tcW w:w="967" w:type="dxa"/>
            <w:tcBorders>
              <w:top w:val="single" w:sz="2" w:space="0" w:color="auto"/>
              <w:bottom w:val="single" w:sz="2" w:space="0" w:color="auto"/>
            </w:tcBorders>
          </w:tcPr>
          <w:p w14:paraId="78CF253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D2ECD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D3FF4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2F5B34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EB1B7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488421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5C8B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638614" w14:textId="77777777" w:rsidR="006E40C9" w:rsidRDefault="006E40C9">
            <w:pPr>
              <w:pStyle w:val="MeasureTableTextRightAligned"/>
            </w:pPr>
            <w:r>
              <w:t>2027-28</w:t>
            </w:r>
          </w:p>
        </w:tc>
      </w:tr>
      <w:tr w:rsidR="006E40C9" w14:paraId="62EFF285" w14:textId="77777777">
        <w:trPr>
          <w:cantSplit/>
          <w:jc w:val="center"/>
        </w:trPr>
        <w:tc>
          <w:tcPr>
            <w:tcW w:w="967" w:type="dxa"/>
            <w:tcBorders>
              <w:top w:val="single" w:sz="2" w:space="0" w:color="auto"/>
              <w:bottom w:val="single" w:sz="2" w:space="0" w:color="auto"/>
            </w:tcBorders>
          </w:tcPr>
          <w:p w14:paraId="7211C656" w14:textId="77777777" w:rsidR="006E40C9" w:rsidRDefault="006E40C9">
            <w:pPr>
              <w:pStyle w:val="MeasureTableTextRightAligned"/>
            </w:pPr>
            <w:r>
              <w:t>340</w:t>
            </w:r>
          </w:p>
        </w:tc>
        <w:tc>
          <w:tcPr>
            <w:tcW w:w="967" w:type="dxa"/>
            <w:tcBorders>
              <w:top w:val="single" w:sz="2" w:space="0" w:color="auto"/>
              <w:bottom w:val="single" w:sz="2" w:space="0" w:color="auto"/>
            </w:tcBorders>
          </w:tcPr>
          <w:p w14:paraId="2EF2C336" w14:textId="77777777" w:rsidR="006E40C9" w:rsidRDefault="006E40C9">
            <w:pPr>
              <w:pStyle w:val="MeasureTableTextRightAligned"/>
            </w:pPr>
            <w:r>
              <w:t>335</w:t>
            </w:r>
          </w:p>
        </w:tc>
        <w:tc>
          <w:tcPr>
            <w:tcW w:w="967" w:type="dxa"/>
            <w:tcBorders>
              <w:top w:val="single" w:sz="2" w:space="0" w:color="auto"/>
              <w:bottom w:val="single" w:sz="2" w:space="0" w:color="auto"/>
            </w:tcBorders>
            <w:vAlign w:val="bottom"/>
          </w:tcPr>
          <w:p w14:paraId="3237ACBC" w14:textId="77777777" w:rsidR="006E40C9" w:rsidRDefault="006E40C9">
            <w:pPr>
              <w:pStyle w:val="MeasureTableTextRightAligned"/>
            </w:pPr>
            <w:r>
              <w:t>305</w:t>
            </w:r>
          </w:p>
        </w:tc>
        <w:tc>
          <w:tcPr>
            <w:tcW w:w="967" w:type="dxa"/>
            <w:tcBorders>
              <w:top w:val="single" w:sz="2" w:space="0" w:color="auto"/>
              <w:bottom w:val="single" w:sz="2" w:space="0" w:color="auto"/>
            </w:tcBorders>
            <w:vAlign w:val="bottom"/>
          </w:tcPr>
          <w:p w14:paraId="1CEA7207"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6925463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602A2D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2EC2B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2EFC1F1" w14:textId="77777777" w:rsidR="006E40C9" w:rsidRDefault="006E40C9">
            <w:pPr>
              <w:pStyle w:val="MeasureTableTextRightAligned"/>
            </w:pPr>
            <w:r>
              <w:t>-</w:t>
            </w:r>
          </w:p>
        </w:tc>
      </w:tr>
      <w:tr w:rsidR="006E40C9" w14:paraId="300223E0" w14:textId="77777777">
        <w:trPr>
          <w:cantSplit/>
          <w:jc w:val="center"/>
        </w:trPr>
        <w:tc>
          <w:tcPr>
            <w:tcW w:w="1934" w:type="dxa"/>
            <w:gridSpan w:val="2"/>
            <w:tcBorders>
              <w:top w:val="single" w:sz="2" w:space="0" w:color="auto"/>
              <w:bottom w:val="nil"/>
            </w:tcBorders>
          </w:tcPr>
          <w:p w14:paraId="2A37CC7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AB6CC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007A25E8" w14:textId="722CE10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0CED8D" w14:textId="77777777" w:rsidR="006E40C9" w:rsidRDefault="006E40C9">
            <w:pPr>
              <w:pStyle w:val="MeasureTableTextLeftAligned"/>
            </w:pPr>
            <w:r>
              <w:t>B7</w:t>
            </w:r>
          </w:p>
        </w:tc>
      </w:tr>
      <w:tr w:rsidR="006E40C9" w14:paraId="2B4E2489" w14:textId="77777777">
        <w:trPr>
          <w:cantSplit/>
          <w:jc w:val="center"/>
        </w:trPr>
        <w:tc>
          <w:tcPr>
            <w:tcW w:w="1934" w:type="dxa"/>
            <w:gridSpan w:val="2"/>
            <w:tcBorders>
              <w:top w:val="nil"/>
              <w:bottom w:val="nil"/>
            </w:tcBorders>
          </w:tcPr>
          <w:p w14:paraId="5D270BA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F73094" w14:textId="77777777" w:rsidR="006E40C9" w:rsidRPr="00584CA7" w:rsidRDefault="006E40C9">
            <w:pPr>
              <w:pStyle w:val="MeasureTableTextLeftAligned"/>
            </w:pPr>
            <w:r>
              <w:t>Medium</w:t>
            </w:r>
          </w:p>
        </w:tc>
        <w:tc>
          <w:tcPr>
            <w:tcW w:w="1500" w:type="dxa"/>
            <w:gridSpan w:val="2"/>
            <w:tcBorders>
              <w:top w:val="nil"/>
              <w:bottom w:val="nil"/>
            </w:tcBorders>
          </w:tcPr>
          <w:p w14:paraId="4F0F83F8" w14:textId="77777777" w:rsidR="006E40C9" w:rsidRDefault="006E40C9">
            <w:pPr>
              <w:pStyle w:val="MeasureTableTextItalic"/>
            </w:pPr>
          </w:p>
        </w:tc>
        <w:tc>
          <w:tcPr>
            <w:tcW w:w="1124" w:type="dxa"/>
            <w:gridSpan w:val="2"/>
            <w:tcBorders>
              <w:top w:val="nil"/>
              <w:bottom w:val="nil"/>
            </w:tcBorders>
          </w:tcPr>
          <w:p w14:paraId="214691A5" w14:textId="77777777" w:rsidR="006E40C9" w:rsidRDefault="006E40C9">
            <w:pPr>
              <w:pStyle w:val="MeasureTableTextLeftAligned"/>
            </w:pPr>
          </w:p>
        </w:tc>
      </w:tr>
      <w:tr w:rsidR="006E40C9" w14:paraId="1DBB264E" w14:textId="77777777">
        <w:trPr>
          <w:cantSplit/>
          <w:jc w:val="center"/>
        </w:trPr>
        <w:tc>
          <w:tcPr>
            <w:tcW w:w="1934" w:type="dxa"/>
            <w:gridSpan w:val="2"/>
            <w:tcBorders>
              <w:top w:val="nil"/>
              <w:bottom w:val="nil"/>
            </w:tcBorders>
          </w:tcPr>
          <w:p w14:paraId="6FDC5B15" w14:textId="77777777" w:rsidR="006E40C9" w:rsidRDefault="006E40C9">
            <w:pPr>
              <w:pStyle w:val="MeasureTableTextItalic"/>
            </w:pPr>
            <w:r>
              <w:t>Commencement date:</w:t>
            </w:r>
          </w:p>
        </w:tc>
        <w:tc>
          <w:tcPr>
            <w:tcW w:w="3179" w:type="dxa"/>
            <w:gridSpan w:val="4"/>
            <w:tcBorders>
              <w:top w:val="nil"/>
              <w:bottom w:val="nil"/>
            </w:tcBorders>
          </w:tcPr>
          <w:p w14:paraId="739F211F" w14:textId="77777777" w:rsidR="006E40C9" w:rsidRDefault="006E40C9">
            <w:pPr>
              <w:pStyle w:val="MeasureTableTextLeftAligned"/>
            </w:pPr>
            <w:r>
              <w:t>1987 (interest withholding), 1992 (concessional tax rate)</w:t>
            </w:r>
          </w:p>
        </w:tc>
        <w:tc>
          <w:tcPr>
            <w:tcW w:w="1500" w:type="dxa"/>
            <w:gridSpan w:val="2"/>
            <w:tcBorders>
              <w:top w:val="nil"/>
              <w:bottom w:val="nil"/>
            </w:tcBorders>
          </w:tcPr>
          <w:p w14:paraId="3AC6A310" w14:textId="77777777" w:rsidR="006E40C9" w:rsidRPr="00F32057" w:rsidRDefault="006E40C9">
            <w:pPr>
              <w:pStyle w:val="MeasureTableTextItalic"/>
            </w:pPr>
            <w:r>
              <w:t>Expiry date:</w:t>
            </w:r>
          </w:p>
        </w:tc>
        <w:tc>
          <w:tcPr>
            <w:tcW w:w="1124" w:type="dxa"/>
            <w:gridSpan w:val="2"/>
            <w:tcBorders>
              <w:top w:val="nil"/>
              <w:bottom w:val="nil"/>
            </w:tcBorders>
          </w:tcPr>
          <w:p w14:paraId="716A7FF1" w14:textId="77777777" w:rsidR="006E40C9" w:rsidRPr="00F32057" w:rsidRDefault="006E40C9">
            <w:pPr>
              <w:pStyle w:val="MeasureTableTextLeftAligned"/>
            </w:pPr>
            <w:r>
              <w:t>2024</w:t>
            </w:r>
          </w:p>
        </w:tc>
      </w:tr>
      <w:tr w:rsidR="006E40C9" w14:paraId="70D18392" w14:textId="77777777">
        <w:trPr>
          <w:cantSplit/>
          <w:jc w:val="center"/>
        </w:trPr>
        <w:tc>
          <w:tcPr>
            <w:tcW w:w="1934" w:type="dxa"/>
            <w:gridSpan w:val="2"/>
            <w:tcBorders>
              <w:top w:val="nil"/>
            </w:tcBorders>
          </w:tcPr>
          <w:p w14:paraId="2FB94B97" w14:textId="77777777" w:rsidR="006E40C9" w:rsidRDefault="006E40C9">
            <w:pPr>
              <w:pStyle w:val="MeasureTableTextItalic"/>
            </w:pPr>
            <w:r>
              <w:t>Legislative reference:</w:t>
            </w:r>
          </w:p>
        </w:tc>
        <w:tc>
          <w:tcPr>
            <w:tcW w:w="5803" w:type="dxa"/>
            <w:gridSpan w:val="8"/>
            <w:tcBorders>
              <w:top w:val="nil"/>
            </w:tcBorders>
          </w:tcPr>
          <w:p w14:paraId="72959DB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9A of Part III and Section 128GB of the </w:t>
            </w:r>
            <w:r>
              <w:rPr>
                <w:rFonts w:ascii="Arial" w:hAnsi="Arial" w:cs="Arial"/>
                <w:i/>
                <w:iCs/>
                <w:color w:val="000000"/>
                <w:sz w:val="16"/>
                <w:szCs w:val="16"/>
              </w:rPr>
              <w:t>Income Tax Assessment Act 1936</w:t>
            </w:r>
          </w:p>
        </w:tc>
      </w:tr>
    </w:tbl>
    <w:p w14:paraId="30B17A7E" w14:textId="77777777" w:rsidR="006E40C9" w:rsidRPr="00540040" w:rsidRDefault="006E40C9" w:rsidP="006E40C9">
      <w:pPr>
        <w:pStyle w:val="MeasureTableHeading"/>
      </w:pPr>
    </w:p>
    <w:p w14:paraId="23B4F064" w14:textId="77777777" w:rsidR="006E40C9" w:rsidRDefault="006E40C9" w:rsidP="006E40C9">
      <w:r>
        <w:t>Under the benchmark, company profits are taxed at 30 per cent. However, income (other than capital gains) derived by an offshore banking unit</w:t>
      </w:r>
      <w:r>
        <w:fldChar w:fldCharType="begin"/>
      </w:r>
      <w:r>
        <w:instrText xml:space="preserve"> XE "Offshore banking units" </w:instrText>
      </w:r>
      <w:r>
        <w:fldChar w:fldCharType="end"/>
      </w:r>
      <w:r>
        <w:t xml:space="preserve"> from eligible offshore banking activities is taxed at a concessional rate of 10 per cent. Interest paid by an offshore banking unit on qualifying offshore borrowings, and gold fees paid by an offshore banking unit on certain offshore gold borrowings, are exempt from withholding tax. </w:t>
      </w:r>
    </w:p>
    <w:p w14:paraId="6F770424" w14:textId="18787CF1" w:rsidR="006E40C9" w:rsidRDefault="006E40C9" w:rsidP="006E40C9">
      <w:r>
        <w:t>The concessional tax rate no longer applies from the end of taxpayers’ 2022-23 income year and the interest withholding tax exemption was removed from 1 January 2024.</w:t>
      </w:r>
    </w:p>
    <w:p w14:paraId="43E6D4C9" w14:textId="77777777" w:rsidR="006E40C9" w:rsidRDefault="006E40C9" w:rsidP="0003254D">
      <w:pPr>
        <w:pStyle w:val="Heading4"/>
      </w:pPr>
      <w:r>
        <w:t>B8</w:t>
      </w:r>
      <w:r>
        <w:tab/>
        <w:t>Exemption for foreign branch profits from income tax</w:t>
      </w:r>
    </w:p>
    <w:p w14:paraId="097DF8AB" w14:textId="7EE624F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588D8" w14:textId="77777777">
        <w:trPr>
          <w:cantSplit/>
          <w:jc w:val="center"/>
        </w:trPr>
        <w:tc>
          <w:tcPr>
            <w:tcW w:w="967" w:type="dxa"/>
            <w:tcBorders>
              <w:top w:val="single" w:sz="2" w:space="0" w:color="auto"/>
              <w:bottom w:val="single" w:sz="2" w:space="0" w:color="auto"/>
            </w:tcBorders>
          </w:tcPr>
          <w:p w14:paraId="40B95C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22B57B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3D1808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3D25A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FD9F9F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5850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2665A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16764E" w14:textId="77777777" w:rsidR="006E40C9" w:rsidRDefault="006E40C9">
            <w:pPr>
              <w:pStyle w:val="MeasureTableTextRightAligned"/>
            </w:pPr>
            <w:r>
              <w:t>2027-28</w:t>
            </w:r>
          </w:p>
        </w:tc>
      </w:tr>
      <w:tr w:rsidR="006E40C9" w14:paraId="6D50D2F0" w14:textId="77777777">
        <w:trPr>
          <w:cantSplit/>
          <w:jc w:val="center"/>
        </w:trPr>
        <w:tc>
          <w:tcPr>
            <w:tcW w:w="967" w:type="dxa"/>
            <w:tcBorders>
              <w:top w:val="single" w:sz="2" w:space="0" w:color="auto"/>
              <w:bottom w:val="single" w:sz="2" w:space="0" w:color="auto"/>
            </w:tcBorders>
          </w:tcPr>
          <w:p w14:paraId="741F9F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7C3EC96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C16E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C953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8EF0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BC552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A1CDDA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070AAAF" w14:textId="77777777" w:rsidR="006E40C9" w:rsidRDefault="006E40C9">
            <w:pPr>
              <w:pStyle w:val="MeasureTableTextRightAligned"/>
            </w:pPr>
            <w:r>
              <w:t>*</w:t>
            </w:r>
          </w:p>
        </w:tc>
      </w:tr>
      <w:tr w:rsidR="006E40C9" w14:paraId="1415106E" w14:textId="77777777">
        <w:trPr>
          <w:cantSplit/>
          <w:jc w:val="center"/>
        </w:trPr>
        <w:tc>
          <w:tcPr>
            <w:tcW w:w="1934" w:type="dxa"/>
            <w:gridSpan w:val="2"/>
            <w:tcBorders>
              <w:top w:val="single" w:sz="2" w:space="0" w:color="auto"/>
              <w:bottom w:val="nil"/>
            </w:tcBorders>
          </w:tcPr>
          <w:p w14:paraId="50B9397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CDDB8C8" w14:textId="77777777" w:rsidR="006E40C9" w:rsidRDefault="006E40C9">
            <w:pPr>
              <w:pStyle w:val="MeasureTableTextLeftAligned"/>
            </w:pPr>
            <w:r>
              <w:t>Exemption</w:t>
            </w:r>
          </w:p>
        </w:tc>
        <w:tc>
          <w:tcPr>
            <w:tcW w:w="1500" w:type="dxa"/>
            <w:gridSpan w:val="2"/>
            <w:tcBorders>
              <w:top w:val="single" w:sz="2" w:space="0" w:color="auto"/>
              <w:bottom w:val="nil"/>
            </w:tcBorders>
          </w:tcPr>
          <w:p w14:paraId="1106BFDA" w14:textId="2882B7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FAD6F3" w14:textId="77777777" w:rsidR="006E40C9" w:rsidRDefault="006E40C9">
            <w:pPr>
              <w:pStyle w:val="MeasureTableTextLeftAligned"/>
            </w:pPr>
            <w:r>
              <w:t>B8</w:t>
            </w:r>
          </w:p>
        </w:tc>
      </w:tr>
      <w:tr w:rsidR="006E40C9" w14:paraId="750CDDE8" w14:textId="77777777">
        <w:trPr>
          <w:cantSplit/>
          <w:jc w:val="center"/>
        </w:trPr>
        <w:tc>
          <w:tcPr>
            <w:tcW w:w="1934" w:type="dxa"/>
            <w:gridSpan w:val="2"/>
            <w:tcBorders>
              <w:top w:val="nil"/>
              <w:bottom w:val="nil"/>
            </w:tcBorders>
          </w:tcPr>
          <w:p w14:paraId="072411D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DCE5D8C" w14:textId="77777777" w:rsidR="006E40C9" w:rsidRPr="00584CA7" w:rsidRDefault="006E40C9">
            <w:pPr>
              <w:pStyle w:val="MeasureTableTextLeftAligned"/>
            </w:pPr>
            <w:r>
              <w:t>Not Applicable</w:t>
            </w:r>
          </w:p>
        </w:tc>
        <w:tc>
          <w:tcPr>
            <w:tcW w:w="1500" w:type="dxa"/>
            <w:gridSpan w:val="2"/>
            <w:tcBorders>
              <w:top w:val="nil"/>
              <w:bottom w:val="nil"/>
            </w:tcBorders>
          </w:tcPr>
          <w:p w14:paraId="40E78CEA" w14:textId="77777777" w:rsidR="006E40C9" w:rsidRDefault="006E40C9">
            <w:pPr>
              <w:pStyle w:val="MeasureTableTextItalic"/>
            </w:pPr>
            <w:r>
              <w:t>* Category</w:t>
            </w:r>
          </w:p>
        </w:tc>
        <w:tc>
          <w:tcPr>
            <w:tcW w:w="1124" w:type="dxa"/>
            <w:gridSpan w:val="2"/>
            <w:tcBorders>
              <w:top w:val="nil"/>
              <w:bottom w:val="nil"/>
            </w:tcBorders>
          </w:tcPr>
          <w:p w14:paraId="0E15CAAC" w14:textId="77777777" w:rsidR="006E40C9" w:rsidRDefault="006E40C9">
            <w:pPr>
              <w:pStyle w:val="MeasureTableTextLeftAligned"/>
            </w:pPr>
            <w:r>
              <w:t>4+</w:t>
            </w:r>
          </w:p>
        </w:tc>
      </w:tr>
      <w:tr w:rsidR="006E40C9" w14:paraId="7D630B50" w14:textId="77777777">
        <w:trPr>
          <w:cantSplit/>
          <w:jc w:val="center"/>
        </w:trPr>
        <w:tc>
          <w:tcPr>
            <w:tcW w:w="1934" w:type="dxa"/>
            <w:gridSpan w:val="2"/>
            <w:tcBorders>
              <w:top w:val="nil"/>
              <w:bottom w:val="nil"/>
            </w:tcBorders>
          </w:tcPr>
          <w:p w14:paraId="09A9FAAE" w14:textId="77777777" w:rsidR="006E40C9" w:rsidRDefault="006E40C9">
            <w:pPr>
              <w:pStyle w:val="MeasureTableTextItalic"/>
            </w:pPr>
            <w:r>
              <w:t>Commencement date:</w:t>
            </w:r>
          </w:p>
        </w:tc>
        <w:tc>
          <w:tcPr>
            <w:tcW w:w="3179" w:type="dxa"/>
            <w:gridSpan w:val="4"/>
            <w:tcBorders>
              <w:top w:val="nil"/>
              <w:bottom w:val="nil"/>
            </w:tcBorders>
          </w:tcPr>
          <w:p w14:paraId="5902A02E" w14:textId="77777777" w:rsidR="006E40C9" w:rsidRDefault="006E40C9">
            <w:pPr>
              <w:pStyle w:val="MeasureTableTextLeftAligned"/>
            </w:pPr>
            <w:r>
              <w:t>1991</w:t>
            </w:r>
          </w:p>
        </w:tc>
        <w:tc>
          <w:tcPr>
            <w:tcW w:w="1500" w:type="dxa"/>
            <w:gridSpan w:val="2"/>
            <w:tcBorders>
              <w:top w:val="nil"/>
              <w:bottom w:val="nil"/>
            </w:tcBorders>
          </w:tcPr>
          <w:p w14:paraId="54C7DCAD" w14:textId="77777777" w:rsidR="006E40C9" w:rsidRPr="00F32057" w:rsidRDefault="006E40C9">
            <w:pPr>
              <w:pStyle w:val="MeasureTableTextItalic"/>
            </w:pPr>
            <w:r>
              <w:t>Expiry date:</w:t>
            </w:r>
          </w:p>
        </w:tc>
        <w:tc>
          <w:tcPr>
            <w:tcW w:w="1124" w:type="dxa"/>
            <w:gridSpan w:val="2"/>
            <w:tcBorders>
              <w:top w:val="nil"/>
              <w:bottom w:val="nil"/>
            </w:tcBorders>
          </w:tcPr>
          <w:p w14:paraId="1269BC21" w14:textId="77777777" w:rsidR="006E40C9" w:rsidRPr="00F32057" w:rsidRDefault="006E40C9">
            <w:pPr>
              <w:pStyle w:val="MeasureTableTextLeftAligned"/>
            </w:pPr>
          </w:p>
        </w:tc>
      </w:tr>
      <w:tr w:rsidR="006E40C9" w14:paraId="20B0E0C0" w14:textId="77777777">
        <w:trPr>
          <w:cantSplit/>
          <w:jc w:val="center"/>
        </w:trPr>
        <w:tc>
          <w:tcPr>
            <w:tcW w:w="1934" w:type="dxa"/>
            <w:gridSpan w:val="2"/>
            <w:tcBorders>
              <w:top w:val="nil"/>
            </w:tcBorders>
          </w:tcPr>
          <w:p w14:paraId="5BB5E749" w14:textId="77777777" w:rsidR="006E40C9" w:rsidRDefault="006E40C9">
            <w:pPr>
              <w:pStyle w:val="MeasureTableTextItalic"/>
            </w:pPr>
            <w:r>
              <w:t>Legislative reference:</w:t>
            </w:r>
          </w:p>
        </w:tc>
        <w:tc>
          <w:tcPr>
            <w:tcW w:w="5803" w:type="dxa"/>
            <w:gridSpan w:val="8"/>
            <w:tcBorders>
              <w:top w:val="nil"/>
            </w:tcBorders>
          </w:tcPr>
          <w:p w14:paraId="6C76B2A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23AH of the </w:t>
            </w:r>
            <w:r>
              <w:rPr>
                <w:rFonts w:ascii="Arial" w:hAnsi="Arial" w:cs="Arial"/>
                <w:i/>
                <w:iCs/>
                <w:color w:val="000000"/>
                <w:sz w:val="16"/>
                <w:szCs w:val="16"/>
              </w:rPr>
              <w:t>Income Tax Assessment Act 1936</w:t>
            </w:r>
          </w:p>
        </w:tc>
      </w:tr>
    </w:tbl>
    <w:p w14:paraId="3CAAFA32" w14:textId="77777777" w:rsidR="006E40C9" w:rsidRPr="00540040" w:rsidRDefault="006E40C9" w:rsidP="006E40C9">
      <w:pPr>
        <w:pStyle w:val="MeasureTableHeading"/>
      </w:pPr>
    </w:p>
    <w:p w14:paraId="064D1ED8" w14:textId="77777777" w:rsidR="006E40C9" w:rsidRDefault="006E40C9" w:rsidP="006E40C9">
      <w:r>
        <w:t>Under the benchmark, Australian resident companies are taxed on their worldwide income. However, i</w:t>
      </w:r>
      <w:r w:rsidRPr="00FB5E59">
        <w:t>n general, income</w:t>
      </w:r>
      <w:r>
        <w:fldChar w:fldCharType="begin"/>
      </w:r>
      <w:r>
        <w:instrText xml:space="preserve"> XE "F</w:instrText>
      </w:r>
      <w:r w:rsidRPr="00026A04">
        <w:instrText>oreign branch income</w:instrText>
      </w:r>
      <w:r>
        <w:instrText xml:space="preserve">" </w:instrText>
      </w:r>
      <w:r>
        <w:fldChar w:fldCharType="end"/>
      </w:r>
      <w:r w:rsidRPr="00FB5E59">
        <w:t xml:space="preserve"> from a business carried on by an Australian company through a permanent establishment (branch) in a foreign country is exempt from income tax. The exempt income broadly comprises operating profits and capital gains but does not include passive or other tainted income where the branch fails an active income test.</w:t>
      </w:r>
    </w:p>
    <w:p w14:paraId="57A4ED4E" w14:textId="77777777" w:rsidR="006E40C9" w:rsidRDefault="006E40C9" w:rsidP="0003254D">
      <w:pPr>
        <w:pStyle w:val="Heading4"/>
      </w:pPr>
      <w:r>
        <w:t>B9</w:t>
      </w:r>
      <w:r>
        <w:tab/>
        <w:t>Exemption from accruals taxation system for certain transferor trusts</w:t>
      </w:r>
    </w:p>
    <w:p w14:paraId="6D30A2F3" w14:textId="4CCCA35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400C14D" w14:textId="77777777">
        <w:trPr>
          <w:cantSplit/>
          <w:jc w:val="center"/>
        </w:trPr>
        <w:tc>
          <w:tcPr>
            <w:tcW w:w="967" w:type="dxa"/>
            <w:tcBorders>
              <w:top w:val="single" w:sz="2" w:space="0" w:color="auto"/>
              <w:bottom w:val="single" w:sz="2" w:space="0" w:color="auto"/>
            </w:tcBorders>
          </w:tcPr>
          <w:p w14:paraId="7DE8276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3CA69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D082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37651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2E030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376E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AA086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58AD64" w14:textId="77777777" w:rsidR="006E40C9" w:rsidRDefault="006E40C9">
            <w:pPr>
              <w:pStyle w:val="MeasureTableTextRightAligned"/>
            </w:pPr>
            <w:r>
              <w:t>2027-28</w:t>
            </w:r>
          </w:p>
        </w:tc>
      </w:tr>
      <w:tr w:rsidR="006E40C9" w14:paraId="0A55AFCD" w14:textId="77777777">
        <w:trPr>
          <w:cantSplit/>
          <w:jc w:val="center"/>
        </w:trPr>
        <w:tc>
          <w:tcPr>
            <w:tcW w:w="967" w:type="dxa"/>
            <w:tcBorders>
              <w:top w:val="single" w:sz="2" w:space="0" w:color="auto"/>
              <w:bottom w:val="single" w:sz="2" w:space="0" w:color="auto"/>
            </w:tcBorders>
          </w:tcPr>
          <w:p w14:paraId="4C0476F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55EE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9F10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4935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86F32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2BB8D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E485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909718B" w14:textId="77777777" w:rsidR="006E40C9" w:rsidRDefault="006E40C9">
            <w:pPr>
              <w:pStyle w:val="MeasureTableTextRightAligned"/>
            </w:pPr>
            <w:r>
              <w:t>*</w:t>
            </w:r>
          </w:p>
        </w:tc>
      </w:tr>
      <w:tr w:rsidR="006E40C9" w14:paraId="013D4C1C" w14:textId="77777777">
        <w:trPr>
          <w:cantSplit/>
          <w:jc w:val="center"/>
        </w:trPr>
        <w:tc>
          <w:tcPr>
            <w:tcW w:w="1934" w:type="dxa"/>
            <w:gridSpan w:val="2"/>
            <w:tcBorders>
              <w:top w:val="single" w:sz="2" w:space="0" w:color="auto"/>
              <w:bottom w:val="nil"/>
            </w:tcBorders>
          </w:tcPr>
          <w:p w14:paraId="1445F7D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416E3C" w14:textId="77777777" w:rsidR="006E40C9" w:rsidRDefault="006E40C9">
            <w:pPr>
              <w:pStyle w:val="MeasureTableTextLeftAligned"/>
            </w:pPr>
            <w:r>
              <w:t>Exemption</w:t>
            </w:r>
          </w:p>
        </w:tc>
        <w:tc>
          <w:tcPr>
            <w:tcW w:w="1500" w:type="dxa"/>
            <w:gridSpan w:val="2"/>
            <w:tcBorders>
              <w:top w:val="single" w:sz="2" w:space="0" w:color="auto"/>
              <w:bottom w:val="nil"/>
            </w:tcBorders>
          </w:tcPr>
          <w:p w14:paraId="782ED50D" w14:textId="3EF0B4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B04B16" w14:textId="77777777" w:rsidR="006E40C9" w:rsidRDefault="006E40C9">
            <w:pPr>
              <w:pStyle w:val="MeasureTableTextLeftAligned"/>
            </w:pPr>
            <w:r>
              <w:t>B9</w:t>
            </w:r>
          </w:p>
        </w:tc>
      </w:tr>
      <w:tr w:rsidR="006E40C9" w14:paraId="0269895B" w14:textId="77777777">
        <w:trPr>
          <w:cantSplit/>
          <w:jc w:val="center"/>
        </w:trPr>
        <w:tc>
          <w:tcPr>
            <w:tcW w:w="1934" w:type="dxa"/>
            <w:gridSpan w:val="2"/>
            <w:tcBorders>
              <w:top w:val="nil"/>
              <w:bottom w:val="nil"/>
            </w:tcBorders>
          </w:tcPr>
          <w:p w14:paraId="279D7BB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A07931" w14:textId="77777777" w:rsidR="006E40C9" w:rsidRPr="00584CA7" w:rsidRDefault="006E40C9">
            <w:pPr>
              <w:pStyle w:val="MeasureTableTextLeftAligned"/>
            </w:pPr>
            <w:r>
              <w:t>Not Applicable</w:t>
            </w:r>
          </w:p>
        </w:tc>
        <w:tc>
          <w:tcPr>
            <w:tcW w:w="1500" w:type="dxa"/>
            <w:gridSpan w:val="2"/>
            <w:tcBorders>
              <w:top w:val="nil"/>
              <w:bottom w:val="nil"/>
            </w:tcBorders>
          </w:tcPr>
          <w:p w14:paraId="2A56445A" w14:textId="77777777" w:rsidR="006E40C9" w:rsidRDefault="006E40C9">
            <w:pPr>
              <w:pStyle w:val="MeasureTableTextItalic"/>
            </w:pPr>
            <w:r>
              <w:t>* Category</w:t>
            </w:r>
          </w:p>
        </w:tc>
        <w:tc>
          <w:tcPr>
            <w:tcW w:w="1124" w:type="dxa"/>
            <w:gridSpan w:val="2"/>
            <w:tcBorders>
              <w:top w:val="nil"/>
              <w:bottom w:val="nil"/>
            </w:tcBorders>
          </w:tcPr>
          <w:p w14:paraId="4A88EFEF" w14:textId="77777777" w:rsidR="006E40C9" w:rsidRDefault="006E40C9">
            <w:pPr>
              <w:pStyle w:val="MeasureTableTextLeftAligned"/>
            </w:pPr>
            <w:r>
              <w:t>2+</w:t>
            </w:r>
          </w:p>
        </w:tc>
      </w:tr>
      <w:tr w:rsidR="006E40C9" w14:paraId="019BE53B" w14:textId="77777777">
        <w:trPr>
          <w:cantSplit/>
          <w:jc w:val="center"/>
        </w:trPr>
        <w:tc>
          <w:tcPr>
            <w:tcW w:w="1934" w:type="dxa"/>
            <w:gridSpan w:val="2"/>
            <w:tcBorders>
              <w:top w:val="nil"/>
              <w:bottom w:val="nil"/>
            </w:tcBorders>
          </w:tcPr>
          <w:p w14:paraId="25C72042" w14:textId="77777777" w:rsidR="006E40C9" w:rsidRDefault="006E40C9">
            <w:pPr>
              <w:pStyle w:val="MeasureTableTextItalic"/>
            </w:pPr>
            <w:r>
              <w:t>Commencement date:</w:t>
            </w:r>
          </w:p>
        </w:tc>
        <w:tc>
          <w:tcPr>
            <w:tcW w:w="3179" w:type="dxa"/>
            <w:gridSpan w:val="4"/>
            <w:tcBorders>
              <w:top w:val="nil"/>
              <w:bottom w:val="nil"/>
            </w:tcBorders>
          </w:tcPr>
          <w:p w14:paraId="632D404B" w14:textId="77777777" w:rsidR="006E40C9" w:rsidRDefault="006E40C9">
            <w:pPr>
              <w:pStyle w:val="MeasureTableTextLeftAligned"/>
            </w:pPr>
            <w:r>
              <w:t>1991</w:t>
            </w:r>
          </w:p>
        </w:tc>
        <w:tc>
          <w:tcPr>
            <w:tcW w:w="1500" w:type="dxa"/>
            <w:gridSpan w:val="2"/>
            <w:tcBorders>
              <w:top w:val="nil"/>
              <w:bottom w:val="nil"/>
            </w:tcBorders>
          </w:tcPr>
          <w:p w14:paraId="5A08768E" w14:textId="77777777" w:rsidR="006E40C9" w:rsidRPr="00F32057" w:rsidRDefault="006E40C9">
            <w:pPr>
              <w:pStyle w:val="MeasureTableTextItalic"/>
            </w:pPr>
            <w:r>
              <w:t>Expiry date:</w:t>
            </w:r>
          </w:p>
        </w:tc>
        <w:tc>
          <w:tcPr>
            <w:tcW w:w="1124" w:type="dxa"/>
            <w:gridSpan w:val="2"/>
            <w:tcBorders>
              <w:top w:val="nil"/>
              <w:bottom w:val="nil"/>
            </w:tcBorders>
          </w:tcPr>
          <w:p w14:paraId="11B9025A" w14:textId="77777777" w:rsidR="006E40C9" w:rsidRPr="00F32057" w:rsidRDefault="006E40C9">
            <w:pPr>
              <w:pStyle w:val="MeasureTableTextLeftAligned"/>
            </w:pPr>
          </w:p>
        </w:tc>
      </w:tr>
      <w:tr w:rsidR="006E40C9" w14:paraId="65C28C8A" w14:textId="77777777">
        <w:trPr>
          <w:cantSplit/>
          <w:jc w:val="center"/>
        </w:trPr>
        <w:tc>
          <w:tcPr>
            <w:tcW w:w="1934" w:type="dxa"/>
            <w:gridSpan w:val="2"/>
            <w:tcBorders>
              <w:top w:val="nil"/>
            </w:tcBorders>
          </w:tcPr>
          <w:p w14:paraId="54B5B431" w14:textId="77777777" w:rsidR="006E40C9" w:rsidRDefault="006E40C9">
            <w:pPr>
              <w:pStyle w:val="MeasureTableTextItalic"/>
            </w:pPr>
            <w:r>
              <w:t>Legislative reference:</w:t>
            </w:r>
          </w:p>
        </w:tc>
        <w:tc>
          <w:tcPr>
            <w:tcW w:w="5803" w:type="dxa"/>
            <w:gridSpan w:val="8"/>
            <w:tcBorders>
              <w:top w:val="nil"/>
            </w:tcBorders>
          </w:tcPr>
          <w:p w14:paraId="59CE98A3"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102AAT of the </w:t>
            </w:r>
            <w:r>
              <w:rPr>
                <w:rFonts w:ascii="Arial" w:hAnsi="Arial" w:cs="Arial"/>
                <w:i/>
                <w:iCs/>
                <w:color w:val="000000"/>
                <w:sz w:val="16"/>
                <w:szCs w:val="16"/>
              </w:rPr>
              <w:t>Income Tax Assessment Act 1936</w:t>
            </w:r>
          </w:p>
        </w:tc>
      </w:tr>
    </w:tbl>
    <w:p w14:paraId="6E4C192F" w14:textId="77777777" w:rsidR="006E40C9" w:rsidRPr="00FC7B3F" w:rsidRDefault="006E40C9" w:rsidP="00FC7B3F">
      <w:pPr>
        <w:spacing w:before="120" w:after="120" w:line="240" w:lineRule="auto"/>
      </w:pPr>
      <w:r w:rsidRPr="00FC7B3F">
        <w:t>Under the benchmark, the transferor would normally be subject to accruals taxation, as provided by the transferor trust rules</w:t>
      </w:r>
      <w:r w:rsidRPr="00FC7B3F">
        <w:fldChar w:fldCharType="begin"/>
      </w:r>
      <w:r w:rsidRPr="00FC7B3F">
        <w:instrText xml:space="preserve"> XE "Transferor trust rules" </w:instrText>
      </w:r>
      <w:r w:rsidRPr="00FC7B3F">
        <w:fldChar w:fldCharType="end"/>
      </w:r>
      <w:r w:rsidRPr="00FC7B3F">
        <w:t>. However, the rules do not apply in relation to certain transfers to family, discretionary or non</w:t>
      </w:r>
      <w:r w:rsidRPr="00FC7B3F">
        <w:noBreakHyphen/>
        <w:t>discretionary trusts, or to certain transfers made before the transferor commenced being a resident. Transferor trust rules apply to Australian residents who have transferred property or services to a non</w:t>
      </w:r>
      <w:r w:rsidRPr="00FC7B3F">
        <w:noBreakHyphen/>
        <w:t>resident trust estate.</w:t>
      </w:r>
    </w:p>
    <w:p w14:paraId="786F0B71" w14:textId="77777777" w:rsidR="006E40C9" w:rsidRDefault="006E40C9" w:rsidP="0003254D">
      <w:pPr>
        <w:pStyle w:val="Heading4"/>
      </w:pPr>
      <w:r>
        <w:t>B10</w:t>
      </w:r>
      <w:r>
        <w:tab/>
        <w:t>Exemption from accruals taxation system for controlled foreign companies</w:t>
      </w:r>
    </w:p>
    <w:p w14:paraId="5716F97E" w14:textId="40D159F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78F786" w14:textId="77777777">
        <w:trPr>
          <w:cantSplit/>
          <w:jc w:val="center"/>
        </w:trPr>
        <w:tc>
          <w:tcPr>
            <w:tcW w:w="967" w:type="dxa"/>
            <w:tcBorders>
              <w:top w:val="single" w:sz="2" w:space="0" w:color="auto"/>
              <w:bottom w:val="single" w:sz="2" w:space="0" w:color="auto"/>
            </w:tcBorders>
          </w:tcPr>
          <w:p w14:paraId="276E31F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97F86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C53132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A137A5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8484E8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8F8F6A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1BDA5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194C5E6" w14:textId="77777777" w:rsidR="006E40C9" w:rsidRDefault="006E40C9">
            <w:pPr>
              <w:pStyle w:val="MeasureTableTextRightAligned"/>
            </w:pPr>
            <w:r>
              <w:t>2027-28</w:t>
            </w:r>
          </w:p>
        </w:tc>
      </w:tr>
      <w:tr w:rsidR="006E40C9" w14:paraId="4A939BDF" w14:textId="77777777">
        <w:trPr>
          <w:cantSplit/>
          <w:jc w:val="center"/>
        </w:trPr>
        <w:tc>
          <w:tcPr>
            <w:tcW w:w="967" w:type="dxa"/>
            <w:tcBorders>
              <w:top w:val="single" w:sz="2" w:space="0" w:color="auto"/>
              <w:bottom w:val="single" w:sz="2" w:space="0" w:color="auto"/>
            </w:tcBorders>
          </w:tcPr>
          <w:p w14:paraId="62BCA9E4" w14:textId="77777777" w:rsidR="006E40C9" w:rsidRDefault="006E40C9">
            <w:pPr>
              <w:pStyle w:val="MeasureTableTextRightAligned"/>
            </w:pPr>
            <w:r>
              <w:t>*</w:t>
            </w:r>
          </w:p>
        </w:tc>
        <w:tc>
          <w:tcPr>
            <w:tcW w:w="967" w:type="dxa"/>
            <w:tcBorders>
              <w:top w:val="single" w:sz="2" w:space="0" w:color="auto"/>
              <w:bottom w:val="single" w:sz="2" w:space="0" w:color="auto"/>
            </w:tcBorders>
          </w:tcPr>
          <w:p w14:paraId="7ACE84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B7E8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6904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D92B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74B3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15076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CA2FAB" w14:textId="77777777" w:rsidR="006E40C9" w:rsidRDefault="006E40C9">
            <w:pPr>
              <w:pStyle w:val="MeasureTableTextRightAligned"/>
            </w:pPr>
            <w:r>
              <w:t>*</w:t>
            </w:r>
          </w:p>
        </w:tc>
      </w:tr>
      <w:tr w:rsidR="006E40C9" w14:paraId="502C1F21" w14:textId="77777777">
        <w:trPr>
          <w:cantSplit/>
          <w:jc w:val="center"/>
        </w:trPr>
        <w:tc>
          <w:tcPr>
            <w:tcW w:w="1934" w:type="dxa"/>
            <w:gridSpan w:val="2"/>
            <w:tcBorders>
              <w:top w:val="single" w:sz="2" w:space="0" w:color="auto"/>
              <w:bottom w:val="nil"/>
            </w:tcBorders>
          </w:tcPr>
          <w:p w14:paraId="1BCF914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062845" w14:textId="77777777" w:rsidR="006E40C9" w:rsidRDefault="006E40C9">
            <w:pPr>
              <w:pStyle w:val="MeasureTableTextLeftAligned"/>
            </w:pPr>
            <w:r>
              <w:t>Exemption</w:t>
            </w:r>
          </w:p>
        </w:tc>
        <w:tc>
          <w:tcPr>
            <w:tcW w:w="1500" w:type="dxa"/>
            <w:gridSpan w:val="2"/>
            <w:tcBorders>
              <w:top w:val="single" w:sz="2" w:space="0" w:color="auto"/>
              <w:bottom w:val="nil"/>
            </w:tcBorders>
          </w:tcPr>
          <w:p w14:paraId="584384C1" w14:textId="4456829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148C7F7" w14:textId="77777777" w:rsidR="006E40C9" w:rsidRDefault="006E40C9">
            <w:pPr>
              <w:pStyle w:val="MeasureTableTextLeftAligned"/>
            </w:pPr>
            <w:r>
              <w:t>B10</w:t>
            </w:r>
          </w:p>
        </w:tc>
      </w:tr>
      <w:tr w:rsidR="006E40C9" w14:paraId="06EFCDF6" w14:textId="77777777">
        <w:trPr>
          <w:cantSplit/>
          <w:jc w:val="center"/>
        </w:trPr>
        <w:tc>
          <w:tcPr>
            <w:tcW w:w="1934" w:type="dxa"/>
            <w:gridSpan w:val="2"/>
            <w:tcBorders>
              <w:top w:val="nil"/>
              <w:bottom w:val="nil"/>
            </w:tcBorders>
          </w:tcPr>
          <w:p w14:paraId="47B30B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BA1349" w14:textId="77777777" w:rsidR="006E40C9" w:rsidRPr="00584CA7" w:rsidRDefault="006E40C9">
            <w:pPr>
              <w:pStyle w:val="MeasureTableTextLeftAligned"/>
            </w:pPr>
            <w:r>
              <w:t>Not Applicable</w:t>
            </w:r>
          </w:p>
        </w:tc>
        <w:tc>
          <w:tcPr>
            <w:tcW w:w="1500" w:type="dxa"/>
            <w:gridSpan w:val="2"/>
            <w:tcBorders>
              <w:top w:val="nil"/>
              <w:bottom w:val="nil"/>
            </w:tcBorders>
          </w:tcPr>
          <w:p w14:paraId="0F829CE8" w14:textId="77777777" w:rsidR="006E40C9" w:rsidRDefault="006E40C9">
            <w:pPr>
              <w:pStyle w:val="MeasureTableTextItalic"/>
            </w:pPr>
            <w:r>
              <w:t>* Category</w:t>
            </w:r>
          </w:p>
        </w:tc>
        <w:tc>
          <w:tcPr>
            <w:tcW w:w="1124" w:type="dxa"/>
            <w:gridSpan w:val="2"/>
            <w:tcBorders>
              <w:top w:val="nil"/>
              <w:bottom w:val="nil"/>
            </w:tcBorders>
          </w:tcPr>
          <w:p w14:paraId="20CA2B67" w14:textId="77777777" w:rsidR="006E40C9" w:rsidRDefault="006E40C9">
            <w:pPr>
              <w:pStyle w:val="MeasureTableTextLeftAligned"/>
            </w:pPr>
            <w:r>
              <w:t>2+</w:t>
            </w:r>
          </w:p>
        </w:tc>
      </w:tr>
      <w:tr w:rsidR="006E40C9" w14:paraId="52ACB5F2" w14:textId="77777777">
        <w:trPr>
          <w:cantSplit/>
          <w:jc w:val="center"/>
        </w:trPr>
        <w:tc>
          <w:tcPr>
            <w:tcW w:w="1934" w:type="dxa"/>
            <w:gridSpan w:val="2"/>
            <w:tcBorders>
              <w:top w:val="nil"/>
              <w:bottom w:val="nil"/>
            </w:tcBorders>
          </w:tcPr>
          <w:p w14:paraId="38BD0B0B" w14:textId="77777777" w:rsidR="006E40C9" w:rsidRDefault="006E40C9">
            <w:pPr>
              <w:pStyle w:val="MeasureTableTextItalic"/>
            </w:pPr>
            <w:r>
              <w:t>Commencement date:</w:t>
            </w:r>
          </w:p>
        </w:tc>
        <w:tc>
          <w:tcPr>
            <w:tcW w:w="3179" w:type="dxa"/>
            <w:gridSpan w:val="4"/>
            <w:tcBorders>
              <w:top w:val="nil"/>
              <w:bottom w:val="nil"/>
            </w:tcBorders>
          </w:tcPr>
          <w:p w14:paraId="475D7312" w14:textId="77777777" w:rsidR="006E40C9" w:rsidRDefault="006E40C9">
            <w:pPr>
              <w:pStyle w:val="MeasureTableTextLeftAligned"/>
            </w:pPr>
            <w:r>
              <w:t>1991</w:t>
            </w:r>
          </w:p>
        </w:tc>
        <w:tc>
          <w:tcPr>
            <w:tcW w:w="1500" w:type="dxa"/>
            <w:gridSpan w:val="2"/>
            <w:tcBorders>
              <w:top w:val="nil"/>
              <w:bottom w:val="nil"/>
            </w:tcBorders>
          </w:tcPr>
          <w:p w14:paraId="67145DB7" w14:textId="77777777" w:rsidR="006E40C9" w:rsidRPr="00F32057" w:rsidRDefault="006E40C9">
            <w:pPr>
              <w:pStyle w:val="MeasureTableTextItalic"/>
            </w:pPr>
            <w:r>
              <w:t>Expiry date:</w:t>
            </w:r>
          </w:p>
        </w:tc>
        <w:tc>
          <w:tcPr>
            <w:tcW w:w="1124" w:type="dxa"/>
            <w:gridSpan w:val="2"/>
            <w:tcBorders>
              <w:top w:val="nil"/>
              <w:bottom w:val="nil"/>
            </w:tcBorders>
          </w:tcPr>
          <w:p w14:paraId="135C3011" w14:textId="77777777" w:rsidR="006E40C9" w:rsidRPr="00F32057" w:rsidRDefault="006E40C9">
            <w:pPr>
              <w:pStyle w:val="MeasureTableTextLeftAligned"/>
            </w:pPr>
          </w:p>
        </w:tc>
      </w:tr>
      <w:tr w:rsidR="006E40C9" w14:paraId="0C7672E6" w14:textId="77777777">
        <w:trPr>
          <w:cantSplit/>
          <w:jc w:val="center"/>
        </w:trPr>
        <w:tc>
          <w:tcPr>
            <w:tcW w:w="1934" w:type="dxa"/>
            <w:gridSpan w:val="2"/>
            <w:tcBorders>
              <w:top w:val="nil"/>
            </w:tcBorders>
          </w:tcPr>
          <w:p w14:paraId="46CCE07A" w14:textId="77777777" w:rsidR="006E40C9" w:rsidRDefault="006E40C9">
            <w:pPr>
              <w:pStyle w:val="MeasureTableTextItalic"/>
            </w:pPr>
            <w:r>
              <w:t>Legislative reference:</w:t>
            </w:r>
          </w:p>
        </w:tc>
        <w:tc>
          <w:tcPr>
            <w:tcW w:w="5803" w:type="dxa"/>
            <w:gridSpan w:val="8"/>
            <w:tcBorders>
              <w:top w:val="nil"/>
            </w:tcBorders>
          </w:tcPr>
          <w:p w14:paraId="3CCC80D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385 and 432 of the </w:t>
            </w:r>
            <w:r>
              <w:rPr>
                <w:rFonts w:ascii="Arial" w:hAnsi="Arial" w:cs="Arial"/>
                <w:i/>
                <w:iCs/>
                <w:color w:val="000000"/>
                <w:sz w:val="16"/>
                <w:szCs w:val="16"/>
              </w:rPr>
              <w:t>Income Tax Assessment Act 1936</w:t>
            </w:r>
          </w:p>
        </w:tc>
      </w:tr>
    </w:tbl>
    <w:p w14:paraId="37229209" w14:textId="77777777" w:rsidR="006E40C9" w:rsidRPr="00540040" w:rsidRDefault="006E40C9" w:rsidP="006E40C9">
      <w:pPr>
        <w:pStyle w:val="MeasureTableHeading"/>
      </w:pPr>
    </w:p>
    <w:p w14:paraId="44492AC0" w14:textId="615DF035" w:rsidR="006E40C9" w:rsidRDefault="006E40C9" w:rsidP="006E40C9">
      <w:r>
        <w:t>Under the benchmark, the accruals taxation system normally applies to income derived by controlled foreign companies</w:t>
      </w:r>
      <w:r>
        <w:fldChar w:fldCharType="begin"/>
      </w:r>
      <w:r>
        <w:instrText xml:space="preserve"> XE "</w:instrText>
      </w:r>
      <w:r w:rsidRPr="004C240E">
        <w:instrText>Controlled foreign companies</w:instrText>
      </w:r>
      <w:r>
        <w:instrText xml:space="preserve">" </w:instrText>
      </w:r>
      <w:r>
        <w:fldChar w:fldCharType="end"/>
      </w:r>
      <w:r>
        <w:t xml:space="preserve"> (CFCs). However, m</w:t>
      </w:r>
      <w:r w:rsidRPr="00035B13">
        <w:t>ost tainted income derived by CFCs in</w:t>
      </w:r>
      <w:r>
        <w:t xml:space="preserve"> </w:t>
      </w:r>
      <w:r w:rsidRPr="00035B13">
        <w:t xml:space="preserve">listed countries is exempt from </w:t>
      </w:r>
      <w:r>
        <w:t xml:space="preserve">the </w:t>
      </w:r>
      <w:r w:rsidRPr="00035B13">
        <w:t>accrual</w:t>
      </w:r>
      <w:r>
        <w:t>s</w:t>
      </w:r>
      <w:r w:rsidRPr="00035B13">
        <w:t xml:space="preserve"> taxation</w:t>
      </w:r>
      <w:r>
        <w:t xml:space="preserve"> system</w:t>
      </w:r>
      <w:r w:rsidRPr="00035B13">
        <w:t xml:space="preserve"> (applied to the attributable taxpayer) as it is generally comparably taxed. An exemption also applies to CFCs that derive 95</w:t>
      </w:r>
      <w:r>
        <w:t> </w:t>
      </w:r>
      <w:r w:rsidRPr="00035B13">
        <w:t>per</w:t>
      </w:r>
      <w:r>
        <w:t> </w:t>
      </w:r>
      <w:r w:rsidRPr="00035B13">
        <w:t xml:space="preserve">cent </w:t>
      </w:r>
      <w:r>
        <w:t xml:space="preserve">or more </w:t>
      </w:r>
      <w:r w:rsidRPr="00035B13">
        <w:t xml:space="preserve">of their income from </w:t>
      </w:r>
      <w:r>
        <w:t>active</w:t>
      </w:r>
      <w:r w:rsidRPr="00035B13">
        <w:t xml:space="preserve"> business activities.</w:t>
      </w:r>
      <w:r w:rsidRPr="00224433">
        <w:t xml:space="preserve"> </w:t>
      </w:r>
    </w:p>
    <w:p w14:paraId="45F9EC87" w14:textId="77777777" w:rsidR="006E40C9" w:rsidRDefault="006E40C9" w:rsidP="0003254D">
      <w:pPr>
        <w:pStyle w:val="Heading4"/>
      </w:pPr>
      <w:r>
        <w:t>B11</w:t>
      </w:r>
      <w:r>
        <w:tab/>
        <w:t>Exemption from interest withholding tax on certain securities</w:t>
      </w:r>
    </w:p>
    <w:p w14:paraId="1FF3DCA6" w14:textId="28B527F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F36C989" w14:textId="77777777">
        <w:trPr>
          <w:cantSplit/>
          <w:jc w:val="center"/>
        </w:trPr>
        <w:tc>
          <w:tcPr>
            <w:tcW w:w="967" w:type="dxa"/>
            <w:tcBorders>
              <w:top w:val="single" w:sz="2" w:space="0" w:color="auto"/>
              <w:bottom w:val="single" w:sz="2" w:space="0" w:color="auto"/>
            </w:tcBorders>
          </w:tcPr>
          <w:p w14:paraId="69648B7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14759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9340FD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D50DA2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CD568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D7DE6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031AD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2AC0E5" w14:textId="77777777" w:rsidR="006E40C9" w:rsidRDefault="006E40C9">
            <w:pPr>
              <w:pStyle w:val="MeasureTableTextRightAligned"/>
            </w:pPr>
            <w:r>
              <w:t>2027-28</w:t>
            </w:r>
          </w:p>
        </w:tc>
      </w:tr>
      <w:tr w:rsidR="006E40C9" w14:paraId="382E3C27" w14:textId="77777777">
        <w:trPr>
          <w:cantSplit/>
          <w:jc w:val="center"/>
        </w:trPr>
        <w:tc>
          <w:tcPr>
            <w:tcW w:w="967" w:type="dxa"/>
            <w:tcBorders>
              <w:top w:val="single" w:sz="2" w:space="0" w:color="auto"/>
              <w:bottom w:val="single" w:sz="2" w:space="0" w:color="auto"/>
            </w:tcBorders>
          </w:tcPr>
          <w:p w14:paraId="73DE7D62" w14:textId="77777777" w:rsidR="006E40C9" w:rsidRDefault="006E40C9">
            <w:pPr>
              <w:pStyle w:val="MeasureTableTextRightAligned"/>
            </w:pPr>
            <w:r>
              <w:t>2,090</w:t>
            </w:r>
          </w:p>
        </w:tc>
        <w:tc>
          <w:tcPr>
            <w:tcW w:w="967" w:type="dxa"/>
            <w:tcBorders>
              <w:top w:val="single" w:sz="2" w:space="0" w:color="auto"/>
              <w:bottom w:val="single" w:sz="2" w:space="0" w:color="auto"/>
            </w:tcBorders>
          </w:tcPr>
          <w:p w14:paraId="397D191B" w14:textId="77777777" w:rsidR="006E40C9" w:rsidRDefault="006E40C9">
            <w:pPr>
              <w:pStyle w:val="MeasureTableTextRightAligned"/>
            </w:pPr>
            <w:r>
              <w:t>1,960</w:t>
            </w:r>
          </w:p>
        </w:tc>
        <w:tc>
          <w:tcPr>
            <w:tcW w:w="967" w:type="dxa"/>
            <w:tcBorders>
              <w:top w:val="single" w:sz="2" w:space="0" w:color="auto"/>
              <w:bottom w:val="single" w:sz="2" w:space="0" w:color="auto"/>
            </w:tcBorders>
            <w:vAlign w:val="bottom"/>
          </w:tcPr>
          <w:p w14:paraId="0F38E812" w14:textId="77777777" w:rsidR="006E40C9" w:rsidRDefault="006E40C9">
            <w:pPr>
              <w:pStyle w:val="MeasureTableTextRightAligned"/>
            </w:pPr>
            <w:r>
              <w:t>2,590</w:t>
            </w:r>
          </w:p>
        </w:tc>
        <w:tc>
          <w:tcPr>
            <w:tcW w:w="967" w:type="dxa"/>
            <w:tcBorders>
              <w:top w:val="single" w:sz="2" w:space="0" w:color="auto"/>
              <w:bottom w:val="single" w:sz="2" w:space="0" w:color="auto"/>
            </w:tcBorders>
            <w:vAlign w:val="bottom"/>
          </w:tcPr>
          <w:p w14:paraId="152BA40D" w14:textId="77777777" w:rsidR="006E40C9" w:rsidRDefault="006E40C9">
            <w:pPr>
              <w:pStyle w:val="MeasureTableTextRightAligned"/>
            </w:pPr>
            <w:r>
              <w:t>2,900</w:t>
            </w:r>
          </w:p>
        </w:tc>
        <w:tc>
          <w:tcPr>
            <w:tcW w:w="967" w:type="dxa"/>
            <w:tcBorders>
              <w:top w:val="single" w:sz="2" w:space="0" w:color="auto"/>
              <w:bottom w:val="single" w:sz="2" w:space="0" w:color="auto"/>
            </w:tcBorders>
            <w:vAlign w:val="bottom"/>
          </w:tcPr>
          <w:p w14:paraId="46415253" w14:textId="77777777" w:rsidR="006E40C9" w:rsidRDefault="006E40C9">
            <w:pPr>
              <w:pStyle w:val="MeasureTableTextRightAligned"/>
            </w:pPr>
            <w:r>
              <w:t>2,930</w:t>
            </w:r>
          </w:p>
        </w:tc>
        <w:tc>
          <w:tcPr>
            <w:tcW w:w="967" w:type="dxa"/>
            <w:gridSpan w:val="2"/>
            <w:tcBorders>
              <w:top w:val="single" w:sz="2" w:space="0" w:color="auto"/>
              <w:bottom w:val="single" w:sz="2" w:space="0" w:color="auto"/>
            </w:tcBorders>
            <w:vAlign w:val="bottom"/>
          </w:tcPr>
          <w:p w14:paraId="53001E8E" w14:textId="77777777" w:rsidR="006E40C9" w:rsidRDefault="006E40C9">
            <w:pPr>
              <w:pStyle w:val="MeasureTableTextRightAligned"/>
            </w:pPr>
            <w:r>
              <w:t>2,930</w:t>
            </w:r>
          </w:p>
        </w:tc>
        <w:tc>
          <w:tcPr>
            <w:tcW w:w="967" w:type="dxa"/>
            <w:gridSpan w:val="2"/>
            <w:tcBorders>
              <w:top w:val="single" w:sz="2" w:space="0" w:color="auto"/>
              <w:bottom w:val="single" w:sz="2" w:space="0" w:color="auto"/>
            </w:tcBorders>
            <w:vAlign w:val="bottom"/>
          </w:tcPr>
          <w:p w14:paraId="46A116B6" w14:textId="77777777" w:rsidR="006E40C9" w:rsidRDefault="006E40C9">
            <w:pPr>
              <w:pStyle w:val="MeasureTableTextRightAligned"/>
            </w:pPr>
            <w:r>
              <w:t>2,930</w:t>
            </w:r>
          </w:p>
        </w:tc>
        <w:tc>
          <w:tcPr>
            <w:tcW w:w="968" w:type="dxa"/>
            <w:tcBorders>
              <w:top w:val="single" w:sz="2" w:space="0" w:color="auto"/>
              <w:bottom w:val="single" w:sz="2" w:space="0" w:color="auto"/>
            </w:tcBorders>
            <w:vAlign w:val="bottom"/>
          </w:tcPr>
          <w:p w14:paraId="2CF117E3" w14:textId="77777777" w:rsidR="006E40C9" w:rsidRDefault="006E40C9">
            <w:pPr>
              <w:pStyle w:val="MeasureTableTextRightAligned"/>
            </w:pPr>
            <w:r>
              <w:t>2,930</w:t>
            </w:r>
          </w:p>
        </w:tc>
      </w:tr>
      <w:tr w:rsidR="006E40C9" w14:paraId="526E38BC" w14:textId="77777777">
        <w:trPr>
          <w:cantSplit/>
          <w:jc w:val="center"/>
        </w:trPr>
        <w:tc>
          <w:tcPr>
            <w:tcW w:w="1934" w:type="dxa"/>
            <w:gridSpan w:val="2"/>
            <w:tcBorders>
              <w:top w:val="single" w:sz="2" w:space="0" w:color="auto"/>
              <w:bottom w:val="nil"/>
            </w:tcBorders>
          </w:tcPr>
          <w:p w14:paraId="60C6721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813D8F6" w14:textId="77777777" w:rsidR="006E40C9" w:rsidRDefault="006E40C9">
            <w:pPr>
              <w:pStyle w:val="MeasureTableTextLeftAligned"/>
            </w:pPr>
            <w:r>
              <w:t>Exemption</w:t>
            </w:r>
          </w:p>
        </w:tc>
        <w:tc>
          <w:tcPr>
            <w:tcW w:w="1500" w:type="dxa"/>
            <w:gridSpan w:val="2"/>
            <w:tcBorders>
              <w:top w:val="single" w:sz="2" w:space="0" w:color="auto"/>
              <w:bottom w:val="nil"/>
            </w:tcBorders>
          </w:tcPr>
          <w:p w14:paraId="6C7731D4" w14:textId="5F0492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BF7167" w14:textId="77777777" w:rsidR="006E40C9" w:rsidRDefault="006E40C9">
            <w:pPr>
              <w:pStyle w:val="MeasureTableTextLeftAligned"/>
            </w:pPr>
            <w:r>
              <w:t>B11</w:t>
            </w:r>
          </w:p>
        </w:tc>
      </w:tr>
      <w:tr w:rsidR="006E40C9" w14:paraId="2A590EB6" w14:textId="77777777">
        <w:trPr>
          <w:cantSplit/>
          <w:jc w:val="center"/>
        </w:trPr>
        <w:tc>
          <w:tcPr>
            <w:tcW w:w="1934" w:type="dxa"/>
            <w:gridSpan w:val="2"/>
            <w:tcBorders>
              <w:top w:val="nil"/>
              <w:bottom w:val="nil"/>
            </w:tcBorders>
          </w:tcPr>
          <w:p w14:paraId="6983669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10407C5" w14:textId="77777777" w:rsidR="006E40C9" w:rsidRPr="00584CA7" w:rsidRDefault="006E40C9">
            <w:pPr>
              <w:pStyle w:val="MeasureTableTextLeftAligned"/>
            </w:pPr>
            <w:r>
              <w:t>Medium</w:t>
            </w:r>
          </w:p>
        </w:tc>
        <w:tc>
          <w:tcPr>
            <w:tcW w:w="1500" w:type="dxa"/>
            <w:gridSpan w:val="2"/>
            <w:tcBorders>
              <w:top w:val="nil"/>
              <w:bottom w:val="nil"/>
            </w:tcBorders>
          </w:tcPr>
          <w:p w14:paraId="42AB0B00" w14:textId="77777777" w:rsidR="006E40C9" w:rsidRDefault="006E40C9">
            <w:pPr>
              <w:pStyle w:val="MeasureTableTextItalic"/>
            </w:pPr>
          </w:p>
        </w:tc>
        <w:tc>
          <w:tcPr>
            <w:tcW w:w="1124" w:type="dxa"/>
            <w:gridSpan w:val="2"/>
            <w:tcBorders>
              <w:top w:val="nil"/>
              <w:bottom w:val="nil"/>
            </w:tcBorders>
          </w:tcPr>
          <w:p w14:paraId="36D1D159" w14:textId="77777777" w:rsidR="006E40C9" w:rsidRDefault="006E40C9">
            <w:pPr>
              <w:pStyle w:val="MeasureTableTextLeftAligned"/>
            </w:pPr>
          </w:p>
        </w:tc>
      </w:tr>
      <w:tr w:rsidR="006E40C9" w14:paraId="6E17D5CB" w14:textId="77777777">
        <w:trPr>
          <w:cantSplit/>
          <w:jc w:val="center"/>
        </w:trPr>
        <w:tc>
          <w:tcPr>
            <w:tcW w:w="1934" w:type="dxa"/>
            <w:gridSpan w:val="2"/>
            <w:tcBorders>
              <w:top w:val="nil"/>
              <w:bottom w:val="nil"/>
            </w:tcBorders>
          </w:tcPr>
          <w:p w14:paraId="35962B9E" w14:textId="77777777" w:rsidR="006E40C9" w:rsidRDefault="006E40C9">
            <w:pPr>
              <w:pStyle w:val="MeasureTableTextItalic"/>
            </w:pPr>
            <w:r>
              <w:t>Commencement date:</w:t>
            </w:r>
          </w:p>
        </w:tc>
        <w:tc>
          <w:tcPr>
            <w:tcW w:w="3179" w:type="dxa"/>
            <w:gridSpan w:val="4"/>
            <w:tcBorders>
              <w:top w:val="nil"/>
              <w:bottom w:val="nil"/>
            </w:tcBorders>
          </w:tcPr>
          <w:p w14:paraId="5D141B85" w14:textId="77777777" w:rsidR="006E40C9" w:rsidRDefault="006E40C9">
            <w:pPr>
              <w:pStyle w:val="MeasureTableTextLeftAligned"/>
            </w:pPr>
            <w:r>
              <w:t>Introduced before 1985</w:t>
            </w:r>
          </w:p>
        </w:tc>
        <w:tc>
          <w:tcPr>
            <w:tcW w:w="1500" w:type="dxa"/>
            <w:gridSpan w:val="2"/>
            <w:tcBorders>
              <w:top w:val="nil"/>
              <w:bottom w:val="nil"/>
            </w:tcBorders>
          </w:tcPr>
          <w:p w14:paraId="6770B653" w14:textId="77777777" w:rsidR="006E40C9" w:rsidRPr="00F32057" w:rsidRDefault="006E40C9">
            <w:pPr>
              <w:pStyle w:val="MeasureTableTextItalic"/>
            </w:pPr>
            <w:r>
              <w:t>Expiry date:</w:t>
            </w:r>
          </w:p>
        </w:tc>
        <w:tc>
          <w:tcPr>
            <w:tcW w:w="1124" w:type="dxa"/>
            <w:gridSpan w:val="2"/>
            <w:tcBorders>
              <w:top w:val="nil"/>
              <w:bottom w:val="nil"/>
            </w:tcBorders>
          </w:tcPr>
          <w:p w14:paraId="6A0F7567" w14:textId="77777777" w:rsidR="006E40C9" w:rsidRPr="00F32057" w:rsidRDefault="006E40C9">
            <w:pPr>
              <w:pStyle w:val="MeasureTableTextLeftAligned"/>
            </w:pPr>
          </w:p>
        </w:tc>
      </w:tr>
      <w:tr w:rsidR="006E40C9" w14:paraId="5AF5FE1D" w14:textId="77777777">
        <w:trPr>
          <w:cantSplit/>
          <w:jc w:val="center"/>
        </w:trPr>
        <w:tc>
          <w:tcPr>
            <w:tcW w:w="1934" w:type="dxa"/>
            <w:gridSpan w:val="2"/>
            <w:tcBorders>
              <w:top w:val="nil"/>
            </w:tcBorders>
          </w:tcPr>
          <w:p w14:paraId="2371C3BC" w14:textId="77777777" w:rsidR="006E40C9" w:rsidRDefault="006E40C9">
            <w:pPr>
              <w:pStyle w:val="MeasureTableTextItalic"/>
            </w:pPr>
            <w:r>
              <w:t>Legislative reference:</w:t>
            </w:r>
          </w:p>
        </w:tc>
        <w:tc>
          <w:tcPr>
            <w:tcW w:w="5803" w:type="dxa"/>
            <w:gridSpan w:val="8"/>
            <w:tcBorders>
              <w:top w:val="nil"/>
            </w:tcBorders>
          </w:tcPr>
          <w:p w14:paraId="5E6EC7DB"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128F and 128FA of the </w:t>
            </w:r>
            <w:r>
              <w:rPr>
                <w:rFonts w:ascii="Arial" w:hAnsi="Arial" w:cs="Arial"/>
                <w:i/>
                <w:iCs/>
                <w:color w:val="000000"/>
                <w:sz w:val="16"/>
                <w:szCs w:val="16"/>
              </w:rPr>
              <w:t>Income Tax Assessment Act 1936</w:t>
            </w:r>
          </w:p>
        </w:tc>
      </w:tr>
    </w:tbl>
    <w:p w14:paraId="2A228B68" w14:textId="77777777" w:rsidR="006E40C9" w:rsidRPr="00540040" w:rsidRDefault="006E40C9" w:rsidP="006E40C9">
      <w:pPr>
        <w:pStyle w:val="MeasureTableHeading"/>
      </w:pPr>
    </w:p>
    <w:p w14:paraId="0A4AEBB4" w14:textId="66582661" w:rsidR="006E40C9" w:rsidRDefault="006E40C9" w:rsidP="006E40C9">
      <w:r>
        <w:t xml:space="preserve">Under the benchmark, withholding tax from interest payments paid to a foreign resident is generally withheld at the rate of 10 per cent. </w:t>
      </w:r>
      <w:r w:rsidRPr="00CC7E00">
        <w:t xml:space="preserve">Certain </w:t>
      </w:r>
      <w:r>
        <w:t>publicly offered debentures</w:t>
      </w:r>
      <w:r>
        <w:fldChar w:fldCharType="begin"/>
      </w:r>
      <w:r>
        <w:instrText xml:space="preserve"> XE "</w:instrText>
      </w:r>
      <w:r w:rsidRPr="008516BE">
        <w:instrText>Debentures</w:instrText>
      </w:r>
      <w:r>
        <w:instrText xml:space="preserve">" </w:instrText>
      </w:r>
      <w:r>
        <w:fldChar w:fldCharType="end"/>
      </w:r>
      <w:r>
        <w:t xml:space="preserve"> and debt interests</w:t>
      </w:r>
      <w:r>
        <w:fldChar w:fldCharType="begin"/>
      </w:r>
      <w:r>
        <w:instrText xml:space="preserve"> XE "</w:instrText>
      </w:r>
      <w:r w:rsidRPr="00A454B5">
        <w:instrText>Debt interests</w:instrText>
      </w:r>
      <w:r>
        <w:instrText xml:space="preserve">" </w:instrText>
      </w:r>
      <w:r>
        <w:fldChar w:fldCharType="end"/>
      </w:r>
      <w:r>
        <w:t xml:space="preserve"> are eligible for an exemption from interest withholding tax, where those debentures and debt interests are issued by a State or Territory, the Commonwealth, a resident Australian company, a non</w:t>
      </w:r>
      <w:r>
        <w:noBreakHyphen/>
        <w:t>resident company operating through a permanent establishment, certain non-resident subsidiaries, or certain unit trusts. The exemption is not available where it involves certain dealings between associated entities.</w:t>
      </w:r>
    </w:p>
    <w:p w14:paraId="77410079" w14:textId="77777777" w:rsidR="006E40C9" w:rsidRDefault="006E40C9" w:rsidP="0003254D">
      <w:pPr>
        <w:pStyle w:val="Heading4"/>
      </w:pPr>
      <w:r>
        <w:t>B12</w:t>
      </w:r>
      <w:r>
        <w:tab/>
        <w:t>Exemption of inbound non-portfolio distributions from income tax</w:t>
      </w:r>
    </w:p>
    <w:p w14:paraId="13BC28FB" w14:textId="2111679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12D1FC" w14:textId="77777777">
        <w:trPr>
          <w:cantSplit/>
          <w:jc w:val="center"/>
        </w:trPr>
        <w:tc>
          <w:tcPr>
            <w:tcW w:w="967" w:type="dxa"/>
            <w:tcBorders>
              <w:top w:val="single" w:sz="2" w:space="0" w:color="auto"/>
              <w:bottom w:val="single" w:sz="2" w:space="0" w:color="auto"/>
            </w:tcBorders>
          </w:tcPr>
          <w:p w14:paraId="347CE4F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6807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0244A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0FE02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17283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6D82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25B11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0759F5" w14:textId="77777777" w:rsidR="006E40C9" w:rsidRDefault="006E40C9">
            <w:pPr>
              <w:pStyle w:val="MeasureTableTextRightAligned"/>
            </w:pPr>
            <w:r>
              <w:t>2027-28</w:t>
            </w:r>
          </w:p>
        </w:tc>
      </w:tr>
      <w:tr w:rsidR="006E40C9" w14:paraId="375B0E3C" w14:textId="77777777">
        <w:trPr>
          <w:cantSplit/>
          <w:jc w:val="center"/>
        </w:trPr>
        <w:tc>
          <w:tcPr>
            <w:tcW w:w="967" w:type="dxa"/>
            <w:tcBorders>
              <w:top w:val="single" w:sz="2" w:space="0" w:color="auto"/>
              <w:bottom w:val="single" w:sz="2" w:space="0" w:color="auto"/>
            </w:tcBorders>
          </w:tcPr>
          <w:p w14:paraId="4C0EA369" w14:textId="77777777" w:rsidR="006E40C9" w:rsidRDefault="006E40C9">
            <w:pPr>
              <w:pStyle w:val="MeasureTableTextRightAligned"/>
            </w:pPr>
            <w:r>
              <w:t>1,000</w:t>
            </w:r>
          </w:p>
        </w:tc>
        <w:tc>
          <w:tcPr>
            <w:tcW w:w="967" w:type="dxa"/>
            <w:tcBorders>
              <w:top w:val="single" w:sz="2" w:space="0" w:color="auto"/>
              <w:bottom w:val="single" w:sz="2" w:space="0" w:color="auto"/>
            </w:tcBorders>
          </w:tcPr>
          <w:p w14:paraId="689FDE84" w14:textId="77777777" w:rsidR="006E40C9" w:rsidRDefault="006E40C9">
            <w:pPr>
              <w:pStyle w:val="MeasureTableTextRightAligned"/>
            </w:pPr>
            <w:r>
              <w:t>1,050</w:t>
            </w:r>
          </w:p>
        </w:tc>
        <w:tc>
          <w:tcPr>
            <w:tcW w:w="967" w:type="dxa"/>
            <w:tcBorders>
              <w:top w:val="single" w:sz="2" w:space="0" w:color="auto"/>
              <w:bottom w:val="single" w:sz="2" w:space="0" w:color="auto"/>
            </w:tcBorders>
            <w:vAlign w:val="bottom"/>
          </w:tcPr>
          <w:p w14:paraId="582852F5" w14:textId="77777777" w:rsidR="006E40C9" w:rsidRDefault="006E40C9">
            <w:pPr>
              <w:pStyle w:val="MeasureTableTextRightAligned"/>
            </w:pPr>
            <w:r>
              <w:t>1,230</w:t>
            </w:r>
          </w:p>
        </w:tc>
        <w:tc>
          <w:tcPr>
            <w:tcW w:w="967" w:type="dxa"/>
            <w:tcBorders>
              <w:top w:val="single" w:sz="2" w:space="0" w:color="auto"/>
              <w:bottom w:val="single" w:sz="2" w:space="0" w:color="auto"/>
            </w:tcBorders>
            <w:vAlign w:val="bottom"/>
          </w:tcPr>
          <w:p w14:paraId="1E035527" w14:textId="77777777" w:rsidR="006E40C9" w:rsidRDefault="006E40C9">
            <w:pPr>
              <w:pStyle w:val="MeasureTableTextRightAligned"/>
            </w:pPr>
            <w:r>
              <w:t>1,160</w:t>
            </w:r>
          </w:p>
        </w:tc>
        <w:tc>
          <w:tcPr>
            <w:tcW w:w="967" w:type="dxa"/>
            <w:tcBorders>
              <w:top w:val="single" w:sz="2" w:space="0" w:color="auto"/>
              <w:bottom w:val="single" w:sz="2" w:space="0" w:color="auto"/>
            </w:tcBorders>
            <w:vAlign w:val="bottom"/>
          </w:tcPr>
          <w:p w14:paraId="00E66BF9" w14:textId="77777777" w:rsidR="006E40C9" w:rsidRDefault="006E40C9">
            <w:pPr>
              <w:pStyle w:val="MeasureTableTextRightAligned"/>
            </w:pPr>
            <w:r>
              <w:t>1,120</w:t>
            </w:r>
          </w:p>
        </w:tc>
        <w:tc>
          <w:tcPr>
            <w:tcW w:w="967" w:type="dxa"/>
            <w:gridSpan w:val="2"/>
            <w:tcBorders>
              <w:top w:val="single" w:sz="2" w:space="0" w:color="auto"/>
              <w:bottom w:val="single" w:sz="2" w:space="0" w:color="auto"/>
            </w:tcBorders>
            <w:vAlign w:val="bottom"/>
          </w:tcPr>
          <w:p w14:paraId="22C8E8C7" w14:textId="77777777" w:rsidR="006E40C9" w:rsidRDefault="006E40C9">
            <w:pPr>
              <w:pStyle w:val="MeasureTableTextRightAligned"/>
            </w:pPr>
            <w:r>
              <w:t>1,130</w:t>
            </w:r>
          </w:p>
        </w:tc>
        <w:tc>
          <w:tcPr>
            <w:tcW w:w="967" w:type="dxa"/>
            <w:gridSpan w:val="2"/>
            <w:tcBorders>
              <w:top w:val="single" w:sz="2" w:space="0" w:color="auto"/>
              <w:bottom w:val="single" w:sz="2" w:space="0" w:color="auto"/>
            </w:tcBorders>
            <w:vAlign w:val="bottom"/>
          </w:tcPr>
          <w:p w14:paraId="1096F26A" w14:textId="77777777" w:rsidR="006E40C9" w:rsidRDefault="006E40C9">
            <w:pPr>
              <w:pStyle w:val="MeasureTableTextRightAligned"/>
            </w:pPr>
            <w:r>
              <w:t>1,130</w:t>
            </w:r>
          </w:p>
        </w:tc>
        <w:tc>
          <w:tcPr>
            <w:tcW w:w="968" w:type="dxa"/>
            <w:tcBorders>
              <w:top w:val="single" w:sz="2" w:space="0" w:color="auto"/>
              <w:bottom w:val="single" w:sz="2" w:space="0" w:color="auto"/>
            </w:tcBorders>
            <w:vAlign w:val="bottom"/>
          </w:tcPr>
          <w:p w14:paraId="09DE7C81" w14:textId="77777777" w:rsidR="006E40C9" w:rsidRDefault="006E40C9">
            <w:pPr>
              <w:pStyle w:val="MeasureTableTextRightAligned"/>
            </w:pPr>
            <w:r>
              <w:t>1,130</w:t>
            </w:r>
          </w:p>
        </w:tc>
      </w:tr>
      <w:tr w:rsidR="006E40C9" w14:paraId="1ED788C7" w14:textId="77777777">
        <w:trPr>
          <w:cantSplit/>
          <w:jc w:val="center"/>
        </w:trPr>
        <w:tc>
          <w:tcPr>
            <w:tcW w:w="1934" w:type="dxa"/>
            <w:gridSpan w:val="2"/>
            <w:tcBorders>
              <w:top w:val="single" w:sz="2" w:space="0" w:color="auto"/>
              <w:bottom w:val="nil"/>
            </w:tcBorders>
          </w:tcPr>
          <w:p w14:paraId="3B3DD9D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DA0A21" w14:textId="77777777" w:rsidR="006E40C9" w:rsidRDefault="006E40C9">
            <w:pPr>
              <w:pStyle w:val="MeasureTableTextLeftAligned"/>
            </w:pPr>
            <w:r>
              <w:t>Exemption</w:t>
            </w:r>
          </w:p>
        </w:tc>
        <w:tc>
          <w:tcPr>
            <w:tcW w:w="1500" w:type="dxa"/>
            <w:gridSpan w:val="2"/>
            <w:tcBorders>
              <w:top w:val="single" w:sz="2" w:space="0" w:color="auto"/>
              <w:bottom w:val="nil"/>
            </w:tcBorders>
          </w:tcPr>
          <w:p w14:paraId="1DC380B6" w14:textId="150DC4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2D8F18" w14:textId="77777777" w:rsidR="006E40C9" w:rsidRDefault="006E40C9">
            <w:pPr>
              <w:pStyle w:val="MeasureTableTextLeftAligned"/>
            </w:pPr>
            <w:r>
              <w:t>B12</w:t>
            </w:r>
          </w:p>
        </w:tc>
      </w:tr>
      <w:tr w:rsidR="006E40C9" w14:paraId="61EBABC9" w14:textId="77777777">
        <w:trPr>
          <w:cantSplit/>
          <w:jc w:val="center"/>
        </w:trPr>
        <w:tc>
          <w:tcPr>
            <w:tcW w:w="1934" w:type="dxa"/>
            <w:gridSpan w:val="2"/>
            <w:tcBorders>
              <w:top w:val="nil"/>
              <w:bottom w:val="nil"/>
            </w:tcBorders>
          </w:tcPr>
          <w:p w14:paraId="4DA6F3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8E825A3" w14:textId="77777777" w:rsidR="006E40C9" w:rsidRPr="00584CA7" w:rsidRDefault="006E40C9">
            <w:pPr>
              <w:pStyle w:val="MeasureTableTextLeftAligned"/>
            </w:pPr>
            <w:r>
              <w:t>Low</w:t>
            </w:r>
          </w:p>
        </w:tc>
        <w:tc>
          <w:tcPr>
            <w:tcW w:w="1500" w:type="dxa"/>
            <w:gridSpan w:val="2"/>
            <w:tcBorders>
              <w:top w:val="nil"/>
              <w:bottom w:val="nil"/>
            </w:tcBorders>
          </w:tcPr>
          <w:p w14:paraId="1CF89896" w14:textId="77777777" w:rsidR="006E40C9" w:rsidRDefault="006E40C9">
            <w:pPr>
              <w:pStyle w:val="MeasureTableTextItalic"/>
            </w:pPr>
          </w:p>
        </w:tc>
        <w:tc>
          <w:tcPr>
            <w:tcW w:w="1124" w:type="dxa"/>
            <w:gridSpan w:val="2"/>
            <w:tcBorders>
              <w:top w:val="nil"/>
              <w:bottom w:val="nil"/>
            </w:tcBorders>
          </w:tcPr>
          <w:p w14:paraId="08027914" w14:textId="77777777" w:rsidR="006E40C9" w:rsidRDefault="006E40C9">
            <w:pPr>
              <w:pStyle w:val="MeasureTableTextLeftAligned"/>
            </w:pPr>
          </w:p>
        </w:tc>
      </w:tr>
      <w:tr w:rsidR="006E40C9" w14:paraId="1A6BE4DA" w14:textId="77777777">
        <w:trPr>
          <w:cantSplit/>
          <w:jc w:val="center"/>
        </w:trPr>
        <w:tc>
          <w:tcPr>
            <w:tcW w:w="1934" w:type="dxa"/>
            <w:gridSpan w:val="2"/>
            <w:tcBorders>
              <w:top w:val="nil"/>
              <w:bottom w:val="nil"/>
            </w:tcBorders>
          </w:tcPr>
          <w:p w14:paraId="292A2EB7" w14:textId="77777777" w:rsidR="006E40C9" w:rsidRDefault="006E40C9">
            <w:pPr>
              <w:pStyle w:val="MeasureTableTextItalic"/>
            </w:pPr>
            <w:r>
              <w:t>Commencement date:</w:t>
            </w:r>
          </w:p>
        </w:tc>
        <w:tc>
          <w:tcPr>
            <w:tcW w:w="3179" w:type="dxa"/>
            <w:gridSpan w:val="4"/>
            <w:tcBorders>
              <w:top w:val="nil"/>
              <w:bottom w:val="nil"/>
            </w:tcBorders>
          </w:tcPr>
          <w:p w14:paraId="524EDD26" w14:textId="77777777" w:rsidR="006E40C9" w:rsidRDefault="006E40C9">
            <w:pPr>
              <w:pStyle w:val="MeasureTableTextLeftAligned"/>
            </w:pPr>
            <w:r>
              <w:t>1991</w:t>
            </w:r>
          </w:p>
        </w:tc>
        <w:tc>
          <w:tcPr>
            <w:tcW w:w="1500" w:type="dxa"/>
            <w:gridSpan w:val="2"/>
            <w:tcBorders>
              <w:top w:val="nil"/>
              <w:bottom w:val="nil"/>
            </w:tcBorders>
          </w:tcPr>
          <w:p w14:paraId="3686DD43" w14:textId="77777777" w:rsidR="006E40C9" w:rsidRPr="00F32057" w:rsidRDefault="006E40C9">
            <w:pPr>
              <w:pStyle w:val="MeasureTableTextItalic"/>
            </w:pPr>
            <w:r>
              <w:t>Expiry date:</w:t>
            </w:r>
          </w:p>
        </w:tc>
        <w:tc>
          <w:tcPr>
            <w:tcW w:w="1124" w:type="dxa"/>
            <w:gridSpan w:val="2"/>
            <w:tcBorders>
              <w:top w:val="nil"/>
              <w:bottom w:val="nil"/>
            </w:tcBorders>
          </w:tcPr>
          <w:p w14:paraId="6EE320BD" w14:textId="77777777" w:rsidR="006E40C9" w:rsidRPr="00F32057" w:rsidRDefault="006E40C9">
            <w:pPr>
              <w:pStyle w:val="MeasureTableTextLeftAligned"/>
            </w:pPr>
          </w:p>
        </w:tc>
      </w:tr>
      <w:tr w:rsidR="006E40C9" w14:paraId="4F6E0C00" w14:textId="77777777">
        <w:trPr>
          <w:cantSplit/>
          <w:jc w:val="center"/>
        </w:trPr>
        <w:tc>
          <w:tcPr>
            <w:tcW w:w="1934" w:type="dxa"/>
            <w:gridSpan w:val="2"/>
            <w:tcBorders>
              <w:top w:val="nil"/>
            </w:tcBorders>
          </w:tcPr>
          <w:p w14:paraId="38375224" w14:textId="77777777" w:rsidR="006E40C9" w:rsidRDefault="006E40C9">
            <w:pPr>
              <w:pStyle w:val="MeasureTableTextItalic"/>
            </w:pPr>
            <w:r>
              <w:t>Legislative reference:</w:t>
            </w:r>
          </w:p>
        </w:tc>
        <w:tc>
          <w:tcPr>
            <w:tcW w:w="5803" w:type="dxa"/>
            <w:gridSpan w:val="8"/>
            <w:tcBorders>
              <w:top w:val="nil"/>
            </w:tcBorders>
          </w:tcPr>
          <w:p w14:paraId="3D570BD7"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Section 768-5 of the Income Tax Assessment Act 1997</w:t>
            </w:r>
          </w:p>
        </w:tc>
      </w:tr>
    </w:tbl>
    <w:p w14:paraId="4BCF2E1F" w14:textId="77777777" w:rsidR="006E40C9" w:rsidRPr="00540040" w:rsidRDefault="006E40C9" w:rsidP="006E40C9">
      <w:pPr>
        <w:pStyle w:val="MeasureTableHeading"/>
      </w:pPr>
    </w:p>
    <w:p w14:paraId="66293819" w14:textId="3B711647" w:rsidR="006E40C9" w:rsidRDefault="006E40C9" w:rsidP="006E40C9">
      <w:r>
        <w:t>N</w:t>
      </w:r>
      <w:r w:rsidRPr="005729A8">
        <w:t>on</w:t>
      </w:r>
      <w:r>
        <w:noBreakHyphen/>
      </w:r>
      <w:r w:rsidRPr="005729A8">
        <w:t xml:space="preserve">portfolio </w:t>
      </w:r>
      <w:r>
        <w:t>distributions</w:t>
      </w:r>
      <w:r w:rsidRPr="005729A8">
        <w:t xml:space="preserve"> are</w:t>
      </w:r>
      <w:r>
        <w:t xml:space="preserve"> distributions paid to a corporate tax entity where that entity has a 10 per cent or greater participation interest in the company paying the distribution. These distributions</w:t>
      </w:r>
      <w:r w:rsidRPr="005729A8">
        <w:t xml:space="preserve"> </w:t>
      </w:r>
      <w:r>
        <w:t>are</w:t>
      </w:r>
      <w:r w:rsidRPr="005729A8">
        <w:t xml:space="preserve"> exempt from income tax where they are paid to an Australian resident </w:t>
      </w:r>
      <w:r>
        <w:t>corporate tax entity</w:t>
      </w:r>
      <w:r w:rsidRPr="005729A8">
        <w:t xml:space="preserve"> by a company resident in a foreign country</w:t>
      </w:r>
      <w:r>
        <w:t>, to improve the competitiveness of Australian corporate tax entities with interests in offshore companies</w:t>
      </w:r>
      <w:r w:rsidRPr="005729A8">
        <w:t>.</w:t>
      </w:r>
    </w:p>
    <w:p w14:paraId="5659F2F1" w14:textId="77777777" w:rsidR="006E40C9" w:rsidRDefault="006E40C9" w:rsidP="006E40C9">
      <w:r>
        <w:t>The benchmark tax treatment is that such distributions</w:t>
      </w:r>
      <w:r w:rsidRPr="005729A8">
        <w:t xml:space="preserve"> </w:t>
      </w:r>
      <w:r>
        <w:t>would normally be included in a recipient’s assessable income.</w:t>
      </w:r>
    </w:p>
    <w:p w14:paraId="53C9FBEA" w14:textId="77777777" w:rsidR="006E40C9" w:rsidRDefault="006E40C9" w:rsidP="0003254D">
      <w:pPr>
        <w:pStyle w:val="Heading4"/>
      </w:pPr>
      <w:r>
        <w:t>B13</w:t>
      </w:r>
      <w:r>
        <w:tab/>
        <w:t>Exemptions for the thin capitalisation regime</w:t>
      </w:r>
    </w:p>
    <w:p w14:paraId="06D21D39" w14:textId="0F9D975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C3BD06" w14:textId="77777777">
        <w:trPr>
          <w:cantSplit/>
          <w:jc w:val="center"/>
        </w:trPr>
        <w:tc>
          <w:tcPr>
            <w:tcW w:w="967" w:type="dxa"/>
            <w:tcBorders>
              <w:top w:val="single" w:sz="2" w:space="0" w:color="auto"/>
              <w:bottom w:val="single" w:sz="2" w:space="0" w:color="auto"/>
            </w:tcBorders>
          </w:tcPr>
          <w:p w14:paraId="45B7C5A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27AA5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BE5D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2793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5101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BAA56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67A8C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C182CE" w14:textId="77777777" w:rsidR="006E40C9" w:rsidRDefault="006E40C9">
            <w:pPr>
              <w:pStyle w:val="MeasureTableTextRightAligned"/>
            </w:pPr>
            <w:r>
              <w:t>2027-28</w:t>
            </w:r>
          </w:p>
        </w:tc>
      </w:tr>
      <w:tr w:rsidR="006E40C9" w14:paraId="2238B1CA" w14:textId="77777777">
        <w:trPr>
          <w:cantSplit/>
          <w:jc w:val="center"/>
        </w:trPr>
        <w:tc>
          <w:tcPr>
            <w:tcW w:w="967" w:type="dxa"/>
            <w:tcBorders>
              <w:top w:val="single" w:sz="2" w:space="0" w:color="auto"/>
              <w:bottom w:val="single" w:sz="2" w:space="0" w:color="auto"/>
            </w:tcBorders>
          </w:tcPr>
          <w:p w14:paraId="7337851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FAA5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BECF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398C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D3F40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462CC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2FB96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4E8CE21" w14:textId="77777777" w:rsidR="006E40C9" w:rsidRDefault="006E40C9">
            <w:pPr>
              <w:pStyle w:val="MeasureTableTextRightAligned"/>
            </w:pPr>
            <w:r>
              <w:t>*</w:t>
            </w:r>
          </w:p>
        </w:tc>
      </w:tr>
      <w:tr w:rsidR="006E40C9" w14:paraId="0E5BF520" w14:textId="77777777">
        <w:trPr>
          <w:cantSplit/>
          <w:jc w:val="center"/>
        </w:trPr>
        <w:tc>
          <w:tcPr>
            <w:tcW w:w="1934" w:type="dxa"/>
            <w:gridSpan w:val="2"/>
            <w:tcBorders>
              <w:top w:val="single" w:sz="2" w:space="0" w:color="auto"/>
              <w:bottom w:val="nil"/>
            </w:tcBorders>
          </w:tcPr>
          <w:p w14:paraId="7409582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5873B0A" w14:textId="77777777" w:rsidR="006E40C9" w:rsidRDefault="006E40C9">
            <w:pPr>
              <w:pStyle w:val="MeasureTableTextLeftAligned"/>
            </w:pPr>
            <w:r>
              <w:t>Exemption</w:t>
            </w:r>
          </w:p>
        </w:tc>
        <w:tc>
          <w:tcPr>
            <w:tcW w:w="1500" w:type="dxa"/>
            <w:gridSpan w:val="2"/>
            <w:tcBorders>
              <w:top w:val="single" w:sz="2" w:space="0" w:color="auto"/>
              <w:bottom w:val="nil"/>
            </w:tcBorders>
          </w:tcPr>
          <w:p w14:paraId="4FF0C014" w14:textId="4BA0086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205AA1D" w14:textId="77777777" w:rsidR="006E40C9" w:rsidRDefault="006E40C9">
            <w:pPr>
              <w:pStyle w:val="MeasureTableTextLeftAligned"/>
            </w:pPr>
            <w:r>
              <w:t>B16</w:t>
            </w:r>
          </w:p>
        </w:tc>
      </w:tr>
      <w:tr w:rsidR="006E40C9" w14:paraId="6B78CFD4" w14:textId="77777777">
        <w:trPr>
          <w:cantSplit/>
          <w:jc w:val="center"/>
        </w:trPr>
        <w:tc>
          <w:tcPr>
            <w:tcW w:w="1934" w:type="dxa"/>
            <w:gridSpan w:val="2"/>
            <w:tcBorders>
              <w:top w:val="nil"/>
              <w:bottom w:val="nil"/>
            </w:tcBorders>
          </w:tcPr>
          <w:p w14:paraId="78D797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D26F29" w14:textId="77777777" w:rsidR="006E40C9" w:rsidRPr="00584CA7" w:rsidRDefault="006E40C9">
            <w:pPr>
              <w:pStyle w:val="MeasureTableTextLeftAligned"/>
            </w:pPr>
            <w:r>
              <w:t>Not Applicable</w:t>
            </w:r>
          </w:p>
        </w:tc>
        <w:tc>
          <w:tcPr>
            <w:tcW w:w="1500" w:type="dxa"/>
            <w:gridSpan w:val="2"/>
            <w:tcBorders>
              <w:top w:val="nil"/>
              <w:bottom w:val="nil"/>
            </w:tcBorders>
          </w:tcPr>
          <w:p w14:paraId="00FF2395" w14:textId="77777777" w:rsidR="006E40C9" w:rsidRDefault="006E40C9">
            <w:pPr>
              <w:pStyle w:val="MeasureTableTextItalic"/>
            </w:pPr>
            <w:r>
              <w:t>* Category</w:t>
            </w:r>
          </w:p>
        </w:tc>
        <w:tc>
          <w:tcPr>
            <w:tcW w:w="1124" w:type="dxa"/>
            <w:gridSpan w:val="2"/>
            <w:tcBorders>
              <w:top w:val="nil"/>
              <w:bottom w:val="nil"/>
            </w:tcBorders>
          </w:tcPr>
          <w:p w14:paraId="5704BAA2" w14:textId="77777777" w:rsidR="006E40C9" w:rsidRDefault="006E40C9">
            <w:pPr>
              <w:pStyle w:val="MeasureTableTextLeftAligned"/>
            </w:pPr>
            <w:r>
              <w:t>2+</w:t>
            </w:r>
          </w:p>
        </w:tc>
      </w:tr>
      <w:tr w:rsidR="006E40C9" w14:paraId="0C1FC588" w14:textId="77777777">
        <w:trPr>
          <w:cantSplit/>
          <w:jc w:val="center"/>
        </w:trPr>
        <w:tc>
          <w:tcPr>
            <w:tcW w:w="1934" w:type="dxa"/>
            <w:gridSpan w:val="2"/>
            <w:tcBorders>
              <w:top w:val="nil"/>
              <w:bottom w:val="nil"/>
            </w:tcBorders>
          </w:tcPr>
          <w:p w14:paraId="14C9F633" w14:textId="77777777" w:rsidR="006E40C9" w:rsidRDefault="006E40C9">
            <w:pPr>
              <w:pStyle w:val="MeasureTableTextItalic"/>
            </w:pPr>
            <w:r>
              <w:t>Commencement date:</w:t>
            </w:r>
          </w:p>
        </w:tc>
        <w:tc>
          <w:tcPr>
            <w:tcW w:w="3179" w:type="dxa"/>
            <w:gridSpan w:val="4"/>
            <w:tcBorders>
              <w:top w:val="nil"/>
              <w:bottom w:val="nil"/>
            </w:tcBorders>
          </w:tcPr>
          <w:p w14:paraId="22F6B182" w14:textId="77777777" w:rsidR="006E40C9" w:rsidRDefault="006E40C9">
            <w:pPr>
              <w:pStyle w:val="MeasureTableTextLeftAligned"/>
            </w:pPr>
            <w:r>
              <w:t>2001</w:t>
            </w:r>
          </w:p>
        </w:tc>
        <w:tc>
          <w:tcPr>
            <w:tcW w:w="1500" w:type="dxa"/>
            <w:gridSpan w:val="2"/>
            <w:tcBorders>
              <w:top w:val="nil"/>
              <w:bottom w:val="nil"/>
            </w:tcBorders>
          </w:tcPr>
          <w:p w14:paraId="6D049DCB" w14:textId="77777777" w:rsidR="006E40C9" w:rsidRPr="00F32057" w:rsidRDefault="006E40C9">
            <w:pPr>
              <w:pStyle w:val="MeasureTableTextItalic"/>
            </w:pPr>
            <w:r>
              <w:t>Expiry date:</w:t>
            </w:r>
          </w:p>
        </w:tc>
        <w:tc>
          <w:tcPr>
            <w:tcW w:w="1124" w:type="dxa"/>
            <w:gridSpan w:val="2"/>
            <w:tcBorders>
              <w:top w:val="nil"/>
              <w:bottom w:val="nil"/>
            </w:tcBorders>
          </w:tcPr>
          <w:p w14:paraId="65265F38" w14:textId="77777777" w:rsidR="006E40C9" w:rsidRPr="00F32057" w:rsidRDefault="006E40C9">
            <w:pPr>
              <w:pStyle w:val="MeasureTableTextLeftAligned"/>
            </w:pPr>
          </w:p>
        </w:tc>
      </w:tr>
      <w:tr w:rsidR="006E40C9" w14:paraId="72CBBA78" w14:textId="77777777">
        <w:trPr>
          <w:cantSplit/>
          <w:jc w:val="center"/>
        </w:trPr>
        <w:tc>
          <w:tcPr>
            <w:tcW w:w="1934" w:type="dxa"/>
            <w:gridSpan w:val="2"/>
            <w:tcBorders>
              <w:top w:val="nil"/>
            </w:tcBorders>
          </w:tcPr>
          <w:p w14:paraId="39E9B23F" w14:textId="77777777" w:rsidR="006E40C9" w:rsidRDefault="006E40C9">
            <w:pPr>
              <w:pStyle w:val="MeasureTableTextItalic"/>
            </w:pPr>
            <w:r>
              <w:t>Legislative reference:</w:t>
            </w:r>
          </w:p>
        </w:tc>
        <w:tc>
          <w:tcPr>
            <w:tcW w:w="5803" w:type="dxa"/>
            <w:gridSpan w:val="8"/>
            <w:tcBorders>
              <w:top w:val="nil"/>
            </w:tcBorders>
          </w:tcPr>
          <w:p w14:paraId="0EBFE548" w14:textId="599DD8D3" w:rsidR="006E40C9" w:rsidRPr="00F32057" w:rsidRDefault="006E40C9" w:rsidP="00796C9D">
            <w:pPr>
              <w:widowControl w:val="0"/>
              <w:autoSpaceDE w:val="0"/>
              <w:autoSpaceDN w:val="0"/>
              <w:adjustRightInd w:val="0"/>
              <w:spacing w:line="252" w:lineRule="auto"/>
            </w:pPr>
            <w:r>
              <w:rPr>
                <w:rFonts w:ascii="Arial" w:hAnsi="Arial" w:cs="Arial"/>
                <w:color w:val="000000"/>
                <w:sz w:val="16"/>
                <w:szCs w:val="16"/>
              </w:rPr>
              <w:t xml:space="preserve">Sections 820-32, 820-35, 820-37, 820-39 and Subdivision 820-EAA of the </w:t>
            </w:r>
            <w:r>
              <w:rPr>
                <w:rFonts w:ascii="Arial" w:hAnsi="Arial" w:cs="Arial"/>
                <w:i/>
                <w:iCs/>
                <w:color w:val="000000"/>
                <w:sz w:val="16"/>
                <w:szCs w:val="16"/>
              </w:rPr>
              <w:t>Income Tax Assessment Act 1997</w:t>
            </w:r>
          </w:p>
        </w:tc>
      </w:tr>
    </w:tbl>
    <w:p w14:paraId="0CBD7A18" w14:textId="77777777" w:rsidR="006E40C9" w:rsidRPr="00540040" w:rsidRDefault="006E40C9" w:rsidP="006E40C9">
      <w:pPr>
        <w:pStyle w:val="MeasureTableHeading"/>
      </w:pPr>
    </w:p>
    <w:p w14:paraId="4535B4CD" w14:textId="47237903" w:rsidR="006E40C9" w:rsidRDefault="006E40C9" w:rsidP="006E40C9">
      <w:r>
        <w:t>The thin capitalisation regime</w:t>
      </w:r>
      <w:r>
        <w:fldChar w:fldCharType="begin"/>
      </w:r>
      <w:r>
        <w:instrText xml:space="preserve"> XE “Thin capitalisation regime” </w:instrText>
      </w:r>
      <w:r>
        <w:fldChar w:fldCharType="end"/>
      </w:r>
      <w:r>
        <w:t xml:space="preserve"> is an integrity measure designed to ensure Australian and foreign owned multinational entities do not allocate an excessive amount of debt to their Australian operations. The thin capitalisation rules were amended from 1 July 2023 to introduce new earnings-based tests for certain classes of entities, replacing the previous asset-based rules. A new third party debt test also replaced the previous arm’s length debt test. From 1 July 2024, new debt deduction creation rules apply to limit debt creation schemes. </w:t>
      </w:r>
    </w:p>
    <w:p w14:paraId="3865FB42" w14:textId="77777777" w:rsidR="006E40C9" w:rsidRDefault="006E40C9" w:rsidP="006E40C9">
      <w:r>
        <w:t xml:space="preserve">Under the benchmark, the thin capitalisation regime applies to all inward and outward investing entities. However, certain exemptions apply, which differ between the thin capitalisation tests and debt deduction creation rules. </w:t>
      </w:r>
    </w:p>
    <w:p w14:paraId="3B64E433" w14:textId="3C8D0156" w:rsidR="006E40C9" w:rsidRDefault="006E40C9" w:rsidP="006E40C9">
      <w:r>
        <w:t xml:space="preserve">Entities will not have debt deductions disallowed under the thin capitalisation regime if their debt deductions and those of their associate entities do not exceed the threshold amount of $2 million. A similar exemption applies to certain insolvency-remote special purpose entities. </w:t>
      </w:r>
    </w:p>
    <w:p w14:paraId="28934E79" w14:textId="77777777" w:rsidR="006E40C9" w:rsidRDefault="006E40C9" w:rsidP="006E40C9">
      <w:pPr>
        <w:rPr>
          <w14:ligatures w14:val="standardContextual"/>
        </w:rPr>
      </w:pPr>
      <w:r>
        <w:t>Outward investing entities (which now includes certain general class investors) will not have debt deductions disallowed under the thin capitalisation tests if at least 90 per cent of their assets, together with the assets of their associates, are Australian assets. A similar exemption applies to private and domestic use assets and non-debt liabilities from the thin capitalisation tests. However, these entities and assets are subject to the debt deduction creation rules.</w:t>
      </w:r>
    </w:p>
    <w:p w14:paraId="3636388C" w14:textId="2FF9493F" w:rsidR="006E40C9" w:rsidRDefault="006E40C9" w:rsidP="006E40C9">
      <w:r>
        <w:t xml:space="preserve">Australian plantation forestry entities, authorised deposit-taking institutions and special purpose entities are excluded from the debt deduction creation rules, but not the thin capitalisation tests. </w:t>
      </w:r>
    </w:p>
    <w:p w14:paraId="59241C5D" w14:textId="69E35205" w:rsidR="006E40C9" w:rsidRDefault="006E40C9" w:rsidP="006E40C9">
      <w:r>
        <w:t>Australian plantation forestry entities can apply the previous thin capitalisation regime.</w:t>
      </w:r>
    </w:p>
    <w:p w14:paraId="5960FCE4" w14:textId="77777777" w:rsidR="006E40C9" w:rsidRDefault="006E40C9" w:rsidP="0003254D">
      <w:pPr>
        <w:pStyle w:val="Heading4"/>
      </w:pPr>
      <w:r>
        <w:t>B14</w:t>
      </w:r>
      <w:r>
        <w:tab/>
        <w:t>Global minimum tax and domestic minimum tax</w:t>
      </w:r>
    </w:p>
    <w:p w14:paraId="78D2A040" w14:textId="22C6AE4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46966CC" w14:textId="77777777">
        <w:trPr>
          <w:cantSplit/>
          <w:jc w:val="center"/>
        </w:trPr>
        <w:tc>
          <w:tcPr>
            <w:tcW w:w="967" w:type="dxa"/>
            <w:tcBorders>
              <w:top w:val="single" w:sz="2" w:space="0" w:color="auto"/>
              <w:bottom w:val="single" w:sz="2" w:space="0" w:color="auto"/>
            </w:tcBorders>
          </w:tcPr>
          <w:p w14:paraId="435AA6E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C16B8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4790D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E8D07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72744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E2E7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3E3D65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A21E18" w14:textId="77777777" w:rsidR="006E40C9" w:rsidRDefault="006E40C9">
            <w:pPr>
              <w:pStyle w:val="MeasureTableTextRightAligned"/>
            </w:pPr>
            <w:r>
              <w:t>2027-28</w:t>
            </w:r>
          </w:p>
        </w:tc>
      </w:tr>
      <w:tr w:rsidR="006E40C9" w14:paraId="3800ABB9" w14:textId="77777777">
        <w:trPr>
          <w:cantSplit/>
          <w:jc w:val="center"/>
        </w:trPr>
        <w:tc>
          <w:tcPr>
            <w:tcW w:w="967" w:type="dxa"/>
            <w:tcBorders>
              <w:top w:val="single" w:sz="2" w:space="0" w:color="auto"/>
              <w:bottom w:val="single" w:sz="2" w:space="0" w:color="auto"/>
            </w:tcBorders>
          </w:tcPr>
          <w:p w14:paraId="7A995F0C"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E03F6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EC34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B9DC6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4A07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148B81"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203894AE" w14:textId="77777777" w:rsidR="006E40C9" w:rsidRDefault="006E40C9">
            <w:pPr>
              <w:pStyle w:val="MeasureTableTextRightAligned"/>
            </w:pPr>
            <w:r>
              <w:t>-210</w:t>
            </w:r>
          </w:p>
        </w:tc>
        <w:tc>
          <w:tcPr>
            <w:tcW w:w="968" w:type="dxa"/>
            <w:tcBorders>
              <w:top w:val="single" w:sz="2" w:space="0" w:color="auto"/>
              <w:bottom w:val="single" w:sz="2" w:space="0" w:color="auto"/>
            </w:tcBorders>
            <w:vAlign w:val="bottom"/>
          </w:tcPr>
          <w:p w14:paraId="35AC8F42" w14:textId="77777777" w:rsidR="006E40C9" w:rsidRDefault="006E40C9">
            <w:pPr>
              <w:pStyle w:val="MeasureTableTextRightAligned"/>
            </w:pPr>
            <w:r>
              <w:t>-200</w:t>
            </w:r>
          </w:p>
        </w:tc>
      </w:tr>
      <w:tr w:rsidR="006E40C9" w14:paraId="3BBD5CDB" w14:textId="77777777">
        <w:trPr>
          <w:cantSplit/>
          <w:jc w:val="center"/>
        </w:trPr>
        <w:tc>
          <w:tcPr>
            <w:tcW w:w="1934" w:type="dxa"/>
            <w:gridSpan w:val="2"/>
            <w:tcBorders>
              <w:top w:val="single" w:sz="2" w:space="0" w:color="auto"/>
              <w:bottom w:val="nil"/>
            </w:tcBorders>
          </w:tcPr>
          <w:p w14:paraId="0CC89C6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248D69"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2051A9E5" w14:textId="4F22061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EF8B3B" w14:textId="77777777" w:rsidR="006E40C9" w:rsidRDefault="006E40C9">
            <w:pPr>
              <w:pStyle w:val="MeasureTableTextLeftAligned"/>
            </w:pPr>
            <w:r>
              <w:t>B13</w:t>
            </w:r>
          </w:p>
        </w:tc>
      </w:tr>
      <w:tr w:rsidR="006E40C9" w14:paraId="03783DE2" w14:textId="77777777">
        <w:trPr>
          <w:cantSplit/>
          <w:jc w:val="center"/>
        </w:trPr>
        <w:tc>
          <w:tcPr>
            <w:tcW w:w="1934" w:type="dxa"/>
            <w:gridSpan w:val="2"/>
            <w:tcBorders>
              <w:top w:val="nil"/>
              <w:bottom w:val="nil"/>
            </w:tcBorders>
          </w:tcPr>
          <w:p w14:paraId="6AA0124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EAFE86" w14:textId="77777777" w:rsidR="006E40C9" w:rsidRPr="00584CA7" w:rsidRDefault="006E40C9">
            <w:pPr>
              <w:pStyle w:val="MeasureTableTextLeftAligned"/>
            </w:pPr>
            <w:r>
              <w:t>Low</w:t>
            </w:r>
          </w:p>
        </w:tc>
        <w:tc>
          <w:tcPr>
            <w:tcW w:w="1500" w:type="dxa"/>
            <w:gridSpan w:val="2"/>
            <w:tcBorders>
              <w:top w:val="nil"/>
              <w:bottom w:val="nil"/>
            </w:tcBorders>
          </w:tcPr>
          <w:p w14:paraId="67331965" w14:textId="77777777" w:rsidR="006E40C9" w:rsidRDefault="006E40C9">
            <w:pPr>
              <w:pStyle w:val="MeasureTableTextItalic"/>
            </w:pPr>
          </w:p>
        </w:tc>
        <w:tc>
          <w:tcPr>
            <w:tcW w:w="1124" w:type="dxa"/>
            <w:gridSpan w:val="2"/>
            <w:tcBorders>
              <w:top w:val="nil"/>
              <w:bottom w:val="nil"/>
            </w:tcBorders>
          </w:tcPr>
          <w:p w14:paraId="2E6212CE" w14:textId="77777777" w:rsidR="006E40C9" w:rsidRDefault="006E40C9">
            <w:pPr>
              <w:pStyle w:val="MeasureTableTextLeftAligned"/>
            </w:pPr>
          </w:p>
        </w:tc>
      </w:tr>
      <w:tr w:rsidR="006E40C9" w14:paraId="09AE0128" w14:textId="77777777">
        <w:trPr>
          <w:cantSplit/>
          <w:jc w:val="center"/>
        </w:trPr>
        <w:tc>
          <w:tcPr>
            <w:tcW w:w="1934" w:type="dxa"/>
            <w:gridSpan w:val="2"/>
            <w:tcBorders>
              <w:top w:val="nil"/>
              <w:bottom w:val="nil"/>
            </w:tcBorders>
          </w:tcPr>
          <w:p w14:paraId="36EAC0CC" w14:textId="77777777" w:rsidR="006E40C9" w:rsidRDefault="006E40C9">
            <w:pPr>
              <w:pStyle w:val="MeasureTableTextItalic"/>
            </w:pPr>
            <w:r>
              <w:t>Commencement date:</w:t>
            </w:r>
          </w:p>
        </w:tc>
        <w:tc>
          <w:tcPr>
            <w:tcW w:w="3179" w:type="dxa"/>
            <w:gridSpan w:val="4"/>
            <w:tcBorders>
              <w:top w:val="nil"/>
              <w:bottom w:val="nil"/>
            </w:tcBorders>
          </w:tcPr>
          <w:p w14:paraId="66F326B4" w14:textId="77777777" w:rsidR="006E40C9" w:rsidRDefault="006E40C9">
            <w:pPr>
              <w:pStyle w:val="MeasureTableTextLeftAligned"/>
            </w:pPr>
            <w:r>
              <w:t>1 January 2024</w:t>
            </w:r>
          </w:p>
        </w:tc>
        <w:tc>
          <w:tcPr>
            <w:tcW w:w="1500" w:type="dxa"/>
            <w:gridSpan w:val="2"/>
            <w:tcBorders>
              <w:top w:val="nil"/>
              <w:bottom w:val="nil"/>
            </w:tcBorders>
          </w:tcPr>
          <w:p w14:paraId="1920A401" w14:textId="77777777" w:rsidR="006E40C9" w:rsidRPr="00F32057" w:rsidRDefault="006E40C9">
            <w:pPr>
              <w:pStyle w:val="MeasureTableTextItalic"/>
            </w:pPr>
            <w:r>
              <w:t>Expiry date:</w:t>
            </w:r>
          </w:p>
        </w:tc>
        <w:tc>
          <w:tcPr>
            <w:tcW w:w="1124" w:type="dxa"/>
            <w:gridSpan w:val="2"/>
            <w:tcBorders>
              <w:top w:val="nil"/>
              <w:bottom w:val="nil"/>
            </w:tcBorders>
          </w:tcPr>
          <w:p w14:paraId="14408153" w14:textId="77777777" w:rsidR="006E40C9" w:rsidRPr="00F32057" w:rsidRDefault="006E40C9">
            <w:pPr>
              <w:pStyle w:val="MeasureTableTextLeftAligned"/>
            </w:pPr>
          </w:p>
        </w:tc>
      </w:tr>
      <w:tr w:rsidR="006E40C9" w14:paraId="1EDA382B" w14:textId="77777777">
        <w:trPr>
          <w:cantSplit/>
          <w:jc w:val="center"/>
        </w:trPr>
        <w:tc>
          <w:tcPr>
            <w:tcW w:w="1934" w:type="dxa"/>
            <w:gridSpan w:val="2"/>
            <w:tcBorders>
              <w:top w:val="nil"/>
            </w:tcBorders>
          </w:tcPr>
          <w:p w14:paraId="736F1141" w14:textId="77777777" w:rsidR="006E40C9" w:rsidRDefault="006E40C9">
            <w:pPr>
              <w:pStyle w:val="MeasureTableTextItalic"/>
            </w:pPr>
            <w:r>
              <w:t>Legislative reference:</w:t>
            </w:r>
          </w:p>
        </w:tc>
        <w:tc>
          <w:tcPr>
            <w:tcW w:w="5803" w:type="dxa"/>
            <w:gridSpan w:val="8"/>
            <w:tcBorders>
              <w:top w:val="nil"/>
            </w:tcBorders>
          </w:tcPr>
          <w:p w14:paraId="298E3DFD" w14:textId="4B0E0A1F" w:rsidR="00EE4D51" w:rsidRPr="00EA2396" w:rsidRDefault="00EE4D51" w:rsidP="00EE4D51">
            <w:pPr>
              <w:widowControl w:val="0"/>
              <w:autoSpaceDE w:val="0"/>
              <w:autoSpaceDN w:val="0"/>
              <w:adjustRightInd w:val="0"/>
              <w:spacing w:after="0" w:line="240" w:lineRule="auto"/>
              <w:rPr>
                <w:rFonts w:ascii="Arial" w:hAnsi="Arial" w:cs="Arial"/>
                <w:sz w:val="16"/>
                <w:szCs w:val="16"/>
              </w:rPr>
            </w:pPr>
            <w:r w:rsidRPr="00713799">
              <w:rPr>
                <w:rFonts w:ascii="Arial" w:hAnsi="Arial" w:cs="Arial"/>
                <w:i/>
                <w:iCs/>
                <w:sz w:val="16"/>
                <w:szCs w:val="16"/>
              </w:rPr>
              <w:t>Taxation (Multinational</w:t>
            </w:r>
            <w:r w:rsidR="000A4999">
              <w:rPr>
                <w:rFonts w:ascii="Arial" w:hAnsi="Arial" w:cs="Arial"/>
                <w:i/>
                <w:iCs/>
                <w:sz w:val="16"/>
                <w:szCs w:val="16"/>
              </w:rPr>
              <w:t>–</w:t>
            </w:r>
            <w:r w:rsidRPr="00713799">
              <w:rPr>
                <w:rFonts w:ascii="Arial" w:hAnsi="Arial" w:cs="Arial"/>
                <w:i/>
                <w:iCs/>
                <w:sz w:val="16"/>
                <w:szCs w:val="16"/>
              </w:rPr>
              <w:t>Global and Domestic Minimum Tax) Act 2024</w:t>
            </w:r>
            <w:r w:rsidRPr="4F896351">
              <w:rPr>
                <w:rFonts w:ascii="Arial" w:hAnsi="Arial" w:cs="Arial"/>
                <w:i/>
                <w:iCs/>
                <w:sz w:val="16"/>
                <w:szCs w:val="16"/>
              </w:rPr>
              <w:t>;</w:t>
            </w:r>
          </w:p>
          <w:p w14:paraId="50ECE389" w14:textId="77777777" w:rsidR="00EE4D51" w:rsidRPr="00713799" w:rsidRDefault="00EE4D51" w:rsidP="00EE4D51">
            <w:pPr>
              <w:widowControl w:val="0"/>
              <w:autoSpaceDE w:val="0"/>
              <w:autoSpaceDN w:val="0"/>
              <w:adjustRightInd w:val="0"/>
              <w:spacing w:after="0" w:line="240" w:lineRule="auto"/>
              <w:rPr>
                <w:rFonts w:ascii="Arial" w:hAnsi="Arial" w:cs="Arial"/>
                <w:i/>
                <w:iCs/>
                <w:sz w:val="16"/>
                <w:szCs w:val="16"/>
              </w:rPr>
            </w:pPr>
            <w:r w:rsidRPr="795A2C1E">
              <w:rPr>
                <w:rFonts w:ascii="Arial" w:hAnsi="Arial" w:cs="Arial"/>
                <w:i/>
                <w:iCs/>
                <w:sz w:val="16"/>
                <w:szCs w:val="16"/>
              </w:rPr>
              <w:t xml:space="preserve">Taxation (Multinational – Global and Domestic Minimum Tax) </w:t>
            </w:r>
            <w:r w:rsidRPr="7968B9CF">
              <w:rPr>
                <w:rFonts w:ascii="Arial" w:hAnsi="Arial" w:cs="Arial"/>
                <w:i/>
                <w:iCs/>
                <w:sz w:val="16"/>
                <w:szCs w:val="16"/>
              </w:rPr>
              <w:t>Imposition Act</w:t>
            </w:r>
            <w:r w:rsidRPr="795A2C1E">
              <w:rPr>
                <w:rFonts w:ascii="Arial" w:hAnsi="Arial" w:cs="Arial"/>
                <w:i/>
                <w:iCs/>
                <w:sz w:val="16"/>
                <w:szCs w:val="16"/>
              </w:rPr>
              <w:t xml:space="preserve"> 2024</w:t>
            </w:r>
            <w:r w:rsidRPr="4F896351">
              <w:rPr>
                <w:rFonts w:ascii="Arial" w:hAnsi="Arial" w:cs="Arial"/>
                <w:i/>
                <w:iCs/>
                <w:sz w:val="16"/>
                <w:szCs w:val="16"/>
              </w:rPr>
              <w:t>;</w:t>
            </w:r>
          </w:p>
          <w:p w14:paraId="2AE1D1B7" w14:textId="77777777" w:rsidR="00EE4D51" w:rsidRPr="00713799" w:rsidRDefault="00EE4D51" w:rsidP="00EE4D51">
            <w:pPr>
              <w:widowControl w:val="0"/>
              <w:spacing w:after="0" w:line="240" w:lineRule="auto"/>
              <w:rPr>
                <w:rFonts w:ascii="Arial" w:hAnsi="Arial" w:cs="Arial"/>
                <w:i/>
                <w:iCs/>
                <w:sz w:val="16"/>
                <w:szCs w:val="16"/>
              </w:rPr>
            </w:pPr>
            <w:r w:rsidRPr="208F61CF">
              <w:rPr>
                <w:rFonts w:ascii="Arial" w:hAnsi="Arial" w:cs="Arial"/>
                <w:i/>
                <w:iCs/>
                <w:sz w:val="16"/>
                <w:szCs w:val="16"/>
              </w:rPr>
              <w:t>Treasury Laws Amendment (Multinational – Global and Domestic Minimum Tax) (Consequential) Act 2024.</w:t>
            </w:r>
          </w:p>
          <w:p w14:paraId="06F5CD86" w14:textId="47ED07F3" w:rsidR="006E40C9" w:rsidRPr="00796C9D" w:rsidRDefault="006E40C9">
            <w:pPr>
              <w:widowControl w:val="0"/>
              <w:autoSpaceDE w:val="0"/>
              <w:autoSpaceDN w:val="0"/>
              <w:adjustRightInd w:val="0"/>
              <w:spacing w:after="0" w:line="240" w:lineRule="auto"/>
              <w:rPr>
                <w:sz w:val="16"/>
                <w:szCs w:val="16"/>
              </w:rPr>
            </w:pPr>
          </w:p>
        </w:tc>
      </w:tr>
    </w:tbl>
    <w:p w14:paraId="34A97CB9" w14:textId="77777777" w:rsidR="006E40C9" w:rsidRPr="00540040" w:rsidRDefault="006E40C9" w:rsidP="006E40C9">
      <w:pPr>
        <w:pStyle w:val="MeasureTableHeading"/>
      </w:pPr>
    </w:p>
    <w:p w14:paraId="65229A66" w14:textId="38D069BB" w:rsidR="006E40C9" w:rsidRPr="00F757D0" w:rsidRDefault="006E40C9" w:rsidP="006E40C9">
      <w:pPr>
        <w:rPr>
          <w:color w:val="000000"/>
        </w:rPr>
      </w:pPr>
      <w:r w:rsidRPr="00F757D0">
        <w:t xml:space="preserve">Under the </w:t>
      </w:r>
      <w:r w:rsidR="00435F59">
        <w:t xml:space="preserve">benchmark, companies pay tax on their taxable income at a 30 per cent rate. </w:t>
      </w:r>
      <w:r w:rsidR="00E8770E">
        <w:t xml:space="preserve">The </w:t>
      </w:r>
      <w:r w:rsidR="000E35AD">
        <w:t>global and domestic minimum taxes</w:t>
      </w:r>
      <w:r w:rsidR="00E8770E">
        <w:t xml:space="preserve"> apply</w:t>
      </w:r>
      <w:r w:rsidRPr="00F757D0">
        <w:t xml:space="preserve"> </w:t>
      </w:r>
      <w:r w:rsidR="00E8770E">
        <w:t xml:space="preserve">to </w:t>
      </w:r>
      <w:r w:rsidRPr="00F757D0">
        <w:t>the undertaxed profits of multinationals with annual global revenue of EUR750 million (approximately $1.2</w:t>
      </w:r>
      <w:r w:rsidR="00CE0A03">
        <w:t> </w:t>
      </w:r>
      <w:r w:rsidRPr="00F757D0">
        <w:t xml:space="preserve">billion) or </w:t>
      </w:r>
      <w:r w:rsidRPr="00F757D0">
        <w:rPr>
          <w:color w:val="000000"/>
        </w:rPr>
        <w:t>more. The global minimum tax</w:t>
      </w:r>
      <w:r w:rsidRPr="00F757D0" w:rsidDel="0072062C">
        <w:rPr>
          <w:color w:val="000000"/>
        </w:rPr>
        <w:t xml:space="preserve"> </w:t>
      </w:r>
      <w:r w:rsidRPr="00F757D0">
        <w:rPr>
          <w:color w:val="000000"/>
        </w:rPr>
        <w:t xml:space="preserve">will apply a top-up tax, imposing a globally agreed effective tax rate of 15 per cent on an Australian resident multinational parent or subsidiary company, where the group’s income in overseas jurisdictions is taxed below 15 per cent. A domestic minimum tax will give Australia first claim on top-up tax for any domestic income taxed below 15 per cent. </w:t>
      </w:r>
    </w:p>
    <w:p w14:paraId="7B8A290C" w14:textId="2E74F08B" w:rsidR="006E40C9" w:rsidRPr="00F757D0" w:rsidRDefault="006E40C9" w:rsidP="006E40C9">
      <w:pPr>
        <w:rPr>
          <w:color w:val="000000"/>
        </w:rPr>
      </w:pPr>
      <w:r w:rsidRPr="00F757D0">
        <w:rPr>
          <w:color w:val="000000"/>
        </w:rPr>
        <w:t xml:space="preserve">The domestic minimum tax will give rise to franking credits. While the global minimum tax is paid in Australia, it represents taxes that have not been paid outside of Australia, and </w:t>
      </w:r>
      <w:r w:rsidR="000E35AD">
        <w:rPr>
          <w:color w:val="000000"/>
        </w:rPr>
        <w:t xml:space="preserve">therefore </w:t>
      </w:r>
      <w:r w:rsidRPr="00F757D0">
        <w:rPr>
          <w:color w:val="000000"/>
        </w:rPr>
        <w:t>will not generate franking credits. Government entities, international organisations, non-profit organisations and pension funds are excluded from the operation of the global and domestic minimum tax</w:t>
      </w:r>
      <w:r w:rsidR="000E35AD">
        <w:rPr>
          <w:color w:val="000000"/>
        </w:rPr>
        <w:t>es</w:t>
      </w:r>
      <w:r w:rsidRPr="00F757D0">
        <w:rPr>
          <w:color w:val="000000"/>
        </w:rPr>
        <w:t xml:space="preserve">. </w:t>
      </w:r>
    </w:p>
    <w:p w14:paraId="7E55A412" w14:textId="77777777" w:rsidR="006E40C9" w:rsidRDefault="006E40C9" w:rsidP="0003254D">
      <w:pPr>
        <w:pStyle w:val="Heading4"/>
      </w:pPr>
      <w:r>
        <w:t>B15</w:t>
      </w:r>
      <w:r>
        <w:tab/>
        <w:t>Interest withholding tax concession on interest payments by financial institutions</w:t>
      </w:r>
    </w:p>
    <w:p w14:paraId="36844A57" w14:textId="205ED13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8C43AC9" w14:textId="77777777">
        <w:trPr>
          <w:cantSplit/>
          <w:jc w:val="center"/>
        </w:trPr>
        <w:tc>
          <w:tcPr>
            <w:tcW w:w="967" w:type="dxa"/>
            <w:tcBorders>
              <w:top w:val="single" w:sz="2" w:space="0" w:color="auto"/>
              <w:bottom w:val="single" w:sz="2" w:space="0" w:color="auto"/>
            </w:tcBorders>
          </w:tcPr>
          <w:p w14:paraId="0C24B2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6E318A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13680F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2FD33C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6B93D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7F10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4A955D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4F1ACE" w14:textId="77777777" w:rsidR="006E40C9" w:rsidRDefault="006E40C9">
            <w:pPr>
              <w:pStyle w:val="MeasureTableTextRightAligned"/>
            </w:pPr>
            <w:r>
              <w:t>2027-28</w:t>
            </w:r>
          </w:p>
        </w:tc>
      </w:tr>
      <w:tr w:rsidR="006E40C9" w14:paraId="5D0BB929" w14:textId="77777777">
        <w:trPr>
          <w:cantSplit/>
          <w:jc w:val="center"/>
        </w:trPr>
        <w:tc>
          <w:tcPr>
            <w:tcW w:w="967" w:type="dxa"/>
            <w:tcBorders>
              <w:top w:val="single" w:sz="2" w:space="0" w:color="auto"/>
              <w:bottom w:val="single" w:sz="2" w:space="0" w:color="auto"/>
            </w:tcBorders>
          </w:tcPr>
          <w:p w14:paraId="2B1004DE" w14:textId="77777777" w:rsidR="006E40C9" w:rsidRDefault="006E40C9">
            <w:pPr>
              <w:pStyle w:val="MeasureTableTextRightAligned"/>
            </w:pPr>
            <w:r>
              <w:t>10</w:t>
            </w:r>
          </w:p>
        </w:tc>
        <w:tc>
          <w:tcPr>
            <w:tcW w:w="967" w:type="dxa"/>
            <w:tcBorders>
              <w:top w:val="single" w:sz="2" w:space="0" w:color="auto"/>
              <w:bottom w:val="single" w:sz="2" w:space="0" w:color="auto"/>
            </w:tcBorders>
          </w:tcPr>
          <w:p w14:paraId="209775F1"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D94685A"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717441AC"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40862CA"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20C2AA3D"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6709AB3E" w14:textId="77777777" w:rsidR="006E40C9" w:rsidRDefault="006E40C9">
            <w:pPr>
              <w:pStyle w:val="MeasureTableTextRightAligned"/>
            </w:pPr>
            <w:r>
              <w:t>20</w:t>
            </w:r>
          </w:p>
        </w:tc>
        <w:tc>
          <w:tcPr>
            <w:tcW w:w="968" w:type="dxa"/>
            <w:tcBorders>
              <w:top w:val="single" w:sz="2" w:space="0" w:color="auto"/>
              <w:bottom w:val="single" w:sz="2" w:space="0" w:color="auto"/>
            </w:tcBorders>
            <w:vAlign w:val="bottom"/>
          </w:tcPr>
          <w:p w14:paraId="78FB557E" w14:textId="77777777" w:rsidR="006E40C9" w:rsidRDefault="006E40C9">
            <w:pPr>
              <w:pStyle w:val="MeasureTableTextRightAligned"/>
            </w:pPr>
            <w:r>
              <w:t>20</w:t>
            </w:r>
          </w:p>
        </w:tc>
      </w:tr>
      <w:tr w:rsidR="006E40C9" w14:paraId="1809B194" w14:textId="77777777">
        <w:trPr>
          <w:cantSplit/>
          <w:jc w:val="center"/>
        </w:trPr>
        <w:tc>
          <w:tcPr>
            <w:tcW w:w="1934" w:type="dxa"/>
            <w:gridSpan w:val="2"/>
            <w:tcBorders>
              <w:top w:val="single" w:sz="2" w:space="0" w:color="auto"/>
              <w:bottom w:val="nil"/>
            </w:tcBorders>
          </w:tcPr>
          <w:p w14:paraId="25CB33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81057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3BC4FEC" w14:textId="0AB93D1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52DD89" w14:textId="77777777" w:rsidR="006E40C9" w:rsidRDefault="006E40C9">
            <w:pPr>
              <w:pStyle w:val="MeasureTableTextLeftAligned"/>
            </w:pPr>
            <w:r>
              <w:t>B14</w:t>
            </w:r>
          </w:p>
        </w:tc>
      </w:tr>
      <w:tr w:rsidR="006E40C9" w14:paraId="16C7C5BA" w14:textId="77777777">
        <w:trPr>
          <w:cantSplit/>
          <w:jc w:val="center"/>
        </w:trPr>
        <w:tc>
          <w:tcPr>
            <w:tcW w:w="1934" w:type="dxa"/>
            <w:gridSpan w:val="2"/>
            <w:tcBorders>
              <w:top w:val="nil"/>
              <w:bottom w:val="nil"/>
            </w:tcBorders>
          </w:tcPr>
          <w:p w14:paraId="46EE48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592531" w14:textId="4D2F4C5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7CF49380" w14:textId="77777777" w:rsidR="006E40C9" w:rsidRDefault="006E40C9">
            <w:pPr>
              <w:pStyle w:val="MeasureTableTextItalic"/>
            </w:pPr>
          </w:p>
        </w:tc>
        <w:tc>
          <w:tcPr>
            <w:tcW w:w="1124" w:type="dxa"/>
            <w:gridSpan w:val="2"/>
            <w:tcBorders>
              <w:top w:val="nil"/>
              <w:bottom w:val="nil"/>
            </w:tcBorders>
          </w:tcPr>
          <w:p w14:paraId="4DCB9960" w14:textId="77777777" w:rsidR="006E40C9" w:rsidRDefault="006E40C9">
            <w:pPr>
              <w:pStyle w:val="MeasureTableTextLeftAligned"/>
            </w:pPr>
          </w:p>
        </w:tc>
      </w:tr>
      <w:tr w:rsidR="006E40C9" w14:paraId="73D3AE64" w14:textId="77777777">
        <w:trPr>
          <w:cantSplit/>
          <w:jc w:val="center"/>
        </w:trPr>
        <w:tc>
          <w:tcPr>
            <w:tcW w:w="1934" w:type="dxa"/>
            <w:gridSpan w:val="2"/>
            <w:tcBorders>
              <w:top w:val="nil"/>
              <w:bottom w:val="nil"/>
            </w:tcBorders>
          </w:tcPr>
          <w:p w14:paraId="08F93FD9" w14:textId="77777777" w:rsidR="006E40C9" w:rsidRDefault="006E40C9">
            <w:pPr>
              <w:pStyle w:val="MeasureTableTextItalic"/>
            </w:pPr>
            <w:r>
              <w:t>Commencement date:</w:t>
            </w:r>
          </w:p>
        </w:tc>
        <w:tc>
          <w:tcPr>
            <w:tcW w:w="3179" w:type="dxa"/>
            <w:gridSpan w:val="4"/>
            <w:tcBorders>
              <w:top w:val="nil"/>
              <w:bottom w:val="nil"/>
            </w:tcBorders>
          </w:tcPr>
          <w:p w14:paraId="5D13220D" w14:textId="77777777" w:rsidR="006E40C9" w:rsidRDefault="006E40C9">
            <w:pPr>
              <w:pStyle w:val="MeasureTableTextLeftAligned"/>
            </w:pPr>
            <w:r>
              <w:t>1994</w:t>
            </w:r>
          </w:p>
        </w:tc>
        <w:tc>
          <w:tcPr>
            <w:tcW w:w="1500" w:type="dxa"/>
            <w:gridSpan w:val="2"/>
            <w:tcBorders>
              <w:top w:val="nil"/>
              <w:bottom w:val="nil"/>
            </w:tcBorders>
          </w:tcPr>
          <w:p w14:paraId="420E2BBB" w14:textId="77777777" w:rsidR="006E40C9" w:rsidRPr="00F32057" w:rsidRDefault="006E40C9">
            <w:pPr>
              <w:pStyle w:val="MeasureTableTextItalic"/>
            </w:pPr>
            <w:r>
              <w:t>Expiry date:</w:t>
            </w:r>
          </w:p>
        </w:tc>
        <w:tc>
          <w:tcPr>
            <w:tcW w:w="1124" w:type="dxa"/>
            <w:gridSpan w:val="2"/>
            <w:tcBorders>
              <w:top w:val="nil"/>
              <w:bottom w:val="nil"/>
            </w:tcBorders>
          </w:tcPr>
          <w:p w14:paraId="34B08B10" w14:textId="77777777" w:rsidR="006E40C9" w:rsidRPr="00F32057" w:rsidRDefault="006E40C9">
            <w:pPr>
              <w:pStyle w:val="MeasureTableTextLeftAligned"/>
            </w:pPr>
          </w:p>
        </w:tc>
      </w:tr>
      <w:tr w:rsidR="006E40C9" w14:paraId="323A50BC" w14:textId="77777777">
        <w:trPr>
          <w:cantSplit/>
          <w:jc w:val="center"/>
        </w:trPr>
        <w:tc>
          <w:tcPr>
            <w:tcW w:w="1934" w:type="dxa"/>
            <w:gridSpan w:val="2"/>
            <w:tcBorders>
              <w:top w:val="nil"/>
            </w:tcBorders>
          </w:tcPr>
          <w:p w14:paraId="1AD61A68" w14:textId="77777777" w:rsidR="006E40C9" w:rsidRDefault="006E40C9">
            <w:pPr>
              <w:pStyle w:val="MeasureTableTextItalic"/>
            </w:pPr>
            <w:r>
              <w:t>Legislative reference:</w:t>
            </w:r>
          </w:p>
        </w:tc>
        <w:tc>
          <w:tcPr>
            <w:tcW w:w="5803" w:type="dxa"/>
            <w:gridSpan w:val="8"/>
            <w:tcBorders>
              <w:top w:val="nil"/>
            </w:tcBorders>
          </w:tcPr>
          <w:p w14:paraId="22BFC6CC" w14:textId="77777777" w:rsidR="006E40C9" w:rsidRPr="00F32057" w:rsidRDefault="006E40C9" w:rsidP="00796C9D">
            <w:pPr>
              <w:pStyle w:val="MeasureTableTextLeftAligned"/>
            </w:pPr>
            <w:r w:rsidRPr="00796C9D">
              <w:t xml:space="preserve">Section 160ZZZJ of the </w:t>
            </w:r>
            <w:r>
              <w:rPr>
                <w:rFonts w:cs="Arial"/>
                <w:i/>
                <w:iCs/>
                <w:szCs w:val="16"/>
              </w:rPr>
              <w:t>Income Tax Assessment Act 1936</w:t>
            </w:r>
          </w:p>
        </w:tc>
      </w:tr>
    </w:tbl>
    <w:p w14:paraId="023800DC" w14:textId="77777777" w:rsidR="006E40C9" w:rsidRPr="00540040" w:rsidRDefault="006E40C9" w:rsidP="006E40C9">
      <w:pPr>
        <w:pStyle w:val="MeasureTableHeading"/>
      </w:pPr>
    </w:p>
    <w:p w14:paraId="3985B31E" w14:textId="77777777" w:rsidR="006E40C9" w:rsidRDefault="006E40C9" w:rsidP="006E40C9">
      <w:r>
        <w:t xml:space="preserve">Under the benchmark, tax from interest payments paid to a foreign resident is generally withheld at the rate of 10 per cent. </w:t>
      </w:r>
      <w:r w:rsidRPr="001E3824">
        <w:t xml:space="preserve">The notional interest paid </w:t>
      </w:r>
      <w:r>
        <w:t>by an Australian branch of a foreign bank on borrowings from the foreign bank</w:t>
      </w:r>
      <w:r>
        <w:fldChar w:fldCharType="begin"/>
      </w:r>
      <w:r>
        <w:instrText xml:space="preserve"> XE "</w:instrText>
      </w:r>
      <w:r w:rsidRPr="008B4FAC">
        <w:instrText>Australian branch of a foreign bank</w:instrText>
      </w:r>
      <w:r>
        <w:instrText xml:space="preserve">" </w:instrText>
      </w:r>
      <w:r>
        <w:fldChar w:fldCharType="end"/>
      </w:r>
      <w:r>
        <w:t xml:space="preserve"> attracts a reduced effective rate of withholding tax of 5 per cent.</w:t>
      </w:r>
    </w:p>
    <w:p w14:paraId="59354C68" w14:textId="77777777" w:rsidR="006E40C9" w:rsidRDefault="006E40C9" w:rsidP="0003254D">
      <w:pPr>
        <w:pStyle w:val="Heading4"/>
      </w:pPr>
      <w:r>
        <w:t>B16</w:t>
      </w:r>
      <w:r>
        <w:tab/>
        <w:t xml:space="preserve">International tax </w:t>
      </w:r>
      <w:bookmarkStart w:id="78" w:name="_Hlk183109212"/>
      <w:r>
        <w:t>–</w:t>
      </w:r>
      <w:bookmarkEnd w:id="78"/>
      <w:r>
        <w:t xml:space="preserve"> concessional rate of final withholding tax on certain distributions by clean building managed investment trusts to foreign residents</w:t>
      </w:r>
    </w:p>
    <w:p w14:paraId="6CC11FB3" w14:textId="0647B524" w:rsidR="006E40C9" w:rsidRDefault="006E40C9" w:rsidP="006E40C9">
      <w:pPr>
        <w:pStyle w:val="MeasureTableHeading"/>
      </w:pPr>
      <w:r>
        <w:t>Other economic affairs</w:t>
      </w:r>
      <w:r w:rsidR="009F5E3D">
        <w:t xml:space="preserve"> – </w:t>
      </w:r>
      <w:r>
        <w:t>Other economic affairs, nec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625862" w14:textId="77777777">
        <w:trPr>
          <w:cantSplit/>
          <w:jc w:val="center"/>
        </w:trPr>
        <w:tc>
          <w:tcPr>
            <w:tcW w:w="967" w:type="dxa"/>
            <w:tcBorders>
              <w:top w:val="single" w:sz="2" w:space="0" w:color="auto"/>
              <w:bottom w:val="single" w:sz="2" w:space="0" w:color="auto"/>
            </w:tcBorders>
          </w:tcPr>
          <w:p w14:paraId="47EA01C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752EA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FD63C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DEA0F5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5AE64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4106B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AA600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33FC4A" w14:textId="77777777" w:rsidR="006E40C9" w:rsidRDefault="006E40C9">
            <w:pPr>
              <w:pStyle w:val="MeasureTableTextRightAligned"/>
            </w:pPr>
            <w:r>
              <w:t>2027-28</w:t>
            </w:r>
          </w:p>
        </w:tc>
      </w:tr>
      <w:tr w:rsidR="006E40C9" w14:paraId="7EDD7227" w14:textId="77777777">
        <w:trPr>
          <w:cantSplit/>
          <w:jc w:val="center"/>
        </w:trPr>
        <w:tc>
          <w:tcPr>
            <w:tcW w:w="7737" w:type="dxa"/>
            <w:gridSpan w:val="10"/>
            <w:tcBorders>
              <w:top w:val="single" w:sz="2" w:space="0" w:color="auto"/>
              <w:bottom w:val="single" w:sz="2" w:space="0" w:color="auto"/>
            </w:tcBorders>
          </w:tcPr>
          <w:p w14:paraId="75E57599" w14:textId="77777777" w:rsidR="006E40C9" w:rsidRDefault="006E40C9">
            <w:pPr>
              <w:pStyle w:val="MeasureTableTextRightAligned"/>
              <w:jc w:val="center"/>
            </w:pPr>
            <w:r>
              <w:t>Included in B92</w:t>
            </w:r>
          </w:p>
        </w:tc>
      </w:tr>
      <w:tr w:rsidR="006E40C9" w14:paraId="009B3415" w14:textId="77777777">
        <w:trPr>
          <w:cantSplit/>
          <w:jc w:val="center"/>
        </w:trPr>
        <w:tc>
          <w:tcPr>
            <w:tcW w:w="1934" w:type="dxa"/>
            <w:gridSpan w:val="2"/>
            <w:tcBorders>
              <w:top w:val="single" w:sz="2" w:space="0" w:color="auto"/>
              <w:bottom w:val="nil"/>
            </w:tcBorders>
          </w:tcPr>
          <w:p w14:paraId="107140E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3D28AD8"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F256686" w14:textId="02561D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DAE54A" w14:textId="77777777" w:rsidR="006E40C9" w:rsidRDefault="006E40C9">
            <w:pPr>
              <w:pStyle w:val="MeasureTableTextLeftAligned"/>
            </w:pPr>
            <w:r>
              <w:t>B15</w:t>
            </w:r>
          </w:p>
        </w:tc>
      </w:tr>
      <w:tr w:rsidR="006E40C9" w14:paraId="706F5A9F" w14:textId="77777777">
        <w:trPr>
          <w:cantSplit/>
          <w:jc w:val="center"/>
        </w:trPr>
        <w:tc>
          <w:tcPr>
            <w:tcW w:w="1934" w:type="dxa"/>
            <w:gridSpan w:val="2"/>
            <w:tcBorders>
              <w:top w:val="nil"/>
              <w:bottom w:val="nil"/>
            </w:tcBorders>
          </w:tcPr>
          <w:p w14:paraId="5D29C8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6F1F358" w14:textId="77777777" w:rsidR="006E40C9" w:rsidRPr="00584CA7" w:rsidRDefault="006E40C9">
            <w:pPr>
              <w:pStyle w:val="MeasureTableTextLeftAligned"/>
            </w:pPr>
          </w:p>
        </w:tc>
        <w:tc>
          <w:tcPr>
            <w:tcW w:w="1500" w:type="dxa"/>
            <w:gridSpan w:val="2"/>
            <w:tcBorders>
              <w:top w:val="nil"/>
              <w:bottom w:val="nil"/>
            </w:tcBorders>
          </w:tcPr>
          <w:p w14:paraId="2B11395B" w14:textId="77777777" w:rsidR="006E40C9" w:rsidRDefault="006E40C9">
            <w:pPr>
              <w:pStyle w:val="MeasureTableTextItalic"/>
            </w:pPr>
          </w:p>
        </w:tc>
        <w:tc>
          <w:tcPr>
            <w:tcW w:w="1124" w:type="dxa"/>
            <w:gridSpan w:val="2"/>
            <w:tcBorders>
              <w:top w:val="nil"/>
              <w:bottom w:val="nil"/>
            </w:tcBorders>
          </w:tcPr>
          <w:p w14:paraId="4ED22F59" w14:textId="77777777" w:rsidR="006E40C9" w:rsidRDefault="006E40C9">
            <w:pPr>
              <w:pStyle w:val="MeasureTableTextLeftAligned"/>
            </w:pPr>
          </w:p>
        </w:tc>
      </w:tr>
      <w:tr w:rsidR="006E40C9" w14:paraId="7433FC8C" w14:textId="77777777">
        <w:trPr>
          <w:cantSplit/>
          <w:jc w:val="center"/>
        </w:trPr>
        <w:tc>
          <w:tcPr>
            <w:tcW w:w="1934" w:type="dxa"/>
            <w:gridSpan w:val="2"/>
            <w:tcBorders>
              <w:top w:val="nil"/>
              <w:bottom w:val="nil"/>
            </w:tcBorders>
          </w:tcPr>
          <w:p w14:paraId="7AF4782D" w14:textId="77777777" w:rsidR="006E40C9" w:rsidRDefault="006E40C9">
            <w:pPr>
              <w:pStyle w:val="MeasureTableTextItalic"/>
            </w:pPr>
            <w:r>
              <w:t>Commencement date:</w:t>
            </w:r>
          </w:p>
        </w:tc>
        <w:tc>
          <w:tcPr>
            <w:tcW w:w="3179" w:type="dxa"/>
            <w:gridSpan w:val="4"/>
            <w:tcBorders>
              <w:top w:val="nil"/>
              <w:bottom w:val="nil"/>
            </w:tcBorders>
          </w:tcPr>
          <w:p w14:paraId="0FB33E47" w14:textId="77777777" w:rsidR="006E40C9" w:rsidRDefault="006E40C9">
            <w:pPr>
              <w:pStyle w:val="MeasureTableTextLeftAligned"/>
            </w:pPr>
            <w:r>
              <w:t>2012</w:t>
            </w:r>
          </w:p>
        </w:tc>
        <w:tc>
          <w:tcPr>
            <w:tcW w:w="1500" w:type="dxa"/>
            <w:gridSpan w:val="2"/>
            <w:tcBorders>
              <w:top w:val="nil"/>
              <w:bottom w:val="nil"/>
            </w:tcBorders>
          </w:tcPr>
          <w:p w14:paraId="6A68DADE" w14:textId="77777777" w:rsidR="006E40C9" w:rsidRPr="00F32057" w:rsidRDefault="006E40C9">
            <w:pPr>
              <w:pStyle w:val="MeasureTableTextItalic"/>
            </w:pPr>
            <w:r>
              <w:t>Expiry date:</w:t>
            </w:r>
          </w:p>
        </w:tc>
        <w:tc>
          <w:tcPr>
            <w:tcW w:w="1124" w:type="dxa"/>
            <w:gridSpan w:val="2"/>
            <w:tcBorders>
              <w:top w:val="nil"/>
              <w:bottom w:val="nil"/>
            </w:tcBorders>
          </w:tcPr>
          <w:p w14:paraId="53A175E0" w14:textId="77777777" w:rsidR="006E40C9" w:rsidRPr="00F32057" w:rsidRDefault="006E40C9">
            <w:pPr>
              <w:pStyle w:val="MeasureTableTextLeftAligned"/>
            </w:pPr>
          </w:p>
        </w:tc>
      </w:tr>
      <w:tr w:rsidR="006E40C9" w14:paraId="400D1CE1" w14:textId="77777777">
        <w:trPr>
          <w:cantSplit/>
          <w:jc w:val="center"/>
        </w:trPr>
        <w:tc>
          <w:tcPr>
            <w:tcW w:w="1934" w:type="dxa"/>
            <w:gridSpan w:val="2"/>
            <w:tcBorders>
              <w:top w:val="nil"/>
            </w:tcBorders>
          </w:tcPr>
          <w:p w14:paraId="096C6F77" w14:textId="77777777" w:rsidR="006E40C9" w:rsidRDefault="006E40C9">
            <w:pPr>
              <w:pStyle w:val="MeasureTableTextItalic"/>
            </w:pPr>
            <w:r>
              <w:t>Legislative reference:</w:t>
            </w:r>
          </w:p>
        </w:tc>
        <w:tc>
          <w:tcPr>
            <w:tcW w:w="5803" w:type="dxa"/>
            <w:gridSpan w:val="8"/>
            <w:tcBorders>
              <w:top w:val="nil"/>
            </w:tcBorders>
          </w:tcPr>
          <w:p w14:paraId="1FFCCB3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12-385 of Schedule 1 to the </w:t>
            </w:r>
            <w:r>
              <w:rPr>
                <w:rFonts w:ascii="Arial" w:hAnsi="Arial" w:cs="Arial"/>
                <w:i/>
                <w:iCs/>
                <w:color w:val="000000"/>
                <w:sz w:val="16"/>
                <w:szCs w:val="16"/>
              </w:rPr>
              <w:t>Taxation Administration Act 1953</w:t>
            </w:r>
            <w:r>
              <w:rPr>
                <w:rFonts w:ascii="Arial" w:hAnsi="Arial" w:cs="Arial"/>
                <w:color w:val="000000"/>
                <w:sz w:val="16"/>
                <w:szCs w:val="16"/>
              </w:rPr>
              <w:br/>
              <w:t>Regulation 34 of the Taxation Administration Regulations 2017</w:t>
            </w:r>
          </w:p>
        </w:tc>
      </w:tr>
    </w:tbl>
    <w:p w14:paraId="5219AF0A" w14:textId="77777777" w:rsidR="006E40C9" w:rsidRPr="00540040" w:rsidRDefault="006E40C9" w:rsidP="006E40C9">
      <w:pPr>
        <w:pStyle w:val="MeasureTableHeading"/>
      </w:pPr>
    </w:p>
    <w:p w14:paraId="3E5D0187" w14:textId="77777777" w:rsidR="006E40C9" w:rsidRDefault="006E40C9" w:rsidP="006E40C9">
      <w:r>
        <w:t>Australia’s default withholding tax rate for Managed Investment Trust (MIT) d</w:t>
      </w:r>
      <w:r w:rsidRPr="006063A3">
        <w:t>istributions of Australian source net income (other than dividends, interest and royalties)</w:t>
      </w:r>
      <w:r>
        <w:t xml:space="preserve"> paid to foreign residents is 30 per cent. For distributions to residents </w:t>
      </w:r>
      <w:r w:rsidRPr="006063A3">
        <w:t xml:space="preserve">of countries </w:t>
      </w:r>
      <w:r>
        <w:t xml:space="preserve">with which Australia has an </w:t>
      </w:r>
      <w:r w:rsidRPr="00090AC6">
        <w:t xml:space="preserve">information exchange </w:t>
      </w:r>
      <w:r>
        <w:t xml:space="preserve">arrangement, the withholding tax rate is reduced to 15 per cent. </w:t>
      </w:r>
      <w:r>
        <w:fldChar w:fldCharType="begin"/>
      </w:r>
      <w:r>
        <w:instrText xml:space="preserve"> XE "</w:instrText>
      </w:r>
      <w:r w:rsidRPr="009D0B43">
        <w:instrText>Managed investment trusts</w:instrText>
      </w:r>
      <w:r>
        <w:instrText xml:space="preserve">:Distributions to foreign residents" </w:instrText>
      </w:r>
      <w:r>
        <w:fldChar w:fldCharType="end"/>
      </w:r>
    </w:p>
    <w:p w14:paraId="11106B4B" w14:textId="77777777" w:rsidR="006E40C9" w:rsidRDefault="006E40C9" w:rsidP="006E40C9">
      <w:r>
        <w:t>However, for MITs</w:t>
      </w:r>
      <w:r w:rsidRPr="006063A3">
        <w:t xml:space="preserve"> </w:t>
      </w:r>
      <w:r>
        <w:t xml:space="preserve">that only hold energy efficient buildings that commenced construction on or after 1 July 2012, the withholding tax rate on distributions is 10 per cent, </w:t>
      </w:r>
      <w:r w:rsidRPr="006063A3">
        <w:t xml:space="preserve">for residents of countries </w:t>
      </w:r>
      <w:r>
        <w:t xml:space="preserve">with which Australia has an </w:t>
      </w:r>
      <w:r w:rsidRPr="00090AC6">
        <w:t xml:space="preserve">information exchange </w:t>
      </w:r>
      <w:r>
        <w:t>arrangement. This is a final withholding tax.</w:t>
      </w:r>
    </w:p>
    <w:p w14:paraId="3DF0C828" w14:textId="5A15468D" w:rsidR="006E40C9" w:rsidRDefault="006E40C9" w:rsidP="006E40C9">
      <w:r>
        <w:t xml:space="preserve">The Government announced in </w:t>
      </w:r>
      <w:r w:rsidR="00EC6785">
        <w:t xml:space="preserve">the </w:t>
      </w:r>
      <w:r>
        <w:t>2023</w:t>
      </w:r>
      <w:r w:rsidR="00EC6785" w:rsidRPr="00EC6785">
        <w:t>–</w:t>
      </w:r>
      <w:r>
        <w:t xml:space="preserve">24 Budget that it will extend access to the 10 per cent withholding tax rate to data centres and warehouses that meet the relevant energy efficiency standard. This change will apply from 1 July 2025. </w:t>
      </w:r>
    </w:p>
    <w:p w14:paraId="593B6AF1" w14:textId="77777777" w:rsidR="006E40C9" w:rsidRDefault="006E40C9" w:rsidP="0003254D">
      <w:pPr>
        <w:pStyle w:val="Heading3"/>
      </w:pPr>
      <w:r>
        <w:t>Tax expenditures for defence</w:t>
      </w:r>
    </w:p>
    <w:p w14:paraId="5782732B" w14:textId="77777777" w:rsidR="006E40C9" w:rsidRDefault="006E40C9" w:rsidP="0003254D">
      <w:pPr>
        <w:pStyle w:val="Heading4"/>
      </w:pPr>
      <w:r>
        <w:t>B17</w:t>
      </w:r>
      <w:r>
        <w:tab/>
        <w:t>Security agency transaction exemption</w:t>
      </w:r>
    </w:p>
    <w:p w14:paraId="42892DBC"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1B256A" w14:textId="77777777">
        <w:trPr>
          <w:cantSplit/>
          <w:jc w:val="center"/>
        </w:trPr>
        <w:tc>
          <w:tcPr>
            <w:tcW w:w="967" w:type="dxa"/>
            <w:tcBorders>
              <w:top w:val="single" w:sz="2" w:space="0" w:color="auto"/>
              <w:bottom w:val="single" w:sz="2" w:space="0" w:color="auto"/>
            </w:tcBorders>
          </w:tcPr>
          <w:p w14:paraId="23AC5B7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3DB9B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90AD1B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1C155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36BD63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04EDF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2AFB1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EFAF0B" w14:textId="77777777" w:rsidR="006E40C9" w:rsidRDefault="006E40C9">
            <w:pPr>
              <w:pStyle w:val="MeasureTableTextRightAligned"/>
            </w:pPr>
            <w:r>
              <w:t>2027-28</w:t>
            </w:r>
          </w:p>
        </w:tc>
      </w:tr>
      <w:tr w:rsidR="006E40C9" w14:paraId="5315855E" w14:textId="77777777">
        <w:trPr>
          <w:cantSplit/>
          <w:jc w:val="center"/>
        </w:trPr>
        <w:tc>
          <w:tcPr>
            <w:tcW w:w="967" w:type="dxa"/>
            <w:tcBorders>
              <w:top w:val="single" w:sz="2" w:space="0" w:color="auto"/>
              <w:bottom w:val="single" w:sz="2" w:space="0" w:color="auto"/>
            </w:tcBorders>
          </w:tcPr>
          <w:p w14:paraId="50774D57" w14:textId="77777777" w:rsidR="006E40C9" w:rsidRDefault="006E40C9">
            <w:pPr>
              <w:pStyle w:val="MeasureTableTextRightAligned"/>
            </w:pPr>
            <w:r>
              <w:t>*</w:t>
            </w:r>
          </w:p>
        </w:tc>
        <w:tc>
          <w:tcPr>
            <w:tcW w:w="967" w:type="dxa"/>
            <w:tcBorders>
              <w:top w:val="single" w:sz="2" w:space="0" w:color="auto"/>
              <w:bottom w:val="single" w:sz="2" w:space="0" w:color="auto"/>
            </w:tcBorders>
          </w:tcPr>
          <w:p w14:paraId="0BDEE9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C13BD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2040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5EFE5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4FAB4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6A25D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E3BB180" w14:textId="77777777" w:rsidR="006E40C9" w:rsidRDefault="006E40C9">
            <w:pPr>
              <w:pStyle w:val="MeasureTableTextRightAligned"/>
            </w:pPr>
            <w:r>
              <w:t>*</w:t>
            </w:r>
          </w:p>
        </w:tc>
      </w:tr>
      <w:tr w:rsidR="006E40C9" w14:paraId="2F84355C" w14:textId="77777777">
        <w:trPr>
          <w:cantSplit/>
          <w:jc w:val="center"/>
        </w:trPr>
        <w:tc>
          <w:tcPr>
            <w:tcW w:w="1934" w:type="dxa"/>
            <w:gridSpan w:val="2"/>
            <w:tcBorders>
              <w:top w:val="single" w:sz="2" w:space="0" w:color="auto"/>
              <w:bottom w:val="nil"/>
            </w:tcBorders>
          </w:tcPr>
          <w:p w14:paraId="7BAA496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CDED19" w14:textId="77777777" w:rsidR="006E40C9" w:rsidRDefault="006E40C9">
            <w:pPr>
              <w:pStyle w:val="MeasureTableTextLeftAligned"/>
            </w:pPr>
            <w:r>
              <w:t>Exemption</w:t>
            </w:r>
          </w:p>
        </w:tc>
        <w:tc>
          <w:tcPr>
            <w:tcW w:w="1500" w:type="dxa"/>
            <w:gridSpan w:val="2"/>
            <w:tcBorders>
              <w:top w:val="single" w:sz="2" w:space="0" w:color="auto"/>
              <w:bottom w:val="nil"/>
            </w:tcBorders>
          </w:tcPr>
          <w:p w14:paraId="4D0DB06C" w14:textId="57E99B5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135FEFF" w14:textId="77777777" w:rsidR="006E40C9" w:rsidRDefault="006E40C9">
            <w:pPr>
              <w:pStyle w:val="MeasureTableTextLeftAligned"/>
            </w:pPr>
            <w:r>
              <w:t>B17</w:t>
            </w:r>
          </w:p>
        </w:tc>
      </w:tr>
      <w:tr w:rsidR="006E40C9" w14:paraId="39048158" w14:textId="77777777">
        <w:trPr>
          <w:cantSplit/>
          <w:jc w:val="center"/>
        </w:trPr>
        <w:tc>
          <w:tcPr>
            <w:tcW w:w="1934" w:type="dxa"/>
            <w:gridSpan w:val="2"/>
            <w:tcBorders>
              <w:top w:val="nil"/>
              <w:bottom w:val="nil"/>
            </w:tcBorders>
          </w:tcPr>
          <w:p w14:paraId="7DFFD1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A07B0FD" w14:textId="77777777" w:rsidR="006E40C9" w:rsidRPr="00584CA7" w:rsidRDefault="006E40C9">
            <w:pPr>
              <w:pStyle w:val="MeasureTableTextLeftAligned"/>
            </w:pPr>
            <w:r>
              <w:t>Not Applicable</w:t>
            </w:r>
          </w:p>
        </w:tc>
        <w:tc>
          <w:tcPr>
            <w:tcW w:w="1500" w:type="dxa"/>
            <w:gridSpan w:val="2"/>
            <w:tcBorders>
              <w:top w:val="nil"/>
              <w:bottom w:val="nil"/>
            </w:tcBorders>
          </w:tcPr>
          <w:p w14:paraId="741DC26F" w14:textId="77777777" w:rsidR="006E40C9" w:rsidRDefault="006E40C9">
            <w:pPr>
              <w:pStyle w:val="MeasureTableTextItalic"/>
            </w:pPr>
            <w:r>
              <w:t>* Category</w:t>
            </w:r>
          </w:p>
        </w:tc>
        <w:tc>
          <w:tcPr>
            <w:tcW w:w="1124" w:type="dxa"/>
            <w:gridSpan w:val="2"/>
            <w:tcBorders>
              <w:top w:val="nil"/>
              <w:bottom w:val="nil"/>
            </w:tcBorders>
          </w:tcPr>
          <w:p w14:paraId="34B90513" w14:textId="77777777" w:rsidR="006E40C9" w:rsidRDefault="006E40C9">
            <w:pPr>
              <w:pStyle w:val="MeasureTableTextLeftAligned"/>
            </w:pPr>
            <w:r>
              <w:t>NA</w:t>
            </w:r>
          </w:p>
        </w:tc>
      </w:tr>
      <w:tr w:rsidR="006E40C9" w14:paraId="21EB80CA" w14:textId="77777777">
        <w:trPr>
          <w:cantSplit/>
          <w:jc w:val="center"/>
        </w:trPr>
        <w:tc>
          <w:tcPr>
            <w:tcW w:w="1934" w:type="dxa"/>
            <w:gridSpan w:val="2"/>
            <w:tcBorders>
              <w:top w:val="nil"/>
              <w:bottom w:val="nil"/>
            </w:tcBorders>
          </w:tcPr>
          <w:p w14:paraId="7CE2E5D5" w14:textId="77777777" w:rsidR="006E40C9" w:rsidRDefault="006E40C9">
            <w:pPr>
              <w:pStyle w:val="MeasureTableTextItalic"/>
            </w:pPr>
            <w:r>
              <w:t>Commencement date:</w:t>
            </w:r>
          </w:p>
        </w:tc>
        <w:tc>
          <w:tcPr>
            <w:tcW w:w="3179" w:type="dxa"/>
            <w:gridSpan w:val="4"/>
            <w:tcBorders>
              <w:top w:val="nil"/>
              <w:bottom w:val="nil"/>
            </w:tcBorders>
          </w:tcPr>
          <w:p w14:paraId="2798068E" w14:textId="77777777" w:rsidR="006E40C9" w:rsidRDefault="006E40C9">
            <w:pPr>
              <w:pStyle w:val="MeasureTableTextLeftAligned"/>
            </w:pPr>
            <w:r>
              <w:t>1 July 2005</w:t>
            </w:r>
          </w:p>
        </w:tc>
        <w:tc>
          <w:tcPr>
            <w:tcW w:w="1500" w:type="dxa"/>
            <w:gridSpan w:val="2"/>
            <w:tcBorders>
              <w:top w:val="nil"/>
              <w:bottom w:val="nil"/>
            </w:tcBorders>
          </w:tcPr>
          <w:p w14:paraId="0E4037E7" w14:textId="77777777" w:rsidR="006E40C9" w:rsidRPr="00F32057" w:rsidRDefault="006E40C9">
            <w:pPr>
              <w:pStyle w:val="MeasureTableTextItalic"/>
            </w:pPr>
            <w:r>
              <w:t>Expiry date:</w:t>
            </w:r>
          </w:p>
        </w:tc>
        <w:tc>
          <w:tcPr>
            <w:tcW w:w="1124" w:type="dxa"/>
            <w:gridSpan w:val="2"/>
            <w:tcBorders>
              <w:top w:val="nil"/>
              <w:bottom w:val="nil"/>
            </w:tcBorders>
          </w:tcPr>
          <w:p w14:paraId="50AD42E1" w14:textId="77777777" w:rsidR="006E40C9" w:rsidRPr="00F32057" w:rsidRDefault="006E40C9">
            <w:pPr>
              <w:pStyle w:val="MeasureTableTextLeftAligned"/>
            </w:pPr>
          </w:p>
        </w:tc>
      </w:tr>
      <w:tr w:rsidR="006E40C9" w14:paraId="24E1784B" w14:textId="77777777">
        <w:trPr>
          <w:cantSplit/>
          <w:jc w:val="center"/>
        </w:trPr>
        <w:tc>
          <w:tcPr>
            <w:tcW w:w="1934" w:type="dxa"/>
            <w:gridSpan w:val="2"/>
            <w:tcBorders>
              <w:top w:val="nil"/>
            </w:tcBorders>
          </w:tcPr>
          <w:p w14:paraId="62B8910F" w14:textId="77777777" w:rsidR="006E40C9" w:rsidRDefault="006E40C9">
            <w:pPr>
              <w:pStyle w:val="MeasureTableTextItalic"/>
            </w:pPr>
            <w:r>
              <w:t>Legislative reference:</w:t>
            </w:r>
          </w:p>
        </w:tc>
        <w:tc>
          <w:tcPr>
            <w:tcW w:w="5803" w:type="dxa"/>
            <w:gridSpan w:val="8"/>
            <w:tcBorders>
              <w:top w:val="nil"/>
            </w:tcBorders>
          </w:tcPr>
          <w:p w14:paraId="5DA1D7D2"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850 of Schedule 1 to the </w:t>
            </w:r>
            <w:r>
              <w:rPr>
                <w:rFonts w:ascii="Arial" w:hAnsi="Arial" w:cs="Arial"/>
                <w:i/>
                <w:iCs/>
                <w:color w:val="000000"/>
                <w:sz w:val="16"/>
                <w:szCs w:val="16"/>
              </w:rPr>
              <w:t>Taxation Administration Act 1953</w:t>
            </w:r>
          </w:p>
        </w:tc>
      </w:tr>
    </w:tbl>
    <w:p w14:paraId="78D0A963" w14:textId="77777777" w:rsidR="006E40C9" w:rsidRPr="00540040" w:rsidRDefault="006E40C9" w:rsidP="006E40C9">
      <w:pPr>
        <w:pStyle w:val="MeasureTableHeading"/>
      </w:pPr>
    </w:p>
    <w:p w14:paraId="77FF3A7D" w14:textId="77777777" w:rsidR="006E40C9" w:rsidRDefault="006E40C9" w:rsidP="006E40C9">
      <w:r>
        <w:t>Under the tax benchmark, tax laws apply broadly. The heads of the Australian Security Intelligence Organisation, the Australian Secret Intelligence Service</w:t>
      </w:r>
      <w:r>
        <w:fldChar w:fldCharType="begin"/>
      </w:r>
      <w:r>
        <w:instrText xml:space="preserve"> XE "</w:instrText>
      </w:r>
      <w:r w:rsidRPr="00AF6E6A">
        <w:instrText>Security agencies</w:instrText>
      </w:r>
      <w:r>
        <w:instrText xml:space="preserve">" </w:instrText>
      </w:r>
      <w:r>
        <w:fldChar w:fldCharType="end"/>
      </w:r>
      <w:r>
        <w:t xml:space="preserve"> and the Australian Signals Directorate have the power to declare that Commonwealth tax laws do not apply to a specified entity in relation to a specified transaction. This ensures that tax authorities do not need to obtain information that should remain secret in the interests of national security.</w:t>
      </w:r>
    </w:p>
    <w:p w14:paraId="1573D39C" w14:textId="77777777" w:rsidR="006E40C9" w:rsidRDefault="006E40C9" w:rsidP="0003254D">
      <w:pPr>
        <w:pStyle w:val="Heading3"/>
      </w:pPr>
      <w:r>
        <w:t>Tax expenditures for health</w:t>
      </w:r>
    </w:p>
    <w:p w14:paraId="1789C770" w14:textId="77777777" w:rsidR="006E40C9" w:rsidRDefault="006E40C9" w:rsidP="0003254D">
      <w:pPr>
        <w:pStyle w:val="Heading4"/>
      </w:pPr>
      <w:r>
        <w:t>B18</w:t>
      </w:r>
      <w:r>
        <w:tab/>
        <w:t>Not-for-profit private health insurers income tax exemption</w:t>
      </w:r>
    </w:p>
    <w:p w14:paraId="1BB4DD4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3B246E" w14:textId="77777777">
        <w:trPr>
          <w:cantSplit/>
          <w:jc w:val="center"/>
        </w:trPr>
        <w:tc>
          <w:tcPr>
            <w:tcW w:w="967" w:type="dxa"/>
            <w:tcBorders>
              <w:top w:val="single" w:sz="2" w:space="0" w:color="auto"/>
              <w:bottom w:val="single" w:sz="2" w:space="0" w:color="auto"/>
            </w:tcBorders>
          </w:tcPr>
          <w:p w14:paraId="049961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48F4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8DC5B3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A4FBD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5E484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0808E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74ABE2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96E4433" w14:textId="77777777" w:rsidR="006E40C9" w:rsidRDefault="006E40C9">
            <w:pPr>
              <w:pStyle w:val="MeasureTableTextRightAligned"/>
            </w:pPr>
            <w:r>
              <w:t>2027-28</w:t>
            </w:r>
          </w:p>
        </w:tc>
      </w:tr>
      <w:tr w:rsidR="006E40C9" w14:paraId="4FC52C39" w14:textId="77777777">
        <w:trPr>
          <w:cantSplit/>
          <w:jc w:val="center"/>
        </w:trPr>
        <w:tc>
          <w:tcPr>
            <w:tcW w:w="967" w:type="dxa"/>
            <w:tcBorders>
              <w:top w:val="single" w:sz="2" w:space="0" w:color="auto"/>
              <w:bottom w:val="single" w:sz="2" w:space="0" w:color="auto"/>
            </w:tcBorders>
          </w:tcPr>
          <w:p w14:paraId="45F169E0"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59778F04"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5AB661B8"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21CFC4CF"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3ABE016E"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2649B6B3"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74F2AD6B" w14:textId="77777777" w:rsidR="006E40C9" w:rsidRDefault="006E40C9">
            <w:pPr>
              <w:pStyle w:val="MeasureTableTextRightAligned"/>
            </w:pPr>
            <w:r>
              <w:t>135</w:t>
            </w:r>
          </w:p>
        </w:tc>
        <w:tc>
          <w:tcPr>
            <w:tcW w:w="968" w:type="dxa"/>
            <w:tcBorders>
              <w:top w:val="single" w:sz="2" w:space="0" w:color="auto"/>
              <w:bottom w:val="single" w:sz="2" w:space="0" w:color="auto"/>
            </w:tcBorders>
            <w:vAlign w:val="bottom"/>
          </w:tcPr>
          <w:p w14:paraId="1CF3CB26" w14:textId="77777777" w:rsidR="006E40C9" w:rsidRDefault="006E40C9">
            <w:pPr>
              <w:pStyle w:val="MeasureTableTextRightAligned"/>
            </w:pPr>
            <w:r>
              <w:t>135</w:t>
            </w:r>
          </w:p>
        </w:tc>
      </w:tr>
      <w:tr w:rsidR="006E40C9" w14:paraId="68CB1FBE" w14:textId="77777777">
        <w:trPr>
          <w:cantSplit/>
          <w:jc w:val="center"/>
        </w:trPr>
        <w:tc>
          <w:tcPr>
            <w:tcW w:w="1934" w:type="dxa"/>
            <w:gridSpan w:val="2"/>
            <w:tcBorders>
              <w:top w:val="single" w:sz="2" w:space="0" w:color="auto"/>
              <w:bottom w:val="nil"/>
            </w:tcBorders>
          </w:tcPr>
          <w:p w14:paraId="5A3E621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4709D1" w14:textId="77777777" w:rsidR="006E40C9" w:rsidRDefault="006E40C9">
            <w:pPr>
              <w:pStyle w:val="MeasureTableTextLeftAligned"/>
            </w:pPr>
            <w:r>
              <w:t>Exemption</w:t>
            </w:r>
          </w:p>
        </w:tc>
        <w:tc>
          <w:tcPr>
            <w:tcW w:w="1500" w:type="dxa"/>
            <w:gridSpan w:val="2"/>
            <w:tcBorders>
              <w:top w:val="single" w:sz="2" w:space="0" w:color="auto"/>
              <w:bottom w:val="nil"/>
            </w:tcBorders>
          </w:tcPr>
          <w:p w14:paraId="0E506681" w14:textId="5DA3AE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D791298" w14:textId="77777777" w:rsidR="006E40C9" w:rsidRDefault="006E40C9">
            <w:pPr>
              <w:pStyle w:val="MeasureTableTextLeftAligned"/>
            </w:pPr>
            <w:r>
              <w:t>B18</w:t>
            </w:r>
          </w:p>
        </w:tc>
      </w:tr>
      <w:tr w:rsidR="006E40C9" w14:paraId="73F53EE3" w14:textId="77777777">
        <w:trPr>
          <w:cantSplit/>
          <w:jc w:val="center"/>
        </w:trPr>
        <w:tc>
          <w:tcPr>
            <w:tcW w:w="1934" w:type="dxa"/>
            <w:gridSpan w:val="2"/>
            <w:tcBorders>
              <w:top w:val="nil"/>
              <w:bottom w:val="nil"/>
            </w:tcBorders>
          </w:tcPr>
          <w:p w14:paraId="538DA3A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BCBF928" w14:textId="07D189A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B227C46" w14:textId="77777777" w:rsidR="006E40C9" w:rsidRDefault="006E40C9">
            <w:pPr>
              <w:pStyle w:val="MeasureTableTextItalic"/>
            </w:pPr>
          </w:p>
        </w:tc>
        <w:tc>
          <w:tcPr>
            <w:tcW w:w="1124" w:type="dxa"/>
            <w:gridSpan w:val="2"/>
            <w:tcBorders>
              <w:top w:val="nil"/>
              <w:bottom w:val="nil"/>
            </w:tcBorders>
          </w:tcPr>
          <w:p w14:paraId="5506764D" w14:textId="77777777" w:rsidR="006E40C9" w:rsidRDefault="006E40C9">
            <w:pPr>
              <w:pStyle w:val="MeasureTableTextLeftAligned"/>
            </w:pPr>
          </w:p>
        </w:tc>
      </w:tr>
      <w:tr w:rsidR="006E40C9" w14:paraId="5AD6C16B" w14:textId="77777777">
        <w:trPr>
          <w:cantSplit/>
          <w:jc w:val="center"/>
        </w:trPr>
        <w:tc>
          <w:tcPr>
            <w:tcW w:w="1934" w:type="dxa"/>
            <w:gridSpan w:val="2"/>
            <w:tcBorders>
              <w:top w:val="nil"/>
              <w:bottom w:val="nil"/>
            </w:tcBorders>
          </w:tcPr>
          <w:p w14:paraId="227A7F48" w14:textId="77777777" w:rsidR="006E40C9" w:rsidRDefault="006E40C9">
            <w:pPr>
              <w:pStyle w:val="MeasureTableTextItalic"/>
            </w:pPr>
            <w:r>
              <w:t>Commencement date:</w:t>
            </w:r>
          </w:p>
        </w:tc>
        <w:tc>
          <w:tcPr>
            <w:tcW w:w="3179" w:type="dxa"/>
            <w:gridSpan w:val="4"/>
            <w:tcBorders>
              <w:top w:val="nil"/>
              <w:bottom w:val="nil"/>
            </w:tcBorders>
          </w:tcPr>
          <w:p w14:paraId="5071A786" w14:textId="77777777" w:rsidR="006E40C9" w:rsidRDefault="006E40C9">
            <w:pPr>
              <w:pStyle w:val="MeasureTableTextLeftAligned"/>
            </w:pPr>
            <w:r>
              <w:t>Introduced before 1985</w:t>
            </w:r>
          </w:p>
        </w:tc>
        <w:tc>
          <w:tcPr>
            <w:tcW w:w="1500" w:type="dxa"/>
            <w:gridSpan w:val="2"/>
            <w:tcBorders>
              <w:top w:val="nil"/>
              <w:bottom w:val="nil"/>
            </w:tcBorders>
          </w:tcPr>
          <w:p w14:paraId="3334ACA0" w14:textId="77777777" w:rsidR="006E40C9" w:rsidRPr="00F32057" w:rsidRDefault="006E40C9">
            <w:pPr>
              <w:pStyle w:val="MeasureTableTextItalic"/>
            </w:pPr>
            <w:r>
              <w:t>Expiry date:</w:t>
            </w:r>
          </w:p>
        </w:tc>
        <w:tc>
          <w:tcPr>
            <w:tcW w:w="1124" w:type="dxa"/>
            <w:gridSpan w:val="2"/>
            <w:tcBorders>
              <w:top w:val="nil"/>
              <w:bottom w:val="nil"/>
            </w:tcBorders>
          </w:tcPr>
          <w:p w14:paraId="06CF5404" w14:textId="77777777" w:rsidR="006E40C9" w:rsidRPr="00F32057" w:rsidRDefault="006E40C9">
            <w:pPr>
              <w:pStyle w:val="MeasureTableTextLeftAligned"/>
            </w:pPr>
          </w:p>
        </w:tc>
      </w:tr>
      <w:tr w:rsidR="006E40C9" w14:paraId="210E666E" w14:textId="77777777">
        <w:trPr>
          <w:cantSplit/>
          <w:jc w:val="center"/>
        </w:trPr>
        <w:tc>
          <w:tcPr>
            <w:tcW w:w="1934" w:type="dxa"/>
            <w:gridSpan w:val="2"/>
            <w:tcBorders>
              <w:top w:val="nil"/>
            </w:tcBorders>
          </w:tcPr>
          <w:p w14:paraId="7BC706E6" w14:textId="77777777" w:rsidR="006E40C9" w:rsidRDefault="006E40C9">
            <w:pPr>
              <w:pStyle w:val="MeasureTableTextItalic"/>
            </w:pPr>
            <w:r>
              <w:t>Legislative reference:</w:t>
            </w:r>
          </w:p>
        </w:tc>
        <w:tc>
          <w:tcPr>
            <w:tcW w:w="5803" w:type="dxa"/>
            <w:gridSpan w:val="8"/>
            <w:tcBorders>
              <w:top w:val="nil"/>
            </w:tcBorders>
          </w:tcPr>
          <w:p w14:paraId="1D60AE6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Item 6.3 of the table in Section 50-30 of the </w:t>
            </w:r>
            <w:r>
              <w:rPr>
                <w:rFonts w:ascii="Arial" w:hAnsi="Arial" w:cs="Arial"/>
                <w:i/>
                <w:iCs/>
                <w:color w:val="000000"/>
                <w:sz w:val="16"/>
                <w:szCs w:val="16"/>
              </w:rPr>
              <w:t>Income Tax Assessment Act 1997</w:t>
            </w:r>
          </w:p>
        </w:tc>
      </w:tr>
    </w:tbl>
    <w:p w14:paraId="407C3D5D" w14:textId="77777777" w:rsidR="006E40C9" w:rsidRPr="00540040" w:rsidRDefault="006E40C9" w:rsidP="006E40C9">
      <w:pPr>
        <w:pStyle w:val="MeasureTableHeading"/>
      </w:pPr>
    </w:p>
    <w:p w14:paraId="794AE37C" w14:textId="4DEF6DF0" w:rsidR="006E40C9" w:rsidRDefault="006E40C9" w:rsidP="006E40C9">
      <w:r w:rsidRPr="00D3439B">
        <w:t>The benchmark tax treatment is that income tax is paid on the taxable income of a</w:t>
      </w:r>
      <w:r>
        <w:t>n</w:t>
      </w:r>
      <w:r w:rsidRPr="00D3439B">
        <w:t xml:space="preserve"> </w:t>
      </w:r>
      <w:r>
        <w:t>entity</w:t>
      </w:r>
      <w:r w:rsidRPr="00D3439B">
        <w:t xml:space="preserve"> for an income year at </w:t>
      </w:r>
      <w:r>
        <w:t>its</w:t>
      </w:r>
      <w:r w:rsidRPr="00D3439B">
        <w:t xml:space="preserve"> applicable rate of tax</w:t>
      </w:r>
      <w:r>
        <w:t>.</w:t>
      </w:r>
      <w:r w:rsidRPr="00D3439B">
        <w:t xml:space="preserve"> </w:t>
      </w:r>
      <w:r>
        <w:t>However, t</w:t>
      </w:r>
      <w:r w:rsidRPr="00DF5DF2">
        <w:t xml:space="preserve">he income of </w:t>
      </w:r>
      <w:r>
        <w:t>private health insurers</w:t>
      </w:r>
      <w:r>
        <w:fldChar w:fldCharType="begin"/>
      </w:r>
      <w:r>
        <w:instrText xml:space="preserve"> XE "P</w:instrText>
      </w:r>
      <w:r w:rsidRPr="0042200D">
        <w:instrText>rivate health insur</w:instrText>
      </w:r>
      <w:r>
        <w:instrText xml:space="preserve">ance" </w:instrText>
      </w:r>
      <w:r>
        <w:fldChar w:fldCharType="end"/>
      </w:r>
      <w:r>
        <w:t xml:space="preserve"> covered by the </w:t>
      </w:r>
      <w:r>
        <w:rPr>
          <w:i/>
        </w:rPr>
        <w:t xml:space="preserve">Private Health Insurance (Prudential Supervision) Act 2015 </w:t>
      </w:r>
      <w:r w:rsidRPr="00DF5DF2">
        <w:t>is exempt from income tax</w:t>
      </w:r>
      <w:r>
        <w:t xml:space="preserve"> if the insurer is</w:t>
      </w:r>
      <w:r w:rsidRPr="00DF5DF2">
        <w:t xml:space="preserve"> not operated for the gain or profit of </w:t>
      </w:r>
      <w:r>
        <w:t>its</w:t>
      </w:r>
      <w:r w:rsidRPr="00DF5DF2">
        <w:t xml:space="preserve"> individual members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rsidRPr="00DF5DF2">
        <w:t>.</w:t>
      </w:r>
    </w:p>
    <w:p w14:paraId="49060FEC" w14:textId="77777777" w:rsidR="006E40C9" w:rsidRDefault="006E40C9" w:rsidP="0003254D">
      <w:pPr>
        <w:pStyle w:val="Heading3"/>
      </w:pPr>
      <w:r>
        <w:t>Tax expenditures for social security and welfare</w:t>
      </w:r>
    </w:p>
    <w:p w14:paraId="089D9E97" w14:textId="77777777" w:rsidR="006E40C9" w:rsidRDefault="006E40C9" w:rsidP="0003254D">
      <w:pPr>
        <w:pStyle w:val="Heading4"/>
      </w:pPr>
      <w:r>
        <w:t>B19</w:t>
      </w:r>
      <w:r>
        <w:tab/>
        <w:t>Deductibility for entertainment provided without charge to those in need</w:t>
      </w:r>
    </w:p>
    <w:p w14:paraId="21D9AFC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682925" w14:textId="77777777">
        <w:trPr>
          <w:cantSplit/>
          <w:jc w:val="center"/>
        </w:trPr>
        <w:tc>
          <w:tcPr>
            <w:tcW w:w="967" w:type="dxa"/>
            <w:tcBorders>
              <w:top w:val="single" w:sz="2" w:space="0" w:color="auto"/>
              <w:bottom w:val="single" w:sz="2" w:space="0" w:color="auto"/>
            </w:tcBorders>
          </w:tcPr>
          <w:p w14:paraId="3738D2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9FB480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8071A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97021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707E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3674C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12A733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931A64" w14:textId="77777777" w:rsidR="006E40C9" w:rsidRDefault="006E40C9">
            <w:pPr>
              <w:pStyle w:val="MeasureTableTextRightAligned"/>
            </w:pPr>
            <w:r>
              <w:t>2027-28</w:t>
            </w:r>
          </w:p>
        </w:tc>
      </w:tr>
      <w:tr w:rsidR="006E40C9" w14:paraId="5D877851" w14:textId="77777777">
        <w:trPr>
          <w:cantSplit/>
          <w:jc w:val="center"/>
        </w:trPr>
        <w:tc>
          <w:tcPr>
            <w:tcW w:w="967" w:type="dxa"/>
            <w:tcBorders>
              <w:top w:val="single" w:sz="2" w:space="0" w:color="auto"/>
              <w:bottom w:val="single" w:sz="2" w:space="0" w:color="auto"/>
            </w:tcBorders>
          </w:tcPr>
          <w:p w14:paraId="38FF60D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32B6E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C9F88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443C0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C025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6D448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7E9B7C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C3BCF2B" w14:textId="77777777" w:rsidR="006E40C9" w:rsidRDefault="006E40C9">
            <w:pPr>
              <w:pStyle w:val="MeasureTableTextRightAligned"/>
            </w:pPr>
            <w:r>
              <w:t>*</w:t>
            </w:r>
          </w:p>
        </w:tc>
      </w:tr>
      <w:tr w:rsidR="006E40C9" w14:paraId="2E1D41EC" w14:textId="77777777">
        <w:trPr>
          <w:cantSplit/>
          <w:jc w:val="center"/>
        </w:trPr>
        <w:tc>
          <w:tcPr>
            <w:tcW w:w="1934" w:type="dxa"/>
            <w:gridSpan w:val="2"/>
            <w:tcBorders>
              <w:top w:val="single" w:sz="2" w:space="0" w:color="auto"/>
              <w:bottom w:val="nil"/>
            </w:tcBorders>
          </w:tcPr>
          <w:p w14:paraId="311F912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100A7D" w14:textId="77777777" w:rsidR="006E40C9" w:rsidRDefault="006E40C9">
            <w:pPr>
              <w:pStyle w:val="MeasureTableTextLeftAligned"/>
            </w:pPr>
            <w:r>
              <w:t>Deduction</w:t>
            </w:r>
          </w:p>
        </w:tc>
        <w:tc>
          <w:tcPr>
            <w:tcW w:w="1500" w:type="dxa"/>
            <w:gridSpan w:val="2"/>
            <w:tcBorders>
              <w:top w:val="single" w:sz="2" w:space="0" w:color="auto"/>
              <w:bottom w:val="nil"/>
            </w:tcBorders>
          </w:tcPr>
          <w:p w14:paraId="396F3347" w14:textId="304BEF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0F0AC6" w14:textId="77777777" w:rsidR="006E40C9" w:rsidRDefault="006E40C9">
            <w:pPr>
              <w:pStyle w:val="MeasureTableTextLeftAligned"/>
            </w:pPr>
            <w:r>
              <w:t>B19</w:t>
            </w:r>
          </w:p>
        </w:tc>
      </w:tr>
      <w:tr w:rsidR="006E40C9" w14:paraId="37E0889A" w14:textId="77777777">
        <w:trPr>
          <w:cantSplit/>
          <w:jc w:val="center"/>
        </w:trPr>
        <w:tc>
          <w:tcPr>
            <w:tcW w:w="1934" w:type="dxa"/>
            <w:gridSpan w:val="2"/>
            <w:tcBorders>
              <w:top w:val="nil"/>
              <w:bottom w:val="nil"/>
            </w:tcBorders>
          </w:tcPr>
          <w:p w14:paraId="3376B51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0E9364" w14:textId="77777777" w:rsidR="006E40C9" w:rsidRPr="00584CA7" w:rsidRDefault="006E40C9">
            <w:pPr>
              <w:pStyle w:val="MeasureTableTextLeftAligned"/>
            </w:pPr>
            <w:r>
              <w:t>Not Applicable</w:t>
            </w:r>
          </w:p>
        </w:tc>
        <w:tc>
          <w:tcPr>
            <w:tcW w:w="1500" w:type="dxa"/>
            <w:gridSpan w:val="2"/>
            <w:tcBorders>
              <w:top w:val="nil"/>
              <w:bottom w:val="nil"/>
            </w:tcBorders>
          </w:tcPr>
          <w:p w14:paraId="06394138" w14:textId="77777777" w:rsidR="006E40C9" w:rsidRDefault="006E40C9">
            <w:pPr>
              <w:pStyle w:val="MeasureTableTextItalic"/>
            </w:pPr>
            <w:r>
              <w:t>* Category</w:t>
            </w:r>
          </w:p>
        </w:tc>
        <w:tc>
          <w:tcPr>
            <w:tcW w:w="1124" w:type="dxa"/>
            <w:gridSpan w:val="2"/>
            <w:tcBorders>
              <w:top w:val="nil"/>
              <w:bottom w:val="nil"/>
            </w:tcBorders>
          </w:tcPr>
          <w:p w14:paraId="5D87A562" w14:textId="77777777" w:rsidR="006E40C9" w:rsidRDefault="006E40C9">
            <w:pPr>
              <w:pStyle w:val="MeasureTableTextLeftAligned"/>
            </w:pPr>
            <w:r>
              <w:t>1+</w:t>
            </w:r>
          </w:p>
        </w:tc>
      </w:tr>
      <w:tr w:rsidR="006E40C9" w14:paraId="4F65B0EF" w14:textId="77777777">
        <w:trPr>
          <w:cantSplit/>
          <w:jc w:val="center"/>
        </w:trPr>
        <w:tc>
          <w:tcPr>
            <w:tcW w:w="1934" w:type="dxa"/>
            <w:gridSpan w:val="2"/>
            <w:tcBorders>
              <w:top w:val="nil"/>
              <w:bottom w:val="nil"/>
            </w:tcBorders>
          </w:tcPr>
          <w:p w14:paraId="3BE55A48" w14:textId="77777777" w:rsidR="006E40C9" w:rsidRDefault="006E40C9">
            <w:pPr>
              <w:pStyle w:val="MeasureTableTextItalic"/>
            </w:pPr>
            <w:r>
              <w:t>Commencement date:</w:t>
            </w:r>
          </w:p>
        </w:tc>
        <w:tc>
          <w:tcPr>
            <w:tcW w:w="3179" w:type="dxa"/>
            <w:gridSpan w:val="4"/>
            <w:tcBorders>
              <w:top w:val="nil"/>
              <w:bottom w:val="nil"/>
            </w:tcBorders>
          </w:tcPr>
          <w:p w14:paraId="68C549EE" w14:textId="77777777" w:rsidR="006E40C9" w:rsidRDefault="006E40C9">
            <w:pPr>
              <w:pStyle w:val="MeasureTableTextLeftAligned"/>
            </w:pPr>
            <w:r>
              <w:t>19 September 1985</w:t>
            </w:r>
          </w:p>
        </w:tc>
        <w:tc>
          <w:tcPr>
            <w:tcW w:w="1500" w:type="dxa"/>
            <w:gridSpan w:val="2"/>
            <w:tcBorders>
              <w:top w:val="nil"/>
              <w:bottom w:val="nil"/>
            </w:tcBorders>
          </w:tcPr>
          <w:p w14:paraId="73B21E21" w14:textId="77777777" w:rsidR="006E40C9" w:rsidRPr="00F32057" w:rsidRDefault="006E40C9">
            <w:pPr>
              <w:pStyle w:val="MeasureTableTextItalic"/>
            </w:pPr>
            <w:r>
              <w:t>Expiry date:</w:t>
            </w:r>
          </w:p>
        </w:tc>
        <w:tc>
          <w:tcPr>
            <w:tcW w:w="1124" w:type="dxa"/>
            <w:gridSpan w:val="2"/>
            <w:tcBorders>
              <w:top w:val="nil"/>
              <w:bottom w:val="nil"/>
            </w:tcBorders>
          </w:tcPr>
          <w:p w14:paraId="133ABCB2" w14:textId="77777777" w:rsidR="006E40C9" w:rsidRPr="00F32057" w:rsidRDefault="006E40C9">
            <w:pPr>
              <w:pStyle w:val="MeasureTableTextLeftAligned"/>
            </w:pPr>
          </w:p>
        </w:tc>
      </w:tr>
      <w:tr w:rsidR="006E40C9" w14:paraId="3665C548" w14:textId="77777777">
        <w:trPr>
          <w:cantSplit/>
          <w:jc w:val="center"/>
        </w:trPr>
        <w:tc>
          <w:tcPr>
            <w:tcW w:w="1934" w:type="dxa"/>
            <w:gridSpan w:val="2"/>
            <w:tcBorders>
              <w:top w:val="nil"/>
            </w:tcBorders>
          </w:tcPr>
          <w:p w14:paraId="0B41AA7A" w14:textId="77777777" w:rsidR="006E40C9" w:rsidRDefault="006E40C9">
            <w:pPr>
              <w:pStyle w:val="MeasureTableTextItalic"/>
            </w:pPr>
            <w:r>
              <w:t>Legislative reference:</w:t>
            </w:r>
          </w:p>
        </w:tc>
        <w:tc>
          <w:tcPr>
            <w:tcW w:w="5803" w:type="dxa"/>
            <w:gridSpan w:val="8"/>
            <w:tcBorders>
              <w:top w:val="nil"/>
            </w:tcBorders>
          </w:tcPr>
          <w:p w14:paraId="7135C224"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Section 32-50 of the</w:t>
            </w:r>
            <w:r>
              <w:rPr>
                <w:rFonts w:ascii="Arial" w:hAnsi="Arial" w:cs="Arial"/>
                <w:i/>
                <w:iCs/>
                <w:color w:val="000000"/>
                <w:sz w:val="16"/>
                <w:szCs w:val="16"/>
              </w:rPr>
              <w:t xml:space="preserve"> Income Tax Assessment Act 1997</w:t>
            </w:r>
          </w:p>
        </w:tc>
      </w:tr>
    </w:tbl>
    <w:p w14:paraId="794E2BB3" w14:textId="77777777" w:rsidR="006E40C9" w:rsidRPr="00540040" w:rsidRDefault="006E40C9" w:rsidP="006E40C9">
      <w:pPr>
        <w:pStyle w:val="MeasureTableHeading"/>
      </w:pPr>
    </w:p>
    <w:p w14:paraId="46EF7C58" w14:textId="77777777" w:rsidR="006E40C9" w:rsidRDefault="006E40C9" w:rsidP="006E40C9">
      <w:r w:rsidRPr="00E37C29">
        <w:t>Under the tax benchmark, the cost of providing entertainment by way of food and drink, is denied as a deduction. This rule does not apply where the entertainment is provided without charge to members of the public who are in need.</w:t>
      </w:r>
    </w:p>
    <w:p w14:paraId="6C8221CB" w14:textId="77777777" w:rsidR="006E40C9" w:rsidRDefault="006E40C9" w:rsidP="0003254D">
      <w:pPr>
        <w:pStyle w:val="Heading4"/>
      </w:pPr>
      <w:r>
        <w:t>B20</w:t>
      </w:r>
      <w:r>
        <w:tab/>
        <w:t>Exemption for payments for mining on Aboriginal land</w:t>
      </w:r>
    </w:p>
    <w:p w14:paraId="5757632E"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DC22C0" w14:textId="77777777">
        <w:trPr>
          <w:cantSplit/>
          <w:jc w:val="center"/>
        </w:trPr>
        <w:tc>
          <w:tcPr>
            <w:tcW w:w="967" w:type="dxa"/>
            <w:tcBorders>
              <w:top w:val="single" w:sz="2" w:space="0" w:color="auto"/>
              <w:bottom w:val="single" w:sz="2" w:space="0" w:color="auto"/>
            </w:tcBorders>
          </w:tcPr>
          <w:p w14:paraId="4E84AE0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1640D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7C1D48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029B1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0420E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6F71E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715A9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BAC80F5" w14:textId="77777777" w:rsidR="006E40C9" w:rsidRDefault="006E40C9">
            <w:pPr>
              <w:pStyle w:val="MeasureTableTextRightAligned"/>
            </w:pPr>
            <w:r>
              <w:t>2027-28</w:t>
            </w:r>
          </w:p>
        </w:tc>
      </w:tr>
      <w:tr w:rsidR="006E40C9" w14:paraId="1B5B03F9" w14:textId="77777777">
        <w:trPr>
          <w:cantSplit/>
          <w:jc w:val="center"/>
        </w:trPr>
        <w:tc>
          <w:tcPr>
            <w:tcW w:w="967" w:type="dxa"/>
            <w:tcBorders>
              <w:top w:val="single" w:sz="2" w:space="0" w:color="auto"/>
              <w:bottom w:val="single" w:sz="2" w:space="0" w:color="auto"/>
            </w:tcBorders>
          </w:tcPr>
          <w:p w14:paraId="1F2E013C" w14:textId="77777777" w:rsidR="006E40C9" w:rsidRDefault="006E40C9">
            <w:pPr>
              <w:pStyle w:val="MeasureTableTextRightAligned"/>
            </w:pPr>
            <w:r>
              <w:t>*</w:t>
            </w:r>
          </w:p>
        </w:tc>
        <w:tc>
          <w:tcPr>
            <w:tcW w:w="967" w:type="dxa"/>
            <w:tcBorders>
              <w:top w:val="single" w:sz="2" w:space="0" w:color="auto"/>
              <w:bottom w:val="single" w:sz="2" w:space="0" w:color="auto"/>
            </w:tcBorders>
          </w:tcPr>
          <w:p w14:paraId="42F21A5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E9304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EE08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BEA3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97925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D5879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9C08FD6" w14:textId="77777777" w:rsidR="006E40C9" w:rsidRDefault="006E40C9">
            <w:pPr>
              <w:pStyle w:val="MeasureTableTextRightAligned"/>
            </w:pPr>
            <w:r>
              <w:t>*</w:t>
            </w:r>
          </w:p>
        </w:tc>
      </w:tr>
      <w:tr w:rsidR="006E40C9" w14:paraId="298BDB43" w14:textId="77777777">
        <w:trPr>
          <w:cantSplit/>
          <w:jc w:val="center"/>
        </w:trPr>
        <w:tc>
          <w:tcPr>
            <w:tcW w:w="1934" w:type="dxa"/>
            <w:gridSpan w:val="2"/>
            <w:tcBorders>
              <w:top w:val="single" w:sz="2" w:space="0" w:color="auto"/>
              <w:bottom w:val="nil"/>
            </w:tcBorders>
          </w:tcPr>
          <w:p w14:paraId="0DB42B4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ECB84D" w14:textId="77777777" w:rsidR="006E40C9" w:rsidRDefault="006E40C9">
            <w:pPr>
              <w:pStyle w:val="MeasureTableTextLeftAligned"/>
            </w:pPr>
            <w:r>
              <w:t>Exemption</w:t>
            </w:r>
          </w:p>
        </w:tc>
        <w:tc>
          <w:tcPr>
            <w:tcW w:w="1500" w:type="dxa"/>
            <w:gridSpan w:val="2"/>
            <w:tcBorders>
              <w:top w:val="single" w:sz="2" w:space="0" w:color="auto"/>
              <w:bottom w:val="nil"/>
            </w:tcBorders>
          </w:tcPr>
          <w:p w14:paraId="3B6751B1" w14:textId="2B31E44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5B5C67A" w14:textId="77777777" w:rsidR="006E40C9" w:rsidRDefault="006E40C9">
            <w:pPr>
              <w:pStyle w:val="MeasureTableTextLeftAligned"/>
            </w:pPr>
            <w:r>
              <w:t>B20</w:t>
            </w:r>
          </w:p>
        </w:tc>
      </w:tr>
      <w:tr w:rsidR="006E40C9" w14:paraId="5904ECE7" w14:textId="77777777">
        <w:trPr>
          <w:cantSplit/>
          <w:jc w:val="center"/>
        </w:trPr>
        <w:tc>
          <w:tcPr>
            <w:tcW w:w="1934" w:type="dxa"/>
            <w:gridSpan w:val="2"/>
            <w:tcBorders>
              <w:top w:val="nil"/>
              <w:bottom w:val="nil"/>
            </w:tcBorders>
          </w:tcPr>
          <w:p w14:paraId="756761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A227B42" w14:textId="77777777" w:rsidR="006E40C9" w:rsidRPr="00584CA7" w:rsidRDefault="006E40C9">
            <w:pPr>
              <w:pStyle w:val="MeasureTableTextLeftAligned"/>
            </w:pPr>
            <w:r>
              <w:t>Not Applicable</w:t>
            </w:r>
          </w:p>
        </w:tc>
        <w:tc>
          <w:tcPr>
            <w:tcW w:w="1500" w:type="dxa"/>
            <w:gridSpan w:val="2"/>
            <w:tcBorders>
              <w:top w:val="nil"/>
              <w:bottom w:val="nil"/>
            </w:tcBorders>
          </w:tcPr>
          <w:p w14:paraId="37DF6553" w14:textId="77777777" w:rsidR="006E40C9" w:rsidRDefault="006E40C9">
            <w:pPr>
              <w:pStyle w:val="MeasureTableTextItalic"/>
            </w:pPr>
            <w:r>
              <w:t>* Category</w:t>
            </w:r>
          </w:p>
        </w:tc>
        <w:tc>
          <w:tcPr>
            <w:tcW w:w="1124" w:type="dxa"/>
            <w:gridSpan w:val="2"/>
            <w:tcBorders>
              <w:top w:val="nil"/>
              <w:bottom w:val="nil"/>
            </w:tcBorders>
          </w:tcPr>
          <w:p w14:paraId="103EEC89" w14:textId="77777777" w:rsidR="006E40C9" w:rsidRDefault="006E40C9">
            <w:pPr>
              <w:pStyle w:val="MeasureTableTextLeftAligned"/>
            </w:pPr>
            <w:r>
              <w:t>2+</w:t>
            </w:r>
          </w:p>
        </w:tc>
      </w:tr>
      <w:tr w:rsidR="006E40C9" w14:paraId="71390D3D" w14:textId="77777777">
        <w:trPr>
          <w:cantSplit/>
          <w:jc w:val="center"/>
        </w:trPr>
        <w:tc>
          <w:tcPr>
            <w:tcW w:w="1934" w:type="dxa"/>
            <w:gridSpan w:val="2"/>
            <w:tcBorders>
              <w:top w:val="nil"/>
              <w:bottom w:val="nil"/>
            </w:tcBorders>
          </w:tcPr>
          <w:p w14:paraId="2D014F68" w14:textId="77777777" w:rsidR="006E40C9" w:rsidRDefault="006E40C9">
            <w:pPr>
              <w:pStyle w:val="MeasureTableTextItalic"/>
            </w:pPr>
            <w:r>
              <w:t>Commencement date:</w:t>
            </w:r>
          </w:p>
        </w:tc>
        <w:tc>
          <w:tcPr>
            <w:tcW w:w="3179" w:type="dxa"/>
            <w:gridSpan w:val="4"/>
            <w:tcBorders>
              <w:top w:val="nil"/>
              <w:bottom w:val="nil"/>
            </w:tcBorders>
          </w:tcPr>
          <w:p w14:paraId="26501B6E" w14:textId="77777777" w:rsidR="006E40C9" w:rsidRDefault="006E40C9">
            <w:pPr>
              <w:pStyle w:val="MeasureTableTextLeftAligned"/>
            </w:pPr>
            <w:r>
              <w:t>8 July 1997</w:t>
            </w:r>
          </w:p>
        </w:tc>
        <w:tc>
          <w:tcPr>
            <w:tcW w:w="1500" w:type="dxa"/>
            <w:gridSpan w:val="2"/>
            <w:tcBorders>
              <w:top w:val="nil"/>
              <w:bottom w:val="nil"/>
            </w:tcBorders>
          </w:tcPr>
          <w:p w14:paraId="6A390BD9" w14:textId="77777777" w:rsidR="006E40C9" w:rsidRPr="00F32057" w:rsidRDefault="006E40C9">
            <w:pPr>
              <w:pStyle w:val="MeasureTableTextItalic"/>
            </w:pPr>
            <w:r>
              <w:t>Expiry date:</w:t>
            </w:r>
          </w:p>
        </w:tc>
        <w:tc>
          <w:tcPr>
            <w:tcW w:w="1124" w:type="dxa"/>
            <w:gridSpan w:val="2"/>
            <w:tcBorders>
              <w:top w:val="nil"/>
              <w:bottom w:val="nil"/>
            </w:tcBorders>
          </w:tcPr>
          <w:p w14:paraId="29886936" w14:textId="77777777" w:rsidR="006E40C9" w:rsidRPr="00F32057" w:rsidRDefault="006E40C9">
            <w:pPr>
              <w:pStyle w:val="MeasureTableTextLeftAligned"/>
            </w:pPr>
          </w:p>
        </w:tc>
      </w:tr>
      <w:tr w:rsidR="006E40C9" w14:paraId="0E9D6AD2" w14:textId="77777777">
        <w:trPr>
          <w:cantSplit/>
          <w:jc w:val="center"/>
        </w:trPr>
        <w:tc>
          <w:tcPr>
            <w:tcW w:w="1934" w:type="dxa"/>
            <w:gridSpan w:val="2"/>
            <w:tcBorders>
              <w:top w:val="nil"/>
            </w:tcBorders>
          </w:tcPr>
          <w:p w14:paraId="34BDC815" w14:textId="77777777" w:rsidR="006E40C9" w:rsidRDefault="006E40C9">
            <w:pPr>
              <w:pStyle w:val="MeasureTableTextItalic"/>
            </w:pPr>
            <w:r>
              <w:t>Legislative reference:</w:t>
            </w:r>
          </w:p>
        </w:tc>
        <w:tc>
          <w:tcPr>
            <w:tcW w:w="5803" w:type="dxa"/>
            <w:gridSpan w:val="8"/>
            <w:tcBorders>
              <w:top w:val="nil"/>
            </w:tcBorders>
          </w:tcPr>
          <w:p w14:paraId="6FB1AF4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59-15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4817A6DF" w14:textId="77777777" w:rsidR="006E40C9" w:rsidRPr="00540040" w:rsidRDefault="006E40C9" w:rsidP="006E40C9">
      <w:pPr>
        <w:pStyle w:val="MeasureTableHeading"/>
      </w:pPr>
    </w:p>
    <w:p w14:paraId="4E6995C6" w14:textId="77777777" w:rsidR="006E40C9" w:rsidRDefault="006E40C9" w:rsidP="006E40C9">
      <w:r w:rsidRPr="002239B8">
        <w:t>Under the benchmark, payments in respect of mining rights are generally assessable to taxpayers. However, certain mining payments to Aboriginal and Torres Strait Islander persons or certain distributing bodies are exempt from income tax.</w:t>
      </w:r>
    </w:p>
    <w:p w14:paraId="43A3A1D3" w14:textId="77777777" w:rsidR="006E40C9" w:rsidRDefault="006E40C9" w:rsidP="0003254D">
      <w:pPr>
        <w:pStyle w:val="Heading4"/>
      </w:pPr>
      <w:r>
        <w:t>B21</w:t>
      </w:r>
      <w:r>
        <w:tab/>
        <w:t>Life insurance investment income taxation concession</w:t>
      </w:r>
    </w:p>
    <w:p w14:paraId="7783EDC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9DA8228" w14:textId="77777777">
        <w:trPr>
          <w:cantSplit/>
          <w:jc w:val="center"/>
        </w:trPr>
        <w:tc>
          <w:tcPr>
            <w:tcW w:w="967" w:type="dxa"/>
            <w:tcBorders>
              <w:top w:val="single" w:sz="2" w:space="0" w:color="auto"/>
              <w:bottom w:val="single" w:sz="2" w:space="0" w:color="auto"/>
            </w:tcBorders>
          </w:tcPr>
          <w:p w14:paraId="1B45A1C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5BB8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EB412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D252F7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69A277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2E9E90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9CE29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ACC3A6" w14:textId="77777777" w:rsidR="006E40C9" w:rsidRDefault="006E40C9">
            <w:pPr>
              <w:pStyle w:val="MeasureTableTextRightAligned"/>
            </w:pPr>
            <w:r>
              <w:t>2027-28</w:t>
            </w:r>
          </w:p>
        </w:tc>
      </w:tr>
      <w:tr w:rsidR="006E40C9" w14:paraId="5BC9863F" w14:textId="77777777">
        <w:trPr>
          <w:cantSplit/>
          <w:jc w:val="center"/>
        </w:trPr>
        <w:tc>
          <w:tcPr>
            <w:tcW w:w="967" w:type="dxa"/>
            <w:tcBorders>
              <w:top w:val="single" w:sz="2" w:space="0" w:color="auto"/>
              <w:bottom w:val="single" w:sz="2" w:space="0" w:color="auto"/>
            </w:tcBorders>
          </w:tcPr>
          <w:p w14:paraId="4EC023FA"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3119F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2BD10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2F42E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225DB6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DD4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B5EDA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6A3D96" w14:textId="77777777" w:rsidR="006E40C9" w:rsidRDefault="006E40C9">
            <w:pPr>
              <w:pStyle w:val="MeasureTableTextRightAligned"/>
            </w:pPr>
            <w:r>
              <w:t>*</w:t>
            </w:r>
          </w:p>
        </w:tc>
      </w:tr>
      <w:tr w:rsidR="006E40C9" w14:paraId="3B3E8290" w14:textId="77777777">
        <w:trPr>
          <w:cantSplit/>
          <w:jc w:val="center"/>
        </w:trPr>
        <w:tc>
          <w:tcPr>
            <w:tcW w:w="1934" w:type="dxa"/>
            <w:gridSpan w:val="2"/>
            <w:tcBorders>
              <w:top w:val="single" w:sz="2" w:space="0" w:color="auto"/>
              <w:bottom w:val="nil"/>
            </w:tcBorders>
          </w:tcPr>
          <w:p w14:paraId="5D3008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6B5EE9B" w14:textId="77777777" w:rsidR="006E40C9" w:rsidRDefault="006E40C9">
            <w:pPr>
              <w:pStyle w:val="MeasureTableTextLeftAligned"/>
            </w:pPr>
            <w:r>
              <w:t>Exemption, Offset, Concessional rate</w:t>
            </w:r>
          </w:p>
        </w:tc>
        <w:tc>
          <w:tcPr>
            <w:tcW w:w="1500" w:type="dxa"/>
            <w:gridSpan w:val="2"/>
            <w:tcBorders>
              <w:top w:val="single" w:sz="2" w:space="0" w:color="auto"/>
              <w:bottom w:val="nil"/>
            </w:tcBorders>
          </w:tcPr>
          <w:p w14:paraId="5C8F5E63" w14:textId="5FA9947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24F102" w14:textId="77777777" w:rsidR="006E40C9" w:rsidRDefault="006E40C9">
            <w:pPr>
              <w:pStyle w:val="MeasureTableTextLeftAligned"/>
            </w:pPr>
            <w:r>
              <w:t>B21</w:t>
            </w:r>
          </w:p>
        </w:tc>
      </w:tr>
      <w:tr w:rsidR="006E40C9" w14:paraId="1F19EFAF" w14:textId="77777777">
        <w:trPr>
          <w:cantSplit/>
          <w:jc w:val="center"/>
        </w:trPr>
        <w:tc>
          <w:tcPr>
            <w:tcW w:w="1934" w:type="dxa"/>
            <w:gridSpan w:val="2"/>
            <w:tcBorders>
              <w:top w:val="nil"/>
              <w:bottom w:val="nil"/>
            </w:tcBorders>
          </w:tcPr>
          <w:p w14:paraId="6823A7E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EE293B" w14:textId="77777777" w:rsidR="006E40C9" w:rsidRPr="00584CA7" w:rsidRDefault="006E40C9">
            <w:pPr>
              <w:pStyle w:val="MeasureTableTextLeftAligned"/>
            </w:pPr>
            <w:r>
              <w:t>Not Applicable</w:t>
            </w:r>
          </w:p>
        </w:tc>
        <w:tc>
          <w:tcPr>
            <w:tcW w:w="1500" w:type="dxa"/>
            <w:gridSpan w:val="2"/>
            <w:tcBorders>
              <w:top w:val="nil"/>
              <w:bottom w:val="nil"/>
            </w:tcBorders>
          </w:tcPr>
          <w:p w14:paraId="5DB0991E" w14:textId="77777777" w:rsidR="006E40C9" w:rsidRDefault="006E40C9">
            <w:pPr>
              <w:pStyle w:val="MeasureTableTextItalic"/>
            </w:pPr>
            <w:r>
              <w:t>* Category</w:t>
            </w:r>
          </w:p>
        </w:tc>
        <w:tc>
          <w:tcPr>
            <w:tcW w:w="1124" w:type="dxa"/>
            <w:gridSpan w:val="2"/>
            <w:tcBorders>
              <w:top w:val="nil"/>
              <w:bottom w:val="nil"/>
            </w:tcBorders>
          </w:tcPr>
          <w:p w14:paraId="5AEF0830" w14:textId="77777777" w:rsidR="006E40C9" w:rsidRDefault="006E40C9">
            <w:pPr>
              <w:pStyle w:val="MeasureTableTextLeftAligned"/>
            </w:pPr>
            <w:r>
              <w:t>1+</w:t>
            </w:r>
          </w:p>
        </w:tc>
      </w:tr>
      <w:tr w:rsidR="006E40C9" w14:paraId="051FC64E" w14:textId="77777777">
        <w:trPr>
          <w:cantSplit/>
          <w:jc w:val="center"/>
        </w:trPr>
        <w:tc>
          <w:tcPr>
            <w:tcW w:w="1934" w:type="dxa"/>
            <w:gridSpan w:val="2"/>
            <w:tcBorders>
              <w:top w:val="nil"/>
              <w:bottom w:val="nil"/>
            </w:tcBorders>
          </w:tcPr>
          <w:p w14:paraId="410CC2AC" w14:textId="77777777" w:rsidR="006E40C9" w:rsidRDefault="006E40C9">
            <w:pPr>
              <w:pStyle w:val="MeasureTableTextItalic"/>
            </w:pPr>
            <w:r>
              <w:t>Commencement date:</w:t>
            </w:r>
          </w:p>
        </w:tc>
        <w:tc>
          <w:tcPr>
            <w:tcW w:w="3179" w:type="dxa"/>
            <w:gridSpan w:val="4"/>
            <w:tcBorders>
              <w:top w:val="nil"/>
              <w:bottom w:val="nil"/>
            </w:tcBorders>
          </w:tcPr>
          <w:p w14:paraId="21951FDF" w14:textId="77777777" w:rsidR="006E40C9" w:rsidRDefault="006E40C9">
            <w:pPr>
              <w:pStyle w:val="MeasureTableTextLeftAligned"/>
            </w:pPr>
            <w:r>
              <w:t>2000</w:t>
            </w:r>
          </w:p>
        </w:tc>
        <w:tc>
          <w:tcPr>
            <w:tcW w:w="1500" w:type="dxa"/>
            <w:gridSpan w:val="2"/>
            <w:tcBorders>
              <w:top w:val="nil"/>
              <w:bottom w:val="nil"/>
            </w:tcBorders>
          </w:tcPr>
          <w:p w14:paraId="70F46A40" w14:textId="77777777" w:rsidR="006E40C9" w:rsidRPr="00F32057" w:rsidRDefault="006E40C9">
            <w:pPr>
              <w:pStyle w:val="MeasureTableTextItalic"/>
            </w:pPr>
            <w:r>
              <w:t>Expiry date:</w:t>
            </w:r>
          </w:p>
        </w:tc>
        <w:tc>
          <w:tcPr>
            <w:tcW w:w="1124" w:type="dxa"/>
            <w:gridSpan w:val="2"/>
            <w:tcBorders>
              <w:top w:val="nil"/>
              <w:bottom w:val="nil"/>
            </w:tcBorders>
          </w:tcPr>
          <w:p w14:paraId="6B9D1AF3" w14:textId="77777777" w:rsidR="006E40C9" w:rsidRPr="00F32057" w:rsidRDefault="006E40C9">
            <w:pPr>
              <w:pStyle w:val="MeasureTableTextLeftAligned"/>
            </w:pPr>
          </w:p>
        </w:tc>
      </w:tr>
      <w:tr w:rsidR="006E40C9" w14:paraId="6F774FDF" w14:textId="77777777">
        <w:trPr>
          <w:cantSplit/>
          <w:jc w:val="center"/>
        </w:trPr>
        <w:tc>
          <w:tcPr>
            <w:tcW w:w="1934" w:type="dxa"/>
            <w:gridSpan w:val="2"/>
            <w:tcBorders>
              <w:top w:val="nil"/>
            </w:tcBorders>
          </w:tcPr>
          <w:p w14:paraId="2F0752B6" w14:textId="77777777" w:rsidR="006E40C9" w:rsidRDefault="006E40C9">
            <w:pPr>
              <w:pStyle w:val="MeasureTableTextItalic"/>
            </w:pPr>
            <w:r>
              <w:t>Legislative reference:</w:t>
            </w:r>
          </w:p>
        </w:tc>
        <w:tc>
          <w:tcPr>
            <w:tcW w:w="5803" w:type="dxa"/>
            <w:gridSpan w:val="8"/>
            <w:tcBorders>
              <w:top w:val="nil"/>
            </w:tcBorders>
          </w:tcPr>
          <w:p w14:paraId="46FCE8A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26AH and 160AAB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4F401718" w14:textId="77777777" w:rsidR="006E40C9" w:rsidRPr="00540040" w:rsidRDefault="006E40C9" w:rsidP="006E40C9">
      <w:pPr>
        <w:pStyle w:val="MeasureTableHeading"/>
      </w:pPr>
    </w:p>
    <w:p w14:paraId="68C2E1F0" w14:textId="77777777" w:rsidR="006E40C9" w:rsidRDefault="006E40C9" w:rsidP="006E40C9">
      <w:r>
        <w:t xml:space="preserve">Under the tax benchmark individuals are taxed on their investment returns at the tax rates applied to individuals. Some life insurance arrangements have the characteristics of an investment and are taxed partly at the level of the life insurance company at the company tax rate and partly when received by the individual. Individuals can also receive rebates to </w:t>
      </w:r>
      <w:r w:rsidRPr="0025606C">
        <w:t>ensure that a reversionary bonus (the income distributed from a life insurance policy) on which the life insurance company has paid tax is not subject to double taxation in the hands of policyholders.</w:t>
      </w:r>
      <w:r>
        <w:t xml:space="preserve"> </w:t>
      </w:r>
      <w:r>
        <w:fldChar w:fldCharType="begin"/>
      </w:r>
      <w:r w:rsidRPr="00F772D5">
        <w:instrText xml:space="preserve"> XE "Life insurance investment income" </w:instrText>
      </w:r>
      <w:r>
        <w:fldChar w:fldCharType="end"/>
      </w:r>
    </w:p>
    <w:p w14:paraId="17629572" w14:textId="77777777" w:rsidR="006E40C9" w:rsidRDefault="006E40C9" w:rsidP="0003254D">
      <w:pPr>
        <w:pStyle w:val="Heading4"/>
      </w:pPr>
      <w:r>
        <w:t>B22</w:t>
      </w:r>
      <w:r>
        <w:tab/>
        <w:t>Superannuation Guarantee amnesty</w:t>
      </w:r>
    </w:p>
    <w:p w14:paraId="3C0C076A" w14:textId="77777777" w:rsidR="006E40C9" w:rsidRDefault="006E40C9" w:rsidP="006E40C9">
      <w:pPr>
        <w:pStyle w:val="MeasureTableHeading"/>
      </w:pPr>
      <w:r>
        <w:t>Social security and welfare ($m)</w:t>
      </w:r>
    </w:p>
    <w:tbl>
      <w:tblPr>
        <w:tblW w:w="779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1028"/>
      </w:tblGrid>
      <w:tr w:rsidR="006E40C9" w14:paraId="7DF68C04" w14:textId="77777777" w:rsidTr="005047E0">
        <w:trPr>
          <w:cantSplit/>
          <w:jc w:val="center"/>
        </w:trPr>
        <w:tc>
          <w:tcPr>
            <w:tcW w:w="967" w:type="dxa"/>
            <w:tcBorders>
              <w:top w:val="single" w:sz="2" w:space="0" w:color="auto"/>
              <w:bottom w:val="single" w:sz="2" w:space="0" w:color="auto"/>
            </w:tcBorders>
          </w:tcPr>
          <w:p w14:paraId="34852E8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577DC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825CF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34756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E87A5F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F6B0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6D07D4A" w14:textId="77777777" w:rsidR="006E40C9" w:rsidRDefault="006E40C9">
            <w:pPr>
              <w:pStyle w:val="MeasureTableTextRightAligned"/>
            </w:pPr>
            <w:r>
              <w:t>2026-27</w:t>
            </w:r>
          </w:p>
        </w:tc>
        <w:tc>
          <w:tcPr>
            <w:tcW w:w="1028" w:type="dxa"/>
            <w:tcBorders>
              <w:top w:val="single" w:sz="2" w:space="0" w:color="auto"/>
              <w:bottom w:val="single" w:sz="2" w:space="0" w:color="auto"/>
            </w:tcBorders>
          </w:tcPr>
          <w:p w14:paraId="376377C5" w14:textId="77777777" w:rsidR="006E40C9" w:rsidRDefault="006E40C9">
            <w:pPr>
              <w:pStyle w:val="MeasureTableTextRightAligned"/>
            </w:pPr>
            <w:r>
              <w:t>2027-28</w:t>
            </w:r>
          </w:p>
        </w:tc>
      </w:tr>
      <w:tr w:rsidR="006E40C9" w14:paraId="60083854" w14:textId="77777777" w:rsidTr="005047E0">
        <w:trPr>
          <w:cantSplit/>
          <w:jc w:val="center"/>
        </w:trPr>
        <w:tc>
          <w:tcPr>
            <w:tcW w:w="967" w:type="dxa"/>
            <w:tcBorders>
              <w:top w:val="single" w:sz="2" w:space="0" w:color="auto"/>
              <w:bottom w:val="single" w:sz="2" w:space="0" w:color="auto"/>
            </w:tcBorders>
          </w:tcPr>
          <w:p w14:paraId="76667248"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533B25AC" w14:textId="77777777" w:rsidR="006E40C9" w:rsidRDefault="006E40C9">
            <w:pPr>
              <w:pStyle w:val="MeasureTableTextRightAligned"/>
            </w:pPr>
            <w:r>
              <w:t>36</w:t>
            </w:r>
          </w:p>
        </w:tc>
        <w:tc>
          <w:tcPr>
            <w:tcW w:w="967" w:type="dxa"/>
            <w:tcBorders>
              <w:top w:val="single" w:sz="2" w:space="0" w:color="auto"/>
              <w:bottom w:val="single" w:sz="2" w:space="0" w:color="auto"/>
            </w:tcBorders>
            <w:vAlign w:val="bottom"/>
          </w:tcPr>
          <w:p w14:paraId="1F21188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B662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EA23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627DB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7C9BE1" w14:textId="77777777" w:rsidR="006E40C9" w:rsidRDefault="006E40C9">
            <w:pPr>
              <w:pStyle w:val="MeasureTableTextRightAligned"/>
            </w:pPr>
            <w:r>
              <w:t>-</w:t>
            </w:r>
          </w:p>
        </w:tc>
        <w:tc>
          <w:tcPr>
            <w:tcW w:w="1028" w:type="dxa"/>
            <w:tcBorders>
              <w:top w:val="single" w:sz="2" w:space="0" w:color="auto"/>
              <w:bottom w:val="single" w:sz="2" w:space="0" w:color="auto"/>
            </w:tcBorders>
            <w:vAlign w:val="bottom"/>
          </w:tcPr>
          <w:p w14:paraId="777509DC" w14:textId="77777777" w:rsidR="006E40C9" w:rsidRDefault="006E40C9">
            <w:pPr>
              <w:pStyle w:val="MeasureTableTextRightAligned"/>
            </w:pPr>
            <w:r>
              <w:t>-</w:t>
            </w:r>
          </w:p>
        </w:tc>
      </w:tr>
      <w:tr w:rsidR="006E40C9" w14:paraId="6AB308DB" w14:textId="77777777" w:rsidTr="005047E0">
        <w:trPr>
          <w:cantSplit/>
          <w:jc w:val="center"/>
        </w:trPr>
        <w:tc>
          <w:tcPr>
            <w:tcW w:w="1934" w:type="dxa"/>
            <w:gridSpan w:val="2"/>
            <w:tcBorders>
              <w:top w:val="single" w:sz="2" w:space="0" w:color="auto"/>
              <w:bottom w:val="nil"/>
            </w:tcBorders>
          </w:tcPr>
          <w:p w14:paraId="3665CEA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B591DD" w14:textId="77777777" w:rsidR="006E40C9" w:rsidRDefault="006E40C9">
            <w:pPr>
              <w:pStyle w:val="MeasureTableTextLeftAligned"/>
            </w:pPr>
            <w:r>
              <w:t>Deduction</w:t>
            </w:r>
          </w:p>
        </w:tc>
        <w:tc>
          <w:tcPr>
            <w:tcW w:w="1500" w:type="dxa"/>
            <w:gridSpan w:val="2"/>
            <w:tcBorders>
              <w:top w:val="single" w:sz="2" w:space="0" w:color="auto"/>
              <w:bottom w:val="nil"/>
            </w:tcBorders>
          </w:tcPr>
          <w:p w14:paraId="22A9CA24" w14:textId="366E5DB9" w:rsidR="006E40C9" w:rsidRDefault="00A43AF4">
            <w:pPr>
              <w:pStyle w:val="MeasureTableTextItalic"/>
            </w:pPr>
            <w:r>
              <w:t>2023-24</w:t>
            </w:r>
            <w:r w:rsidR="006E40C9">
              <w:t xml:space="preserve"> code:</w:t>
            </w:r>
          </w:p>
        </w:tc>
        <w:tc>
          <w:tcPr>
            <w:tcW w:w="1184" w:type="dxa"/>
            <w:gridSpan w:val="2"/>
            <w:tcBorders>
              <w:top w:val="single" w:sz="2" w:space="0" w:color="auto"/>
              <w:bottom w:val="nil"/>
            </w:tcBorders>
          </w:tcPr>
          <w:p w14:paraId="66BC8E7C" w14:textId="77777777" w:rsidR="006E40C9" w:rsidRDefault="006E40C9">
            <w:pPr>
              <w:pStyle w:val="MeasureTableTextLeftAligned"/>
            </w:pPr>
            <w:r>
              <w:t>B22</w:t>
            </w:r>
          </w:p>
        </w:tc>
      </w:tr>
      <w:tr w:rsidR="006E40C9" w14:paraId="6BB0DCFA" w14:textId="77777777" w:rsidTr="005047E0">
        <w:trPr>
          <w:cantSplit/>
          <w:jc w:val="center"/>
        </w:trPr>
        <w:tc>
          <w:tcPr>
            <w:tcW w:w="1934" w:type="dxa"/>
            <w:gridSpan w:val="2"/>
            <w:tcBorders>
              <w:top w:val="nil"/>
              <w:bottom w:val="nil"/>
            </w:tcBorders>
          </w:tcPr>
          <w:p w14:paraId="7167A3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EFE650" w14:textId="44EC0063"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16346EF" w14:textId="77777777" w:rsidR="006E40C9" w:rsidRDefault="006E40C9">
            <w:pPr>
              <w:pStyle w:val="MeasureTableTextItalic"/>
            </w:pPr>
          </w:p>
        </w:tc>
        <w:tc>
          <w:tcPr>
            <w:tcW w:w="1184" w:type="dxa"/>
            <w:gridSpan w:val="2"/>
            <w:tcBorders>
              <w:top w:val="nil"/>
              <w:bottom w:val="nil"/>
            </w:tcBorders>
          </w:tcPr>
          <w:p w14:paraId="78A4F751" w14:textId="77777777" w:rsidR="006E40C9" w:rsidRDefault="006E40C9">
            <w:pPr>
              <w:pStyle w:val="MeasureTableTextLeftAligned"/>
            </w:pPr>
          </w:p>
        </w:tc>
      </w:tr>
      <w:tr w:rsidR="006E40C9" w14:paraId="65701D93" w14:textId="77777777" w:rsidTr="005047E0">
        <w:trPr>
          <w:cantSplit/>
          <w:jc w:val="center"/>
        </w:trPr>
        <w:tc>
          <w:tcPr>
            <w:tcW w:w="1934" w:type="dxa"/>
            <w:gridSpan w:val="2"/>
            <w:tcBorders>
              <w:top w:val="nil"/>
              <w:bottom w:val="nil"/>
            </w:tcBorders>
          </w:tcPr>
          <w:p w14:paraId="7B1A5B14" w14:textId="77777777" w:rsidR="006E40C9" w:rsidRDefault="006E40C9">
            <w:pPr>
              <w:pStyle w:val="MeasureTableTextItalic"/>
            </w:pPr>
            <w:r>
              <w:t>Commencement date:</w:t>
            </w:r>
          </w:p>
        </w:tc>
        <w:tc>
          <w:tcPr>
            <w:tcW w:w="3179" w:type="dxa"/>
            <w:gridSpan w:val="4"/>
            <w:tcBorders>
              <w:top w:val="nil"/>
              <w:bottom w:val="nil"/>
            </w:tcBorders>
          </w:tcPr>
          <w:p w14:paraId="3D24FCA3" w14:textId="77777777" w:rsidR="006E40C9" w:rsidRDefault="006E40C9">
            <w:pPr>
              <w:pStyle w:val="MeasureTableTextLeftAligned"/>
            </w:pPr>
            <w:r>
              <w:t>24 May 2018</w:t>
            </w:r>
          </w:p>
        </w:tc>
        <w:tc>
          <w:tcPr>
            <w:tcW w:w="1500" w:type="dxa"/>
            <w:gridSpan w:val="2"/>
            <w:tcBorders>
              <w:top w:val="nil"/>
              <w:bottom w:val="nil"/>
            </w:tcBorders>
          </w:tcPr>
          <w:p w14:paraId="4EFCC21F" w14:textId="77777777" w:rsidR="006E40C9" w:rsidRPr="00F32057" w:rsidRDefault="006E40C9">
            <w:pPr>
              <w:pStyle w:val="MeasureTableTextItalic"/>
            </w:pPr>
            <w:r>
              <w:t>Expiry date:</w:t>
            </w:r>
          </w:p>
        </w:tc>
        <w:tc>
          <w:tcPr>
            <w:tcW w:w="1184" w:type="dxa"/>
            <w:gridSpan w:val="2"/>
            <w:tcBorders>
              <w:top w:val="nil"/>
              <w:bottom w:val="nil"/>
            </w:tcBorders>
          </w:tcPr>
          <w:p w14:paraId="51AFEEFC" w14:textId="2027AD4E" w:rsidR="006E40C9" w:rsidRPr="00F32057" w:rsidRDefault="006E40C9">
            <w:pPr>
              <w:pStyle w:val="MeasureTableTextLeftAligned"/>
            </w:pPr>
            <w:r>
              <w:t>7 September 2022</w:t>
            </w:r>
          </w:p>
        </w:tc>
      </w:tr>
      <w:tr w:rsidR="006E40C9" w14:paraId="3FA6901C" w14:textId="77777777" w:rsidTr="005047E0">
        <w:trPr>
          <w:cantSplit/>
          <w:jc w:val="center"/>
        </w:trPr>
        <w:tc>
          <w:tcPr>
            <w:tcW w:w="1934" w:type="dxa"/>
            <w:gridSpan w:val="2"/>
            <w:tcBorders>
              <w:top w:val="nil"/>
            </w:tcBorders>
          </w:tcPr>
          <w:p w14:paraId="192B7D0D" w14:textId="77777777" w:rsidR="006E40C9" w:rsidRDefault="006E40C9">
            <w:pPr>
              <w:pStyle w:val="MeasureTableTextItalic"/>
            </w:pPr>
            <w:r>
              <w:t>Legislative reference:</w:t>
            </w:r>
          </w:p>
        </w:tc>
        <w:tc>
          <w:tcPr>
            <w:tcW w:w="5863" w:type="dxa"/>
            <w:gridSpan w:val="8"/>
            <w:tcBorders>
              <w:top w:val="nil"/>
            </w:tcBorders>
          </w:tcPr>
          <w:p w14:paraId="34691D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26-95(2) of the </w:t>
            </w:r>
            <w:r>
              <w:rPr>
                <w:rFonts w:ascii="Arial" w:hAnsi="Arial" w:cs="Arial"/>
                <w:i/>
                <w:iCs/>
                <w:color w:val="000000"/>
                <w:sz w:val="16"/>
                <w:szCs w:val="16"/>
              </w:rPr>
              <w:t>Income Tax Assessment Act 1997</w:t>
            </w:r>
          </w:p>
        </w:tc>
      </w:tr>
    </w:tbl>
    <w:p w14:paraId="73F361B4" w14:textId="77777777" w:rsidR="006E40C9" w:rsidRPr="00540040" w:rsidRDefault="006E40C9" w:rsidP="006E40C9">
      <w:pPr>
        <w:pStyle w:val="MeasureTableHeading"/>
      </w:pPr>
    </w:p>
    <w:p w14:paraId="5AF826EE" w14:textId="77777777" w:rsidR="006E40C9" w:rsidRPr="00904F22" w:rsidRDefault="006E40C9" w:rsidP="006E40C9">
      <w:pPr>
        <w:rPr>
          <w:color w:val="000000"/>
        </w:rPr>
      </w:pPr>
      <w:bookmarkStart w:id="79" w:name="_Hlk100045504"/>
      <w:r w:rsidRPr="00904F22">
        <w:rPr>
          <w:color w:val="000000"/>
        </w:rPr>
        <w:t xml:space="preserve">Under the benchmark, superannuation guarantee (SG) charge payments are not tax deductible, in contrast to ordinary SG payments. Employers become liable for SG charge payments if they do not comply with their requirements under the </w:t>
      </w:r>
      <w:r w:rsidRPr="00B328EE">
        <w:rPr>
          <w:i/>
          <w:iCs/>
          <w:color w:val="000000"/>
        </w:rPr>
        <w:t>Superannuation Guarantee (Administration) Act 1992</w:t>
      </w:r>
      <w:r w:rsidRPr="00904F22">
        <w:rPr>
          <w:color w:val="000000"/>
        </w:rPr>
        <w:t xml:space="preserve"> to make SG contributions on behalf of their employees. The SG </w:t>
      </w:r>
      <w:r>
        <w:rPr>
          <w:color w:val="000000"/>
        </w:rPr>
        <w:t>c</w:t>
      </w:r>
      <w:r w:rsidRPr="00904F22">
        <w:rPr>
          <w:color w:val="000000"/>
        </w:rPr>
        <w:t>harge include</w:t>
      </w:r>
      <w:r>
        <w:rPr>
          <w:color w:val="000000"/>
        </w:rPr>
        <w:t>s the SG shortfall, being the amount of superannuation calculated on salary and wages (including overtime), plus a</w:t>
      </w:r>
      <w:r w:rsidRPr="00904F22">
        <w:rPr>
          <w:color w:val="000000"/>
        </w:rPr>
        <w:t xml:space="preserve"> nominal interest</w:t>
      </w:r>
      <w:r>
        <w:rPr>
          <w:color w:val="000000"/>
        </w:rPr>
        <w:t xml:space="preserve"> component and</w:t>
      </w:r>
      <w:r w:rsidRPr="00904F22">
        <w:rPr>
          <w:color w:val="000000"/>
        </w:rPr>
        <w:t xml:space="preserve"> an administrative </w:t>
      </w:r>
      <w:r>
        <w:rPr>
          <w:color w:val="000000"/>
        </w:rPr>
        <w:t>fee. Additional</w:t>
      </w:r>
      <w:r w:rsidRPr="00904F22">
        <w:rPr>
          <w:color w:val="000000"/>
        </w:rPr>
        <w:t xml:space="preserve"> penalt</w:t>
      </w:r>
      <w:r>
        <w:rPr>
          <w:color w:val="000000"/>
        </w:rPr>
        <w:t>ies may also apply</w:t>
      </w:r>
      <w:r w:rsidRPr="00904F22">
        <w:rPr>
          <w:color w:val="000000"/>
        </w:rPr>
        <w:t>.</w:t>
      </w:r>
    </w:p>
    <w:p w14:paraId="7CFA7211" w14:textId="75595FAF" w:rsidR="006E40C9" w:rsidRDefault="006E40C9" w:rsidP="006E40C9">
      <w:r>
        <w:rPr>
          <w:color w:val="000000"/>
        </w:rPr>
        <w:t>However</w:t>
      </w:r>
      <w:r w:rsidRPr="00904F22">
        <w:rPr>
          <w:color w:val="000000"/>
        </w:rPr>
        <w:t xml:space="preserve">, the </w:t>
      </w:r>
      <w:r>
        <w:rPr>
          <w:color w:val="000000"/>
        </w:rPr>
        <w:t>SG charge is tax deductible for employers if it relates to a SG shortfall that qualified for the one</w:t>
      </w:r>
      <w:r>
        <w:rPr>
          <w:color w:val="000000"/>
        </w:rPr>
        <w:noBreakHyphen/>
        <w:t xml:space="preserve">off SG amnesty. The </w:t>
      </w:r>
      <w:r w:rsidRPr="00904F22">
        <w:rPr>
          <w:color w:val="000000"/>
        </w:rPr>
        <w:t>one</w:t>
      </w:r>
      <w:r>
        <w:rPr>
          <w:color w:val="000000"/>
        </w:rPr>
        <w:noBreakHyphen/>
      </w:r>
      <w:r w:rsidRPr="00904F22">
        <w:rPr>
          <w:color w:val="000000"/>
        </w:rPr>
        <w:t xml:space="preserve">off SG amnesty allowed employers with historical SG shortfalls incurred between 1 July 1992 and 30 March 2018 to </w:t>
      </w:r>
      <w:r>
        <w:rPr>
          <w:color w:val="000000"/>
        </w:rPr>
        <w:t>come</w:t>
      </w:r>
      <w:r w:rsidRPr="00904F22">
        <w:rPr>
          <w:color w:val="000000"/>
        </w:rPr>
        <w:t xml:space="preserve"> forward voluntarily to repay their employees</w:t>
      </w:r>
      <w:r>
        <w:rPr>
          <w:color w:val="000000"/>
        </w:rPr>
        <w:t>’</w:t>
      </w:r>
      <w:r w:rsidRPr="00904F22">
        <w:rPr>
          <w:color w:val="000000"/>
        </w:rPr>
        <w:t xml:space="preserve"> SG and nominal interest</w:t>
      </w:r>
      <w:r>
        <w:rPr>
          <w:color w:val="000000"/>
        </w:rPr>
        <w:t xml:space="preserve"> from 24 May 2018 to 7 September 2020</w:t>
      </w:r>
      <w:r w:rsidRPr="00904F22">
        <w:rPr>
          <w:color w:val="000000"/>
        </w:rPr>
        <w:t>. Historical SG shortfalls which were voluntarily disclosed to the ATO but paid after the amnesty period ended are not tax deductible.</w:t>
      </w:r>
      <w:r>
        <w:rPr>
          <w:color w:val="000000"/>
        </w:rPr>
        <w:t xml:space="preserve"> </w:t>
      </w:r>
      <w:r w:rsidRPr="00904F22">
        <w:rPr>
          <w:color w:val="000000"/>
        </w:rPr>
        <w:t xml:space="preserve">The </w:t>
      </w:r>
      <w:r w:rsidRPr="00662179">
        <w:rPr>
          <w:color w:val="000000"/>
        </w:rPr>
        <w:t>different treatment of penalties</w:t>
      </w:r>
      <w:r>
        <w:rPr>
          <w:color w:val="000000"/>
        </w:rPr>
        <w:t xml:space="preserve"> provided during the SG amnesty</w:t>
      </w:r>
      <w:r w:rsidRPr="00662179">
        <w:rPr>
          <w:color w:val="000000"/>
        </w:rPr>
        <w:t xml:space="preserve"> is not included as part of the </w:t>
      </w:r>
      <w:r>
        <w:rPr>
          <w:color w:val="000000"/>
        </w:rPr>
        <w:t>tax expenditure</w:t>
      </w:r>
      <w:r w:rsidRPr="00662179">
        <w:rPr>
          <w:color w:val="000000"/>
        </w:rPr>
        <w:t xml:space="preserve"> estimate</w:t>
      </w:r>
      <w:r>
        <w:rPr>
          <w:color w:val="000000"/>
        </w:rPr>
        <w:t>.</w:t>
      </w:r>
      <w:r w:rsidRPr="00046F85">
        <w:fldChar w:fldCharType="begin"/>
      </w:r>
      <w:r w:rsidRPr="00046F85">
        <w:instrText xml:space="preserve"> XE "</w:instrText>
      </w:r>
      <w:r>
        <w:instrText>Superannuation:</w:instrText>
      </w:r>
      <w:r w:rsidRPr="00046F85">
        <w:instrText>Superannuation</w:instrText>
      </w:r>
      <w:r>
        <w:instrText xml:space="preserve"> Guarantee amnesty</w:instrText>
      </w:r>
      <w:r w:rsidRPr="00046F85">
        <w:instrText xml:space="preserve">" </w:instrText>
      </w:r>
      <w:r w:rsidRPr="00046F85">
        <w:fldChar w:fldCharType="end"/>
      </w:r>
      <w:bookmarkEnd w:id="79"/>
    </w:p>
    <w:p w14:paraId="2EF6EED0" w14:textId="77777777" w:rsidR="006E40C9" w:rsidRDefault="006E40C9" w:rsidP="0003254D">
      <w:pPr>
        <w:pStyle w:val="Heading4"/>
      </w:pPr>
      <w:r>
        <w:t>B23</w:t>
      </w:r>
      <w:r>
        <w:tab/>
        <w:t>Deferral or spreading of profit from the forced disposal or death of livestock</w:t>
      </w:r>
    </w:p>
    <w:p w14:paraId="5234661F"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CD9E6F3" w14:textId="77777777">
        <w:trPr>
          <w:cantSplit/>
          <w:jc w:val="center"/>
        </w:trPr>
        <w:tc>
          <w:tcPr>
            <w:tcW w:w="967" w:type="dxa"/>
            <w:tcBorders>
              <w:top w:val="single" w:sz="2" w:space="0" w:color="auto"/>
              <w:bottom w:val="single" w:sz="2" w:space="0" w:color="auto"/>
            </w:tcBorders>
          </w:tcPr>
          <w:p w14:paraId="3F3E94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E002C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D823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8C491F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8219DE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CB499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76F3FB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EB599E" w14:textId="77777777" w:rsidR="006E40C9" w:rsidRDefault="006E40C9">
            <w:pPr>
              <w:pStyle w:val="MeasureTableTextRightAligned"/>
            </w:pPr>
            <w:r>
              <w:t>2027-28</w:t>
            </w:r>
          </w:p>
        </w:tc>
      </w:tr>
      <w:tr w:rsidR="006E40C9" w14:paraId="0B78FB72" w14:textId="77777777">
        <w:trPr>
          <w:cantSplit/>
          <w:jc w:val="center"/>
        </w:trPr>
        <w:tc>
          <w:tcPr>
            <w:tcW w:w="967" w:type="dxa"/>
            <w:tcBorders>
              <w:top w:val="single" w:sz="2" w:space="0" w:color="auto"/>
              <w:bottom w:val="single" w:sz="2" w:space="0" w:color="auto"/>
            </w:tcBorders>
          </w:tcPr>
          <w:p w14:paraId="4E7DEF56" w14:textId="77777777" w:rsidR="006E40C9" w:rsidRDefault="006E40C9">
            <w:pPr>
              <w:pStyle w:val="MeasureTableTextRightAligned"/>
            </w:pPr>
            <w:r>
              <w:t>*</w:t>
            </w:r>
          </w:p>
        </w:tc>
        <w:tc>
          <w:tcPr>
            <w:tcW w:w="967" w:type="dxa"/>
            <w:tcBorders>
              <w:top w:val="single" w:sz="2" w:space="0" w:color="auto"/>
              <w:bottom w:val="single" w:sz="2" w:space="0" w:color="auto"/>
            </w:tcBorders>
          </w:tcPr>
          <w:p w14:paraId="5053A8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468DD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60C5F2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AB554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F447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6DEC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00FDC08" w14:textId="77777777" w:rsidR="006E40C9" w:rsidRDefault="006E40C9">
            <w:pPr>
              <w:pStyle w:val="MeasureTableTextRightAligned"/>
            </w:pPr>
            <w:r>
              <w:t>*</w:t>
            </w:r>
          </w:p>
        </w:tc>
      </w:tr>
      <w:tr w:rsidR="006E40C9" w14:paraId="1239EA77" w14:textId="77777777">
        <w:trPr>
          <w:cantSplit/>
          <w:jc w:val="center"/>
        </w:trPr>
        <w:tc>
          <w:tcPr>
            <w:tcW w:w="1934" w:type="dxa"/>
            <w:gridSpan w:val="2"/>
            <w:tcBorders>
              <w:top w:val="single" w:sz="2" w:space="0" w:color="auto"/>
              <w:bottom w:val="nil"/>
            </w:tcBorders>
          </w:tcPr>
          <w:p w14:paraId="3B5304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DCC1E6" w14:textId="77777777" w:rsidR="006E40C9" w:rsidRDefault="006E40C9">
            <w:pPr>
              <w:pStyle w:val="MeasureTableTextLeftAligned"/>
            </w:pPr>
            <w:r>
              <w:t>Deferral</w:t>
            </w:r>
          </w:p>
        </w:tc>
        <w:tc>
          <w:tcPr>
            <w:tcW w:w="1500" w:type="dxa"/>
            <w:gridSpan w:val="2"/>
            <w:tcBorders>
              <w:top w:val="single" w:sz="2" w:space="0" w:color="auto"/>
              <w:bottom w:val="nil"/>
            </w:tcBorders>
          </w:tcPr>
          <w:p w14:paraId="020796A2" w14:textId="1630A99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2A84EA" w14:textId="77777777" w:rsidR="006E40C9" w:rsidRDefault="006E40C9">
            <w:pPr>
              <w:pStyle w:val="MeasureTableTextLeftAligned"/>
            </w:pPr>
            <w:r>
              <w:t>B36</w:t>
            </w:r>
          </w:p>
        </w:tc>
      </w:tr>
      <w:tr w:rsidR="006E40C9" w14:paraId="1C824033" w14:textId="77777777">
        <w:trPr>
          <w:cantSplit/>
          <w:jc w:val="center"/>
        </w:trPr>
        <w:tc>
          <w:tcPr>
            <w:tcW w:w="1934" w:type="dxa"/>
            <w:gridSpan w:val="2"/>
            <w:tcBorders>
              <w:top w:val="nil"/>
              <w:bottom w:val="nil"/>
            </w:tcBorders>
          </w:tcPr>
          <w:p w14:paraId="52E49F8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7C92F7A" w14:textId="77777777" w:rsidR="006E40C9" w:rsidRPr="00584CA7" w:rsidRDefault="006E40C9">
            <w:pPr>
              <w:pStyle w:val="MeasureTableTextLeftAligned"/>
            </w:pPr>
            <w:r>
              <w:t>Not Applicable</w:t>
            </w:r>
          </w:p>
        </w:tc>
        <w:tc>
          <w:tcPr>
            <w:tcW w:w="1500" w:type="dxa"/>
            <w:gridSpan w:val="2"/>
            <w:tcBorders>
              <w:top w:val="nil"/>
              <w:bottom w:val="nil"/>
            </w:tcBorders>
          </w:tcPr>
          <w:p w14:paraId="6C2F1397" w14:textId="77777777" w:rsidR="006E40C9" w:rsidRDefault="006E40C9">
            <w:pPr>
              <w:pStyle w:val="MeasureTableTextItalic"/>
            </w:pPr>
            <w:r>
              <w:t>* Category</w:t>
            </w:r>
          </w:p>
        </w:tc>
        <w:tc>
          <w:tcPr>
            <w:tcW w:w="1124" w:type="dxa"/>
            <w:gridSpan w:val="2"/>
            <w:tcBorders>
              <w:top w:val="nil"/>
              <w:bottom w:val="nil"/>
            </w:tcBorders>
          </w:tcPr>
          <w:p w14:paraId="650F7181" w14:textId="77777777" w:rsidR="006E40C9" w:rsidRDefault="006E40C9">
            <w:pPr>
              <w:pStyle w:val="MeasureTableTextLeftAligned"/>
            </w:pPr>
            <w:r>
              <w:t>2+</w:t>
            </w:r>
          </w:p>
        </w:tc>
      </w:tr>
      <w:tr w:rsidR="006E40C9" w14:paraId="26151909" w14:textId="77777777">
        <w:trPr>
          <w:cantSplit/>
          <w:jc w:val="center"/>
        </w:trPr>
        <w:tc>
          <w:tcPr>
            <w:tcW w:w="1934" w:type="dxa"/>
            <w:gridSpan w:val="2"/>
            <w:tcBorders>
              <w:top w:val="nil"/>
              <w:bottom w:val="nil"/>
            </w:tcBorders>
          </w:tcPr>
          <w:p w14:paraId="4BE5B24D" w14:textId="77777777" w:rsidR="006E40C9" w:rsidRDefault="006E40C9">
            <w:pPr>
              <w:pStyle w:val="MeasureTableTextItalic"/>
            </w:pPr>
            <w:r>
              <w:t>Commencement date:</w:t>
            </w:r>
          </w:p>
        </w:tc>
        <w:tc>
          <w:tcPr>
            <w:tcW w:w="3179" w:type="dxa"/>
            <w:gridSpan w:val="4"/>
            <w:tcBorders>
              <w:top w:val="nil"/>
              <w:bottom w:val="nil"/>
            </w:tcBorders>
          </w:tcPr>
          <w:p w14:paraId="45F622A4" w14:textId="77777777" w:rsidR="006E40C9" w:rsidRDefault="006E40C9">
            <w:pPr>
              <w:pStyle w:val="MeasureTableTextLeftAligned"/>
            </w:pPr>
            <w:r>
              <w:t>Introduced before 1985</w:t>
            </w:r>
          </w:p>
        </w:tc>
        <w:tc>
          <w:tcPr>
            <w:tcW w:w="1500" w:type="dxa"/>
            <w:gridSpan w:val="2"/>
            <w:tcBorders>
              <w:top w:val="nil"/>
              <w:bottom w:val="nil"/>
            </w:tcBorders>
          </w:tcPr>
          <w:p w14:paraId="0E9BD249" w14:textId="77777777" w:rsidR="006E40C9" w:rsidRPr="00F32057" w:rsidRDefault="006E40C9">
            <w:pPr>
              <w:pStyle w:val="MeasureTableTextItalic"/>
            </w:pPr>
            <w:r>
              <w:t>Expiry date:</w:t>
            </w:r>
          </w:p>
        </w:tc>
        <w:tc>
          <w:tcPr>
            <w:tcW w:w="1124" w:type="dxa"/>
            <w:gridSpan w:val="2"/>
            <w:tcBorders>
              <w:top w:val="nil"/>
              <w:bottom w:val="nil"/>
            </w:tcBorders>
          </w:tcPr>
          <w:p w14:paraId="0ADEF2CB" w14:textId="77777777" w:rsidR="006E40C9" w:rsidRPr="00F32057" w:rsidRDefault="006E40C9">
            <w:pPr>
              <w:pStyle w:val="MeasureTableTextLeftAligned"/>
            </w:pPr>
          </w:p>
        </w:tc>
      </w:tr>
      <w:tr w:rsidR="006E40C9" w14:paraId="01AC0C80" w14:textId="77777777">
        <w:trPr>
          <w:cantSplit/>
          <w:jc w:val="center"/>
        </w:trPr>
        <w:tc>
          <w:tcPr>
            <w:tcW w:w="1934" w:type="dxa"/>
            <w:gridSpan w:val="2"/>
            <w:tcBorders>
              <w:top w:val="nil"/>
            </w:tcBorders>
          </w:tcPr>
          <w:p w14:paraId="126E2618" w14:textId="77777777" w:rsidR="006E40C9" w:rsidRDefault="006E40C9">
            <w:pPr>
              <w:pStyle w:val="MeasureTableTextItalic"/>
            </w:pPr>
            <w:r>
              <w:t>Legislative reference:</w:t>
            </w:r>
          </w:p>
        </w:tc>
        <w:tc>
          <w:tcPr>
            <w:tcW w:w="5803" w:type="dxa"/>
            <w:gridSpan w:val="8"/>
            <w:tcBorders>
              <w:top w:val="nil"/>
            </w:tcBorders>
          </w:tcPr>
          <w:p w14:paraId="26B8268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385-E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40684817" w14:textId="77777777" w:rsidR="006E40C9" w:rsidRPr="00540040" w:rsidRDefault="006E40C9" w:rsidP="006E40C9">
      <w:pPr>
        <w:pStyle w:val="MeasureTableHeading"/>
      </w:pPr>
    </w:p>
    <w:p w14:paraId="7BA28008" w14:textId="77777777" w:rsidR="006E40C9" w:rsidRDefault="006E40C9" w:rsidP="006E40C9">
      <w:r>
        <w:t>The benchmark tax treatment of profit from the disposal of stock by a primary producer is that such amounts are assessable income in the year in which they are derived. However, p</w:t>
      </w:r>
      <w:r w:rsidRPr="00817E8D">
        <w:t xml:space="preserve">rimary producers who </w:t>
      </w:r>
      <w:r>
        <w:t>make any profit</w:t>
      </w:r>
      <w:r w:rsidRPr="00817E8D">
        <w:t xml:space="preserve"> from </w:t>
      </w:r>
      <w:r>
        <w:t xml:space="preserve">the forced </w:t>
      </w:r>
      <w:r w:rsidRPr="00817E8D">
        <w:t>disposal or death</w:t>
      </w:r>
      <w:r>
        <w:t xml:space="preserve"> of livestock</w:t>
      </w:r>
      <w:r w:rsidRPr="00817E8D">
        <w:t xml:space="preserve"> can elect to defer </w:t>
      </w:r>
      <w:r>
        <w:t xml:space="preserve">the recognition of </w:t>
      </w:r>
      <w:r w:rsidRPr="00817E8D">
        <w:t xml:space="preserve">this </w:t>
      </w:r>
      <w:r>
        <w:t>profit</w:t>
      </w:r>
      <w:r w:rsidRPr="00817E8D">
        <w:t xml:space="preserve"> and use it to reduce the cost of replacement livestock</w:t>
      </w:r>
      <w:r>
        <w:fldChar w:fldCharType="begin"/>
      </w:r>
      <w:r>
        <w:instrText xml:space="preserve"> XE "</w:instrText>
      </w:r>
      <w:r w:rsidRPr="00B30D3E">
        <w:instrText>Livestock</w:instrText>
      </w:r>
      <w:r>
        <w:instrText xml:space="preserve">" </w:instrText>
      </w:r>
      <w:r>
        <w:fldChar w:fldCharType="end"/>
      </w:r>
      <w:r>
        <w:t xml:space="preserve"> within the disposal year and any of: </w:t>
      </w:r>
    </w:p>
    <w:p w14:paraId="2416B668" w14:textId="77777777" w:rsidR="006E40C9" w:rsidRDefault="006E40C9" w:rsidP="006E40C9">
      <w:pPr>
        <w:pStyle w:val="Bullet"/>
      </w:pPr>
      <w:r>
        <w:t>the</w:t>
      </w:r>
      <w:r w:rsidRPr="00817E8D">
        <w:t xml:space="preserve"> next five income years</w:t>
      </w:r>
      <w:r>
        <w:t xml:space="preserve">; </w:t>
      </w:r>
      <w:r w:rsidRPr="00817E8D">
        <w:t xml:space="preserve">or </w:t>
      </w:r>
    </w:p>
    <w:p w14:paraId="1660853B" w14:textId="77777777" w:rsidR="006E40C9" w:rsidRDefault="006E40C9" w:rsidP="006E40C9">
      <w:pPr>
        <w:pStyle w:val="Bullet"/>
      </w:pPr>
      <w:r>
        <w:t>the next 10 income</w:t>
      </w:r>
      <w:r w:rsidRPr="00817E8D">
        <w:t xml:space="preserve"> years if the forced disposal </w:t>
      </w:r>
      <w:r>
        <w:t xml:space="preserve">or death </w:t>
      </w:r>
      <w:r w:rsidRPr="00817E8D">
        <w:t xml:space="preserve">was in relation to bovine tuberculosis. </w:t>
      </w:r>
    </w:p>
    <w:p w14:paraId="0FE3ECEC" w14:textId="77777777" w:rsidR="006E40C9" w:rsidRDefault="006E40C9" w:rsidP="003A5F96">
      <w:r w:rsidRPr="00817E8D">
        <w:t>Alternatively, primary producers can elect to spread</w:t>
      </w:r>
      <w:r>
        <w:t xml:space="preserve"> such</w:t>
      </w:r>
      <w:r w:rsidRPr="00817E8D">
        <w:t xml:space="preserve"> </w:t>
      </w:r>
      <w:r>
        <w:t>amounts</w:t>
      </w:r>
      <w:r w:rsidRPr="00817E8D">
        <w:t xml:space="preserve"> </w:t>
      </w:r>
      <w:r>
        <w:t xml:space="preserve">over the disposal year and </w:t>
      </w:r>
      <w:r w:rsidRPr="00817E8D">
        <w:t>the next four income years</w:t>
      </w:r>
      <w:r>
        <w:t xml:space="preserve">. </w:t>
      </w:r>
      <w:r w:rsidRPr="00046F85">
        <w:fldChar w:fldCharType="begin"/>
      </w:r>
      <w:r w:rsidRPr="00046F85">
        <w:instrText xml:space="preserve"> XE "</w:instrText>
      </w:r>
      <w:r>
        <w:instrText>Primary producers</w:instrText>
      </w:r>
      <w:r w:rsidRPr="00046F85">
        <w:instrText xml:space="preserve">" </w:instrText>
      </w:r>
      <w:r w:rsidRPr="00046F85">
        <w:fldChar w:fldCharType="end"/>
      </w:r>
    </w:p>
    <w:p w14:paraId="3604CDF6" w14:textId="77777777" w:rsidR="006E40C9" w:rsidRDefault="006E40C9" w:rsidP="0003254D">
      <w:pPr>
        <w:pStyle w:val="Heading3"/>
      </w:pPr>
      <w:r>
        <w:t>Tax concessions for certain taxpayers</w:t>
      </w:r>
    </w:p>
    <w:p w14:paraId="715E20FE" w14:textId="77777777" w:rsidR="006E40C9" w:rsidRDefault="006E40C9" w:rsidP="0003254D">
      <w:pPr>
        <w:pStyle w:val="Heading4"/>
      </w:pPr>
      <w:r>
        <w:t>B24</w:t>
      </w:r>
      <w:r>
        <w:tab/>
        <w:t>Tax exemption for assistance provided through the ‘boosting cash flow for employers’ measure</w:t>
      </w:r>
    </w:p>
    <w:p w14:paraId="4324AD2E" w14:textId="6A0A3D4C"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F4E316F" w14:textId="77777777">
        <w:trPr>
          <w:cantSplit/>
          <w:jc w:val="center"/>
        </w:trPr>
        <w:tc>
          <w:tcPr>
            <w:tcW w:w="967" w:type="dxa"/>
            <w:tcBorders>
              <w:top w:val="single" w:sz="2" w:space="0" w:color="auto"/>
              <w:bottom w:val="single" w:sz="2" w:space="0" w:color="auto"/>
            </w:tcBorders>
          </w:tcPr>
          <w:p w14:paraId="71148FC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CDBDB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97A9F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036840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673193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89B40A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0D03B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5364C8" w14:textId="77777777" w:rsidR="006E40C9" w:rsidRDefault="006E40C9">
            <w:pPr>
              <w:pStyle w:val="MeasureTableTextRightAligned"/>
            </w:pPr>
            <w:r>
              <w:t>2027-28</w:t>
            </w:r>
          </w:p>
        </w:tc>
      </w:tr>
      <w:tr w:rsidR="006E40C9" w14:paraId="3F322619" w14:textId="77777777">
        <w:trPr>
          <w:cantSplit/>
          <w:jc w:val="center"/>
        </w:trPr>
        <w:tc>
          <w:tcPr>
            <w:tcW w:w="967" w:type="dxa"/>
            <w:tcBorders>
              <w:top w:val="single" w:sz="2" w:space="0" w:color="auto"/>
              <w:bottom w:val="single" w:sz="2" w:space="0" w:color="auto"/>
            </w:tcBorders>
          </w:tcPr>
          <w:p w14:paraId="35CB54EE" w14:textId="77777777" w:rsidR="006E40C9" w:rsidRDefault="006E40C9">
            <w:pPr>
              <w:pStyle w:val="MeasureTableTextRightAligned"/>
            </w:pPr>
            <w:r>
              <w:t>1,860</w:t>
            </w:r>
          </w:p>
        </w:tc>
        <w:tc>
          <w:tcPr>
            <w:tcW w:w="967" w:type="dxa"/>
            <w:tcBorders>
              <w:top w:val="single" w:sz="2" w:space="0" w:color="auto"/>
              <w:bottom w:val="single" w:sz="2" w:space="0" w:color="auto"/>
            </w:tcBorders>
          </w:tcPr>
          <w:p w14:paraId="5485EDA0" w14:textId="77777777" w:rsidR="006E40C9" w:rsidRDefault="006E40C9">
            <w:pPr>
              <w:pStyle w:val="MeasureTableTextRightAligned"/>
            </w:pPr>
            <w:r>
              <w:t>3,110</w:t>
            </w:r>
          </w:p>
        </w:tc>
        <w:tc>
          <w:tcPr>
            <w:tcW w:w="967" w:type="dxa"/>
            <w:tcBorders>
              <w:top w:val="single" w:sz="2" w:space="0" w:color="auto"/>
              <w:bottom w:val="single" w:sz="2" w:space="0" w:color="auto"/>
            </w:tcBorders>
            <w:vAlign w:val="bottom"/>
          </w:tcPr>
          <w:p w14:paraId="30F9F1B0" w14:textId="77777777" w:rsidR="006E40C9" w:rsidRDefault="006E40C9">
            <w:pPr>
              <w:pStyle w:val="MeasureTableTextRightAligned"/>
            </w:pPr>
            <w:r>
              <w:t>630</w:t>
            </w:r>
          </w:p>
        </w:tc>
        <w:tc>
          <w:tcPr>
            <w:tcW w:w="967" w:type="dxa"/>
            <w:tcBorders>
              <w:top w:val="single" w:sz="2" w:space="0" w:color="auto"/>
              <w:bottom w:val="single" w:sz="2" w:space="0" w:color="auto"/>
            </w:tcBorders>
            <w:vAlign w:val="bottom"/>
          </w:tcPr>
          <w:p w14:paraId="7FB9A940"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109F04EC"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3F8C913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EAB259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CE30C7" w14:textId="77777777" w:rsidR="006E40C9" w:rsidRDefault="006E40C9">
            <w:pPr>
              <w:pStyle w:val="MeasureTableTextRightAligned"/>
            </w:pPr>
            <w:r>
              <w:t>-</w:t>
            </w:r>
          </w:p>
        </w:tc>
      </w:tr>
      <w:tr w:rsidR="006E40C9" w14:paraId="0D183357" w14:textId="77777777">
        <w:trPr>
          <w:cantSplit/>
          <w:jc w:val="center"/>
        </w:trPr>
        <w:tc>
          <w:tcPr>
            <w:tcW w:w="1934" w:type="dxa"/>
            <w:gridSpan w:val="2"/>
            <w:tcBorders>
              <w:top w:val="single" w:sz="2" w:space="0" w:color="auto"/>
              <w:bottom w:val="nil"/>
            </w:tcBorders>
          </w:tcPr>
          <w:p w14:paraId="01EC64D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4E4C107" w14:textId="77777777" w:rsidR="006E40C9" w:rsidRDefault="006E40C9">
            <w:pPr>
              <w:pStyle w:val="MeasureTableTextLeftAligned"/>
            </w:pPr>
            <w:r>
              <w:t>Exemption</w:t>
            </w:r>
          </w:p>
        </w:tc>
        <w:tc>
          <w:tcPr>
            <w:tcW w:w="1500" w:type="dxa"/>
            <w:gridSpan w:val="2"/>
            <w:tcBorders>
              <w:top w:val="single" w:sz="2" w:space="0" w:color="auto"/>
              <w:bottom w:val="nil"/>
            </w:tcBorders>
          </w:tcPr>
          <w:p w14:paraId="36CE033C" w14:textId="2685F65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5EEF8A" w14:textId="77777777" w:rsidR="006E40C9" w:rsidRDefault="006E40C9">
            <w:pPr>
              <w:pStyle w:val="MeasureTableTextLeftAligned"/>
            </w:pPr>
            <w:r>
              <w:t>B23</w:t>
            </w:r>
          </w:p>
        </w:tc>
      </w:tr>
      <w:tr w:rsidR="006E40C9" w14:paraId="52A7A7F6" w14:textId="77777777">
        <w:trPr>
          <w:cantSplit/>
          <w:jc w:val="center"/>
        </w:trPr>
        <w:tc>
          <w:tcPr>
            <w:tcW w:w="1934" w:type="dxa"/>
            <w:gridSpan w:val="2"/>
            <w:tcBorders>
              <w:top w:val="nil"/>
              <w:bottom w:val="nil"/>
            </w:tcBorders>
          </w:tcPr>
          <w:p w14:paraId="7476388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63FF37" w14:textId="77777777" w:rsidR="006E40C9" w:rsidRPr="00584CA7" w:rsidRDefault="006E40C9">
            <w:pPr>
              <w:pStyle w:val="MeasureTableTextLeftAligned"/>
            </w:pPr>
            <w:r>
              <w:t>Medium</w:t>
            </w:r>
          </w:p>
        </w:tc>
        <w:tc>
          <w:tcPr>
            <w:tcW w:w="1500" w:type="dxa"/>
            <w:gridSpan w:val="2"/>
            <w:tcBorders>
              <w:top w:val="nil"/>
              <w:bottom w:val="nil"/>
            </w:tcBorders>
          </w:tcPr>
          <w:p w14:paraId="7542CF32" w14:textId="77777777" w:rsidR="006E40C9" w:rsidRDefault="006E40C9">
            <w:pPr>
              <w:pStyle w:val="MeasureTableTextItalic"/>
            </w:pPr>
          </w:p>
        </w:tc>
        <w:tc>
          <w:tcPr>
            <w:tcW w:w="1124" w:type="dxa"/>
            <w:gridSpan w:val="2"/>
            <w:tcBorders>
              <w:top w:val="nil"/>
              <w:bottom w:val="nil"/>
            </w:tcBorders>
          </w:tcPr>
          <w:p w14:paraId="1F13B8DD" w14:textId="77777777" w:rsidR="006E40C9" w:rsidRDefault="006E40C9">
            <w:pPr>
              <w:pStyle w:val="MeasureTableTextLeftAligned"/>
            </w:pPr>
          </w:p>
        </w:tc>
      </w:tr>
      <w:tr w:rsidR="006E40C9" w14:paraId="1F330CC8" w14:textId="77777777">
        <w:trPr>
          <w:cantSplit/>
          <w:jc w:val="center"/>
        </w:trPr>
        <w:tc>
          <w:tcPr>
            <w:tcW w:w="1934" w:type="dxa"/>
            <w:gridSpan w:val="2"/>
            <w:tcBorders>
              <w:top w:val="nil"/>
              <w:bottom w:val="nil"/>
            </w:tcBorders>
          </w:tcPr>
          <w:p w14:paraId="04E3729F" w14:textId="77777777" w:rsidR="006E40C9" w:rsidRDefault="006E40C9">
            <w:pPr>
              <w:pStyle w:val="MeasureTableTextItalic"/>
            </w:pPr>
            <w:r>
              <w:t>Commencement date:</w:t>
            </w:r>
          </w:p>
        </w:tc>
        <w:tc>
          <w:tcPr>
            <w:tcW w:w="3179" w:type="dxa"/>
            <w:gridSpan w:val="4"/>
            <w:tcBorders>
              <w:top w:val="nil"/>
              <w:bottom w:val="nil"/>
            </w:tcBorders>
          </w:tcPr>
          <w:p w14:paraId="24B0E09B" w14:textId="77777777" w:rsidR="006E40C9" w:rsidRDefault="006E40C9">
            <w:pPr>
              <w:pStyle w:val="MeasureTableTextLeftAligned"/>
            </w:pPr>
            <w:r>
              <w:t>2020</w:t>
            </w:r>
          </w:p>
        </w:tc>
        <w:tc>
          <w:tcPr>
            <w:tcW w:w="1500" w:type="dxa"/>
            <w:gridSpan w:val="2"/>
            <w:tcBorders>
              <w:top w:val="nil"/>
              <w:bottom w:val="nil"/>
            </w:tcBorders>
          </w:tcPr>
          <w:p w14:paraId="30A55F8B" w14:textId="77777777" w:rsidR="006E40C9" w:rsidRPr="00F32057" w:rsidRDefault="006E40C9">
            <w:pPr>
              <w:pStyle w:val="MeasureTableTextItalic"/>
            </w:pPr>
            <w:r>
              <w:t>Expiry date:</w:t>
            </w:r>
          </w:p>
        </w:tc>
        <w:tc>
          <w:tcPr>
            <w:tcW w:w="1124" w:type="dxa"/>
            <w:gridSpan w:val="2"/>
            <w:tcBorders>
              <w:top w:val="nil"/>
              <w:bottom w:val="nil"/>
            </w:tcBorders>
          </w:tcPr>
          <w:p w14:paraId="534F2B0A" w14:textId="77777777" w:rsidR="006E40C9" w:rsidRPr="00F32057" w:rsidRDefault="006E40C9">
            <w:pPr>
              <w:pStyle w:val="MeasureTableTextLeftAligned"/>
            </w:pPr>
            <w:r>
              <w:t>30 June 2026</w:t>
            </w:r>
          </w:p>
        </w:tc>
      </w:tr>
      <w:tr w:rsidR="006E40C9" w14:paraId="39CE84EA" w14:textId="77777777">
        <w:trPr>
          <w:cantSplit/>
          <w:jc w:val="center"/>
        </w:trPr>
        <w:tc>
          <w:tcPr>
            <w:tcW w:w="1934" w:type="dxa"/>
            <w:gridSpan w:val="2"/>
            <w:tcBorders>
              <w:top w:val="nil"/>
            </w:tcBorders>
          </w:tcPr>
          <w:p w14:paraId="047E0896" w14:textId="77777777" w:rsidR="006E40C9" w:rsidRDefault="006E40C9">
            <w:pPr>
              <w:pStyle w:val="MeasureTableTextItalic"/>
            </w:pPr>
            <w:r>
              <w:t>Legislative reference:</w:t>
            </w:r>
          </w:p>
        </w:tc>
        <w:tc>
          <w:tcPr>
            <w:tcW w:w="5803" w:type="dxa"/>
            <w:gridSpan w:val="8"/>
            <w:tcBorders>
              <w:top w:val="nil"/>
            </w:tcBorders>
          </w:tcPr>
          <w:p w14:paraId="721C113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59-90 of the </w:t>
            </w:r>
            <w:r>
              <w:rPr>
                <w:rFonts w:ascii="Arial" w:hAnsi="Arial" w:cs="Arial"/>
                <w:i/>
                <w:iCs/>
                <w:color w:val="000000"/>
                <w:sz w:val="16"/>
                <w:szCs w:val="16"/>
              </w:rPr>
              <w:t>Income Tax Assessment Act 1997</w:t>
            </w:r>
          </w:p>
        </w:tc>
      </w:tr>
    </w:tbl>
    <w:p w14:paraId="42CDD58E" w14:textId="77777777" w:rsidR="006E40C9" w:rsidRPr="00540040" w:rsidRDefault="006E40C9" w:rsidP="006E40C9">
      <w:pPr>
        <w:pStyle w:val="MeasureTableHeading"/>
      </w:pPr>
    </w:p>
    <w:p w14:paraId="6D868C8A" w14:textId="0BD57DF8" w:rsidR="006E40C9" w:rsidRDefault="006E40C9" w:rsidP="006E40C9">
      <w:r>
        <w:t>The benchmark tax treatment is that</w:t>
      </w:r>
      <w:r w:rsidRPr="00481888">
        <w:t xml:space="preserve"> </w:t>
      </w:r>
      <w:r w:rsidR="00606B9D">
        <w:t>G</w:t>
      </w:r>
      <w:r w:rsidRPr="00481888">
        <w:t xml:space="preserve">overnment payments to taxpayers are generally treated as assessable income and subject to income tax. </w:t>
      </w:r>
      <w:r>
        <w:t>However, payments received under the Boosting Cash Flow for Employers measure</w:t>
      </w:r>
      <w:r w:rsidR="00AB31BD">
        <w:t xml:space="preserve"> are</w:t>
      </w:r>
      <w:r>
        <w:t xml:space="preserve"> exempt from tax to support eligible entities as part of the COVID</w:t>
      </w:r>
      <w:r>
        <w:noBreakHyphen/>
        <w:t>19 response package</w:t>
      </w:r>
      <w:r w:rsidRPr="00481888">
        <w:t>.</w:t>
      </w:r>
      <w:r>
        <w:t xml:space="preserve"> </w:t>
      </w:r>
      <w:r>
        <w:fldChar w:fldCharType="begin"/>
      </w:r>
      <w:r>
        <w:instrText xml:space="preserve"> XE "</w:instrText>
      </w:r>
      <w:r w:rsidRPr="00F64B90">
        <w:instrText>COVID</w:instrText>
      </w:r>
      <w:r w:rsidRPr="00F64B90">
        <w:noBreakHyphen/>
        <w:instrText>19</w:instrText>
      </w:r>
      <w:r>
        <w:instrText>:R</w:instrText>
      </w:r>
      <w:r w:rsidRPr="00F64B90">
        <w:instrText>esponse</w:instrText>
      </w:r>
      <w:r>
        <w:instrText xml:space="preserve">" </w:instrText>
      </w:r>
      <w:r>
        <w:fldChar w:fldCharType="end"/>
      </w:r>
      <w:r w:rsidRPr="00481888">
        <w:t xml:space="preserve"> </w:t>
      </w:r>
      <w:r>
        <w:fldChar w:fldCharType="begin"/>
      </w:r>
      <w:r>
        <w:instrText xml:space="preserve"> XE "</w:instrText>
      </w:r>
      <w:r w:rsidRPr="00221604">
        <w:instrText>Boosting Cash Flow</w:instrText>
      </w:r>
      <w:r>
        <w:instrText xml:space="preserve"> for Employers" </w:instrText>
      </w:r>
      <w:r>
        <w:fldChar w:fldCharType="end"/>
      </w:r>
    </w:p>
    <w:p w14:paraId="5DCA6FCF" w14:textId="77777777" w:rsidR="006E40C9" w:rsidRDefault="006E40C9" w:rsidP="0003254D">
      <w:pPr>
        <w:pStyle w:val="Heading4"/>
      </w:pPr>
      <w:r>
        <w:t>B25</w:t>
      </w:r>
      <w:r>
        <w:tab/>
        <w:t>Temporary loss carry-back for certain incorporated entities</w:t>
      </w:r>
    </w:p>
    <w:p w14:paraId="3A3044C5" w14:textId="64D5A45B"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F0627D" w14:textId="77777777">
        <w:trPr>
          <w:cantSplit/>
          <w:jc w:val="center"/>
        </w:trPr>
        <w:tc>
          <w:tcPr>
            <w:tcW w:w="967" w:type="dxa"/>
            <w:tcBorders>
              <w:top w:val="single" w:sz="2" w:space="0" w:color="auto"/>
              <w:bottom w:val="single" w:sz="2" w:space="0" w:color="auto"/>
            </w:tcBorders>
          </w:tcPr>
          <w:p w14:paraId="68CB1AF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2D6A16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EFA587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2181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162F6D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A5B1D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A43D0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6C5162C" w14:textId="77777777" w:rsidR="006E40C9" w:rsidRDefault="006E40C9">
            <w:pPr>
              <w:pStyle w:val="MeasureTableTextRightAligned"/>
            </w:pPr>
            <w:r>
              <w:t>2027-28</w:t>
            </w:r>
          </w:p>
        </w:tc>
      </w:tr>
      <w:tr w:rsidR="006E40C9" w14:paraId="3B6CC9D2" w14:textId="77777777">
        <w:trPr>
          <w:cantSplit/>
          <w:jc w:val="center"/>
        </w:trPr>
        <w:tc>
          <w:tcPr>
            <w:tcW w:w="967" w:type="dxa"/>
            <w:tcBorders>
              <w:top w:val="single" w:sz="2" w:space="0" w:color="auto"/>
              <w:bottom w:val="single" w:sz="2" w:space="0" w:color="auto"/>
            </w:tcBorders>
          </w:tcPr>
          <w:p w14:paraId="1DFF1A59"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A28001" w14:textId="77777777" w:rsidR="006E40C9" w:rsidRDefault="006E40C9">
            <w:pPr>
              <w:pStyle w:val="MeasureTableTextRightAligned"/>
            </w:pPr>
            <w:r>
              <w:t>1,420</w:t>
            </w:r>
          </w:p>
        </w:tc>
        <w:tc>
          <w:tcPr>
            <w:tcW w:w="967" w:type="dxa"/>
            <w:tcBorders>
              <w:top w:val="single" w:sz="2" w:space="0" w:color="auto"/>
              <w:bottom w:val="single" w:sz="2" w:space="0" w:color="auto"/>
            </w:tcBorders>
            <w:vAlign w:val="bottom"/>
          </w:tcPr>
          <w:p w14:paraId="1B157EA2" w14:textId="77777777" w:rsidR="006E40C9" w:rsidRDefault="006E40C9">
            <w:pPr>
              <w:pStyle w:val="MeasureTableTextRightAligned"/>
            </w:pPr>
            <w:r>
              <w:t>1,590</w:t>
            </w:r>
          </w:p>
        </w:tc>
        <w:tc>
          <w:tcPr>
            <w:tcW w:w="967" w:type="dxa"/>
            <w:tcBorders>
              <w:top w:val="single" w:sz="2" w:space="0" w:color="auto"/>
              <w:bottom w:val="single" w:sz="2" w:space="0" w:color="auto"/>
            </w:tcBorders>
            <w:vAlign w:val="bottom"/>
          </w:tcPr>
          <w:p w14:paraId="22A7BF48" w14:textId="77777777" w:rsidR="006E40C9" w:rsidRDefault="006E40C9">
            <w:pPr>
              <w:pStyle w:val="MeasureTableTextRightAligned"/>
            </w:pPr>
            <w:r>
              <w:t>1,130</w:t>
            </w:r>
          </w:p>
        </w:tc>
        <w:tc>
          <w:tcPr>
            <w:tcW w:w="967" w:type="dxa"/>
            <w:tcBorders>
              <w:top w:val="single" w:sz="2" w:space="0" w:color="auto"/>
              <w:bottom w:val="single" w:sz="2" w:space="0" w:color="auto"/>
            </w:tcBorders>
            <w:vAlign w:val="bottom"/>
          </w:tcPr>
          <w:p w14:paraId="1861EA00"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7F5AC85B" w14:textId="77777777" w:rsidR="006E40C9" w:rsidRDefault="006E40C9">
            <w:pPr>
              <w:pStyle w:val="MeasureTableTextRightAligned"/>
            </w:pPr>
            <w:r>
              <w:t>-350</w:t>
            </w:r>
          </w:p>
        </w:tc>
        <w:tc>
          <w:tcPr>
            <w:tcW w:w="967" w:type="dxa"/>
            <w:gridSpan w:val="2"/>
            <w:tcBorders>
              <w:top w:val="single" w:sz="2" w:space="0" w:color="auto"/>
              <w:bottom w:val="single" w:sz="2" w:space="0" w:color="auto"/>
            </w:tcBorders>
            <w:vAlign w:val="bottom"/>
          </w:tcPr>
          <w:p w14:paraId="58C53A67" w14:textId="77777777" w:rsidR="006E40C9" w:rsidRDefault="006E40C9">
            <w:pPr>
              <w:pStyle w:val="MeasureTableTextRightAligned"/>
            </w:pPr>
            <w:r>
              <w:t>-280</w:t>
            </w:r>
          </w:p>
        </w:tc>
        <w:tc>
          <w:tcPr>
            <w:tcW w:w="968" w:type="dxa"/>
            <w:tcBorders>
              <w:top w:val="single" w:sz="2" w:space="0" w:color="auto"/>
              <w:bottom w:val="single" w:sz="2" w:space="0" w:color="auto"/>
            </w:tcBorders>
            <w:vAlign w:val="bottom"/>
          </w:tcPr>
          <w:p w14:paraId="215E5843" w14:textId="77777777" w:rsidR="006E40C9" w:rsidRDefault="006E40C9">
            <w:pPr>
              <w:pStyle w:val="MeasureTableTextRightAligned"/>
            </w:pPr>
            <w:r>
              <w:t>-180</w:t>
            </w:r>
          </w:p>
        </w:tc>
      </w:tr>
      <w:tr w:rsidR="006E40C9" w14:paraId="5E3E6B62" w14:textId="77777777">
        <w:trPr>
          <w:cantSplit/>
          <w:jc w:val="center"/>
        </w:trPr>
        <w:tc>
          <w:tcPr>
            <w:tcW w:w="1934" w:type="dxa"/>
            <w:gridSpan w:val="2"/>
            <w:tcBorders>
              <w:top w:val="single" w:sz="2" w:space="0" w:color="auto"/>
              <w:bottom w:val="nil"/>
            </w:tcBorders>
          </w:tcPr>
          <w:p w14:paraId="5787621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CA0BC6" w14:textId="77777777" w:rsidR="006E40C9" w:rsidRDefault="006E40C9">
            <w:pPr>
              <w:pStyle w:val="MeasureTableTextLeftAligned"/>
            </w:pPr>
            <w:r>
              <w:t>Rebate</w:t>
            </w:r>
          </w:p>
        </w:tc>
        <w:tc>
          <w:tcPr>
            <w:tcW w:w="1500" w:type="dxa"/>
            <w:gridSpan w:val="2"/>
            <w:tcBorders>
              <w:top w:val="single" w:sz="2" w:space="0" w:color="auto"/>
              <w:bottom w:val="nil"/>
            </w:tcBorders>
          </w:tcPr>
          <w:p w14:paraId="0532B6D3" w14:textId="17F036F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59C74ED" w14:textId="77777777" w:rsidR="006E40C9" w:rsidRDefault="006E40C9">
            <w:pPr>
              <w:pStyle w:val="MeasureTableTextLeftAligned"/>
            </w:pPr>
            <w:r>
              <w:t>B24</w:t>
            </w:r>
          </w:p>
        </w:tc>
      </w:tr>
      <w:tr w:rsidR="006E40C9" w14:paraId="258CB54D" w14:textId="77777777">
        <w:trPr>
          <w:cantSplit/>
          <w:jc w:val="center"/>
        </w:trPr>
        <w:tc>
          <w:tcPr>
            <w:tcW w:w="1934" w:type="dxa"/>
            <w:gridSpan w:val="2"/>
            <w:tcBorders>
              <w:top w:val="nil"/>
              <w:bottom w:val="nil"/>
            </w:tcBorders>
          </w:tcPr>
          <w:p w14:paraId="1BAA6C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1C4138" w14:textId="77777777" w:rsidR="006E40C9" w:rsidRPr="00584CA7" w:rsidRDefault="006E40C9">
            <w:pPr>
              <w:pStyle w:val="MeasureTableTextLeftAligned"/>
            </w:pPr>
            <w:r>
              <w:t>Low</w:t>
            </w:r>
          </w:p>
        </w:tc>
        <w:tc>
          <w:tcPr>
            <w:tcW w:w="1500" w:type="dxa"/>
            <w:gridSpan w:val="2"/>
            <w:tcBorders>
              <w:top w:val="nil"/>
              <w:bottom w:val="nil"/>
            </w:tcBorders>
          </w:tcPr>
          <w:p w14:paraId="7AFEF840" w14:textId="77777777" w:rsidR="006E40C9" w:rsidRDefault="006E40C9">
            <w:pPr>
              <w:pStyle w:val="MeasureTableTextItalic"/>
            </w:pPr>
          </w:p>
        </w:tc>
        <w:tc>
          <w:tcPr>
            <w:tcW w:w="1124" w:type="dxa"/>
            <w:gridSpan w:val="2"/>
            <w:tcBorders>
              <w:top w:val="nil"/>
              <w:bottom w:val="nil"/>
            </w:tcBorders>
          </w:tcPr>
          <w:p w14:paraId="2286B9A5" w14:textId="77777777" w:rsidR="006E40C9" w:rsidRDefault="006E40C9">
            <w:pPr>
              <w:pStyle w:val="MeasureTableTextLeftAligned"/>
            </w:pPr>
          </w:p>
        </w:tc>
      </w:tr>
      <w:tr w:rsidR="006E40C9" w14:paraId="3C38C27D" w14:textId="77777777">
        <w:trPr>
          <w:cantSplit/>
          <w:jc w:val="center"/>
        </w:trPr>
        <w:tc>
          <w:tcPr>
            <w:tcW w:w="1934" w:type="dxa"/>
            <w:gridSpan w:val="2"/>
            <w:tcBorders>
              <w:top w:val="nil"/>
              <w:bottom w:val="nil"/>
            </w:tcBorders>
          </w:tcPr>
          <w:p w14:paraId="221413F4" w14:textId="77777777" w:rsidR="006E40C9" w:rsidRDefault="006E40C9">
            <w:pPr>
              <w:pStyle w:val="MeasureTableTextItalic"/>
            </w:pPr>
            <w:r>
              <w:t>Commencement date:</w:t>
            </w:r>
          </w:p>
        </w:tc>
        <w:tc>
          <w:tcPr>
            <w:tcW w:w="3179" w:type="dxa"/>
            <w:gridSpan w:val="4"/>
            <w:tcBorders>
              <w:top w:val="nil"/>
              <w:bottom w:val="nil"/>
            </w:tcBorders>
          </w:tcPr>
          <w:p w14:paraId="774E4E54" w14:textId="77777777" w:rsidR="006E40C9" w:rsidRDefault="006E40C9">
            <w:pPr>
              <w:pStyle w:val="MeasureTableTextLeftAligned"/>
            </w:pPr>
            <w:r>
              <w:t>6 October 2020</w:t>
            </w:r>
          </w:p>
        </w:tc>
        <w:tc>
          <w:tcPr>
            <w:tcW w:w="1500" w:type="dxa"/>
            <w:gridSpan w:val="2"/>
            <w:tcBorders>
              <w:top w:val="nil"/>
              <w:bottom w:val="nil"/>
            </w:tcBorders>
          </w:tcPr>
          <w:p w14:paraId="121FF2CA" w14:textId="77777777" w:rsidR="006E40C9" w:rsidRPr="00F32057" w:rsidRDefault="006E40C9">
            <w:pPr>
              <w:pStyle w:val="MeasureTableTextItalic"/>
            </w:pPr>
            <w:r>
              <w:t>Expiry date:</w:t>
            </w:r>
          </w:p>
        </w:tc>
        <w:tc>
          <w:tcPr>
            <w:tcW w:w="1124" w:type="dxa"/>
            <w:gridSpan w:val="2"/>
            <w:tcBorders>
              <w:top w:val="nil"/>
              <w:bottom w:val="nil"/>
            </w:tcBorders>
          </w:tcPr>
          <w:p w14:paraId="6EB1F60A" w14:textId="77777777" w:rsidR="006E40C9" w:rsidRPr="00F32057" w:rsidRDefault="006E40C9">
            <w:pPr>
              <w:pStyle w:val="MeasureTableTextLeftAligned"/>
            </w:pPr>
            <w:r>
              <w:t>30 June 2023</w:t>
            </w:r>
          </w:p>
        </w:tc>
      </w:tr>
      <w:tr w:rsidR="006E40C9" w14:paraId="75081321" w14:textId="77777777">
        <w:trPr>
          <w:cantSplit/>
          <w:jc w:val="center"/>
        </w:trPr>
        <w:tc>
          <w:tcPr>
            <w:tcW w:w="1934" w:type="dxa"/>
            <w:gridSpan w:val="2"/>
            <w:tcBorders>
              <w:top w:val="nil"/>
            </w:tcBorders>
          </w:tcPr>
          <w:p w14:paraId="6889FBC4" w14:textId="77777777" w:rsidR="006E40C9" w:rsidRDefault="006E40C9">
            <w:pPr>
              <w:pStyle w:val="MeasureTableTextItalic"/>
            </w:pPr>
            <w:r>
              <w:t>Legislative reference:</w:t>
            </w:r>
          </w:p>
        </w:tc>
        <w:tc>
          <w:tcPr>
            <w:tcW w:w="5803" w:type="dxa"/>
            <w:gridSpan w:val="8"/>
            <w:tcBorders>
              <w:top w:val="nil"/>
            </w:tcBorders>
          </w:tcPr>
          <w:p w14:paraId="108C7D8D"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7"/>
                <w:szCs w:val="17"/>
              </w:rPr>
              <w:t xml:space="preserve">Section 67-23 of the </w:t>
            </w:r>
            <w:r>
              <w:rPr>
                <w:rFonts w:ascii="Arial" w:hAnsi="Arial" w:cs="Arial"/>
                <w:i/>
                <w:iCs/>
                <w:color w:val="000000"/>
                <w:sz w:val="16"/>
                <w:szCs w:val="16"/>
              </w:rPr>
              <w:t xml:space="preserve">Income Tax Assessment Act 1997 </w:t>
            </w:r>
            <w:r>
              <w:rPr>
                <w:rFonts w:ascii="Arial" w:hAnsi="Arial" w:cs="Arial"/>
                <w:color w:val="000000"/>
                <w:sz w:val="16"/>
                <w:szCs w:val="16"/>
              </w:rPr>
              <w:t xml:space="preserve">Subdivision 160-A of the </w:t>
            </w:r>
            <w:r>
              <w:rPr>
                <w:rFonts w:ascii="Arial" w:hAnsi="Arial" w:cs="Arial"/>
                <w:i/>
                <w:iCs/>
                <w:color w:val="000000"/>
                <w:sz w:val="16"/>
                <w:szCs w:val="16"/>
              </w:rPr>
              <w:t>Income Tax Assessment Act 1997</w:t>
            </w:r>
          </w:p>
          <w:p w14:paraId="78B93A8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160-B of the Income Tax Assessment Act 1997</w:t>
            </w:r>
          </w:p>
        </w:tc>
      </w:tr>
    </w:tbl>
    <w:p w14:paraId="51D2C602" w14:textId="77777777" w:rsidR="006E40C9" w:rsidRPr="00540040" w:rsidRDefault="006E40C9" w:rsidP="006E40C9">
      <w:pPr>
        <w:pStyle w:val="MeasureTableHeading"/>
      </w:pPr>
    </w:p>
    <w:p w14:paraId="1787328C" w14:textId="120E6087" w:rsidR="00CE0A03" w:rsidRDefault="006E40C9" w:rsidP="00CE0A03">
      <w:r w:rsidRPr="008D657D">
        <w:t xml:space="preserve">Under the benchmark, companies are required to carry losses forward to offset profits in future years. A tax </w:t>
      </w:r>
      <w:r w:rsidR="0052518E">
        <w:t>expenditure</w:t>
      </w:r>
      <w:r w:rsidRPr="008D657D">
        <w:t xml:space="preserve"> </w:t>
      </w:r>
      <w:r>
        <w:t>may</w:t>
      </w:r>
      <w:r w:rsidRPr="008D657D">
        <w:t xml:space="preserve"> arise as eligible companies can carry back tax losses from their 2019</w:t>
      </w:r>
      <w:r w:rsidR="00CE0A03">
        <w:t>–</w:t>
      </w:r>
      <w:r w:rsidRPr="008D657D">
        <w:t>20, 2020</w:t>
      </w:r>
      <w:r w:rsidR="00CE0A03">
        <w:t>–</w:t>
      </w:r>
      <w:r w:rsidRPr="008D657D">
        <w:t>21</w:t>
      </w:r>
      <w:r>
        <w:t>,</w:t>
      </w:r>
      <w:r w:rsidRPr="008D657D">
        <w:t xml:space="preserve"> 2021</w:t>
      </w:r>
      <w:r w:rsidR="00CE0A03">
        <w:t>–</w:t>
      </w:r>
      <w:r w:rsidRPr="008D657D">
        <w:t xml:space="preserve">22 </w:t>
      </w:r>
      <w:r>
        <w:t>or 2022</w:t>
      </w:r>
      <w:r w:rsidR="00CE0A03">
        <w:t>–</w:t>
      </w:r>
      <w:r>
        <w:t xml:space="preserve">23 </w:t>
      </w:r>
      <w:r w:rsidRPr="008D657D">
        <w:t>income years to offset tax previously paid in 2018</w:t>
      </w:r>
      <w:r w:rsidR="00CE0A03">
        <w:t>–</w:t>
      </w:r>
      <w:r w:rsidRPr="008D657D">
        <w:t xml:space="preserve">19 or later income years. </w:t>
      </w:r>
    </w:p>
    <w:p w14:paraId="1A52F78B" w14:textId="0EDE757F" w:rsidR="006E40C9" w:rsidRDefault="006E40C9" w:rsidP="00CE0A03">
      <w:r w:rsidRPr="00B77667">
        <w:t>Companies that do not elect to carry back losses can carry them forward as normal.</w:t>
      </w:r>
    </w:p>
    <w:p w14:paraId="7BEF4883" w14:textId="77777777" w:rsidR="006E40C9" w:rsidRDefault="006E40C9" w:rsidP="0003254D">
      <w:pPr>
        <w:pStyle w:val="Heading4"/>
      </w:pPr>
      <w:r>
        <w:t>B26</w:t>
      </w:r>
      <w:r>
        <w:tab/>
        <w:t>Exemption of foreign currency gains and losses from certain low balance accounts</w:t>
      </w:r>
    </w:p>
    <w:p w14:paraId="25BDD290" w14:textId="25558A3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94F42D" w14:textId="77777777">
        <w:trPr>
          <w:cantSplit/>
          <w:jc w:val="center"/>
        </w:trPr>
        <w:tc>
          <w:tcPr>
            <w:tcW w:w="967" w:type="dxa"/>
            <w:tcBorders>
              <w:top w:val="single" w:sz="2" w:space="0" w:color="auto"/>
              <w:bottom w:val="single" w:sz="2" w:space="0" w:color="auto"/>
            </w:tcBorders>
          </w:tcPr>
          <w:p w14:paraId="7E43934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176417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BA6C7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DEE85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4844D4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2955BC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6EFE4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2A3737" w14:textId="77777777" w:rsidR="006E40C9" w:rsidRDefault="006E40C9">
            <w:pPr>
              <w:pStyle w:val="MeasureTableTextRightAligned"/>
            </w:pPr>
            <w:r>
              <w:t>2027-28</w:t>
            </w:r>
          </w:p>
        </w:tc>
      </w:tr>
      <w:tr w:rsidR="006E40C9" w14:paraId="107186C6" w14:textId="77777777">
        <w:trPr>
          <w:cantSplit/>
          <w:jc w:val="center"/>
        </w:trPr>
        <w:tc>
          <w:tcPr>
            <w:tcW w:w="967" w:type="dxa"/>
            <w:tcBorders>
              <w:top w:val="single" w:sz="2" w:space="0" w:color="auto"/>
              <w:bottom w:val="single" w:sz="2" w:space="0" w:color="auto"/>
            </w:tcBorders>
          </w:tcPr>
          <w:p w14:paraId="5F6828D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9F430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F486C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E314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8BB4A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9F7F9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EE411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A43A72E" w14:textId="77777777" w:rsidR="006E40C9" w:rsidRDefault="006E40C9">
            <w:pPr>
              <w:pStyle w:val="MeasureTableTextRightAligned"/>
            </w:pPr>
            <w:r>
              <w:t>*</w:t>
            </w:r>
          </w:p>
        </w:tc>
      </w:tr>
      <w:tr w:rsidR="006E40C9" w14:paraId="3D21DD4B" w14:textId="77777777">
        <w:trPr>
          <w:cantSplit/>
          <w:jc w:val="center"/>
        </w:trPr>
        <w:tc>
          <w:tcPr>
            <w:tcW w:w="1934" w:type="dxa"/>
            <w:gridSpan w:val="2"/>
            <w:tcBorders>
              <w:top w:val="single" w:sz="2" w:space="0" w:color="auto"/>
              <w:bottom w:val="nil"/>
            </w:tcBorders>
          </w:tcPr>
          <w:p w14:paraId="6E4C258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48B6CF" w14:textId="77777777" w:rsidR="006E40C9" w:rsidRDefault="006E40C9">
            <w:pPr>
              <w:pStyle w:val="MeasureTableTextLeftAligned"/>
            </w:pPr>
            <w:r>
              <w:t>Exemption</w:t>
            </w:r>
          </w:p>
        </w:tc>
        <w:tc>
          <w:tcPr>
            <w:tcW w:w="1500" w:type="dxa"/>
            <w:gridSpan w:val="2"/>
            <w:tcBorders>
              <w:top w:val="single" w:sz="2" w:space="0" w:color="auto"/>
              <w:bottom w:val="nil"/>
            </w:tcBorders>
          </w:tcPr>
          <w:p w14:paraId="529A0C53" w14:textId="2F9A5C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D79FFE" w14:textId="77777777" w:rsidR="006E40C9" w:rsidRDefault="006E40C9">
            <w:pPr>
              <w:pStyle w:val="MeasureTableTextLeftAligned"/>
            </w:pPr>
            <w:r>
              <w:t>B25</w:t>
            </w:r>
          </w:p>
        </w:tc>
      </w:tr>
      <w:tr w:rsidR="006E40C9" w14:paraId="1D7C406F" w14:textId="77777777">
        <w:trPr>
          <w:cantSplit/>
          <w:jc w:val="center"/>
        </w:trPr>
        <w:tc>
          <w:tcPr>
            <w:tcW w:w="1934" w:type="dxa"/>
            <w:gridSpan w:val="2"/>
            <w:tcBorders>
              <w:top w:val="nil"/>
              <w:bottom w:val="nil"/>
            </w:tcBorders>
          </w:tcPr>
          <w:p w14:paraId="5733503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989914" w14:textId="77777777" w:rsidR="006E40C9" w:rsidRPr="00584CA7" w:rsidRDefault="006E40C9">
            <w:pPr>
              <w:pStyle w:val="MeasureTableTextLeftAligned"/>
            </w:pPr>
            <w:r>
              <w:t>Not Applicable</w:t>
            </w:r>
          </w:p>
        </w:tc>
        <w:tc>
          <w:tcPr>
            <w:tcW w:w="1500" w:type="dxa"/>
            <w:gridSpan w:val="2"/>
            <w:tcBorders>
              <w:top w:val="nil"/>
              <w:bottom w:val="nil"/>
            </w:tcBorders>
          </w:tcPr>
          <w:p w14:paraId="07358B55" w14:textId="77777777" w:rsidR="006E40C9" w:rsidRDefault="006E40C9">
            <w:pPr>
              <w:pStyle w:val="MeasureTableTextItalic"/>
            </w:pPr>
            <w:r>
              <w:t>* Category</w:t>
            </w:r>
          </w:p>
        </w:tc>
        <w:tc>
          <w:tcPr>
            <w:tcW w:w="1124" w:type="dxa"/>
            <w:gridSpan w:val="2"/>
            <w:tcBorders>
              <w:top w:val="nil"/>
              <w:bottom w:val="nil"/>
            </w:tcBorders>
          </w:tcPr>
          <w:p w14:paraId="2C2EE10B" w14:textId="77777777" w:rsidR="006E40C9" w:rsidRDefault="006E40C9">
            <w:pPr>
              <w:pStyle w:val="MeasureTableTextLeftAligned"/>
            </w:pPr>
            <w:r>
              <w:t>NA</w:t>
            </w:r>
          </w:p>
        </w:tc>
      </w:tr>
      <w:tr w:rsidR="006E40C9" w14:paraId="28ADFAA2" w14:textId="77777777">
        <w:trPr>
          <w:cantSplit/>
          <w:jc w:val="center"/>
        </w:trPr>
        <w:tc>
          <w:tcPr>
            <w:tcW w:w="1934" w:type="dxa"/>
            <w:gridSpan w:val="2"/>
            <w:tcBorders>
              <w:top w:val="nil"/>
              <w:bottom w:val="nil"/>
            </w:tcBorders>
          </w:tcPr>
          <w:p w14:paraId="42C0A935" w14:textId="77777777" w:rsidR="006E40C9" w:rsidRDefault="006E40C9">
            <w:pPr>
              <w:pStyle w:val="MeasureTableTextItalic"/>
            </w:pPr>
            <w:r>
              <w:t>Commencement date:</w:t>
            </w:r>
          </w:p>
        </w:tc>
        <w:tc>
          <w:tcPr>
            <w:tcW w:w="3179" w:type="dxa"/>
            <w:gridSpan w:val="4"/>
            <w:tcBorders>
              <w:top w:val="nil"/>
              <w:bottom w:val="nil"/>
            </w:tcBorders>
          </w:tcPr>
          <w:p w14:paraId="742829A5" w14:textId="77777777" w:rsidR="006E40C9" w:rsidRDefault="006E40C9">
            <w:pPr>
              <w:pStyle w:val="MeasureTableTextLeftAligned"/>
            </w:pPr>
            <w:r>
              <w:t>1 July 2003</w:t>
            </w:r>
          </w:p>
        </w:tc>
        <w:tc>
          <w:tcPr>
            <w:tcW w:w="1500" w:type="dxa"/>
            <w:gridSpan w:val="2"/>
            <w:tcBorders>
              <w:top w:val="nil"/>
              <w:bottom w:val="nil"/>
            </w:tcBorders>
          </w:tcPr>
          <w:p w14:paraId="43D2A583" w14:textId="77777777" w:rsidR="006E40C9" w:rsidRPr="00F32057" w:rsidRDefault="006E40C9">
            <w:pPr>
              <w:pStyle w:val="MeasureTableTextItalic"/>
            </w:pPr>
            <w:r>
              <w:t>Expiry date:</w:t>
            </w:r>
          </w:p>
        </w:tc>
        <w:tc>
          <w:tcPr>
            <w:tcW w:w="1124" w:type="dxa"/>
            <w:gridSpan w:val="2"/>
            <w:tcBorders>
              <w:top w:val="nil"/>
              <w:bottom w:val="nil"/>
            </w:tcBorders>
          </w:tcPr>
          <w:p w14:paraId="03247520" w14:textId="77777777" w:rsidR="006E40C9" w:rsidRPr="00F32057" w:rsidRDefault="006E40C9">
            <w:pPr>
              <w:pStyle w:val="MeasureTableTextLeftAligned"/>
            </w:pPr>
          </w:p>
        </w:tc>
      </w:tr>
      <w:tr w:rsidR="006E40C9" w14:paraId="71C5259A" w14:textId="77777777">
        <w:trPr>
          <w:cantSplit/>
          <w:jc w:val="center"/>
        </w:trPr>
        <w:tc>
          <w:tcPr>
            <w:tcW w:w="1934" w:type="dxa"/>
            <w:gridSpan w:val="2"/>
            <w:tcBorders>
              <w:top w:val="nil"/>
            </w:tcBorders>
          </w:tcPr>
          <w:p w14:paraId="3574E090" w14:textId="77777777" w:rsidR="006E40C9" w:rsidRDefault="006E40C9">
            <w:pPr>
              <w:pStyle w:val="MeasureTableTextItalic"/>
            </w:pPr>
            <w:r>
              <w:t>Legislative reference:</w:t>
            </w:r>
          </w:p>
        </w:tc>
        <w:tc>
          <w:tcPr>
            <w:tcW w:w="5803" w:type="dxa"/>
            <w:gridSpan w:val="8"/>
            <w:tcBorders>
              <w:top w:val="nil"/>
            </w:tcBorders>
          </w:tcPr>
          <w:p w14:paraId="5FD7B84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775-D of the </w:t>
            </w:r>
            <w:r>
              <w:rPr>
                <w:rFonts w:ascii="Arial" w:hAnsi="Arial" w:cs="Arial"/>
                <w:i/>
                <w:iCs/>
                <w:color w:val="000000"/>
                <w:sz w:val="16"/>
                <w:szCs w:val="16"/>
              </w:rPr>
              <w:t>Income Tax Assessment Act 1997</w:t>
            </w:r>
          </w:p>
        </w:tc>
      </w:tr>
    </w:tbl>
    <w:p w14:paraId="33406C6C" w14:textId="77777777" w:rsidR="006E40C9" w:rsidRPr="00540040" w:rsidRDefault="006E40C9" w:rsidP="006E40C9">
      <w:pPr>
        <w:pStyle w:val="MeasureTableHeading"/>
      </w:pPr>
    </w:p>
    <w:p w14:paraId="498C3F3B" w14:textId="77777777" w:rsidR="006E40C9" w:rsidRDefault="006E40C9" w:rsidP="006E40C9">
      <w:r>
        <w:t xml:space="preserve">Under the tax benchmark, taxpayers include the change of value of accounts denominated in foreign currency (as an equivalent Australian dollar amount) when they make a withdrawal from or payment to the account in their assessable income or as an allowable tax deduction. </w:t>
      </w:r>
      <w:r w:rsidRPr="008A23A6">
        <w:t xml:space="preserve">Taxpayers with low balance bank accounts or credit card accounts denominated in a foreign currency may elect to disregard gains and losses attributable to changes in exchange rates (made in respect of </w:t>
      </w:r>
      <w:r>
        <w:t xml:space="preserve">withdrawals and payments on </w:t>
      </w:r>
      <w:r w:rsidRPr="008A23A6">
        <w:t>the</w:t>
      </w:r>
      <w:r>
        <w:t>se</w:t>
      </w:r>
      <w:r w:rsidRPr="008A23A6">
        <w:t xml:space="preserve"> account</w:t>
      </w:r>
      <w:r>
        <w:t>s</w:t>
      </w:r>
      <w:r w:rsidRPr="008A23A6">
        <w:t>)</w:t>
      </w:r>
      <w:r>
        <w:t xml:space="preserve"> for tax purposes</w:t>
      </w:r>
      <w:r w:rsidRPr="008A23A6">
        <w:t xml:space="preserve">. </w:t>
      </w:r>
    </w:p>
    <w:p w14:paraId="246285AA" w14:textId="77777777" w:rsidR="006E40C9" w:rsidRDefault="006E40C9" w:rsidP="006E40C9">
      <w:r w:rsidRPr="008A23A6">
        <w:t>This option is available to all taxpayers other than financial institutions. Accounts with a combined credit or debit balance that does not exceed the foreign currency equivalent of A$250,000 will generally be eligible.</w:t>
      </w:r>
      <w:r>
        <w:fldChar w:fldCharType="begin"/>
      </w:r>
      <w:r>
        <w:instrText xml:space="preserve"> XE "F</w:instrText>
      </w:r>
      <w:r w:rsidRPr="000078FC">
        <w:instrText>oreign currency gains and losses</w:instrText>
      </w:r>
      <w:r>
        <w:instrText xml:space="preserve">" </w:instrText>
      </w:r>
      <w:r>
        <w:fldChar w:fldCharType="end"/>
      </w:r>
    </w:p>
    <w:p w14:paraId="72AE8C51" w14:textId="77777777" w:rsidR="006E40C9" w:rsidRDefault="006E40C9" w:rsidP="0003254D">
      <w:pPr>
        <w:pStyle w:val="Heading4"/>
      </w:pPr>
      <w:r>
        <w:t>B27</w:t>
      </w:r>
      <w:r>
        <w:tab/>
        <w:t>Off-market share buy-backs</w:t>
      </w:r>
    </w:p>
    <w:p w14:paraId="2D49FD28" w14:textId="0ED8575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A401FA" w14:textId="77777777">
        <w:trPr>
          <w:cantSplit/>
          <w:jc w:val="center"/>
        </w:trPr>
        <w:tc>
          <w:tcPr>
            <w:tcW w:w="967" w:type="dxa"/>
            <w:tcBorders>
              <w:top w:val="single" w:sz="2" w:space="0" w:color="auto"/>
              <w:bottom w:val="single" w:sz="2" w:space="0" w:color="auto"/>
            </w:tcBorders>
          </w:tcPr>
          <w:p w14:paraId="0A81B99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B938A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BE7ED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14A5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18E7E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5848FB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890A9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68DAF0" w14:textId="77777777" w:rsidR="006E40C9" w:rsidRDefault="006E40C9">
            <w:pPr>
              <w:pStyle w:val="MeasureTableTextRightAligned"/>
            </w:pPr>
            <w:r>
              <w:t>2027-28</w:t>
            </w:r>
          </w:p>
        </w:tc>
      </w:tr>
      <w:tr w:rsidR="006E40C9" w14:paraId="3D87C883" w14:textId="77777777">
        <w:trPr>
          <w:cantSplit/>
          <w:jc w:val="center"/>
        </w:trPr>
        <w:tc>
          <w:tcPr>
            <w:tcW w:w="967" w:type="dxa"/>
            <w:tcBorders>
              <w:top w:val="single" w:sz="2" w:space="0" w:color="auto"/>
              <w:bottom w:val="single" w:sz="2" w:space="0" w:color="auto"/>
            </w:tcBorders>
          </w:tcPr>
          <w:p w14:paraId="4CECB70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364DE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575F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06D13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5963DC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CD81C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F8210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1902A8" w14:textId="77777777" w:rsidR="006E40C9" w:rsidRDefault="006E40C9">
            <w:pPr>
              <w:pStyle w:val="MeasureTableTextRightAligned"/>
            </w:pPr>
            <w:r>
              <w:t>*</w:t>
            </w:r>
          </w:p>
        </w:tc>
      </w:tr>
      <w:tr w:rsidR="006E40C9" w14:paraId="14FDEFEA" w14:textId="77777777">
        <w:trPr>
          <w:cantSplit/>
          <w:jc w:val="center"/>
        </w:trPr>
        <w:tc>
          <w:tcPr>
            <w:tcW w:w="1934" w:type="dxa"/>
            <w:gridSpan w:val="2"/>
            <w:tcBorders>
              <w:top w:val="single" w:sz="2" w:space="0" w:color="auto"/>
              <w:bottom w:val="nil"/>
            </w:tcBorders>
          </w:tcPr>
          <w:p w14:paraId="1D242F7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3ECFD1" w14:textId="77777777" w:rsidR="006E40C9" w:rsidRDefault="006E40C9">
            <w:pPr>
              <w:pStyle w:val="MeasureTableTextLeftAligned"/>
            </w:pPr>
            <w:r>
              <w:t>Offset</w:t>
            </w:r>
          </w:p>
        </w:tc>
        <w:tc>
          <w:tcPr>
            <w:tcW w:w="1500" w:type="dxa"/>
            <w:gridSpan w:val="2"/>
            <w:tcBorders>
              <w:top w:val="single" w:sz="2" w:space="0" w:color="auto"/>
              <w:bottom w:val="nil"/>
            </w:tcBorders>
          </w:tcPr>
          <w:p w14:paraId="54B72CA3" w14:textId="756BE2A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384D66" w14:textId="77777777" w:rsidR="006E40C9" w:rsidRDefault="006E40C9">
            <w:pPr>
              <w:pStyle w:val="MeasureTableTextLeftAligned"/>
            </w:pPr>
            <w:r>
              <w:t>B26</w:t>
            </w:r>
          </w:p>
        </w:tc>
      </w:tr>
      <w:tr w:rsidR="006E40C9" w14:paraId="5DCF5DDC" w14:textId="77777777">
        <w:trPr>
          <w:cantSplit/>
          <w:jc w:val="center"/>
        </w:trPr>
        <w:tc>
          <w:tcPr>
            <w:tcW w:w="1934" w:type="dxa"/>
            <w:gridSpan w:val="2"/>
            <w:tcBorders>
              <w:top w:val="nil"/>
              <w:bottom w:val="nil"/>
            </w:tcBorders>
          </w:tcPr>
          <w:p w14:paraId="6CE99DC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956B6DB" w14:textId="77777777" w:rsidR="006E40C9" w:rsidRPr="00584CA7" w:rsidRDefault="006E40C9">
            <w:pPr>
              <w:pStyle w:val="MeasureTableTextLeftAligned"/>
            </w:pPr>
            <w:r>
              <w:t>Low</w:t>
            </w:r>
          </w:p>
        </w:tc>
        <w:tc>
          <w:tcPr>
            <w:tcW w:w="1500" w:type="dxa"/>
            <w:gridSpan w:val="2"/>
            <w:tcBorders>
              <w:top w:val="nil"/>
              <w:bottom w:val="nil"/>
            </w:tcBorders>
          </w:tcPr>
          <w:p w14:paraId="6EB1C832" w14:textId="77777777" w:rsidR="006E40C9" w:rsidRDefault="006E40C9">
            <w:pPr>
              <w:pStyle w:val="MeasureTableTextItalic"/>
            </w:pPr>
            <w:r>
              <w:t>* Category</w:t>
            </w:r>
          </w:p>
        </w:tc>
        <w:tc>
          <w:tcPr>
            <w:tcW w:w="1124" w:type="dxa"/>
            <w:gridSpan w:val="2"/>
            <w:tcBorders>
              <w:top w:val="nil"/>
              <w:bottom w:val="nil"/>
            </w:tcBorders>
          </w:tcPr>
          <w:p w14:paraId="355A21CC" w14:textId="77777777" w:rsidR="006E40C9" w:rsidRDefault="006E40C9">
            <w:pPr>
              <w:pStyle w:val="MeasureTableTextLeftAligned"/>
            </w:pPr>
            <w:r>
              <w:t>4+</w:t>
            </w:r>
          </w:p>
        </w:tc>
      </w:tr>
      <w:tr w:rsidR="006E40C9" w14:paraId="22C44DB6" w14:textId="77777777">
        <w:trPr>
          <w:cantSplit/>
          <w:jc w:val="center"/>
        </w:trPr>
        <w:tc>
          <w:tcPr>
            <w:tcW w:w="1934" w:type="dxa"/>
            <w:gridSpan w:val="2"/>
            <w:tcBorders>
              <w:top w:val="nil"/>
              <w:bottom w:val="nil"/>
            </w:tcBorders>
          </w:tcPr>
          <w:p w14:paraId="77509716" w14:textId="77777777" w:rsidR="006E40C9" w:rsidRDefault="006E40C9">
            <w:pPr>
              <w:pStyle w:val="MeasureTableTextItalic"/>
            </w:pPr>
            <w:r>
              <w:t>Commencement date:</w:t>
            </w:r>
          </w:p>
        </w:tc>
        <w:tc>
          <w:tcPr>
            <w:tcW w:w="3179" w:type="dxa"/>
            <w:gridSpan w:val="4"/>
            <w:tcBorders>
              <w:top w:val="nil"/>
              <w:bottom w:val="nil"/>
            </w:tcBorders>
          </w:tcPr>
          <w:p w14:paraId="69C122D9" w14:textId="77777777" w:rsidR="006E40C9" w:rsidRDefault="006E40C9">
            <w:pPr>
              <w:pStyle w:val="MeasureTableTextLeftAligned"/>
            </w:pPr>
            <w:r>
              <w:t>1990</w:t>
            </w:r>
          </w:p>
        </w:tc>
        <w:tc>
          <w:tcPr>
            <w:tcW w:w="1500" w:type="dxa"/>
            <w:gridSpan w:val="2"/>
            <w:tcBorders>
              <w:top w:val="nil"/>
              <w:bottom w:val="nil"/>
            </w:tcBorders>
          </w:tcPr>
          <w:p w14:paraId="3162C26A" w14:textId="77777777" w:rsidR="006E40C9" w:rsidRPr="00F32057" w:rsidRDefault="006E40C9">
            <w:pPr>
              <w:pStyle w:val="MeasureTableTextItalic"/>
            </w:pPr>
            <w:r>
              <w:t>Expiry date:</w:t>
            </w:r>
          </w:p>
        </w:tc>
        <w:tc>
          <w:tcPr>
            <w:tcW w:w="1124" w:type="dxa"/>
            <w:gridSpan w:val="2"/>
            <w:tcBorders>
              <w:top w:val="nil"/>
              <w:bottom w:val="nil"/>
            </w:tcBorders>
          </w:tcPr>
          <w:p w14:paraId="34C91F58" w14:textId="77777777" w:rsidR="006E40C9" w:rsidRPr="00F32057" w:rsidRDefault="006E40C9">
            <w:pPr>
              <w:pStyle w:val="MeasureTableTextLeftAligned"/>
            </w:pPr>
          </w:p>
        </w:tc>
      </w:tr>
      <w:tr w:rsidR="006E40C9" w14:paraId="0A353614" w14:textId="77777777">
        <w:trPr>
          <w:cantSplit/>
          <w:jc w:val="center"/>
        </w:trPr>
        <w:tc>
          <w:tcPr>
            <w:tcW w:w="1934" w:type="dxa"/>
            <w:gridSpan w:val="2"/>
            <w:tcBorders>
              <w:top w:val="nil"/>
            </w:tcBorders>
          </w:tcPr>
          <w:p w14:paraId="5FE5F151" w14:textId="77777777" w:rsidR="006E40C9" w:rsidRDefault="006E40C9">
            <w:pPr>
              <w:pStyle w:val="MeasureTableTextItalic"/>
            </w:pPr>
            <w:r>
              <w:t>Legislative reference:</w:t>
            </w:r>
          </w:p>
        </w:tc>
        <w:tc>
          <w:tcPr>
            <w:tcW w:w="5803" w:type="dxa"/>
            <w:gridSpan w:val="8"/>
            <w:tcBorders>
              <w:top w:val="nil"/>
            </w:tcBorders>
          </w:tcPr>
          <w:p w14:paraId="1367A51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 16K of Part III and 177EA of the</w:t>
            </w:r>
            <w:r w:rsidRPr="00FC7B3F">
              <w:rPr>
                <w:rFonts w:ascii="Arial" w:hAnsi="Arial" w:cs="Microsoft Sans Serif"/>
                <w:sz w:val="16"/>
                <w:szCs w:val="17"/>
              </w:rPr>
              <w:t xml:space="preserve"> </w:t>
            </w:r>
            <w:r>
              <w:rPr>
                <w:rFonts w:ascii="Arial" w:hAnsi="Arial" w:cs="Arial"/>
                <w:i/>
                <w:iCs/>
                <w:color w:val="000000"/>
                <w:sz w:val="16"/>
                <w:szCs w:val="16"/>
              </w:rPr>
              <w:t>Income Tax Assessment Act 1936</w:t>
            </w:r>
          </w:p>
        </w:tc>
      </w:tr>
    </w:tbl>
    <w:p w14:paraId="3668651F" w14:textId="77777777" w:rsidR="006E40C9" w:rsidRPr="00540040" w:rsidRDefault="006E40C9" w:rsidP="006E40C9">
      <w:pPr>
        <w:pStyle w:val="MeasureTableHeading"/>
      </w:pPr>
    </w:p>
    <w:p w14:paraId="5DFC3784" w14:textId="436B737A" w:rsidR="006E40C9" w:rsidRDefault="006E40C9" w:rsidP="006E40C9">
      <w:r>
        <w:t>The proceeds paid to shareholders who participate in an off</w:t>
      </w:r>
      <w:r>
        <w:noBreakHyphen/>
        <w:t>market share buy</w:t>
      </w:r>
      <w:r>
        <w:noBreakHyphen/>
        <w:t>back</w:t>
      </w:r>
      <w:r>
        <w:fldChar w:fldCharType="begin"/>
      </w:r>
      <w:r>
        <w:instrText xml:space="preserve"> XE "Off-market share buy-back" </w:instrText>
      </w:r>
      <w:r>
        <w:fldChar w:fldCharType="end"/>
      </w:r>
      <w:r>
        <w:t xml:space="preserve"> are usually split into a dividend component and a capital component. The dividend component of the buy</w:t>
      </w:r>
      <w:r>
        <w:noBreakHyphen/>
        <w:t>back proceeds may be fully franked. This allows companies that undertake off</w:t>
      </w:r>
      <w:r>
        <w:noBreakHyphen/>
        <w:t>market share buy</w:t>
      </w:r>
      <w:r>
        <w:noBreakHyphen/>
        <w:t>backs to distribute franking credits to participating shareholders beyond the level that would normally be available. Treating part of the proceeds as a dividend makes off</w:t>
      </w:r>
      <w:r>
        <w:noBreakHyphen/>
        <w:t>market share buy</w:t>
      </w:r>
      <w:r>
        <w:noBreakHyphen/>
        <w:t xml:space="preserve">backs more attractive to low marginal tax rate taxpayers. This facilitates streaming of franking credits to those shareholders that can obtain the most benefit. The tax </w:t>
      </w:r>
      <w:r w:rsidR="0052518E">
        <w:t>expenditure</w:t>
      </w:r>
      <w:r>
        <w:t xml:space="preserve"> is equal to the difference in tax payable, had those franking credits</w:t>
      </w:r>
      <w:r>
        <w:fldChar w:fldCharType="begin"/>
      </w:r>
      <w:r>
        <w:instrText xml:space="preserve"> XE "Franking credits" </w:instrText>
      </w:r>
      <w:r>
        <w:fldChar w:fldCharType="end"/>
      </w:r>
      <w:r>
        <w:t xml:space="preserve"> been distributed uniformly to all shareholders.</w:t>
      </w:r>
    </w:p>
    <w:p w14:paraId="2FEABA51" w14:textId="0EB89610" w:rsidR="006E40C9" w:rsidRDefault="006E40C9" w:rsidP="006E40C9">
      <w:r>
        <w:t xml:space="preserve">On 27 November 2023 legislation was enacted to align the tax treatment of off-market share buy-backs undertaken by listed public companies with the treatment of on-market share buy-backs. The new rules apply to off-market buy-backs that were announced or occurred after 25 October 2022, and to selective share cancellations that were announced or occurred on or after 18 November 2022. Off-market share buy-backs undertaken by other companies are not affected by this legislation. </w:t>
      </w:r>
    </w:p>
    <w:p w14:paraId="5AFA7676" w14:textId="77777777" w:rsidR="006E40C9" w:rsidRDefault="006E40C9" w:rsidP="0003254D">
      <w:pPr>
        <w:pStyle w:val="Heading4"/>
      </w:pPr>
      <w:r>
        <w:t>B28</w:t>
      </w:r>
      <w:r>
        <w:tab/>
        <w:t>Tax exemption for business recipients of disaster relief and recovery payments</w:t>
      </w:r>
    </w:p>
    <w:p w14:paraId="559F802E" w14:textId="29FA737D" w:rsidR="006E40C9" w:rsidRDefault="006E40C9" w:rsidP="006E40C9">
      <w:pPr>
        <w:pStyle w:val="MeasureTableHeading"/>
      </w:pPr>
      <w:r>
        <w:t>Other purposes</w:t>
      </w:r>
      <w:r w:rsidR="009F5E3D">
        <w:t xml:space="preserve"> – </w:t>
      </w:r>
      <w:r>
        <w:t>Natural disaster relief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06184B3" w14:textId="77777777">
        <w:trPr>
          <w:cantSplit/>
          <w:jc w:val="center"/>
        </w:trPr>
        <w:tc>
          <w:tcPr>
            <w:tcW w:w="967" w:type="dxa"/>
            <w:tcBorders>
              <w:top w:val="single" w:sz="2" w:space="0" w:color="auto"/>
              <w:bottom w:val="single" w:sz="2" w:space="0" w:color="auto"/>
            </w:tcBorders>
          </w:tcPr>
          <w:p w14:paraId="630553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5F74D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F112A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8804E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D31D2C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6F547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071F1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414785" w14:textId="77777777" w:rsidR="006E40C9" w:rsidRDefault="006E40C9">
            <w:pPr>
              <w:pStyle w:val="MeasureTableTextRightAligned"/>
            </w:pPr>
            <w:r>
              <w:t>2027-28</w:t>
            </w:r>
          </w:p>
        </w:tc>
      </w:tr>
      <w:tr w:rsidR="006E40C9" w14:paraId="30023550" w14:textId="77777777">
        <w:trPr>
          <w:cantSplit/>
          <w:jc w:val="center"/>
        </w:trPr>
        <w:tc>
          <w:tcPr>
            <w:tcW w:w="967" w:type="dxa"/>
            <w:tcBorders>
              <w:top w:val="single" w:sz="2" w:space="0" w:color="auto"/>
              <w:bottom w:val="single" w:sz="2" w:space="0" w:color="auto"/>
            </w:tcBorders>
          </w:tcPr>
          <w:p w14:paraId="382C702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D7CA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7BF2A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1813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A98B1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4A30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DA03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D696987" w14:textId="77777777" w:rsidR="006E40C9" w:rsidRDefault="006E40C9">
            <w:pPr>
              <w:pStyle w:val="MeasureTableTextRightAligned"/>
            </w:pPr>
            <w:r>
              <w:t>*</w:t>
            </w:r>
          </w:p>
        </w:tc>
      </w:tr>
      <w:tr w:rsidR="006E40C9" w14:paraId="6B2E71CF" w14:textId="77777777">
        <w:trPr>
          <w:cantSplit/>
          <w:jc w:val="center"/>
        </w:trPr>
        <w:tc>
          <w:tcPr>
            <w:tcW w:w="1934" w:type="dxa"/>
            <w:gridSpan w:val="2"/>
            <w:tcBorders>
              <w:top w:val="single" w:sz="2" w:space="0" w:color="auto"/>
              <w:bottom w:val="nil"/>
            </w:tcBorders>
          </w:tcPr>
          <w:p w14:paraId="5FC40CA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269DFC" w14:textId="77777777" w:rsidR="006E40C9" w:rsidRDefault="006E40C9">
            <w:pPr>
              <w:pStyle w:val="MeasureTableTextLeftAligned"/>
            </w:pPr>
            <w:r>
              <w:t>Exemption</w:t>
            </w:r>
          </w:p>
        </w:tc>
        <w:tc>
          <w:tcPr>
            <w:tcW w:w="1500" w:type="dxa"/>
            <w:gridSpan w:val="2"/>
            <w:tcBorders>
              <w:top w:val="single" w:sz="2" w:space="0" w:color="auto"/>
              <w:bottom w:val="nil"/>
            </w:tcBorders>
          </w:tcPr>
          <w:p w14:paraId="0787D0A6" w14:textId="3830E9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5C2CC7" w14:textId="77777777" w:rsidR="006E40C9" w:rsidRDefault="006E40C9">
            <w:pPr>
              <w:pStyle w:val="MeasureTableTextLeftAligned"/>
            </w:pPr>
            <w:r>
              <w:t>B27</w:t>
            </w:r>
          </w:p>
        </w:tc>
      </w:tr>
      <w:tr w:rsidR="006E40C9" w14:paraId="2555FA57" w14:textId="77777777">
        <w:trPr>
          <w:cantSplit/>
          <w:jc w:val="center"/>
        </w:trPr>
        <w:tc>
          <w:tcPr>
            <w:tcW w:w="1934" w:type="dxa"/>
            <w:gridSpan w:val="2"/>
            <w:tcBorders>
              <w:top w:val="nil"/>
              <w:bottom w:val="nil"/>
            </w:tcBorders>
          </w:tcPr>
          <w:p w14:paraId="6FD0EFC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8BD54D" w14:textId="77777777" w:rsidR="006E40C9" w:rsidRPr="00584CA7" w:rsidRDefault="006E40C9">
            <w:pPr>
              <w:pStyle w:val="MeasureTableTextLeftAligned"/>
            </w:pPr>
            <w:r>
              <w:t>Not Applicable</w:t>
            </w:r>
          </w:p>
        </w:tc>
        <w:tc>
          <w:tcPr>
            <w:tcW w:w="1500" w:type="dxa"/>
            <w:gridSpan w:val="2"/>
            <w:tcBorders>
              <w:top w:val="nil"/>
              <w:bottom w:val="nil"/>
            </w:tcBorders>
          </w:tcPr>
          <w:p w14:paraId="3882B860" w14:textId="77777777" w:rsidR="006E40C9" w:rsidRDefault="006E40C9">
            <w:pPr>
              <w:pStyle w:val="MeasureTableTextItalic"/>
            </w:pPr>
            <w:r>
              <w:t>* Category</w:t>
            </w:r>
          </w:p>
        </w:tc>
        <w:tc>
          <w:tcPr>
            <w:tcW w:w="1124" w:type="dxa"/>
            <w:gridSpan w:val="2"/>
            <w:tcBorders>
              <w:top w:val="nil"/>
              <w:bottom w:val="nil"/>
            </w:tcBorders>
          </w:tcPr>
          <w:p w14:paraId="09E806B5" w14:textId="77777777" w:rsidR="006E40C9" w:rsidRDefault="006E40C9">
            <w:pPr>
              <w:pStyle w:val="MeasureTableTextLeftAligned"/>
            </w:pPr>
            <w:r>
              <w:t>2+</w:t>
            </w:r>
          </w:p>
        </w:tc>
      </w:tr>
      <w:tr w:rsidR="006E40C9" w14:paraId="5182CB20" w14:textId="77777777">
        <w:trPr>
          <w:cantSplit/>
          <w:jc w:val="center"/>
        </w:trPr>
        <w:tc>
          <w:tcPr>
            <w:tcW w:w="1934" w:type="dxa"/>
            <w:gridSpan w:val="2"/>
            <w:tcBorders>
              <w:top w:val="nil"/>
              <w:bottom w:val="nil"/>
            </w:tcBorders>
          </w:tcPr>
          <w:p w14:paraId="6E719200" w14:textId="77777777" w:rsidR="006E40C9" w:rsidRDefault="006E40C9">
            <w:pPr>
              <w:pStyle w:val="MeasureTableTextItalic"/>
            </w:pPr>
            <w:r>
              <w:t>Commencement date:</w:t>
            </w:r>
          </w:p>
        </w:tc>
        <w:tc>
          <w:tcPr>
            <w:tcW w:w="3179" w:type="dxa"/>
            <w:gridSpan w:val="4"/>
            <w:tcBorders>
              <w:top w:val="nil"/>
              <w:bottom w:val="nil"/>
            </w:tcBorders>
          </w:tcPr>
          <w:p w14:paraId="15FB0543" w14:textId="77777777" w:rsidR="006E40C9" w:rsidRDefault="006E40C9">
            <w:pPr>
              <w:pStyle w:val="MeasureTableTextLeftAligned"/>
            </w:pPr>
            <w:r>
              <w:t>2021</w:t>
            </w:r>
          </w:p>
        </w:tc>
        <w:tc>
          <w:tcPr>
            <w:tcW w:w="1500" w:type="dxa"/>
            <w:gridSpan w:val="2"/>
            <w:tcBorders>
              <w:top w:val="nil"/>
              <w:bottom w:val="nil"/>
            </w:tcBorders>
          </w:tcPr>
          <w:p w14:paraId="5A05872C" w14:textId="77777777" w:rsidR="006E40C9" w:rsidRPr="00F32057" w:rsidRDefault="006E40C9">
            <w:pPr>
              <w:pStyle w:val="MeasureTableTextItalic"/>
            </w:pPr>
            <w:r>
              <w:t>Expiry date:</w:t>
            </w:r>
          </w:p>
        </w:tc>
        <w:tc>
          <w:tcPr>
            <w:tcW w:w="1124" w:type="dxa"/>
            <w:gridSpan w:val="2"/>
            <w:tcBorders>
              <w:top w:val="nil"/>
              <w:bottom w:val="nil"/>
            </w:tcBorders>
          </w:tcPr>
          <w:p w14:paraId="211F86CB" w14:textId="77777777" w:rsidR="006E40C9" w:rsidRPr="00F32057" w:rsidRDefault="006E40C9">
            <w:pPr>
              <w:pStyle w:val="MeasureTableTextLeftAligned"/>
            </w:pPr>
          </w:p>
        </w:tc>
      </w:tr>
      <w:tr w:rsidR="006E40C9" w14:paraId="13B2000A" w14:textId="77777777">
        <w:trPr>
          <w:cantSplit/>
          <w:jc w:val="center"/>
        </w:trPr>
        <w:tc>
          <w:tcPr>
            <w:tcW w:w="1934" w:type="dxa"/>
            <w:gridSpan w:val="2"/>
            <w:tcBorders>
              <w:top w:val="nil"/>
            </w:tcBorders>
          </w:tcPr>
          <w:p w14:paraId="21B75901" w14:textId="77777777" w:rsidR="006E40C9" w:rsidRDefault="006E40C9">
            <w:pPr>
              <w:pStyle w:val="MeasureTableTextItalic"/>
            </w:pPr>
            <w:r>
              <w:t>Legislative reference:</w:t>
            </w:r>
          </w:p>
        </w:tc>
        <w:tc>
          <w:tcPr>
            <w:tcW w:w="5803" w:type="dxa"/>
            <w:gridSpan w:val="8"/>
            <w:tcBorders>
              <w:top w:val="nil"/>
            </w:tcBorders>
          </w:tcPr>
          <w:p w14:paraId="11DE2EB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 11-55, 51-125, 59-60, 59-85, 59-86, 59-99 and 59-105 of the </w:t>
            </w:r>
            <w:r>
              <w:rPr>
                <w:rFonts w:ascii="Arial" w:hAnsi="Arial" w:cs="Arial"/>
                <w:i/>
                <w:iCs/>
                <w:color w:val="000000"/>
                <w:sz w:val="16"/>
                <w:szCs w:val="16"/>
              </w:rPr>
              <w:t>Income Tax Assessment Act 1997</w:t>
            </w:r>
          </w:p>
        </w:tc>
      </w:tr>
    </w:tbl>
    <w:p w14:paraId="2EB83AE7" w14:textId="77777777" w:rsidR="006E40C9" w:rsidRPr="00540040" w:rsidRDefault="006E40C9" w:rsidP="006E40C9">
      <w:pPr>
        <w:pStyle w:val="MeasureTableHeading"/>
      </w:pPr>
    </w:p>
    <w:p w14:paraId="6CB87D64" w14:textId="77777777" w:rsidR="006E40C9" w:rsidRDefault="006E40C9" w:rsidP="006E40C9">
      <w:r>
        <w:t>Under the benchmark, government payments to businesses are generally treated as assessable income and subject to income tax. A tax expenditure arises because certain government natural disaster relief</w:t>
      </w:r>
      <w:r>
        <w:fldChar w:fldCharType="begin"/>
      </w:r>
      <w:r>
        <w:instrText xml:space="preserve"> XE "N</w:instrText>
      </w:r>
      <w:r w:rsidRPr="001B2253">
        <w:instrText>atural disaster</w:instrText>
      </w:r>
      <w:r>
        <w:instrText xml:space="preserve">s" </w:instrText>
      </w:r>
      <w:r>
        <w:fldChar w:fldCharType="end"/>
      </w:r>
      <w:r>
        <w:t xml:space="preserve"> </w:t>
      </w:r>
      <w:r w:rsidRPr="0054488E">
        <w:t>is exempt from income tax.</w:t>
      </w:r>
    </w:p>
    <w:p w14:paraId="7CAF5E7C" w14:textId="77777777" w:rsidR="006E40C9" w:rsidRDefault="006E40C9" w:rsidP="0003254D">
      <w:pPr>
        <w:pStyle w:val="Heading3"/>
      </w:pPr>
      <w:r>
        <w:t>Tax exemptions for certain government income support payments</w:t>
      </w:r>
    </w:p>
    <w:p w14:paraId="6EC8B04F" w14:textId="77777777" w:rsidR="006E40C9" w:rsidRDefault="006E40C9" w:rsidP="0003254D">
      <w:pPr>
        <w:pStyle w:val="Heading4"/>
      </w:pPr>
      <w:r>
        <w:t>B29</w:t>
      </w:r>
      <w:r>
        <w:tab/>
        <w:t>Tax exemption for COVID-19 business grants</w:t>
      </w:r>
    </w:p>
    <w:p w14:paraId="2420AAE1" w14:textId="4D4A6B2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5A5C777" w14:textId="77777777">
        <w:trPr>
          <w:cantSplit/>
          <w:jc w:val="center"/>
        </w:trPr>
        <w:tc>
          <w:tcPr>
            <w:tcW w:w="967" w:type="dxa"/>
            <w:tcBorders>
              <w:top w:val="single" w:sz="2" w:space="0" w:color="auto"/>
              <w:bottom w:val="single" w:sz="2" w:space="0" w:color="auto"/>
            </w:tcBorders>
          </w:tcPr>
          <w:p w14:paraId="14484E0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4E6700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763D4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CF4E7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02D5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BAADF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AFE6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21B83D" w14:textId="77777777" w:rsidR="006E40C9" w:rsidRDefault="006E40C9">
            <w:pPr>
              <w:pStyle w:val="MeasureTableTextRightAligned"/>
            </w:pPr>
            <w:r>
              <w:t>2027-28</w:t>
            </w:r>
          </w:p>
        </w:tc>
      </w:tr>
      <w:tr w:rsidR="006E40C9" w14:paraId="1D636443" w14:textId="77777777">
        <w:trPr>
          <w:cantSplit/>
          <w:jc w:val="center"/>
        </w:trPr>
        <w:tc>
          <w:tcPr>
            <w:tcW w:w="967" w:type="dxa"/>
            <w:tcBorders>
              <w:top w:val="single" w:sz="2" w:space="0" w:color="auto"/>
              <w:bottom w:val="single" w:sz="2" w:space="0" w:color="auto"/>
            </w:tcBorders>
          </w:tcPr>
          <w:p w14:paraId="63E1E8C2" w14:textId="77777777" w:rsidR="006E40C9" w:rsidRDefault="006E40C9">
            <w:pPr>
              <w:pStyle w:val="MeasureTableTextRightAligned"/>
            </w:pPr>
            <w:r>
              <w:t>*</w:t>
            </w:r>
          </w:p>
        </w:tc>
        <w:tc>
          <w:tcPr>
            <w:tcW w:w="967" w:type="dxa"/>
            <w:tcBorders>
              <w:top w:val="single" w:sz="2" w:space="0" w:color="auto"/>
              <w:bottom w:val="single" w:sz="2" w:space="0" w:color="auto"/>
            </w:tcBorders>
          </w:tcPr>
          <w:p w14:paraId="6CAB54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C5A2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EECF4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921EE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B824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24C50B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C1E463" w14:textId="77777777" w:rsidR="006E40C9" w:rsidRDefault="006E40C9">
            <w:pPr>
              <w:pStyle w:val="MeasureTableTextRightAligned"/>
            </w:pPr>
            <w:r>
              <w:t>*</w:t>
            </w:r>
          </w:p>
        </w:tc>
      </w:tr>
      <w:tr w:rsidR="006E40C9" w14:paraId="7B203B1A" w14:textId="77777777">
        <w:trPr>
          <w:cantSplit/>
          <w:jc w:val="center"/>
        </w:trPr>
        <w:tc>
          <w:tcPr>
            <w:tcW w:w="1934" w:type="dxa"/>
            <w:gridSpan w:val="2"/>
            <w:tcBorders>
              <w:top w:val="single" w:sz="2" w:space="0" w:color="auto"/>
              <w:bottom w:val="nil"/>
            </w:tcBorders>
          </w:tcPr>
          <w:p w14:paraId="090A1DF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42BFBA5" w14:textId="77777777" w:rsidR="006E40C9" w:rsidRDefault="006E40C9">
            <w:pPr>
              <w:pStyle w:val="MeasureTableTextLeftAligned"/>
            </w:pPr>
            <w:r>
              <w:t>Exemption</w:t>
            </w:r>
          </w:p>
        </w:tc>
        <w:tc>
          <w:tcPr>
            <w:tcW w:w="1500" w:type="dxa"/>
            <w:gridSpan w:val="2"/>
            <w:tcBorders>
              <w:top w:val="single" w:sz="2" w:space="0" w:color="auto"/>
              <w:bottom w:val="nil"/>
            </w:tcBorders>
          </w:tcPr>
          <w:p w14:paraId="0661D943" w14:textId="7493CB8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D89D87" w14:textId="77777777" w:rsidR="006E40C9" w:rsidRDefault="006E40C9">
            <w:pPr>
              <w:pStyle w:val="MeasureTableTextLeftAligned"/>
            </w:pPr>
            <w:r>
              <w:t>B28</w:t>
            </w:r>
          </w:p>
        </w:tc>
      </w:tr>
      <w:tr w:rsidR="006E40C9" w14:paraId="775CAC50" w14:textId="77777777">
        <w:trPr>
          <w:cantSplit/>
          <w:jc w:val="center"/>
        </w:trPr>
        <w:tc>
          <w:tcPr>
            <w:tcW w:w="1934" w:type="dxa"/>
            <w:gridSpan w:val="2"/>
            <w:tcBorders>
              <w:top w:val="nil"/>
              <w:bottom w:val="nil"/>
            </w:tcBorders>
          </w:tcPr>
          <w:p w14:paraId="1E8846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020E9F" w14:textId="77777777" w:rsidR="006E40C9" w:rsidRPr="00584CA7" w:rsidRDefault="006E40C9">
            <w:pPr>
              <w:pStyle w:val="MeasureTableTextLeftAligned"/>
            </w:pPr>
            <w:r>
              <w:t>Not Applicable</w:t>
            </w:r>
          </w:p>
        </w:tc>
        <w:tc>
          <w:tcPr>
            <w:tcW w:w="1500" w:type="dxa"/>
            <w:gridSpan w:val="2"/>
            <w:tcBorders>
              <w:top w:val="nil"/>
              <w:bottom w:val="nil"/>
            </w:tcBorders>
          </w:tcPr>
          <w:p w14:paraId="02F7D9DC" w14:textId="77777777" w:rsidR="006E40C9" w:rsidRDefault="006E40C9">
            <w:pPr>
              <w:pStyle w:val="MeasureTableTextItalic"/>
            </w:pPr>
            <w:r>
              <w:t>* Category</w:t>
            </w:r>
          </w:p>
        </w:tc>
        <w:tc>
          <w:tcPr>
            <w:tcW w:w="1124" w:type="dxa"/>
            <w:gridSpan w:val="2"/>
            <w:tcBorders>
              <w:top w:val="nil"/>
              <w:bottom w:val="nil"/>
            </w:tcBorders>
          </w:tcPr>
          <w:p w14:paraId="796D7634" w14:textId="77777777" w:rsidR="006E40C9" w:rsidRDefault="006E40C9">
            <w:pPr>
              <w:pStyle w:val="MeasureTableTextLeftAligned"/>
            </w:pPr>
            <w:r>
              <w:t>3+</w:t>
            </w:r>
          </w:p>
        </w:tc>
      </w:tr>
      <w:tr w:rsidR="006E40C9" w14:paraId="169ECB0E" w14:textId="77777777">
        <w:trPr>
          <w:cantSplit/>
          <w:jc w:val="center"/>
        </w:trPr>
        <w:tc>
          <w:tcPr>
            <w:tcW w:w="1934" w:type="dxa"/>
            <w:gridSpan w:val="2"/>
            <w:tcBorders>
              <w:top w:val="nil"/>
              <w:bottom w:val="nil"/>
            </w:tcBorders>
          </w:tcPr>
          <w:p w14:paraId="394B80E9" w14:textId="77777777" w:rsidR="006E40C9" w:rsidRDefault="006E40C9">
            <w:pPr>
              <w:pStyle w:val="MeasureTableTextItalic"/>
            </w:pPr>
            <w:r>
              <w:t>Commencement date:</w:t>
            </w:r>
          </w:p>
        </w:tc>
        <w:tc>
          <w:tcPr>
            <w:tcW w:w="3179" w:type="dxa"/>
            <w:gridSpan w:val="4"/>
            <w:tcBorders>
              <w:top w:val="nil"/>
              <w:bottom w:val="nil"/>
            </w:tcBorders>
          </w:tcPr>
          <w:p w14:paraId="209D2A43" w14:textId="77777777" w:rsidR="006E40C9" w:rsidRDefault="006E40C9">
            <w:pPr>
              <w:pStyle w:val="MeasureTableTextLeftAligned"/>
            </w:pPr>
            <w:r>
              <w:t>2020</w:t>
            </w:r>
          </w:p>
        </w:tc>
        <w:tc>
          <w:tcPr>
            <w:tcW w:w="1500" w:type="dxa"/>
            <w:gridSpan w:val="2"/>
            <w:tcBorders>
              <w:top w:val="nil"/>
              <w:bottom w:val="nil"/>
            </w:tcBorders>
          </w:tcPr>
          <w:p w14:paraId="486B07FC" w14:textId="77777777" w:rsidR="006E40C9" w:rsidRPr="00F32057" w:rsidRDefault="006E40C9">
            <w:pPr>
              <w:pStyle w:val="MeasureTableTextItalic"/>
            </w:pPr>
            <w:r>
              <w:t>Expiry date:</w:t>
            </w:r>
          </w:p>
        </w:tc>
        <w:tc>
          <w:tcPr>
            <w:tcW w:w="1124" w:type="dxa"/>
            <w:gridSpan w:val="2"/>
            <w:tcBorders>
              <w:top w:val="nil"/>
              <w:bottom w:val="nil"/>
            </w:tcBorders>
          </w:tcPr>
          <w:p w14:paraId="4D1E1880" w14:textId="77777777" w:rsidR="006E40C9" w:rsidRPr="00F32057" w:rsidRDefault="006E40C9">
            <w:pPr>
              <w:pStyle w:val="MeasureTableTextLeftAligned"/>
            </w:pPr>
            <w:r>
              <w:t>30 June 2022</w:t>
            </w:r>
          </w:p>
        </w:tc>
      </w:tr>
      <w:tr w:rsidR="006E40C9" w14:paraId="40E0C24C" w14:textId="77777777">
        <w:trPr>
          <w:cantSplit/>
          <w:jc w:val="center"/>
        </w:trPr>
        <w:tc>
          <w:tcPr>
            <w:tcW w:w="1934" w:type="dxa"/>
            <w:gridSpan w:val="2"/>
            <w:tcBorders>
              <w:top w:val="nil"/>
            </w:tcBorders>
          </w:tcPr>
          <w:p w14:paraId="64E0A8C8" w14:textId="77777777" w:rsidR="006E40C9" w:rsidRDefault="006E40C9">
            <w:pPr>
              <w:pStyle w:val="MeasureTableTextItalic"/>
            </w:pPr>
            <w:r>
              <w:t>Legislative reference:</w:t>
            </w:r>
          </w:p>
        </w:tc>
        <w:tc>
          <w:tcPr>
            <w:tcW w:w="5803" w:type="dxa"/>
            <w:gridSpan w:val="8"/>
            <w:tcBorders>
              <w:top w:val="nil"/>
            </w:tcBorders>
          </w:tcPr>
          <w:p w14:paraId="19B7F28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59-97 of the </w:t>
            </w:r>
            <w:r>
              <w:rPr>
                <w:rFonts w:ascii="Arial" w:hAnsi="Arial" w:cs="Arial"/>
                <w:i/>
                <w:iCs/>
                <w:color w:val="000000"/>
                <w:sz w:val="16"/>
                <w:szCs w:val="16"/>
              </w:rPr>
              <w:t>Income Tax Assessment Act 1997</w:t>
            </w:r>
          </w:p>
        </w:tc>
      </w:tr>
    </w:tbl>
    <w:p w14:paraId="098AA47F" w14:textId="77777777" w:rsidR="006E40C9" w:rsidRPr="00540040" w:rsidRDefault="006E40C9" w:rsidP="006E40C9">
      <w:pPr>
        <w:pStyle w:val="MeasureTableHeading"/>
      </w:pPr>
    </w:p>
    <w:p w14:paraId="26D5492C" w14:textId="77777777" w:rsidR="006E40C9" w:rsidRDefault="006E40C9" w:rsidP="006E40C9">
      <w:r>
        <w:t>Under the benchmark, government payments to businesses are generally treated as assessable income and subject to income tax. A tax expenditure arises because certain state and territory COVID</w:t>
      </w:r>
      <w:r>
        <w:noBreakHyphen/>
        <w:t>19 business support grants are treated as non</w:t>
      </w:r>
      <w:r>
        <w:noBreakHyphen/>
        <w:t>assessable and non</w:t>
      </w:r>
      <w:r>
        <w:noBreakHyphen/>
        <w:t xml:space="preserve">exempt for income tax purposes. </w:t>
      </w:r>
      <w:r>
        <w:fldChar w:fldCharType="begin"/>
      </w:r>
      <w:r>
        <w:instrText xml:space="preserve"> XE "</w:instrText>
      </w:r>
      <w:r w:rsidRPr="00F8165D">
        <w:instrText>COVID-19</w:instrText>
      </w:r>
      <w:r>
        <w:instrText>:B</w:instrText>
      </w:r>
      <w:r w:rsidRPr="00F8165D">
        <w:instrText>usiness grant</w:instrText>
      </w:r>
      <w:r>
        <w:instrText xml:space="preserve">s" </w:instrText>
      </w:r>
      <w:r>
        <w:fldChar w:fldCharType="end"/>
      </w:r>
      <w:r>
        <w:fldChar w:fldCharType="begin"/>
      </w:r>
      <w:r>
        <w:instrText xml:space="preserve"> XE "</w:instrText>
      </w:r>
      <w:r w:rsidRPr="00B4293A">
        <w:instrText>COVID</w:instrText>
      </w:r>
      <w:r w:rsidRPr="00B4293A">
        <w:noBreakHyphen/>
        <w:instrText>19</w:instrText>
      </w:r>
      <w:r>
        <w:instrText>:R</w:instrText>
      </w:r>
      <w:r w:rsidRPr="00B4293A">
        <w:instrText>esponse</w:instrText>
      </w:r>
      <w:r>
        <w:instrText xml:space="preserve">" </w:instrText>
      </w:r>
      <w:r>
        <w:fldChar w:fldCharType="end"/>
      </w:r>
    </w:p>
    <w:p w14:paraId="5F64D6D4" w14:textId="77777777" w:rsidR="006E40C9" w:rsidRDefault="006E40C9" w:rsidP="0003254D">
      <w:pPr>
        <w:pStyle w:val="Heading3"/>
      </w:pPr>
      <w:r>
        <w:t>Tax expenditures for housing and community amenities</w:t>
      </w:r>
    </w:p>
    <w:p w14:paraId="3A92658C" w14:textId="77777777" w:rsidR="006E40C9" w:rsidRDefault="006E40C9" w:rsidP="0003254D">
      <w:pPr>
        <w:pStyle w:val="Heading4"/>
      </w:pPr>
      <w:r>
        <w:t>B30</w:t>
      </w:r>
      <w:r>
        <w:tab/>
        <w:t>Tax exemption for National Rental Affordability Scheme incentives</w:t>
      </w:r>
    </w:p>
    <w:p w14:paraId="1D4E803B"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1B9660" w14:textId="77777777">
        <w:trPr>
          <w:cantSplit/>
          <w:jc w:val="center"/>
        </w:trPr>
        <w:tc>
          <w:tcPr>
            <w:tcW w:w="967" w:type="dxa"/>
            <w:tcBorders>
              <w:top w:val="single" w:sz="2" w:space="0" w:color="auto"/>
              <w:bottom w:val="single" w:sz="2" w:space="0" w:color="auto"/>
            </w:tcBorders>
          </w:tcPr>
          <w:p w14:paraId="679A1F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EA97B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EFD14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3D10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6BE1B8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633BB7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AB12B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F95AC2" w14:textId="77777777" w:rsidR="006E40C9" w:rsidRDefault="006E40C9">
            <w:pPr>
              <w:pStyle w:val="MeasureTableTextRightAligned"/>
            </w:pPr>
            <w:r>
              <w:t>2027-28</w:t>
            </w:r>
          </w:p>
        </w:tc>
      </w:tr>
      <w:tr w:rsidR="006E40C9" w14:paraId="11E5FF8A" w14:textId="77777777">
        <w:trPr>
          <w:cantSplit/>
          <w:jc w:val="center"/>
        </w:trPr>
        <w:tc>
          <w:tcPr>
            <w:tcW w:w="967" w:type="dxa"/>
            <w:tcBorders>
              <w:top w:val="single" w:sz="2" w:space="0" w:color="auto"/>
              <w:bottom w:val="single" w:sz="2" w:space="0" w:color="auto"/>
            </w:tcBorders>
          </w:tcPr>
          <w:p w14:paraId="1464A8CF"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74ACCF0F" w14:textId="77777777" w:rsidR="006E40C9" w:rsidRDefault="006E40C9">
            <w:pPr>
              <w:pStyle w:val="MeasureTableTextRightAligned"/>
            </w:pPr>
            <w:r>
              <w:t>65</w:t>
            </w:r>
          </w:p>
        </w:tc>
        <w:tc>
          <w:tcPr>
            <w:tcW w:w="967" w:type="dxa"/>
            <w:tcBorders>
              <w:top w:val="single" w:sz="2" w:space="0" w:color="auto"/>
              <w:bottom w:val="single" w:sz="2" w:space="0" w:color="auto"/>
            </w:tcBorders>
            <w:vAlign w:val="bottom"/>
          </w:tcPr>
          <w:p w14:paraId="249065B1"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5299F8DD"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77ED0DA6" w14:textId="77777777" w:rsidR="006E40C9" w:rsidRDefault="006E40C9">
            <w:pPr>
              <w:pStyle w:val="MeasureTableTextRightAligned"/>
            </w:pPr>
            <w:r>
              <w:t>55</w:t>
            </w:r>
          </w:p>
        </w:tc>
        <w:tc>
          <w:tcPr>
            <w:tcW w:w="967" w:type="dxa"/>
            <w:gridSpan w:val="2"/>
            <w:tcBorders>
              <w:top w:val="single" w:sz="2" w:space="0" w:color="auto"/>
              <w:bottom w:val="single" w:sz="2" w:space="0" w:color="auto"/>
            </w:tcBorders>
            <w:vAlign w:val="bottom"/>
          </w:tcPr>
          <w:p w14:paraId="5C319190"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74AA2FAE"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3FF41568" w14:textId="77777777" w:rsidR="006E40C9" w:rsidRDefault="006E40C9">
            <w:pPr>
              <w:pStyle w:val="MeasureTableTextRightAligned"/>
            </w:pPr>
            <w:r>
              <w:t>10</w:t>
            </w:r>
          </w:p>
        </w:tc>
      </w:tr>
      <w:tr w:rsidR="006E40C9" w14:paraId="138C858A" w14:textId="77777777">
        <w:trPr>
          <w:cantSplit/>
          <w:jc w:val="center"/>
        </w:trPr>
        <w:tc>
          <w:tcPr>
            <w:tcW w:w="1934" w:type="dxa"/>
            <w:gridSpan w:val="2"/>
            <w:tcBorders>
              <w:top w:val="single" w:sz="2" w:space="0" w:color="auto"/>
              <w:bottom w:val="nil"/>
            </w:tcBorders>
          </w:tcPr>
          <w:p w14:paraId="3F8912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8A7ADA5" w14:textId="77777777" w:rsidR="006E40C9" w:rsidRDefault="006E40C9">
            <w:pPr>
              <w:pStyle w:val="MeasureTableTextLeftAligned"/>
            </w:pPr>
            <w:r>
              <w:t>Exemption</w:t>
            </w:r>
          </w:p>
        </w:tc>
        <w:tc>
          <w:tcPr>
            <w:tcW w:w="1500" w:type="dxa"/>
            <w:gridSpan w:val="2"/>
            <w:tcBorders>
              <w:top w:val="single" w:sz="2" w:space="0" w:color="auto"/>
              <w:bottom w:val="nil"/>
            </w:tcBorders>
          </w:tcPr>
          <w:p w14:paraId="23BD587A" w14:textId="15F2AA6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1F80960" w14:textId="77777777" w:rsidR="006E40C9" w:rsidRDefault="006E40C9">
            <w:pPr>
              <w:pStyle w:val="MeasureTableTextLeftAligned"/>
            </w:pPr>
            <w:r>
              <w:t>B29</w:t>
            </w:r>
          </w:p>
        </w:tc>
      </w:tr>
      <w:tr w:rsidR="006E40C9" w14:paraId="3373C3A7" w14:textId="77777777">
        <w:trPr>
          <w:cantSplit/>
          <w:jc w:val="center"/>
        </w:trPr>
        <w:tc>
          <w:tcPr>
            <w:tcW w:w="1934" w:type="dxa"/>
            <w:gridSpan w:val="2"/>
            <w:tcBorders>
              <w:top w:val="nil"/>
              <w:bottom w:val="nil"/>
            </w:tcBorders>
          </w:tcPr>
          <w:p w14:paraId="10EBB4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7A98FB" w14:textId="77777777" w:rsidR="006E40C9" w:rsidRPr="00584CA7" w:rsidRDefault="006E40C9">
            <w:pPr>
              <w:pStyle w:val="MeasureTableTextLeftAligned"/>
            </w:pPr>
            <w:r>
              <w:t>Medium</w:t>
            </w:r>
          </w:p>
        </w:tc>
        <w:tc>
          <w:tcPr>
            <w:tcW w:w="1500" w:type="dxa"/>
            <w:gridSpan w:val="2"/>
            <w:tcBorders>
              <w:top w:val="nil"/>
              <w:bottom w:val="nil"/>
            </w:tcBorders>
          </w:tcPr>
          <w:p w14:paraId="234BB684" w14:textId="77777777" w:rsidR="006E40C9" w:rsidRDefault="006E40C9">
            <w:pPr>
              <w:pStyle w:val="MeasureTableTextItalic"/>
            </w:pPr>
          </w:p>
        </w:tc>
        <w:tc>
          <w:tcPr>
            <w:tcW w:w="1124" w:type="dxa"/>
            <w:gridSpan w:val="2"/>
            <w:tcBorders>
              <w:top w:val="nil"/>
              <w:bottom w:val="nil"/>
            </w:tcBorders>
          </w:tcPr>
          <w:p w14:paraId="2AA5BDEC" w14:textId="77777777" w:rsidR="006E40C9" w:rsidRDefault="006E40C9">
            <w:pPr>
              <w:pStyle w:val="MeasureTableTextLeftAligned"/>
            </w:pPr>
          </w:p>
        </w:tc>
      </w:tr>
      <w:tr w:rsidR="006E40C9" w14:paraId="539138F8" w14:textId="77777777">
        <w:trPr>
          <w:cantSplit/>
          <w:jc w:val="center"/>
        </w:trPr>
        <w:tc>
          <w:tcPr>
            <w:tcW w:w="1934" w:type="dxa"/>
            <w:gridSpan w:val="2"/>
            <w:tcBorders>
              <w:top w:val="nil"/>
              <w:bottom w:val="nil"/>
            </w:tcBorders>
          </w:tcPr>
          <w:p w14:paraId="7B25AAFE" w14:textId="77777777" w:rsidR="006E40C9" w:rsidRDefault="006E40C9">
            <w:pPr>
              <w:pStyle w:val="MeasureTableTextItalic"/>
            </w:pPr>
            <w:r>
              <w:t>Commencement date:</w:t>
            </w:r>
          </w:p>
        </w:tc>
        <w:tc>
          <w:tcPr>
            <w:tcW w:w="3179" w:type="dxa"/>
            <w:gridSpan w:val="4"/>
            <w:tcBorders>
              <w:top w:val="nil"/>
              <w:bottom w:val="nil"/>
            </w:tcBorders>
          </w:tcPr>
          <w:p w14:paraId="6F1DBD7E" w14:textId="77777777" w:rsidR="006E40C9" w:rsidRDefault="006E40C9">
            <w:pPr>
              <w:pStyle w:val="MeasureTableTextLeftAligned"/>
            </w:pPr>
            <w:r>
              <w:t>1 July 2008</w:t>
            </w:r>
          </w:p>
        </w:tc>
        <w:tc>
          <w:tcPr>
            <w:tcW w:w="1500" w:type="dxa"/>
            <w:gridSpan w:val="2"/>
            <w:tcBorders>
              <w:top w:val="nil"/>
              <w:bottom w:val="nil"/>
            </w:tcBorders>
          </w:tcPr>
          <w:p w14:paraId="62FB8847" w14:textId="77777777" w:rsidR="006E40C9" w:rsidRPr="00F32057" w:rsidRDefault="006E40C9">
            <w:pPr>
              <w:pStyle w:val="MeasureTableTextItalic"/>
            </w:pPr>
            <w:r>
              <w:t>Expiry date:</w:t>
            </w:r>
          </w:p>
        </w:tc>
        <w:tc>
          <w:tcPr>
            <w:tcW w:w="1124" w:type="dxa"/>
            <w:gridSpan w:val="2"/>
            <w:tcBorders>
              <w:top w:val="nil"/>
              <w:bottom w:val="nil"/>
            </w:tcBorders>
          </w:tcPr>
          <w:p w14:paraId="66A7EF39" w14:textId="77777777" w:rsidR="006E40C9" w:rsidRPr="00F32057" w:rsidRDefault="006E40C9">
            <w:pPr>
              <w:pStyle w:val="MeasureTableTextLeftAligned"/>
            </w:pPr>
          </w:p>
        </w:tc>
      </w:tr>
      <w:tr w:rsidR="006E40C9" w14:paraId="0276A531" w14:textId="77777777">
        <w:trPr>
          <w:cantSplit/>
          <w:jc w:val="center"/>
        </w:trPr>
        <w:tc>
          <w:tcPr>
            <w:tcW w:w="1934" w:type="dxa"/>
            <w:gridSpan w:val="2"/>
            <w:tcBorders>
              <w:top w:val="nil"/>
            </w:tcBorders>
          </w:tcPr>
          <w:p w14:paraId="05436514" w14:textId="77777777" w:rsidR="006E40C9" w:rsidRDefault="006E40C9">
            <w:pPr>
              <w:pStyle w:val="MeasureTableTextItalic"/>
            </w:pPr>
            <w:r>
              <w:t>Legislative reference:</w:t>
            </w:r>
          </w:p>
        </w:tc>
        <w:tc>
          <w:tcPr>
            <w:tcW w:w="5803" w:type="dxa"/>
            <w:gridSpan w:val="8"/>
            <w:tcBorders>
              <w:top w:val="nil"/>
            </w:tcBorders>
          </w:tcPr>
          <w:p w14:paraId="058961B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380 of the </w:t>
            </w:r>
            <w:r>
              <w:rPr>
                <w:rFonts w:ascii="Arial" w:hAnsi="Arial" w:cs="Arial"/>
                <w:i/>
                <w:iCs/>
                <w:color w:val="000000"/>
                <w:sz w:val="16"/>
                <w:szCs w:val="16"/>
              </w:rPr>
              <w:t>Income Tax Assessment Act 1997</w:t>
            </w:r>
          </w:p>
        </w:tc>
      </w:tr>
    </w:tbl>
    <w:p w14:paraId="1CABF802" w14:textId="77777777" w:rsidR="006E40C9" w:rsidRPr="00540040" w:rsidRDefault="006E40C9" w:rsidP="006E40C9">
      <w:pPr>
        <w:pStyle w:val="MeasureTableHeading"/>
      </w:pPr>
    </w:p>
    <w:p w14:paraId="0C5628D8" w14:textId="6376986D" w:rsidR="006E40C9" w:rsidRDefault="006E40C9" w:rsidP="006E40C9">
      <w:r>
        <w:t>Under the benchmark, government payments to individuals are included as part of taxable income; income tax is paid on the taxable income of a taxpayer for an income year at their applicable rate. However, the National Rental Affordability Scheme</w:t>
      </w:r>
      <w:r>
        <w:fldChar w:fldCharType="begin"/>
      </w:r>
      <w:r>
        <w:instrText xml:space="preserve"> XE "</w:instrText>
      </w:r>
      <w:r w:rsidRPr="006C6F81">
        <w:instrText>National Rental Affordability Scheme</w:instrText>
      </w:r>
      <w:r>
        <w:instrText xml:space="preserve">" </w:instrText>
      </w:r>
      <w:r>
        <w:fldChar w:fldCharType="end"/>
      </w:r>
      <w:r>
        <w:t xml:space="preserve"> offers tax and cash incentives to providers of new dwellings on the condition that they are rented to low and moderate income households at a rate that is at least 20 per cent below market rates. The tax </w:t>
      </w:r>
      <w:r w:rsidR="0052518E">
        <w:t>expenditure</w:t>
      </w:r>
      <w:r>
        <w:t xml:space="preserve"> arises as the incentives are exempt from income tax.</w:t>
      </w:r>
    </w:p>
    <w:p w14:paraId="60698EDA" w14:textId="77777777" w:rsidR="006E40C9" w:rsidRDefault="006E40C9" w:rsidP="006E40C9">
      <w:pPr>
        <w:rPr>
          <w:rFonts w:eastAsia="Calibri"/>
          <w:lang w:eastAsia="en-US"/>
        </w:rPr>
      </w:pPr>
      <w:r>
        <w:t>The scheme is no longer open to new providers.</w:t>
      </w:r>
      <w:r>
        <w:rPr>
          <w:rFonts w:eastAsia="Calibri"/>
          <w:lang w:eastAsia="en-US"/>
        </w:rPr>
        <w:fldChar w:fldCharType="begin"/>
      </w:r>
      <w:r>
        <w:instrText xml:space="preserve"> XE "National Rental Affordability Scheme" </w:instrText>
      </w:r>
      <w:r>
        <w:rPr>
          <w:rFonts w:eastAsia="Calibri"/>
          <w:lang w:eastAsia="en-US"/>
        </w:rPr>
        <w:fldChar w:fldCharType="end"/>
      </w:r>
    </w:p>
    <w:p w14:paraId="4C9A3DBA" w14:textId="77777777" w:rsidR="006E40C9" w:rsidRDefault="006E40C9" w:rsidP="0003254D">
      <w:pPr>
        <w:pStyle w:val="Heading3"/>
      </w:pPr>
      <w:r>
        <w:t>Tax expenditures for recreation and culture</w:t>
      </w:r>
    </w:p>
    <w:p w14:paraId="543EDE10" w14:textId="77777777" w:rsidR="006E40C9" w:rsidRDefault="006E40C9" w:rsidP="0003254D">
      <w:pPr>
        <w:pStyle w:val="Heading4"/>
      </w:pPr>
      <w:r>
        <w:t>B31</w:t>
      </w:r>
      <w:r>
        <w:tab/>
        <w:t>Film industry concessions</w:t>
      </w:r>
    </w:p>
    <w:p w14:paraId="0AD9EF52"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0DA88C" w14:textId="77777777">
        <w:trPr>
          <w:cantSplit/>
          <w:jc w:val="center"/>
        </w:trPr>
        <w:tc>
          <w:tcPr>
            <w:tcW w:w="967" w:type="dxa"/>
            <w:tcBorders>
              <w:top w:val="single" w:sz="2" w:space="0" w:color="auto"/>
              <w:bottom w:val="single" w:sz="2" w:space="0" w:color="auto"/>
            </w:tcBorders>
          </w:tcPr>
          <w:p w14:paraId="65BED8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8A83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F29A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0B83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C5EB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EE9F9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114B02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B7E65E" w14:textId="77777777" w:rsidR="006E40C9" w:rsidRDefault="006E40C9">
            <w:pPr>
              <w:pStyle w:val="MeasureTableTextRightAligned"/>
            </w:pPr>
            <w:r>
              <w:t>2027-28</w:t>
            </w:r>
          </w:p>
        </w:tc>
      </w:tr>
      <w:tr w:rsidR="006E40C9" w14:paraId="772F84E9" w14:textId="77777777">
        <w:trPr>
          <w:cantSplit/>
          <w:jc w:val="center"/>
        </w:trPr>
        <w:tc>
          <w:tcPr>
            <w:tcW w:w="967" w:type="dxa"/>
            <w:tcBorders>
              <w:top w:val="single" w:sz="2" w:space="0" w:color="auto"/>
              <w:bottom w:val="single" w:sz="2" w:space="0" w:color="auto"/>
            </w:tcBorders>
          </w:tcPr>
          <w:p w14:paraId="2207DB34"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2271134A"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66FDB69A"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2E531F0B" w14:textId="77777777" w:rsidR="006E40C9" w:rsidRDefault="006E40C9">
            <w:pPr>
              <w:pStyle w:val="MeasureTableTextRightAligned"/>
            </w:pPr>
            <w:r>
              <w:t>95</w:t>
            </w:r>
          </w:p>
        </w:tc>
        <w:tc>
          <w:tcPr>
            <w:tcW w:w="967" w:type="dxa"/>
            <w:tcBorders>
              <w:top w:val="single" w:sz="2" w:space="0" w:color="auto"/>
              <w:bottom w:val="single" w:sz="2" w:space="0" w:color="auto"/>
            </w:tcBorders>
            <w:vAlign w:val="bottom"/>
          </w:tcPr>
          <w:p w14:paraId="45DAAE74" w14:textId="77777777" w:rsidR="006E40C9" w:rsidRDefault="006E40C9">
            <w:pPr>
              <w:pStyle w:val="MeasureTableTextRightAligned"/>
            </w:pPr>
            <w:r>
              <w:t>140</w:t>
            </w:r>
          </w:p>
        </w:tc>
        <w:tc>
          <w:tcPr>
            <w:tcW w:w="967" w:type="dxa"/>
            <w:gridSpan w:val="2"/>
            <w:tcBorders>
              <w:top w:val="single" w:sz="2" w:space="0" w:color="auto"/>
              <w:bottom w:val="single" w:sz="2" w:space="0" w:color="auto"/>
            </w:tcBorders>
            <w:vAlign w:val="bottom"/>
          </w:tcPr>
          <w:p w14:paraId="71638097" w14:textId="77777777" w:rsidR="006E40C9" w:rsidRDefault="006E40C9">
            <w:pPr>
              <w:pStyle w:val="MeasureTableTextRightAligned"/>
            </w:pPr>
            <w:r>
              <w:t>135</w:t>
            </w:r>
          </w:p>
        </w:tc>
        <w:tc>
          <w:tcPr>
            <w:tcW w:w="967" w:type="dxa"/>
            <w:gridSpan w:val="2"/>
            <w:tcBorders>
              <w:top w:val="single" w:sz="2" w:space="0" w:color="auto"/>
              <w:bottom w:val="single" w:sz="2" w:space="0" w:color="auto"/>
            </w:tcBorders>
            <w:vAlign w:val="bottom"/>
          </w:tcPr>
          <w:p w14:paraId="114902A4" w14:textId="77777777" w:rsidR="006E40C9" w:rsidRDefault="006E40C9">
            <w:pPr>
              <w:pStyle w:val="MeasureTableTextRightAligned"/>
            </w:pPr>
            <w:r>
              <w:t>105</w:t>
            </w:r>
          </w:p>
        </w:tc>
        <w:tc>
          <w:tcPr>
            <w:tcW w:w="968" w:type="dxa"/>
            <w:tcBorders>
              <w:top w:val="single" w:sz="2" w:space="0" w:color="auto"/>
              <w:bottom w:val="single" w:sz="2" w:space="0" w:color="auto"/>
            </w:tcBorders>
            <w:vAlign w:val="bottom"/>
          </w:tcPr>
          <w:p w14:paraId="38F702B4" w14:textId="77777777" w:rsidR="006E40C9" w:rsidRDefault="006E40C9">
            <w:pPr>
              <w:pStyle w:val="MeasureTableTextRightAligned"/>
            </w:pPr>
            <w:r>
              <w:t>95</w:t>
            </w:r>
          </w:p>
        </w:tc>
      </w:tr>
      <w:tr w:rsidR="006E40C9" w14:paraId="266EC01B" w14:textId="77777777">
        <w:trPr>
          <w:cantSplit/>
          <w:jc w:val="center"/>
        </w:trPr>
        <w:tc>
          <w:tcPr>
            <w:tcW w:w="1934" w:type="dxa"/>
            <w:gridSpan w:val="2"/>
            <w:tcBorders>
              <w:top w:val="single" w:sz="2" w:space="0" w:color="auto"/>
              <w:bottom w:val="nil"/>
            </w:tcBorders>
          </w:tcPr>
          <w:p w14:paraId="750AD07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EC1569" w14:textId="77777777" w:rsidR="006E40C9" w:rsidRDefault="006E40C9">
            <w:pPr>
              <w:pStyle w:val="MeasureTableTextLeftAligned"/>
            </w:pPr>
            <w:r>
              <w:t>Exemption</w:t>
            </w:r>
          </w:p>
        </w:tc>
        <w:tc>
          <w:tcPr>
            <w:tcW w:w="1500" w:type="dxa"/>
            <w:gridSpan w:val="2"/>
            <w:tcBorders>
              <w:top w:val="single" w:sz="2" w:space="0" w:color="auto"/>
              <w:bottom w:val="nil"/>
            </w:tcBorders>
          </w:tcPr>
          <w:p w14:paraId="0DFE2F32" w14:textId="03B53C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6540AB" w14:textId="77777777" w:rsidR="006E40C9" w:rsidRDefault="006E40C9">
            <w:pPr>
              <w:pStyle w:val="MeasureTableTextLeftAligned"/>
            </w:pPr>
            <w:r>
              <w:t>B30</w:t>
            </w:r>
          </w:p>
        </w:tc>
      </w:tr>
      <w:tr w:rsidR="006E40C9" w14:paraId="587783BD" w14:textId="77777777">
        <w:trPr>
          <w:cantSplit/>
          <w:jc w:val="center"/>
        </w:trPr>
        <w:tc>
          <w:tcPr>
            <w:tcW w:w="1934" w:type="dxa"/>
            <w:gridSpan w:val="2"/>
            <w:tcBorders>
              <w:top w:val="nil"/>
              <w:bottom w:val="nil"/>
            </w:tcBorders>
          </w:tcPr>
          <w:p w14:paraId="01CC998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29F7EE" w14:textId="409C25F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21927EC" w14:textId="77777777" w:rsidR="006E40C9" w:rsidRDefault="006E40C9">
            <w:pPr>
              <w:pStyle w:val="MeasureTableTextItalic"/>
            </w:pPr>
          </w:p>
        </w:tc>
        <w:tc>
          <w:tcPr>
            <w:tcW w:w="1124" w:type="dxa"/>
            <w:gridSpan w:val="2"/>
            <w:tcBorders>
              <w:top w:val="nil"/>
              <w:bottom w:val="nil"/>
            </w:tcBorders>
          </w:tcPr>
          <w:p w14:paraId="7A1D7DFE" w14:textId="77777777" w:rsidR="006E40C9" w:rsidRDefault="006E40C9">
            <w:pPr>
              <w:pStyle w:val="MeasureTableTextLeftAligned"/>
            </w:pPr>
          </w:p>
        </w:tc>
      </w:tr>
      <w:tr w:rsidR="006E40C9" w14:paraId="275FA4EB" w14:textId="77777777">
        <w:trPr>
          <w:cantSplit/>
          <w:jc w:val="center"/>
        </w:trPr>
        <w:tc>
          <w:tcPr>
            <w:tcW w:w="1934" w:type="dxa"/>
            <w:gridSpan w:val="2"/>
            <w:tcBorders>
              <w:top w:val="nil"/>
              <w:bottom w:val="nil"/>
            </w:tcBorders>
          </w:tcPr>
          <w:p w14:paraId="7C05DD45" w14:textId="77777777" w:rsidR="006E40C9" w:rsidRDefault="006E40C9">
            <w:pPr>
              <w:pStyle w:val="MeasureTableTextItalic"/>
            </w:pPr>
            <w:r>
              <w:t>Commencement date:</w:t>
            </w:r>
          </w:p>
        </w:tc>
        <w:tc>
          <w:tcPr>
            <w:tcW w:w="3179" w:type="dxa"/>
            <w:gridSpan w:val="4"/>
            <w:tcBorders>
              <w:top w:val="nil"/>
              <w:bottom w:val="nil"/>
            </w:tcBorders>
          </w:tcPr>
          <w:p w14:paraId="0806AAB0" w14:textId="77777777" w:rsidR="006E40C9" w:rsidRDefault="006E40C9">
            <w:pPr>
              <w:pStyle w:val="MeasureTableTextLeftAligned"/>
            </w:pPr>
            <w:r>
              <w:t>2001</w:t>
            </w:r>
          </w:p>
        </w:tc>
        <w:tc>
          <w:tcPr>
            <w:tcW w:w="1500" w:type="dxa"/>
            <w:gridSpan w:val="2"/>
            <w:tcBorders>
              <w:top w:val="nil"/>
              <w:bottom w:val="nil"/>
            </w:tcBorders>
          </w:tcPr>
          <w:p w14:paraId="02CED6EA" w14:textId="77777777" w:rsidR="006E40C9" w:rsidRPr="00F32057" w:rsidRDefault="006E40C9">
            <w:pPr>
              <w:pStyle w:val="MeasureTableTextItalic"/>
            </w:pPr>
            <w:r>
              <w:t>Expiry date:</w:t>
            </w:r>
          </w:p>
        </w:tc>
        <w:tc>
          <w:tcPr>
            <w:tcW w:w="1124" w:type="dxa"/>
            <w:gridSpan w:val="2"/>
            <w:tcBorders>
              <w:top w:val="nil"/>
              <w:bottom w:val="nil"/>
            </w:tcBorders>
          </w:tcPr>
          <w:p w14:paraId="54179298" w14:textId="77777777" w:rsidR="006E40C9" w:rsidRPr="00F32057" w:rsidRDefault="006E40C9">
            <w:pPr>
              <w:pStyle w:val="MeasureTableTextLeftAligned"/>
            </w:pPr>
          </w:p>
        </w:tc>
      </w:tr>
      <w:tr w:rsidR="006E40C9" w14:paraId="3A0B96B3" w14:textId="77777777">
        <w:trPr>
          <w:cantSplit/>
          <w:jc w:val="center"/>
        </w:trPr>
        <w:tc>
          <w:tcPr>
            <w:tcW w:w="1934" w:type="dxa"/>
            <w:gridSpan w:val="2"/>
            <w:tcBorders>
              <w:top w:val="nil"/>
            </w:tcBorders>
          </w:tcPr>
          <w:p w14:paraId="1B4691BB" w14:textId="77777777" w:rsidR="006E40C9" w:rsidRDefault="006E40C9">
            <w:pPr>
              <w:pStyle w:val="MeasureTableTextItalic"/>
            </w:pPr>
            <w:r>
              <w:t>Legislative reference:</w:t>
            </w:r>
          </w:p>
        </w:tc>
        <w:tc>
          <w:tcPr>
            <w:tcW w:w="5803" w:type="dxa"/>
            <w:gridSpan w:val="8"/>
            <w:tcBorders>
              <w:top w:val="nil"/>
            </w:tcBorders>
          </w:tcPr>
          <w:p w14:paraId="7D517BE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376 of the </w:t>
            </w:r>
            <w:r>
              <w:rPr>
                <w:rFonts w:ascii="Arial" w:hAnsi="Arial" w:cs="Arial"/>
                <w:i/>
                <w:iCs/>
                <w:color w:val="000000"/>
                <w:sz w:val="16"/>
                <w:szCs w:val="16"/>
              </w:rPr>
              <w:t>Income Tax Assessment Act 1997</w:t>
            </w:r>
          </w:p>
        </w:tc>
      </w:tr>
    </w:tbl>
    <w:p w14:paraId="69A13102" w14:textId="77777777" w:rsidR="006E40C9" w:rsidRPr="00540040" w:rsidRDefault="006E40C9" w:rsidP="006E40C9">
      <w:pPr>
        <w:pStyle w:val="MeasureTableHeading"/>
      </w:pPr>
    </w:p>
    <w:p w14:paraId="67E20DB7" w14:textId="77777777" w:rsidR="006E40C9" w:rsidRDefault="006E40C9" w:rsidP="006E40C9">
      <w:bookmarkStart w:id="80" w:name="_Hlk93245169"/>
      <w:r>
        <w:t xml:space="preserve">Film production </w:t>
      </w:r>
      <w:bookmarkEnd w:id="80"/>
      <w:r>
        <w:t>companies incurring expenditure on certain productions in Australia may be eligible for refundable tax offsets. The tax offsets are the location offset</w:t>
      </w:r>
      <w:r>
        <w:fldChar w:fldCharType="begin"/>
      </w:r>
      <w:r>
        <w:instrText xml:space="preserve"> XE "L</w:instrText>
      </w:r>
      <w:r w:rsidRPr="00EC13A5">
        <w:instrText>ocation offset</w:instrText>
      </w:r>
      <w:r>
        <w:instrText xml:space="preserve">" </w:instrText>
      </w:r>
      <w:r>
        <w:fldChar w:fldCharType="end"/>
      </w:r>
      <w:r>
        <w:t>, the producer offset</w:t>
      </w:r>
      <w:r>
        <w:fldChar w:fldCharType="begin"/>
      </w:r>
      <w:r>
        <w:instrText xml:space="preserve"> XE "P</w:instrText>
      </w:r>
      <w:r w:rsidRPr="00F92429">
        <w:instrText>roducer offset</w:instrText>
      </w:r>
      <w:r>
        <w:instrText xml:space="preserve">" </w:instrText>
      </w:r>
      <w:r>
        <w:fldChar w:fldCharType="end"/>
      </w:r>
      <w:r>
        <w:t xml:space="preserve"> and the post, digital and visual effects offset</w:t>
      </w:r>
      <w:r>
        <w:fldChar w:fldCharType="begin"/>
      </w:r>
      <w:r>
        <w:instrText xml:space="preserve"> XE "P</w:instrText>
      </w:r>
      <w:r w:rsidRPr="0011692A">
        <w:instrText>ost, digital and visual effects offset</w:instrText>
      </w:r>
      <w:r>
        <w:instrText xml:space="preserve">" </w:instrText>
      </w:r>
      <w:r>
        <w:fldChar w:fldCharType="end"/>
      </w:r>
      <w:r>
        <w:t>. If a taxpayer’s income tax liability is reduced to zero, any residual unused refundable tax offset amount can be refunded as cash to the company.</w:t>
      </w:r>
    </w:p>
    <w:p w14:paraId="66350636" w14:textId="77777777" w:rsidR="006E40C9" w:rsidRDefault="006E40C9" w:rsidP="006E40C9">
      <w:pPr>
        <w:rPr>
          <w:rFonts w:eastAsia="Calibri"/>
          <w:lang w:eastAsia="en-US"/>
        </w:rPr>
      </w:pPr>
      <w:r>
        <w:rPr>
          <w:rFonts w:eastAsia="Calibri"/>
          <w:lang w:eastAsia="en-US"/>
        </w:rPr>
        <w:t xml:space="preserve">Under the benchmark, </w:t>
      </w:r>
      <w:r>
        <w:t>government</w:t>
      </w:r>
      <w:r>
        <w:rPr>
          <w:rFonts w:eastAsia="Calibri"/>
          <w:lang w:eastAsia="en-US"/>
        </w:rPr>
        <w:t xml:space="preserve"> payments to taxpayers are </w:t>
      </w:r>
      <w:r>
        <w:t xml:space="preserve">generally treated as assessable income and </w:t>
      </w:r>
      <w:r>
        <w:rPr>
          <w:rFonts w:eastAsia="Calibri"/>
          <w:lang w:eastAsia="en-US"/>
        </w:rPr>
        <w:t>subject to tax. A tax expenditure arises when payments made under a refundable tax offset are exempt from tax.</w:t>
      </w:r>
      <w:r>
        <w:rPr>
          <w:rFonts w:eastAsia="Calibri"/>
          <w:lang w:eastAsia="en-US"/>
        </w:rPr>
        <w:fldChar w:fldCharType="begin"/>
      </w:r>
      <w:r>
        <w:instrText xml:space="preserve"> XE "</w:instrText>
      </w:r>
      <w:r w:rsidRPr="00963332">
        <w:instrText>Film production</w:instrText>
      </w:r>
      <w:r>
        <w:instrText xml:space="preserve">" </w:instrText>
      </w:r>
      <w:r>
        <w:rPr>
          <w:rFonts w:eastAsia="Calibri"/>
          <w:lang w:eastAsia="en-US"/>
        </w:rPr>
        <w:fldChar w:fldCharType="end"/>
      </w:r>
    </w:p>
    <w:p w14:paraId="1B3C3291" w14:textId="77777777" w:rsidR="006E40C9" w:rsidRDefault="006E40C9" w:rsidP="0003254D">
      <w:pPr>
        <w:pStyle w:val="Heading3"/>
      </w:pPr>
      <w:r>
        <w:t>Tax expenditures relating to prepayments and advance expenditures</w:t>
      </w:r>
    </w:p>
    <w:p w14:paraId="6F6C9C32" w14:textId="77777777" w:rsidR="006E40C9" w:rsidRDefault="006E40C9" w:rsidP="0003254D">
      <w:pPr>
        <w:pStyle w:val="Heading4"/>
      </w:pPr>
      <w:r>
        <w:t>B32</w:t>
      </w:r>
      <w:r>
        <w:tab/>
        <w:t>Exemption from the tax shelter prepayments measure for certain passive investments</w:t>
      </w:r>
    </w:p>
    <w:p w14:paraId="34B11ADB" w14:textId="0DE4685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977E2B" w14:textId="77777777">
        <w:trPr>
          <w:cantSplit/>
          <w:jc w:val="center"/>
        </w:trPr>
        <w:tc>
          <w:tcPr>
            <w:tcW w:w="967" w:type="dxa"/>
            <w:tcBorders>
              <w:top w:val="single" w:sz="2" w:space="0" w:color="auto"/>
              <w:bottom w:val="single" w:sz="2" w:space="0" w:color="auto"/>
            </w:tcBorders>
          </w:tcPr>
          <w:p w14:paraId="096024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868975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F81A5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BB592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B11C6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9B2B7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DED60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C5E963" w14:textId="77777777" w:rsidR="006E40C9" w:rsidRDefault="006E40C9">
            <w:pPr>
              <w:pStyle w:val="MeasureTableTextRightAligned"/>
            </w:pPr>
            <w:r>
              <w:t>2027-28</w:t>
            </w:r>
          </w:p>
        </w:tc>
      </w:tr>
      <w:tr w:rsidR="006E40C9" w14:paraId="69E71FC4" w14:textId="77777777">
        <w:trPr>
          <w:cantSplit/>
          <w:jc w:val="center"/>
        </w:trPr>
        <w:tc>
          <w:tcPr>
            <w:tcW w:w="967" w:type="dxa"/>
            <w:tcBorders>
              <w:top w:val="single" w:sz="2" w:space="0" w:color="auto"/>
              <w:bottom w:val="single" w:sz="2" w:space="0" w:color="auto"/>
            </w:tcBorders>
          </w:tcPr>
          <w:p w14:paraId="4BCFED32" w14:textId="77777777" w:rsidR="006E40C9" w:rsidRDefault="006E40C9">
            <w:pPr>
              <w:pStyle w:val="MeasureTableTextRightAligned"/>
            </w:pPr>
            <w:r>
              <w:t>*</w:t>
            </w:r>
          </w:p>
        </w:tc>
        <w:tc>
          <w:tcPr>
            <w:tcW w:w="967" w:type="dxa"/>
            <w:tcBorders>
              <w:top w:val="single" w:sz="2" w:space="0" w:color="auto"/>
              <w:bottom w:val="single" w:sz="2" w:space="0" w:color="auto"/>
            </w:tcBorders>
          </w:tcPr>
          <w:p w14:paraId="02CB6C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002D7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DC20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E1F27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1EC0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6D84E7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346458D" w14:textId="77777777" w:rsidR="006E40C9" w:rsidRDefault="006E40C9">
            <w:pPr>
              <w:pStyle w:val="MeasureTableTextRightAligned"/>
            </w:pPr>
            <w:r>
              <w:t>*</w:t>
            </w:r>
          </w:p>
        </w:tc>
      </w:tr>
      <w:tr w:rsidR="006E40C9" w14:paraId="464E4AF3" w14:textId="77777777">
        <w:trPr>
          <w:cantSplit/>
          <w:jc w:val="center"/>
        </w:trPr>
        <w:tc>
          <w:tcPr>
            <w:tcW w:w="1934" w:type="dxa"/>
            <w:gridSpan w:val="2"/>
            <w:tcBorders>
              <w:top w:val="single" w:sz="2" w:space="0" w:color="auto"/>
              <w:bottom w:val="nil"/>
            </w:tcBorders>
          </w:tcPr>
          <w:p w14:paraId="62BA919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715E6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A403105" w14:textId="7090B46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A57A36" w14:textId="77777777" w:rsidR="006E40C9" w:rsidRDefault="006E40C9">
            <w:pPr>
              <w:pStyle w:val="MeasureTableTextLeftAligned"/>
            </w:pPr>
            <w:r>
              <w:t>B31</w:t>
            </w:r>
          </w:p>
        </w:tc>
      </w:tr>
      <w:tr w:rsidR="006E40C9" w14:paraId="4A736556" w14:textId="77777777">
        <w:trPr>
          <w:cantSplit/>
          <w:jc w:val="center"/>
        </w:trPr>
        <w:tc>
          <w:tcPr>
            <w:tcW w:w="1934" w:type="dxa"/>
            <w:gridSpan w:val="2"/>
            <w:tcBorders>
              <w:top w:val="nil"/>
              <w:bottom w:val="nil"/>
            </w:tcBorders>
          </w:tcPr>
          <w:p w14:paraId="449E24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E421AE" w14:textId="77777777" w:rsidR="006E40C9" w:rsidRPr="00584CA7" w:rsidRDefault="006E40C9">
            <w:pPr>
              <w:pStyle w:val="MeasureTableTextLeftAligned"/>
            </w:pPr>
            <w:r>
              <w:t>Not Applicable</w:t>
            </w:r>
          </w:p>
        </w:tc>
        <w:tc>
          <w:tcPr>
            <w:tcW w:w="1500" w:type="dxa"/>
            <w:gridSpan w:val="2"/>
            <w:tcBorders>
              <w:top w:val="nil"/>
              <w:bottom w:val="nil"/>
            </w:tcBorders>
          </w:tcPr>
          <w:p w14:paraId="27ECB30E" w14:textId="77777777" w:rsidR="006E40C9" w:rsidRDefault="006E40C9">
            <w:pPr>
              <w:pStyle w:val="MeasureTableTextItalic"/>
            </w:pPr>
            <w:r>
              <w:t>* Category</w:t>
            </w:r>
          </w:p>
        </w:tc>
        <w:tc>
          <w:tcPr>
            <w:tcW w:w="1124" w:type="dxa"/>
            <w:gridSpan w:val="2"/>
            <w:tcBorders>
              <w:top w:val="nil"/>
              <w:bottom w:val="nil"/>
            </w:tcBorders>
          </w:tcPr>
          <w:p w14:paraId="3E9DE553" w14:textId="77777777" w:rsidR="006E40C9" w:rsidRDefault="006E40C9">
            <w:pPr>
              <w:pStyle w:val="MeasureTableTextLeftAligned"/>
            </w:pPr>
            <w:r>
              <w:t>2+</w:t>
            </w:r>
          </w:p>
        </w:tc>
      </w:tr>
      <w:tr w:rsidR="006E40C9" w14:paraId="73C9D230" w14:textId="77777777">
        <w:trPr>
          <w:cantSplit/>
          <w:jc w:val="center"/>
        </w:trPr>
        <w:tc>
          <w:tcPr>
            <w:tcW w:w="1934" w:type="dxa"/>
            <w:gridSpan w:val="2"/>
            <w:tcBorders>
              <w:top w:val="nil"/>
              <w:bottom w:val="nil"/>
            </w:tcBorders>
          </w:tcPr>
          <w:p w14:paraId="48037952" w14:textId="77777777" w:rsidR="006E40C9" w:rsidRDefault="006E40C9">
            <w:pPr>
              <w:pStyle w:val="MeasureTableTextItalic"/>
            </w:pPr>
            <w:r>
              <w:t>Commencement date:</w:t>
            </w:r>
          </w:p>
        </w:tc>
        <w:tc>
          <w:tcPr>
            <w:tcW w:w="3179" w:type="dxa"/>
            <w:gridSpan w:val="4"/>
            <w:tcBorders>
              <w:top w:val="nil"/>
              <w:bottom w:val="nil"/>
            </w:tcBorders>
          </w:tcPr>
          <w:p w14:paraId="485219E7" w14:textId="77777777" w:rsidR="006E40C9" w:rsidRDefault="006E40C9">
            <w:pPr>
              <w:pStyle w:val="MeasureTableTextLeftAligned"/>
            </w:pPr>
            <w:r>
              <w:t>11 November 1999</w:t>
            </w:r>
          </w:p>
        </w:tc>
        <w:tc>
          <w:tcPr>
            <w:tcW w:w="1500" w:type="dxa"/>
            <w:gridSpan w:val="2"/>
            <w:tcBorders>
              <w:top w:val="nil"/>
              <w:bottom w:val="nil"/>
            </w:tcBorders>
          </w:tcPr>
          <w:p w14:paraId="10B887F7" w14:textId="77777777" w:rsidR="006E40C9" w:rsidRPr="00F32057" w:rsidRDefault="006E40C9">
            <w:pPr>
              <w:pStyle w:val="MeasureTableTextItalic"/>
            </w:pPr>
            <w:r>
              <w:t>Expiry date:</w:t>
            </w:r>
          </w:p>
        </w:tc>
        <w:tc>
          <w:tcPr>
            <w:tcW w:w="1124" w:type="dxa"/>
            <w:gridSpan w:val="2"/>
            <w:tcBorders>
              <w:top w:val="nil"/>
              <w:bottom w:val="nil"/>
            </w:tcBorders>
          </w:tcPr>
          <w:p w14:paraId="1244C86E" w14:textId="77777777" w:rsidR="006E40C9" w:rsidRPr="00F32057" w:rsidRDefault="006E40C9">
            <w:pPr>
              <w:pStyle w:val="MeasureTableTextLeftAligned"/>
            </w:pPr>
          </w:p>
        </w:tc>
      </w:tr>
      <w:tr w:rsidR="006E40C9" w14:paraId="33E00298" w14:textId="77777777">
        <w:trPr>
          <w:cantSplit/>
          <w:jc w:val="center"/>
        </w:trPr>
        <w:tc>
          <w:tcPr>
            <w:tcW w:w="1934" w:type="dxa"/>
            <w:gridSpan w:val="2"/>
            <w:tcBorders>
              <w:top w:val="nil"/>
            </w:tcBorders>
          </w:tcPr>
          <w:p w14:paraId="20917E6A" w14:textId="77777777" w:rsidR="006E40C9" w:rsidRDefault="006E40C9">
            <w:pPr>
              <w:pStyle w:val="MeasureTableTextItalic"/>
            </w:pPr>
            <w:r>
              <w:t>Legislative reference:</w:t>
            </w:r>
          </w:p>
        </w:tc>
        <w:tc>
          <w:tcPr>
            <w:tcW w:w="5803" w:type="dxa"/>
            <w:gridSpan w:val="8"/>
            <w:tcBorders>
              <w:top w:val="nil"/>
            </w:tcBorders>
          </w:tcPr>
          <w:p w14:paraId="08AB6F7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82KZME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33D05D4F" w14:textId="77777777" w:rsidR="006E40C9" w:rsidRPr="00540040" w:rsidRDefault="006E40C9" w:rsidP="006E40C9">
      <w:pPr>
        <w:pStyle w:val="MeasureTableHeading"/>
      </w:pPr>
    </w:p>
    <w:p w14:paraId="5B985C3D" w14:textId="77777777" w:rsidR="006E40C9" w:rsidRDefault="006E40C9" w:rsidP="006E40C9">
      <w:r>
        <w:t>Under the benchmark, payments for business expenditure that relates to multiple income years (prepayments</w:t>
      </w:r>
      <w:r>
        <w:fldChar w:fldCharType="begin"/>
      </w:r>
      <w:r>
        <w:instrText xml:space="preserve"> XE "P</w:instrText>
      </w:r>
      <w:r w:rsidRPr="00AE73DB">
        <w:instrText>repayments</w:instrText>
      </w:r>
      <w:r>
        <w:instrText xml:space="preserve">" </w:instrText>
      </w:r>
      <w:r>
        <w:fldChar w:fldCharType="end"/>
      </w:r>
      <w:r>
        <w:t xml:space="preserve">) are not wholly deductible in the income year in which the payment is made. The deduction for prepaid expenditure is spread over time and deductible over the shorter of 10 years, or the period to which the expenditure relates (the service period). </w:t>
      </w:r>
    </w:p>
    <w:p w14:paraId="7F17875E" w14:textId="77777777" w:rsidR="006E40C9" w:rsidRDefault="006E40C9" w:rsidP="006E40C9">
      <w:r>
        <w:t>However, a prepayment is immediately deductible in the year in which the payment is made where it is in relation to:</w:t>
      </w:r>
    </w:p>
    <w:p w14:paraId="44B120FA" w14:textId="77826F02" w:rsidR="006E40C9" w:rsidRPr="00FB5661" w:rsidRDefault="006E40C9" w:rsidP="006E40C9">
      <w:pPr>
        <w:pStyle w:val="Bullet"/>
      </w:pPr>
      <w:r w:rsidRPr="00FB5661">
        <w:t xml:space="preserve">interest on money borrowed for investments in shares, units or rental property </w:t>
      </w:r>
    </w:p>
    <w:p w14:paraId="5A4AEC2A" w14:textId="7D1C989C" w:rsidR="006E40C9" w:rsidRPr="00FB5661" w:rsidRDefault="006E40C9" w:rsidP="006E40C9">
      <w:pPr>
        <w:pStyle w:val="Bullet"/>
      </w:pPr>
      <w:r w:rsidRPr="00FB5661">
        <w:t>eligible insurance premiums</w:t>
      </w:r>
    </w:p>
    <w:p w14:paraId="0752DCD4" w14:textId="488B29B1" w:rsidR="006E40C9" w:rsidRPr="00FB5661" w:rsidRDefault="006E40C9" w:rsidP="006E40C9">
      <w:pPr>
        <w:pStyle w:val="Bullet"/>
      </w:pPr>
      <w:r w:rsidRPr="00FB5661">
        <w:t>‘excluded expenditure’ under the tax law</w:t>
      </w:r>
    </w:p>
    <w:p w14:paraId="10EE7521" w14:textId="0E0077E3" w:rsidR="006E40C9" w:rsidRPr="00FB5661" w:rsidRDefault="006E40C9" w:rsidP="006E40C9">
      <w:pPr>
        <w:pStyle w:val="Bullet"/>
      </w:pPr>
      <w:r w:rsidRPr="00FB5661">
        <w:t xml:space="preserve">certain other arrangements entered into before 11 November 1999 or </w:t>
      </w:r>
    </w:p>
    <w:p w14:paraId="27102ABD" w14:textId="77777777" w:rsidR="006E40C9" w:rsidRDefault="006E40C9" w:rsidP="006E40C9">
      <w:pPr>
        <w:pStyle w:val="Bullet"/>
      </w:pPr>
      <w:r w:rsidRPr="00FB5661">
        <w:t>an agreement subject to a product ruling made by the Commissioner of Taxation before 11 November 1999.</w:t>
      </w:r>
      <w:r>
        <w:fldChar w:fldCharType="begin"/>
      </w:r>
      <w:r>
        <w:instrText xml:space="preserve"> XE "Tax shelter prepayments" </w:instrText>
      </w:r>
      <w:r>
        <w:fldChar w:fldCharType="end"/>
      </w:r>
    </w:p>
    <w:p w14:paraId="32444D88" w14:textId="77777777" w:rsidR="006E40C9" w:rsidRDefault="006E40C9" w:rsidP="0003254D">
      <w:pPr>
        <w:pStyle w:val="Heading4"/>
      </w:pPr>
      <w:r>
        <w:t>B33</w:t>
      </w:r>
      <w:r>
        <w:tab/>
        <w:t>Prepayment rule for eligible business taxpayers and non-business expenditure by individuals</w:t>
      </w:r>
    </w:p>
    <w:p w14:paraId="015F2F14" w14:textId="76984FE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046429" w14:textId="77777777">
        <w:trPr>
          <w:cantSplit/>
          <w:jc w:val="center"/>
        </w:trPr>
        <w:tc>
          <w:tcPr>
            <w:tcW w:w="967" w:type="dxa"/>
            <w:tcBorders>
              <w:top w:val="single" w:sz="2" w:space="0" w:color="auto"/>
              <w:bottom w:val="single" w:sz="2" w:space="0" w:color="auto"/>
            </w:tcBorders>
          </w:tcPr>
          <w:p w14:paraId="3B9DCF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2D8AE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35E64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4D10EE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34D80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5176C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46036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DFDB48E" w14:textId="77777777" w:rsidR="006E40C9" w:rsidRDefault="006E40C9">
            <w:pPr>
              <w:pStyle w:val="MeasureTableTextRightAligned"/>
            </w:pPr>
            <w:r>
              <w:t>2027-28</w:t>
            </w:r>
          </w:p>
        </w:tc>
      </w:tr>
      <w:tr w:rsidR="006E40C9" w14:paraId="340AF9B5" w14:textId="77777777">
        <w:trPr>
          <w:cantSplit/>
          <w:jc w:val="center"/>
        </w:trPr>
        <w:tc>
          <w:tcPr>
            <w:tcW w:w="967" w:type="dxa"/>
            <w:tcBorders>
              <w:top w:val="single" w:sz="2" w:space="0" w:color="auto"/>
              <w:bottom w:val="single" w:sz="2" w:space="0" w:color="auto"/>
            </w:tcBorders>
          </w:tcPr>
          <w:p w14:paraId="288331B1" w14:textId="77777777" w:rsidR="006E40C9" w:rsidRDefault="006E40C9">
            <w:pPr>
              <w:pStyle w:val="MeasureTableTextRightAligned"/>
            </w:pPr>
            <w:r>
              <w:t>*</w:t>
            </w:r>
          </w:p>
        </w:tc>
        <w:tc>
          <w:tcPr>
            <w:tcW w:w="967" w:type="dxa"/>
            <w:tcBorders>
              <w:top w:val="single" w:sz="2" w:space="0" w:color="auto"/>
              <w:bottom w:val="single" w:sz="2" w:space="0" w:color="auto"/>
            </w:tcBorders>
          </w:tcPr>
          <w:p w14:paraId="4C1621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FCE4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DE8F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417C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505B5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CBD89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F3FF79C" w14:textId="77777777" w:rsidR="006E40C9" w:rsidRDefault="006E40C9">
            <w:pPr>
              <w:pStyle w:val="MeasureTableTextRightAligned"/>
            </w:pPr>
            <w:r>
              <w:t>*</w:t>
            </w:r>
          </w:p>
        </w:tc>
      </w:tr>
      <w:tr w:rsidR="006E40C9" w14:paraId="1036160C" w14:textId="77777777">
        <w:trPr>
          <w:cantSplit/>
          <w:jc w:val="center"/>
        </w:trPr>
        <w:tc>
          <w:tcPr>
            <w:tcW w:w="1934" w:type="dxa"/>
            <w:gridSpan w:val="2"/>
            <w:tcBorders>
              <w:top w:val="single" w:sz="2" w:space="0" w:color="auto"/>
              <w:bottom w:val="nil"/>
            </w:tcBorders>
          </w:tcPr>
          <w:p w14:paraId="241A6D0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D5319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1DCEA84" w14:textId="4FEA76B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1D9050" w14:textId="77777777" w:rsidR="006E40C9" w:rsidRDefault="006E40C9">
            <w:pPr>
              <w:pStyle w:val="MeasureTableTextLeftAligned"/>
            </w:pPr>
            <w:r>
              <w:t>B32</w:t>
            </w:r>
          </w:p>
        </w:tc>
      </w:tr>
      <w:tr w:rsidR="006E40C9" w14:paraId="1A30CF10" w14:textId="77777777">
        <w:trPr>
          <w:cantSplit/>
          <w:jc w:val="center"/>
        </w:trPr>
        <w:tc>
          <w:tcPr>
            <w:tcW w:w="1934" w:type="dxa"/>
            <w:gridSpan w:val="2"/>
            <w:tcBorders>
              <w:top w:val="nil"/>
              <w:bottom w:val="nil"/>
            </w:tcBorders>
          </w:tcPr>
          <w:p w14:paraId="05F87AB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8791D9" w14:textId="77777777" w:rsidR="006E40C9" w:rsidRPr="00584CA7" w:rsidRDefault="006E40C9">
            <w:pPr>
              <w:pStyle w:val="MeasureTableTextLeftAligned"/>
            </w:pPr>
            <w:r>
              <w:t>Not Applicable</w:t>
            </w:r>
          </w:p>
        </w:tc>
        <w:tc>
          <w:tcPr>
            <w:tcW w:w="1500" w:type="dxa"/>
            <w:gridSpan w:val="2"/>
            <w:tcBorders>
              <w:top w:val="nil"/>
              <w:bottom w:val="nil"/>
            </w:tcBorders>
          </w:tcPr>
          <w:p w14:paraId="73F2F87D" w14:textId="77777777" w:rsidR="006E40C9" w:rsidRDefault="006E40C9">
            <w:pPr>
              <w:pStyle w:val="MeasureTableTextItalic"/>
            </w:pPr>
            <w:r>
              <w:t>* Category</w:t>
            </w:r>
          </w:p>
        </w:tc>
        <w:tc>
          <w:tcPr>
            <w:tcW w:w="1124" w:type="dxa"/>
            <w:gridSpan w:val="2"/>
            <w:tcBorders>
              <w:top w:val="nil"/>
              <w:bottom w:val="nil"/>
            </w:tcBorders>
          </w:tcPr>
          <w:p w14:paraId="4B33B843" w14:textId="77777777" w:rsidR="006E40C9" w:rsidRDefault="006E40C9">
            <w:pPr>
              <w:pStyle w:val="MeasureTableTextLeftAligned"/>
            </w:pPr>
            <w:r>
              <w:t>2+</w:t>
            </w:r>
          </w:p>
        </w:tc>
      </w:tr>
      <w:tr w:rsidR="006E40C9" w14:paraId="4099D017" w14:textId="77777777">
        <w:trPr>
          <w:cantSplit/>
          <w:jc w:val="center"/>
        </w:trPr>
        <w:tc>
          <w:tcPr>
            <w:tcW w:w="1934" w:type="dxa"/>
            <w:gridSpan w:val="2"/>
            <w:tcBorders>
              <w:top w:val="nil"/>
              <w:bottom w:val="nil"/>
            </w:tcBorders>
          </w:tcPr>
          <w:p w14:paraId="5D8461CB" w14:textId="77777777" w:rsidR="006E40C9" w:rsidRDefault="006E40C9">
            <w:pPr>
              <w:pStyle w:val="MeasureTableTextItalic"/>
            </w:pPr>
            <w:r>
              <w:t>Commencement date:</w:t>
            </w:r>
          </w:p>
        </w:tc>
        <w:tc>
          <w:tcPr>
            <w:tcW w:w="3179" w:type="dxa"/>
            <w:gridSpan w:val="4"/>
            <w:tcBorders>
              <w:top w:val="nil"/>
              <w:bottom w:val="nil"/>
            </w:tcBorders>
          </w:tcPr>
          <w:p w14:paraId="3AA87F70" w14:textId="77777777" w:rsidR="006E40C9" w:rsidRDefault="006E40C9">
            <w:pPr>
              <w:pStyle w:val="MeasureTableTextLeftAligned"/>
            </w:pPr>
            <w:r>
              <w:t>25 May 1988</w:t>
            </w:r>
          </w:p>
        </w:tc>
        <w:tc>
          <w:tcPr>
            <w:tcW w:w="1500" w:type="dxa"/>
            <w:gridSpan w:val="2"/>
            <w:tcBorders>
              <w:top w:val="nil"/>
              <w:bottom w:val="nil"/>
            </w:tcBorders>
          </w:tcPr>
          <w:p w14:paraId="6D2DCB98" w14:textId="77777777" w:rsidR="006E40C9" w:rsidRPr="00F32057" w:rsidRDefault="006E40C9">
            <w:pPr>
              <w:pStyle w:val="MeasureTableTextItalic"/>
            </w:pPr>
            <w:r>
              <w:t>Expiry date:</w:t>
            </w:r>
          </w:p>
        </w:tc>
        <w:tc>
          <w:tcPr>
            <w:tcW w:w="1124" w:type="dxa"/>
            <w:gridSpan w:val="2"/>
            <w:tcBorders>
              <w:top w:val="nil"/>
              <w:bottom w:val="nil"/>
            </w:tcBorders>
          </w:tcPr>
          <w:p w14:paraId="10E8733E" w14:textId="77777777" w:rsidR="006E40C9" w:rsidRPr="00F32057" w:rsidRDefault="006E40C9">
            <w:pPr>
              <w:pStyle w:val="MeasureTableTextLeftAligned"/>
            </w:pPr>
          </w:p>
        </w:tc>
      </w:tr>
      <w:tr w:rsidR="006E40C9" w14:paraId="0234729D" w14:textId="77777777">
        <w:trPr>
          <w:cantSplit/>
          <w:jc w:val="center"/>
        </w:trPr>
        <w:tc>
          <w:tcPr>
            <w:tcW w:w="1934" w:type="dxa"/>
            <w:gridSpan w:val="2"/>
            <w:tcBorders>
              <w:top w:val="nil"/>
            </w:tcBorders>
          </w:tcPr>
          <w:p w14:paraId="67D0CF88" w14:textId="77777777" w:rsidR="006E40C9" w:rsidRDefault="006E40C9">
            <w:pPr>
              <w:pStyle w:val="MeasureTableTextItalic"/>
            </w:pPr>
            <w:r>
              <w:t>Legislative reference:</w:t>
            </w:r>
          </w:p>
        </w:tc>
        <w:tc>
          <w:tcPr>
            <w:tcW w:w="5803" w:type="dxa"/>
            <w:gridSpan w:val="8"/>
            <w:tcBorders>
              <w:top w:val="nil"/>
            </w:tcBorders>
          </w:tcPr>
          <w:p w14:paraId="50B671B1"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82KZM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311DA64F" w14:textId="77777777" w:rsidR="006E40C9" w:rsidRPr="00540040" w:rsidRDefault="006E40C9" w:rsidP="006E40C9">
      <w:pPr>
        <w:pStyle w:val="MeasureTableHeading"/>
      </w:pPr>
    </w:p>
    <w:p w14:paraId="59820429" w14:textId="77777777" w:rsidR="006E40C9" w:rsidRDefault="006E40C9" w:rsidP="006E40C9">
      <w:r>
        <w:t xml:space="preserve">Under the benchmark, payments for business expenditure that relates to multiple income years (prepayments) are not wholly deductible in the income year in which the payment is made. The deduction for prepaid expenditure is spread over time and deductible over the shorter of 10 years, or the period to which the expenditure relates (the service period). </w:t>
      </w:r>
    </w:p>
    <w:p w14:paraId="6BE6731B" w14:textId="77777777" w:rsidR="006E40C9" w:rsidRDefault="006E40C9" w:rsidP="006E40C9">
      <w:r>
        <w:t>However, p</w:t>
      </w:r>
      <w:r w:rsidRPr="009D0593">
        <w:t xml:space="preserve">repayments by </w:t>
      </w:r>
      <w:r>
        <w:t>eligible businesses</w:t>
      </w:r>
      <w:r w:rsidRPr="00046F85">
        <w:fldChar w:fldCharType="begin"/>
      </w:r>
      <w:r w:rsidRPr="00046F85">
        <w:instrText xml:space="preserve"> XE "Small business" </w:instrText>
      </w:r>
      <w:r w:rsidRPr="00046F85">
        <w:fldChar w:fldCharType="end"/>
      </w:r>
      <w:r>
        <w:t xml:space="preserve"> </w:t>
      </w:r>
      <w:r w:rsidRPr="009D0593">
        <w:t>and non</w:t>
      </w:r>
      <w:r>
        <w:noBreakHyphen/>
      </w:r>
      <w:r w:rsidRPr="009D0593">
        <w:t>business prepayments</w:t>
      </w:r>
      <w:r>
        <w:fldChar w:fldCharType="begin"/>
      </w:r>
      <w:r>
        <w:instrText xml:space="preserve"> XE "P</w:instrText>
      </w:r>
      <w:r w:rsidRPr="00036590">
        <w:instrText>repayments</w:instrText>
      </w:r>
      <w:r>
        <w:instrText xml:space="preserve">" </w:instrText>
      </w:r>
      <w:r>
        <w:fldChar w:fldCharType="end"/>
      </w:r>
      <w:r w:rsidRPr="009D0593">
        <w:t xml:space="preserve"> by individual taxpayers</w:t>
      </w:r>
      <w:r>
        <w:t xml:space="preserve"> that have service periods ending in the next income year but not exceeding 12 months</w:t>
      </w:r>
      <w:r w:rsidRPr="009D0593">
        <w:t xml:space="preserve"> </w:t>
      </w:r>
      <w:r>
        <w:t xml:space="preserve">may be </w:t>
      </w:r>
      <w:r w:rsidRPr="009D0593">
        <w:t>immediately deductible</w:t>
      </w:r>
      <w:r>
        <w:t xml:space="preserve"> in the year in which the payment is made. From 1 July 2020, the aggregated annual turnover threshold for eligible businesses to access this concession increased from $10 million to $50 million.</w:t>
      </w:r>
    </w:p>
    <w:p w14:paraId="02DAC753" w14:textId="77777777" w:rsidR="006E40C9" w:rsidRDefault="006E40C9" w:rsidP="0003254D">
      <w:pPr>
        <w:pStyle w:val="Heading4"/>
      </w:pPr>
      <w:r>
        <w:t>B34</w:t>
      </w:r>
      <w:r>
        <w:tab/>
        <w:t>The 10-year rule for prepayments</w:t>
      </w:r>
    </w:p>
    <w:p w14:paraId="1E1D8004" w14:textId="6A1CFE3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1D59EF9" w14:textId="77777777">
        <w:trPr>
          <w:cantSplit/>
          <w:jc w:val="center"/>
        </w:trPr>
        <w:tc>
          <w:tcPr>
            <w:tcW w:w="967" w:type="dxa"/>
            <w:tcBorders>
              <w:top w:val="single" w:sz="2" w:space="0" w:color="auto"/>
              <w:bottom w:val="single" w:sz="2" w:space="0" w:color="auto"/>
            </w:tcBorders>
          </w:tcPr>
          <w:p w14:paraId="6CC4CA2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8C53E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7C541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B2912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F786C9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9EB101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D4E2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6F0E031" w14:textId="77777777" w:rsidR="006E40C9" w:rsidRDefault="006E40C9">
            <w:pPr>
              <w:pStyle w:val="MeasureTableTextRightAligned"/>
            </w:pPr>
            <w:r>
              <w:t>2027-28</w:t>
            </w:r>
          </w:p>
        </w:tc>
      </w:tr>
      <w:tr w:rsidR="006E40C9" w14:paraId="1C79ABC4" w14:textId="77777777">
        <w:trPr>
          <w:cantSplit/>
          <w:jc w:val="center"/>
        </w:trPr>
        <w:tc>
          <w:tcPr>
            <w:tcW w:w="967" w:type="dxa"/>
            <w:tcBorders>
              <w:top w:val="single" w:sz="2" w:space="0" w:color="auto"/>
              <w:bottom w:val="single" w:sz="2" w:space="0" w:color="auto"/>
            </w:tcBorders>
          </w:tcPr>
          <w:p w14:paraId="2B40BB3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D5B9B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5CF7E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9EF1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A07F0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34D07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2EE25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5ADED69" w14:textId="77777777" w:rsidR="006E40C9" w:rsidRDefault="006E40C9">
            <w:pPr>
              <w:pStyle w:val="MeasureTableTextRightAligned"/>
            </w:pPr>
            <w:r>
              <w:t>*</w:t>
            </w:r>
          </w:p>
        </w:tc>
      </w:tr>
      <w:tr w:rsidR="006E40C9" w14:paraId="5C113FB2" w14:textId="77777777">
        <w:trPr>
          <w:cantSplit/>
          <w:jc w:val="center"/>
        </w:trPr>
        <w:tc>
          <w:tcPr>
            <w:tcW w:w="1934" w:type="dxa"/>
            <w:gridSpan w:val="2"/>
            <w:tcBorders>
              <w:top w:val="single" w:sz="2" w:space="0" w:color="auto"/>
              <w:bottom w:val="nil"/>
            </w:tcBorders>
          </w:tcPr>
          <w:p w14:paraId="02BF30C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BF336E"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71250DCD" w14:textId="42E903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8F7892" w14:textId="77777777" w:rsidR="006E40C9" w:rsidRDefault="006E40C9">
            <w:pPr>
              <w:pStyle w:val="MeasureTableTextLeftAligned"/>
            </w:pPr>
            <w:r>
              <w:t>B33</w:t>
            </w:r>
          </w:p>
        </w:tc>
      </w:tr>
      <w:tr w:rsidR="006E40C9" w14:paraId="61EE0341" w14:textId="77777777">
        <w:trPr>
          <w:cantSplit/>
          <w:jc w:val="center"/>
        </w:trPr>
        <w:tc>
          <w:tcPr>
            <w:tcW w:w="1934" w:type="dxa"/>
            <w:gridSpan w:val="2"/>
            <w:tcBorders>
              <w:top w:val="nil"/>
              <w:bottom w:val="nil"/>
            </w:tcBorders>
          </w:tcPr>
          <w:p w14:paraId="1CC5748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13D886" w14:textId="77777777" w:rsidR="006E40C9" w:rsidRPr="00584CA7" w:rsidRDefault="006E40C9">
            <w:pPr>
              <w:pStyle w:val="MeasureTableTextLeftAligned"/>
            </w:pPr>
            <w:r>
              <w:t>Not Applicable</w:t>
            </w:r>
          </w:p>
        </w:tc>
        <w:tc>
          <w:tcPr>
            <w:tcW w:w="1500" w:type="dxa"/>
            <w:gridSpan w:val="2"/>
            <w:tcBorders>
              <w:top w:val="nil"/>
              <w:bottom w:val="nil"/>
            </w:tcBorders>
          </w:tcPr>
          <w:p w14:paraId="3A666E16" w14:textId="77777777" w:rsidR="006E40C9" w:rsidRDefault="006E40C9">
            <w:pPr>
              <w:pStyle w:val="MeasureTableTextItalic"/>
            </w:pPr>
            <w:r>
              <w:t>* Category</w:t>
            </w:r>
          </w:p>
        </w:tc>
        <w:tc>
          <w:tcPr>
            <w:tcW w:w="1124" w:type="dxa"/>
            <w:gridSpan w:val="2"/>
            <w:tcBorders>
              <w:top w:val="nil"/>
              <w:bottom w:val="nil"/>
            </w:tcBorders>
          </w:tcPr>
          <w:p w14:paraId="069A20EE" w14:textId="77777777" w:rsidR="006E40C9" w:rsidRDefault="006E40C9">
            <w:pPr>
              <w:pStyle w:val="MeasureTableTextLeftAligned"/>
            </w:pPr>
            <w:r>
              <w:t>1+</w:t>
            </w:r>
          </w:p>
        </w:tc>
      </w:tr>
      <w:tr w:rsidR="006E40C9" w14:paraId="6E1B52D8" w14:textId="77777777">
        <w:trPr>
          <w:cantSplit/>
          <w:jc w:val="center"/>
        </w:trPr>
        <w:tc>
          <w:tcPr>
            <w:tcW w:w="1934" w:type="dxa"/>
            <w:gridSpan w:val="2"/>
            <w:tcBorders>
              <w:top w:val="nil"/>
              <w:bottom w:val="nil"/>
            </w:tcBorders>
          </w:tcPr>
          <w:p w14:paraId="02FFC8AE" w14:textId="77777777" w:rsidR="006E40C9" w:rsidRDefault="006E40C9">
            <w:pPr>
              <w:pStyle w:val="MeasureTableTextItalic"/>
            </w:pPr>
            <w:r>
              <w:t>Commencement date:</w:t>
            </w:r>
          </w:p>
        </w:tc>
        <w:tc>
          <w:tcPr>
            <w:tcW w:w="3179" w:type="dxa"/>
            <w:gridSpan w:val="4"/>
            <w:tcBorders>
              <w:top w:val="nil"/>
              <w:bottom w:val="nil"/>
            </w:tcBorders>
          </w:tcPr>
          <w:p w14:paraId="29C27C8D" w14:textId="77777777" w:rsidR="006E40C9" w:rsidRDefault="006E40C9">
            <w:pPr>
              <w:pStyle w:val="MeasureTableTextLeftAligned"/>
            </w:pPr>
            <w:r>
              <w:t>1988</w:t>
            </w:r>
          </w:p>
        </w:tc>
        <w:tc>
          <w:tcPr>
            <w:tcW w:w="1500" w:type="dxa"/>
            <w:gridSpan w:val="2"/>
            <w:tcBorders>
              <w:top w:val="nil"/>
              <w:bottom w:val="nil"/>
            </w:tcBorders>
          </w:tcPr>
          <w:p w14:paraId="2530EFB0" w14:textId="77777777" w:rsidR="006E40C9" w:rsidRPr="00F32057" w:rsidRDefault="006E40C9">
            <w:pPr>
              <w:pStyle w:val="MeasureTableTextItalic"/>
            </w:pPr>
            <w:r>
              <w:t>Expiry date:</w:t>
            </w:r>
          </w:p>
        </w:tc>
        <w:tc>
          <w:tcPr>
            <w:tcW w:w="1124" w:type="dxa"/>
            <w:gridSpan w:val="2"/>
            <w:tcBorders>
              <w:top w:val="nil"/>
              <w:bottom w:val="nil"/>
            </w:tcBorders>
          </w:tcPr>
          <w:p w14:paraId="616801D6" w14:textId="77777777" w:rsidR="006E40C9" w:rsidRPr="00F32057" w:rsidRDefault="006E40C9">
            <w:pPr>
              <w:pStyle w:val="MeasureTableTextLeftAligned"/>
            </w:pPr>
          </w:p>
        </w:tc>
      </w:tr>
      <w:tr w:rsidR="006E40C9" w14:paraId="6012DA29" w14:textId="77777777">
        <w:trPr>
          <w:cantSplit/>
          <w:jc w:val="center"/>
        </w:trPr>
        <w:tc>
          <w:tcPr>
            <w:tcW w:w="1934" w:type="dxa"/>
            <w:gridSpan w:val="2"/>
            <w:tcBorders>
              <w:top w:val="nil"/>
            </w:tcBorders>
          </w:tcPr>
          <w:p w14:paraId="29461C16" w14:textId="77777777" w:rsidR="006E40C9" w:rsidRDefault="006E40C9">
            <w:pPr>
              <w:pStyle w:val="MeasureTableTextItalic"/>
            </w:pPr>
            <w:r>
              <w:t>Legislative reference:</w:t>
            </w:r>
          </w:p>
        </w:tc>
        <w:tc>
          <w:tcPr>
            <w:tcW w:w="5803" w:type="dxa"/>
            <w:gridSpan w:val="8"/>
            <w:tcBorders>
              <w:top w:val="nil"/>
            </w:tcBorders>
          </w:tcPr>
          <w:p w14:paraId="01B035F6"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Subsection 82KZL(1)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4E482ECA" w14:textId="77777777" w:rsidR="006E40C9" w:rsidRPr="00540040" w:rsidRDefault="006E40C9" w:rsidP="006E40C9">
      <w:pPr>
        <w:pStyle w:val="MeasureTableHeading"/>
      </w:pPr>
    </w:p>
    <w:p w14:paraId="4237C856" w14:textId="46BA278E" w:rsidR="006E40C9" w:rsidRDefault="006E40C9" w:rsidP="006E40C9">
      <w:r w:rsidRPr="001B739F">
        <w:t>The benchmark treatment of prepayments is that they are deductible over the period of the expenditure. A prepayment</w:t>
      </w:r>
      <w:r>
        <w:fldChar w:fldCharType="begin"/>
      </w:r>
      <w:r>
        <w:instrText xml:space="preserve"> XE "P</w:instrText>
      </w:r>
      <w:r w:rsidRPr="006F068C">
        <w:instrText>repayments</w:instrText>
      </w:r>
      <w:r>
        <w:instrText xml:space="preserve">" </w:instrText>
      </w:r>
      <w:r>
        <w:fldChar w:fldCharType="end"/>
      </w:r>
      <w:r w:rsidRPr="001B739F">
        <w:t xml:space="preserve"> for services to be provided over a period of 10</w:t>
      </w:r>
      <w:r>
        <w:t> </w:t>
      </w:r>
      <w:r w:rsidRPr="001B739F">
        <w:t xml:space="preserve">years or more (for example, life membership) is evenly deducted over the first </w:t>
      </w:r>
      <w:r>
        <w:t>10 </w:t>
      </w:r>
      <w:r w:rsidRPr="001B739F">
        <w:t>years of that period. Th</w:t>
      </w:r>
      <w:r>
        <w:t xml:space="preserve">e tax </w:t>
      </w:r>
      <w:r w:rsidR="0052518E">
        <w:t>expenditure</w:t>
      </w:r>
      <w:r w:rsidRPr="001B739F">
        <w:t xml:space="preserve"> allows deductions to be spread over a shorter period and consequently it allows greater deductions in the first </w:t>
      </w:r>
      <w:r>
        <w:t>10 </w:t>
      </w:r>
      <w:r w:rsidRPr="001B739F">
        <w:t>years than the benchmark treatment.</w:t>
      </w:r>
    </w:p>
    <w:p w14:paraId="710D539F" w14:textId="77777777" w:rsidR="006E40C9" w:rsidRDefault="006E40C9" w:rsidP="0003254D">
      <w:pPr>
        <w:pStyle w:val="Heading3"/>
      </w:pPr>
      <w:r>
        <w:t>Tax expenditures for agriculture, forestry and fishing</w:t>
      </w:r>
    </w:p>
    <w:p w14:paraId="274DE66F" w14:textId="77777777" w:rsidR="006E40C9" w:rsidRDefault="006E40C9" w:rsidP="0003254D">
      <w:pPr>
        <w:pStyle w:val="Heading4"/>
      </w:pPr>
      <w:r>
        <w:t>B35</w:t>
      </w:r>
      <w:r>
        <w:tab/>
        <w:t>Accelerated write-off for forestry managed investment schemes</w:t>
      </w:r>
    </w:p>
    <w:p w14:paraId="728E0AE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6637F0" w14:textId="77777777">
        <w:trPr>
          <w:cantSplit/>
          <w:jc w:val="center"/>
        </w:trPr>
        <w:tc>
          <w:tcPr>
            <w:tcW w:w="967" w:type="dxa"/>
            <w:tcBorders>
              <w:top w:val="single" w:sz="2" w:space="0" w:color="auto"/>
              <w:bottom w:val="single" w:sz="2" w:space="0" w:color="auto"/>
            </w:tcBorders>
          </w:tcPr>
          <w:p w14:paraId="4E457DA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F1ACC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7D60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E9EAA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DCD2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295A7E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56BA1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2D92D1" w14:textId="77777777" w:rsidR="006E40C9" w:rsidRDefault="006E40C9">
            <w:pPr>
              <w:pStyle w:val="MeasureTableTextRightAligned"/>
            </w:pPr>
            <w:r>
              <w:t>2027-28</w:t>
            </w:r>
          </w:p>
        </w:tc>
      </w:tr>
      <w:tr w:rsidR="006E40C9" w14:paraId="055A6871" w14:textId="77777777">
        <w:trPr>
          <w:cantSplit/>
          <w:jc w:val="center"/>
        </w:trPr>
        <w:tc>
          <w:tcPr>
            <w:tcW w:w="967" w:type="dxa"/>
            <w:tcBorders>
              <w:top w:val="single" w:sz="2" w:space="0" w:color="auto"/>
              <w:bottom w:val="single" w:sz="2" w:space="0" w:color="auto"/>
            </w:tcBorders>
          </w:tcPr>
          <w:p w14:paraId="437CCE20" w14:textId="77777777" w:rsidR="006E40C9" w:rsidRDefault="006E40C9">
            <w:pPr>
              <w:pStyle w:val="MeasureTableTextRightAligned"/>
            </w:pPr>
            <w:r>
              <w:t>*</w:t>
            </w:r>
          </w:p>
        </w:tc>
        <w:tc>
          <w:tcPr>
            <w:tcW w:w="967" w:type="dxa"/>
            <w:tcBorders>
              <w:top w:val="single" w:sz="2" w:space="0" w:color="auto"/>
              <w:bottom w:val="single" w:sz="2" w:space="0" w:color="auto"/>
            </w:tcBorders>
          </w:tcPr>
          <w:p w14:paraId="25FC76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5E7E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2075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453FB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B4CD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B0B4B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011C90A" w14:textId="77777777" w:rsidR="006E40C9" w:rsidRDefault="006E40C9">
            <w:pPr>
              <w:pStyle w:val="MeasureTableTextRightAligned"/>
            </w:pPr>
            <w:r>
              <w:t>*</w:t>
            </w:r>
          </w:p>
        </w:tc>
      </w:tr>
      <w:tr w:rsidR="006E40C9" w14:paraId="1851DD5D" w14:textId="77777777">
        <w:trPr>
          <w:cantSplit/>
          <w:jc w:val="center"/>
        </w:trPr>
        <w:tc>
          <w:tcPr>
            <w:tcW w:w="1934" w:type="dxa"/>
            <w:gridSpan w:val="2"/>
            <w:tcBorders>
              <w:top w:val="single" w:sz="2" w:space="0" w:color="auto"/>
              <w:bottom w:val="nil"/>
            </w:tcBorders>
          </w:tcPr>
          <w:p w14:paraId="7865686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641256"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B204715" w14:textId="5584F46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53C24D" w14:textId="77777777" w:rsidR="006E40C9" w:rsidRDefault="006E40C9">
            <w:pPr>
              <w:pStyle w:val="MeasureTableTextLeftAligned"/>
            </w:pPr>
            <w:r>
              <w:t>B34</w:t>
            </w:r>
          </w:p>
        </w:tc>
      </w:tr>
      <w:tr w:rsidR="006E40C9" w14:paraId="61057D20" w14:textId="77777777">
        <w:trPr>
          <w:cantSplit/>
          <w:jc w:val="center"/>
        </w:trPr>
        <w:tc>
          <w:tcPr>
            <w:tcW w:w="1934" w:type="dxa"/>
            <w:gridSpan w:val="2"/>
            <w:tcBorders>
              <w:top w:val="nil"/>
              <w:bottom w:val="nil"/>
            </w:tcBorders>
          </w:tcPr>
          <w:p w14:paraId="17A6070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67C9D7" w14:textId="77777777" w:rsidR="006E40C9" w:rsidRPr="00584CA7" w:rsidRDefault="006E40C9">
            <w:pPr>
              <w:pStyle w:val="MeasureTableTextLeftAligned"/>
            </w:pPr>
            <w:r>
              <w:t>Not Applicable</w:t>
            </w:r>
          </w:p>
        </w:tc>
        <w:tc>
          <w:tcPr>
            <w:tcW w:w="1500" w:type="dxa"/>
            <w:gridSpan w:val="2"/>
            <w:tcBorders>
              <w:top w:val="nil"/>
              <w:bottom w:val="nil"/>
            </w:tcBorders>
          </w:tcPr>
          <w:p w14:paraId="43B72F72" w14:textId="77777777" w:rsidR="006E40C9" w:rsidRDefault="006E40C9">
            <w:pPr>
              <w:pStyle w:val="MeasureTableTextItalic"/>
            </w:pPr>
            <w:r>
              <w:t>* Category</w:t>
            </w:r>
          </w:p>
        </w:tc>
        <w:tc>
          <w:tcPr>
            <w:tcW w:w="1124" w:type="dxa"/>
            <w:gridSpan w:val="2"/>
            <w:tcBorders>
              <w:top w:val="nil"/>
              <w:bottom w:val="nil"/>
            </w:tcBorders>
          </w:tcPr>
          <w:p w14:paraId="65A4094B" w14:textId="77777777" w:rsidR="006E40C9" w:rsidRDefault="006E40C9">
            <w:pPr>
              <w:pStyle w:val="MeasureTableTextLeftAligned"/>
            </w:pPr>
            <w:r>
              <w:t>1+</w:t>
            </w:r>
          </w:p>
        </w:tc>
      </w:tr>
      <w:tr w:rsidR="006E40C9" w14:paraId="040F9F1E" w14:textId="77777777">
        <w:trPr>
          <w:cantSplit/>
          <w:jc w:val="center"/>
        </w:trPr>
        <w:tc>
          <w:tcPr>
            <w:tcW w:w="1934" w:type="dxa"/>
            <w:gridSpan w:val="2"/>
            <w:tcBorders>
              <w:top w:val="nil"/>
              <w:bottom w:val="nil"/>
            </w:tcBorders>
          </w:tcPr>
          <w:p w14:paraId="2A9E30A2" w14:textId="77777777" w:rsidR="006E40C9" w:rsidRDefault="006E40C9">
            <w:pPr>
              <w:pStyle w:val="MeasureTableTextItalic"/>
            </w:pPr>
            <w:r>
              <w:t>Commencement date:</w:t>
            </w:r>
          </w:p>
        </w:tc>
        <w:tc>
          <w:tcPr>
            <w:tcW w:w="3179" w:type="dxa"/>
            <w:gridSpan w:val="4"/>
            <w:tcBorders>
              <w:top w:val="nil"/>
              <w:bottom w:val="nil"/>
            </w:tcBorders>
          </w:tcPr>
          <w:p w14:paraId="11BC81EF" w14:textId="77777777" w:rsidR="006E40C9" w:rsidRDefault="006E40C9">
            <w:pPr>
              <w:pStyle w:val="MeasureTableTextLeftAligned"/>
            </w:pPr>
            <w:r>
              <w:t>1 July 2007</w:t>
            </w:r>
          </w:p>
        </w:tc>
        <w:tc>
          <w:tcPr>
            <w:tcW w:w="1500" w:type="dxa"/>
            <w:gridSpan w:val="2"/>
            <w:tcBorders>
              <w:top w:val="nil"/>
              <w:bottom w:val="nil"/>
            </w:tcBorders>
          </w:tcPr>
          <w:p w14:paraId="07D16174" w14:textId="77777777" w:rsidR="006E40C9" w:rsidRPr="00F32057" w:rsidRDefault="006E40C9">
            <w:pPr>
              <w:pStyle w:val="MeasureTableTextItalic"/>
            </w:pPr>
            <w:r>
              <w:t>Expiry date:</w:t>
            </w:r>
          </w:p>
        </w:tc>
        <w:tc>
          <w:tcPr>
            <w:tcW w:w="1124" w:type="dxa"/>
            <w:gridSpan w:val="2"/>
            <w:tcBorders>
              <w:top w:val="nil"/>
              <w:bottom w:val="nil"/>
            </w:tcBorders>
          </w:tcPr>
          <w:p w14:paraId="06945864" w14:textId="77777777" w:rsidR="006E40C9" w:rsidRPr="00F32057" w:rsidRDefault="006E40C9">
            <w:pPr>
              <w:pStyle w:val="MeasureTableTextLeftAligned"/>
            </w:pPr>
          </w:p>
        </w:tc>
      </w:tr>
      <w:tr w:rsidR="006E40C9" w14:paraId="1DCA1B1B" w14:textId="77777777">
        <w:trPr>
          <w:cantSplit/>
          <w:jc w:val="center"/>
        </w:trPr>
        <w:tc>
          <w:tcPr>
            <w:tcW w:w="1934" w:type="dxa"/>
            <w:gridSpan w:val="2"/>
            <w:tcBorders>
              <w:top w:val="nil"/>
            </w:tcBorders>
          </w:tcPr>
          <w:p w14:paraId="6657EA82" w14:textId="77777777" w:rsidR="006E40C9" w:rsidRDefault="006E40C9">
            <w:pPr>
              <w:pStyle w:val="MeasureTableTextItalic"/>
            </w:pPr>
            <w:r>
              <w:t>Legislative reference:</w:t>
            </w:r>
          </w:p>
        </w:tc>
        <w:tc>
          <w:tcPr>
            <w:tcW w:w="5803" w:type="dxa"/>
            <w:gridSpan w:val="8"/>
            <w:tcBorders>
              <w:top w:val="nil"/>
            </w:tcBorders>
          </w:tcPr>
          <w:p w14:paraId="55CC684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394 of the </w:t>
            </w:r>
            <w:r>
              <w:rPr>
                <w:rFonts w:ascii="Arial" w:hAnsi="Arial" w:cs="Arial"/>
                <w:i/>
                <w:iCs/>
                <w:color w:val="000000"/>
                <w:sz w:val="16"/>
                <w:szCs w:val="16"/>
              </w:rPr>
              <w:t>Income Tax Assessment Act 1997</w:t>
            </w:r>
          </w:p>
        </w:tc>
      </w:tr>
    </w:tbl>
    <w:p w14:paraId="6D7E9912" w14:textId="77777777" w:rsidR="006E40C9" w:rsidRPr="00540040" w:rsidRDefault="006E40C9" w:rsidP="006E40C9">
      <w:pPr>
        <w:pStyle w:val="MeasureTableHeading"/>
      </w:pPr>
    </w:p>
    <w:p w14:paraId="2CC34592" w14:textId="77777777" w:rsidR="006E40C9" w:rsidRDefault="006E40C9" w:rsidP="006E40C9">
      <w:r>
        <w:t>Under the benchmark, expenditure on forestry managed investment schemes is generally deductible over the period where benefits are provided. However, investors in forestry managed investment schemes</w:t>
      </w:r>
      <w:r>
        <w:fldChar w:fldCharType="begin"/>
      </w:r>
      <w:r>
        <w:instrText xml:space="preserve"> XE "</w:instrText>
      </w:r>
      <w:r w:rsidRPr="00544DD5">
        <w:instrText>Forestry managed investment schemes</w:instrText>
      </w:r>
      <w:r>
        <w:instrText xml:space="preserve">" </w:instrText>
      </w:r>
      <w:r>
        <w:fldChar w:fldCharType="end"/>
      </w:r>
      <w:r>
        <w:t xml:space="preserve"> are able to claim immediate upfront deductions for their expenditure on such schemes, provided that, amongst other requirements, at least 70 per cent of the expenditure is directly related to developing forestry.</w:t>
      </w:r>
    </w:p>
    <w:p w14:paraId="5A50B998" w14:textId="77777777" w:rsidR="006E40C9" w:rsidRDefault="006E40C9" w:rsidP="0003254D">
      <w:pPr>
        <w:pStyle w:val="Heading4"/>
      </w:pPr>
      <w:r>
        <w:t>B36</w:t>
      </w:r>
      <w:r>
        <w:tab/>
        <w:t>Deferral of profit from early sale of double wool clips</w:t>
      </w:r>
    </w:p>
    <w:p w14:paraId="65ECE7F7"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9D32C4" w14:textId="77777777">
        <w:trPr>
          <w:cantSplit/>
          <w:jc w:val="center"/>
        </w:trPr>
        <w:tc>
          <w:tcPr>
            <w:tcW w:w="967" w:type="dxa"/>
            <w:tcBorders>
              <w:top w:val="single" w:sz="2" w:space="0" w:color="auto"/>
              <w:bottom w:val="single" w:sz="2" w:space="0" w:color="auto"/>
            </w:tcBorders>
          </w:tcPr>
          <w:p w14:paraId="4C8BD03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BF8D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1A5025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582B2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7B9B8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00A84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8EE54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FDB1DC" w14:textId="77777777" w:rsidR="006E40C9" w:rsidRDefault="006E40C9">
            <w:pPr>
              <w:pStyle w:val="MeasureTableTextRightAligned"/>
            </w:pPr>
            <w:r>
              <w:t>2027-28</w:t>
            </w:r>
          </w:p>
        </w:tc>
      </w:tr>
      <w:tr w:rsidR="006E40C9" w14:paraId="07F964FB" w14:textId="77777777">
        <w:trPr>
          <w:cantSplit/>
          <w:jc w:val="center"/>
        </w:trPr>
        <w:tc>
          <w:tcPr>
            <w:tcW w:w="967" w:type="dxa"/>
            <w:tcBorders>
              <w:top w:val="single" w:sz="2" w:space="0" w:color="auto"/>
              <w:bottom w:val="single" w:sz="2" w:space="0" w:color="auto"/>
            </w:tcBorders>
          </w:tcPr>
          <w:p w14:paraId="16B16DF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D51BC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97D38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9B80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9A6B8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1CE2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2B3AD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B7E5116" w14:textId="77777777" w:rsidR="006E40C9" w:rsidRDefault="006E40C9">
            <w:pPr>
              <w:pStyle w:val="MeasureTableTextRightAligned"/>
            </w:pPr>
            <w:r>
              <w:t>*</w:t>
            </w:r>
          </w:p>
        </w:tc>
      </w:tr>
      <w:tr w:rsidR="006E40C9" w14:paraId="548B5D74" w14:textId="77777777">
        <w:trPr>
          <w:cantSplit/>
          <w:jc w:val="center"/>
        </w:trPr>
        <w:tc>
          <w:tcPr>
            <w:tcW w:w="1934" w:type="dxa"/>
            <w:gridSpan w:val="2"/>
            <w:tcBorders>
              <w:top w:val="single" w:sz="2" w:space="0" w:color="auto"/>
              <w:bottom w:val="nil"/>
            </w:tcBorders>
          </w:tcPr>
          <w:p w14:paraId="05A3963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FC5F206" w14:textId="77777777" w:rsidR="006E40C9" w:rsidRDefault="006E40C9">
            <w:pPr>
              <w:pStyle w:val="MeasureTableTextLeftAligned"/>
            </w:pPr>
            <w:r>
              <w:t>Deferral</w:t>
            </w:r>
          </w:p>
        </w:tc>
        <w:tc>
          <w:tcPr>
            <w:tcW w:w="1500" w:type="dxa"/>
            <w:gridSpan w:val="2"/>
            <w:tcBorders>
              <w:top w:val="single" w:sz="2" w:space="0" w:color="auto"/>
              <w:bottom w:val="nil"/>
            </w:tcBorders>
          </w:tcPr>
          <w:p w14:paraId="17E2C5AC" w14:textId="0646DD2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1C603C4" w14:textId="77777777" w:rsidR="006E40C9" w:rsidRDefault="006E40C9">
            <w:pPr>
              <w:pStyle w:val="MeasureTableTextLeftAligned"/>
            </w:pPr>
            <w:r>
              <w:t>B35</w:t>
            </w:r>
          </w:p>
        </w:tc>
      </w:tr>
      <w:tr w:rsidR="006E40C9" w14:paraId="5212D65D" w14:textId="77777777">
        <w:trPr>
          <w:cantSplit/>
          <w:jc w:val="center"/>
        </w:trPr>
        <w:tc>
          <w:tcPr>
            <w:tcW w:w="1934" w:type="dxa"/>
            <w:gridSpan w:val="2"/>
            <w:tcBorders>
              <w:top w:val="nil"/>
              <w:bottom w:val="nil"/>
            </w:tcBorders>
          </w:tcPr>
          <w:p w14:paraId="018D10A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BC54EAF" w14:textId="77777777" w:rsidR="006E40C9" w:rsidRPr="00584CA7" w:rsidRDefault="006E40C9">
            <w:pPr>
              <w:pStyle w:val="MeasureTableTextLeftAligned"/>
            </w:pPr>
            <w:r>
              <w:t>Not Applicable</w:t>
            </w:r>
          </w:p>
        </w:tc>
        <w:tc>
          <w:tcPr>
            <w:tcW w:w="1500" w:type="dxa"/>
            <w:gridSpan w:val="2"/>
            <w:tcBorders>
              <w:top w:val="nil"/>
              <w:bottom w:val="nil"/>
            </w:tcBorders>
          </w:tcPr>
          <w:p w14:paraId="7B684BE4" w14:textId="77777777" w:rsidR="006E40C9" w:rsidRDefault="006E40C9">
            <w:pPr>
              <w:pStyle w:val="MeasureTableTextItalic"/>
            </w:pPr>
            <w:r>
              <w:t>* Category</w:t>
            </w:r>
          </w:p>
        </w:tc>
        <w:tc>
          <w:tcPr>
            <w:tcW w:w="1124" w:type="dxa"/>
            <w:gridSpan w:val="2"/>
            <w:tcBorders>
              <w:top w:val="nil"/>
              <w:bottom w:val="nil"/>
            </w:tcBorders>
          </w:tcPr>
          <w:p w14:paraId="6B3457A2" w14:textId="77777777" w:rsidR="006E40C9" w:rsidRDefault="006E40C9">
            <w:pPr>
              <w:pStyle w:val="MeasureTableTextLeftAligned"/>
            </w:pPr>
            <w:r>
              <w:t>1+</w:t>
            </w:r>
          </w:p>
        </w:tc>
      </w:tr>
      <w:tr w:rsidR="006E40C9" w14:paraId="52B075CD" w14:textId="77777777">
        <w:trPr>
          <w:cantSplit/>
          <w:jc w:val="center"/>
        </w:trPr>
        <w:tc>
          <w:tcPr>
            <w:tcW w:w="1934" w:type="dxa"/>
            <w:gridSpan w:val="2"/>
            <w:tcBorders>
              <w:top w:val="nil"/>
              <w:bottom w:val="nil"/>
            </w:tcBorders>
          </w:tcPr>
          <w:p w14:paraId="37B69902" w14:textId="77777777" w:rsidR="006E40C9" w:rsidRDefault="006E40C9">
            <w:pPr>
              <w:pStyle w:val="MeasureTableTextItalic"/>
            </w:pPr>
            <w:r>
              <w:t>Commencement date:</w:t>
            </w:r>
          </w:p>
        </w:tc>
        <w:tc>
          <w:tcPr>
            <w:tcW w:w="3179" w:type="dxa"/>
            <w:gridSpan w:val="4"/>
            <w:tcBorders>
              <w:top w:val="nil"/>
              <w:bottom w:val="nil"/>
            </w:tcBorders>
          </w:tcPr>
          <w:p w14:paraId="7318B8CA" w14:textId="77777777" w:rsidR="006E40C9" w:rsidRDefault="006E40C9">
            <w:pPr>
              <w:pStyle w:val="MeasureTableTextLeftAligned"/>
            </w:pPr>
            <w:r>
              <w:t>Introduced before 1985</w:t>
            </w:r>
          </w:p>
        </w:tc>
        <w:tc>
          <w:tcPr>
            <w:tcW w:w="1500" w:type="dxa"/>
            <w:gridSpan w:val="2"/>
            <w:tcBorders>
              <w:top w:val="nil"/>
              <w:bottom w:val="nil"/>
            </w:tcBorders>
          </w:tcPr>
          <w:p w14:paraId="16762023" w14:textId="77777777" w:rsidR="006E40C9" w:rsidRPr="00F32057" w:rsidRDefault="006E40C9">
            <w:pPr>
              <w:pStyle w:val="MeasureTableTextItalic"/>
            </w:pPr>
            <w:r>
              <w:t>Expiry date:</w:t>
            </w:r>
          </w:p>
        </w:tc>
        <w:tc>
          <w:tcPr>
            <w:tcW w:w="1124" w:type="dxa"/>
            <w:gridSpan w:val="2"/>
            <w:tcBorders>
              <w:top w:val="nil"/>
              <w:bottom w:val="nil"/>
            </w:tcBorders>
          </w:tcPr>
          <w:p w14:paraId="4CBB90D7" w14:textId="77777777" w:rsidR="006E40C9" w:rsidRPr="00F32057" w:rsidRDefault="006E40C9">
            <w:pPr>
              <w:pStyle w:val="MeasureTableTextLeftAligned"/>
            </w:pPr>
          </w:p>
        </w:tc>
      </w:tr>
      <w:tr w:rsidR="006E40C9" w14:paraId="3C993B0F" w14:textId="77777777">
        <w:trPr>
          <w:cantSplit/>
          <w:jc w:val="center"/>
        </w:trPr>
        <w:tc>
          <w:tcPr>
            <w:tcW w:w="1934" w:type="dxa"/>
            <w:gridSpan w:val="2"/>
            <w:tcBorders>
              <w:top w:val="nil"/>
            </w:tcBorders>
          </w:tcPr>
          <w:p w14:paraId="56A41050" w14:textId="77777777" w:rsidR="006E40C9" w:rsidRDefault="006E40C9">
            <w:pPr>
              <w:pStyle w:val="MeasureTableTextItalic"/>
            </w:pPr>
            <w:r>
              <w:t>Legislative reference:</w:t>
            </w:r>
          </w:p>
        </w:tc>
        <w:tc>
          <w:tcPr>
            <w:tcW w:w="5803" w:type="dxa"/>
            <w:gridSpan w:val="8"/>
            <w:tcBorders>
              <w:top w:val="nil"/>
            </w:tcBorders>
          </w:tcPr>
          <w:p w14:paraId="6F12BAE8"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385-135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D7B9420" w14:textId="77777777" w:rsidR="006E40C9" w:rsidRPr="00540040" w:rsidRDefault="006E40C9" w:rsidP="006E40C9">
      <w:pPr>
        <w:pStyle w:val="MeasureTableHeading"/>
      </w:pPr>
    </w:p>
    <w:p w14:paraId="68EE7C1E" w14:textId="77777777" w:rsidR="006E40C9" w:rsidRDefault="006E40C9" w:rsidP="006E40C9">
      <w:r>
        <w:t xml:space="preserve">Under the benchmark, income from business activities is generally assessable in the year in which it is derived. </w:t>
      </w:r>
    </w:p>
    <w:p w14:paraId="201C8BB4" w14:textId="77777777" w:rsidR="006E40C9" w:rsidRDefault="006E40C9" w:rsidP="006E40C9">
      <w:r>
        <w:t>However, a</w:t>
      </w:r>
      <w:r w:rsidRPr="003B6D9E">
        <w:t>s a consequence of drought, fire or flood, primary producers carrying on a sheep grazing business in Australia may conduct shearing</w:t>
      </w:r>
      <w:r>
        <w:t xml:space="preserve"> in advance</w:t>
      </w:r>
      <w:r w:rsidRPr="003B6D9E">
        <w:t xml:space="preserve">. In these circumstances, a woolgrower may elect to have the assessment of the profit from </w:t>
      </w:r>
      <w:r>
        <w:t xml:space="preserve">the </w:t>
      </w:r>
      <w:r w:rsidRPr="003B6D9E">
        <w:t>advanced shearing</w:t>
      </w:r>
      <w:r>
        <w:fldChar w:fldCharType="begin"/>
      </w:r>
      <w:r>
        <w:instrText xml:space="preserve"> XE "A</w:instrText>
      </w:r>
      <w:r w:rsidRPr="00F4609F">
        <w:instrText>dvanced shearing</w:instrText>
      </w:r>
      <w:r>
        <w:instrText xml:space="preserve">" </w:instrText>
      </w:r>
      <w:r>
        <w:fldChar w:fldCharType="end"/>
      </w:r>
      <w:r w:rsidRPr="003B6D9E">
        <w:t xml:space="preserve"> deferred to the </w:t>
      </w:r>
      <w:r>
        <w:t>following</w:t>
      </w:r>
      <w:r w:rsidRPr="003B6D9E">
        <w:t xml:space="preserve"> income year.</w:t>
      </w:r>
      <w:r w:rsidRPr="0093118E">
        <w:t xml:space="preserve"> </w:t>
      </w:r>
      <w:r w:rsidRPr="00046F85">
        <w:fldChar w:fldCharType="begin"/>
      </w:r>
      <w:r>
        <w:instrText xml:space="preserve"> XE "Primary producers</w:instrText>
      </w:r>
      <w:r w:rsidRPr="00046F85">
        <w:instrText xml:space="preserve">" </w:instrText>
      </w:r>
      <w:r w:rsidRPr="00046F85">
        <w:fldChar w:fldCharType="end"/>
      </w:r>
    </w:p>
    <w:p w14:paraId="02283516" w14:textId="77777777" w:rsidR="006E40C9" w:rsidRDefault="006E40C9" w:rsidP="0003254D">
      <w:pPr>
        <w:pStyle w:val="Heading4"/>
      </w:pPr>
      <w:r>
        <w:t>B37</w:t>
      </w:r>
      <w:r>
        <w:tab/>
        <w:t>Farm Management Deposits scheme</w:t>
      </w:r>
    </w:p>
    <w:p w14:paraId="5B89456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80C05E8" w14:textId="77777777">
        <w:trPr>
          <w:cantSplit/>
          <w:jc w:val="center"/>
        </w:trPr>
        <w:tc>
          <w:tcPr>
            <w:tcW w:w="967" w:type="dxa"/>
            <w:tcBorders>
              <w:top w:val="single" w:sz="2" w:space="0" w:color="auto"/>
              <w:bottom w:val="single" w:sz="2" w:space="0" w:color="auto"/>
            </w:tcBorders>
          </w:tcPr>
          <w:p w14:paraId="3C38C4B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E026E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4063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3ABB7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3632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2FA47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C4507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4F3E0C" w14:textId="77777777" w:rsidR="006E40C9" w:rsidRDefault="006E40C9">
            <w:pPr>
              <w:pStyle w:val="MeasureTableTextRightAligned"/>
            </w:pPr>
            <w:r>
              <w:t>2027-28</w:t>
            </w:r>
          </w:p>
        </w:tc>
      </w:tr>
      <w:tr w:rsidR="006E40C9" w14:paraId="78679CD7" w14:textId="77777777">
        <w:trPr>
          <w:cantSplit/>
          <w:jc w:val="center"/>
        </w:trPr>
        <w:tc>
          <w:tcPr>
            <w:tcW w:w="967" w:type="dxa"/>
            <w:tcBorders>
              <w:top w:val="single" w:sz="2" w:space="0" w:color="auto"/>
              <w:bottom w:val="single" w:sz="2" w:space="0" w:color="auto"/>
            </w:tcBorders>
          </w:tcPr>
          <w:p w14:paraId="004B944A" w14:textId="77777777" w:rsidR="006E40C9" w:rsidRDefault="006E40C9">
            <w:pPr>
              <w:pStyle w:val="MeasureTableTextRightAligned"/>
            </w:pPr>
            <w:r>
              <w:t>75</w:t>
            </w:r>
          </w:p>
        </w:tc>
        <w:tc>
          <w:tcPr>
            <w:tcW w:w="967" w:type="dxa"/>
            <w:tcBorders>
              <w:top w:val="single" w:sz="2" w:space="0" w:color="auto"/>
              <w:bottom w:val="single" w:sz="2" w:space="0" w:color="auto"/>
            </w:tcBorders>
          </w:tcPr>
          <w:p w14:paraId="6E8489DC"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DA9B8DA" w14:textId="77777777" w:rsidR="006E40C9" w:rsidRDefault="006E40C9">
            <w:pPr>
              <w:pStyle w:val="MeasureTableTextRightAligned"/>
            </w:pPr>
            <w:r>
              <w:t>325</w:t>
            </w:r>
          </w:p>
        </w:tc>
        <w:tc>
          <w:tcPr>
            <w:tcW w:w="967" w:type="dxa"/>
            <w:tcBorders>
              <w:top w:val="single" w:sz="2" w:space="0" w:color="auto"/>
              <w:bottom w:val="single" w:sz="2" w:space="0" w:color="auto"/>
            </w:tcBorders>
            <w:vAlign w:val="bottom"/>
          </w:tcPr>
          <w:p w14:paraId="23257C0F"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7014FE79" w14:textId="77777777" w:rsidR="006E40C9" w:rsidRDefault="006E40C9">
            <w:pPr>
              <w:pStyle w:val="MeasureTableTextRightAligned"/>
            </w:pPr>
            <w:r>
              <w:t>160</w:t>
            </w:r>
          </w:p>
        </w:tc>
        <w:tc>
          <w:tcPr>
            <w:tcW w:w="967" w:type="dxa"/>
            <w:gridSpan w:val="2"/>
            <w:tcBorders>
              <w:top w:val="single" w:sz="2" w:space="0" w:color="auto"/>
              <w:bottom w:val="single" w:sz="2" w:space="0" w:color="auto"/>
            </w:tcBorders>
            <w:vAlign w:val="bottom"/>
          </w:tcPr>
          <w:p w14:paraId="70735C8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B232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34C7D17" w14:textId="77777777" w:rsidR="006E40C9" w:rsidRDefault="006E40C9">
            <w:pPr>
              <w:pStyle w:val="MeasureTableTextRightAligned"/>
            </w:pPr>
            <w:r>
              <w:t>*</w:t>
            </w:r>
          </w:p>
        </w:tc>
      </w:tr>
      <w:tr w:rsidR="006E40C9" w14:paraId="71E4CBE7" w14:textId="77777777">
        <w:trPr>
          <w:cantSplit/>
          <w:jc w:val="center"/>
        </w:trPr>
        <w:tc>
          <w:tcPr>
            <w:tcW w:w="1934" w:type="dxa"/>
            <w:gridSpan w:val="2"/>
            <w:tcBorders>
              <w:top w:val="single" w:sz="2" w:space="0" w:color="auto"/>
              <w:bottom w:val="nil"/>
            </w:tcBorders>
          </w:tcPr>
          <w:p w14:paraId="39F8DAD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F14CBE" w14:textId="77777777" w:rsidR="006E40C9" w:rsidRDefault="006E40C9">
            <w:pPr>
              <w:pStyle w:val="MeasureTableTextLeftAligned"/>
            </w:pPr>
            <w:r>
              <w:t>Deferral</w:t>
            </w:r>
          </w:p>
        </w:tc>
        <w:tc>
          <w:tcPr>
            <w:tcW w:w="1500" w:type="dxa"/>
            <w:gridSpan w:val="2"/>
            <w:tcBorders>
              <w:top w:val="single" w:sz="2" w:space="0" w:color="auto"/>
              <w:bottom w:val="nil"/>
            </w:tcBorders>
          </w:tcPr>
          <w:p w14:paraId="3619E38D" w14:textId="52259D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A3B597D" w14:textId="77777777" w:rsidR="006E40C9" w:rsidRDefault="006E40C9">
            <w:pPr>
              <w:pStyle w:val="MeasureTableTextLeftAligned"/>
            </w:pPr>
            <w:r>
              <w:t>B37</w:t>
            </w:r>
          </w:p>
        </w:tc>
      </w:tr>
      <w:tr w:rsidR="006E40C9" w14:paraId="499AB33D" w14:textId="77777777">
        <w:trPr>
          <w:cantSplit/>
          <w:jc w:val="center"/>
        </w:trPr>
        <w:tc>
          <w:tcPr>
            <w:tcW w:w="1934" w:type="dxa"/>
            <w:gridSpan w:val="2"/>
            <w:tcBorders>
              <w:top w:val="nil"/>
              <w:bottom w:val="nil"/>
            </w:tcBorders>
          </w:tcPr>
          <w:p w14:paraId="716F3F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3DC337B" w14:textId="77777777" w:rsidR="006E40C9" w:rsidRPr="00584CA7" w:rsidRDefault="006E40C9">
            <w:pPr>
              <w:pStyle w:val="MeasureTableTextLeftAligned"/>
            </w:pPr>
            <w:r>
              <w:t>Medium</w:t>
            </w:r>
          </w:p>
        </w:tc>
        <w:tc>
          <w:tcPr>
            <w:tcW w:w="1500" w:type="dxa"/>
            <w:gridSpan w:val="2"/>
            <w:tcBorders>
              <w:top w:val="nil"/>
              <w:bottom w:val="nil"/>
            </w:tcBorders>
          </w:tcPr>
          <w:p w14:paraId="41AFCCAD" w14:textId="77777777" w:rsidR="006E40C9" w:rsidRDefault="006E40C9">
            <w:pPr>
              <w:pStyle w:val="MeasureTableTextItalic"/>
            </w:pPr>
            <w:r>
              <w:t>* Category</w:t>
            </w:r>
          </w:p>
        </w:tc>
        <w:tc>
          <w:tcPr>
            <w:tcW w:w="1124" w:type="dxa"/>
            <w:gridSpan w:val="2"/>
            <w:tcBorders>
              <w:top w:val="nil"/>
              <w:bottom w:val="nil"/>
            </w:tcBorders>
          </w:tcPr>
          <w:p w14:paraId="104BDE45" w14:textId="77777777" w:rsidR="006E40C9" w:rsidRDefault="006E40C9">
            <w:pPr>
              <w:pStyle w:val="MeasureTableTextLeftAligned"/>
            </w:pPr>
            <w:r>
              <w:t>3+</w:t>
            </w:r>
          </w:p>
        </w:tc>
      </w:tr>
      <w:tr w:rsidR="006E40C9" w14:paraId="1312E253" w14:textId="77777777">
        <w:trPr>
          <w:cantSplit/>
          <w:jc w:val="center"/>
        </w:trPr>
        <w:tc>
          <w:tcPr>
            <w:tcW w:w="1934" w:type="dxa"/>
            <w:gridSpan w:val="2"/>
            <w:tcBorders>
              <w:top w:val="nil"/>
              <w:bottom w:val="nil"/>
            </w:tcBorders>
          </w:tcPr>
          <w:p w14:paraId="4EDB1183" w14:textId="77777777" w:rsidR="006E40C9" w:rsidRDefault="006E40C9">
            <w:pPr>
              <w:pStyle w:val="MeasureTableTextItalic"/>
            </w:pPr>
            <w:r>
              <w:t>Commencement date:</w:t>
            </w:r>
          </w:p>
        </w:tc>
        <w:tc>
          <w:tcPr>
            <w:tcW w:w="3179" w:type="dxa"/>
            <w:gridSpan w:val="4"/>
            <w:tcBorders>
              <w:top w:val="nil"/>
              <w:bottom w:val="nil"/>
            </w:tcBorders>
          </w:tcPr>
          <w:p w14:paraId="453BAD13" w14:textId="77777777" w:rsidR="006E40C9" w:rsidRDefault="006E40C9">
            <w:pPr>
              <w:pStyle w:val="MeasureTableTextLeftAligned"/>
            </w:pPr>
            <w:r>
              <w:t>1999</w:t>
            </w:r>
          </w:p>
        </w:tc>
        <w:tc>
          <w:tcPr>
            <w:tcW w:w="1500" w:type="dxa"/>
            <w:gridSpan w:val="2"/>
            <w:tcBorders>
              <w:top w:val="nil"/>
              <w:bottom w:val="nil"/>
            </w:tcBorders>
          </w:tcPr>
          <w:p w14:paraId="1D6B8D9E" w14:textId="77777777" w:rsidR="006E40C9" w:rsidRPr="00F32057" w:rsidRDefault="006E40C9">
            <w:pPr>
              <w:pStyle w:val="MeasureTableTextItalic"/>
            </w:pPr>
            <w:r>
              <w:t>Expiry date:</w:t>
            </w:r>
          </w:p>
        </w:tc>
        <w:tc>
          <w:tcPr>
            <w:tcW w:w="1124" w:type="dxa"/>
            <w:gridSpan w:val="2"/>
            <w:tcBorders>
              <w:top w:val="nil"/>
              <w:bottom w:val="nil"/>
            </w:tcBorders>
          </w:tcPr>
          <w:p w14:paraId="4224A676" w14:textId="77777777" w:rsidR="006E40C9" w:rsidRPr="00F32057" w:rsidRDefault="006E40C9">
            <w:pPr>
              <w:pStyle w:val="MeasureTableTextLeftAligned"/>
            </w:pPr>
          </w:p>
        </w:tc>
      </w:tr>
      <w:tr w:rsidR="006E40C9" w14:paraId="5FAC6490" w14:textId="77777777">
        <w:trPr>
          <w:cantSplit/>
          <w:jc w:val="center"/>
        </w:trPr>
        <w:tc>
          <w:tcPr>
            <w:tcW w:w="1934" w:type="dxa"/>
            <w:gridSpan w:val="2"/>
            <w:tcBorders>
              <w:top w:val="nil"/>
            </w:tcBorders>
          </w:tcPr>
          <w:p w14:paraId="56813B61" w14:textId="77777777" w:rsidR="006E40C9" w:rsidRDefault="006E40C9">
            <w:pPr>
              <w:pStyle w:val="MeasureTableTextItalic"/>
            </w:pPr>
            <w:r>
              <w:t>Legislative reference:</w:t>
            </w:r>
          </w:p>
        </w:tc>
        <w:tc>
          <w:tcPr>
            <w:tcW w:w="5803" w:type="dxa"/>
            <w:gridSpan w:val="8"/>
            <w:tcBorders>
              <w:top w:val="nil"/>
            </w:tcBorders>
          </w:tcPr>
          <w:p w14:paraId="36CFDF0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393 of the </w:t>
            </w:r>
            <w:r>
              <w:rPr>
                <w:rFonts w:ascii="Arial" w:hAnsi="Arial" w:cs="Arial"/>
                <w:i/>
                <w:iCs/>
                <w:color w:val="000000"/>
                <w:sz w:val="16"/>
                <w:szCs w:val="16"/>
              </w:rPr>
              <w:t>Income Tax Assessment Act 1997</w:t>
            </w:r>
          </w:p>
        </w:tc>
      </w:tr>
    </w:tbl>
    <w:p w14:paraId="739AD1A9" w14:textId="77777777" w:rsidR="006E40C9" w:rsidRPr="00540040" w:rsidRDefault="006E40C9" w:rsidP="006E40C9">
      <w:pPr>
        <w:pStyle w:val="MeasureTableHeading"/>
      </w:pPr>
    </w:p>
    <w:p w14:paraId="156A2913" w14:textId="77777777" w:rsidR="006E40C9" w:rsidRDefault="006E40C9" w:rsidP="006E40C9">
      <w:r>
        <w:t>Under the benchmark, income from primary production is generally assessable in the year in which it is derived. However, t</w:t>
      </w:r>
      <w:r w:rsidRPr="001F2ABC">
        <w:t>he Farm Management Deposit</w:t>
      </w:r>
      <w:r>
        <w:t>s</w:t>
      </w:r>
      <w:r w:rsidRPr="001F2ABC">
        <w:t xml:space="preserve"> (FMD) </w:t>
      </w:r>
      <w:r>
        <w:fldChar w:fldCharType="begin"/>
      </w:r>
      <w:r>
        <w:instrText xml:space="preserve"> XE "</w:instrText>
      </w:r>
      <w:r w:rsidRPr="004D7021">
        <w:instrText>Farm Management Deposits</w:instrText>
      </w:r>
      <w:r>
        <w:instrText xml:space="preserve">" </w:instrText>
      </w:r>
      <w:r>
        <w:fldChar w:fldCharType="end"/>
      </w:r>
      <w:r w:rsidRPr="001F2ABC">
        <w:t xml:space="preserve">scheme allows primary producers (with </w:t>
      </w:r>
      <w:r>
        <w:t xml:space="preserve">no more than $100,000 of </w:t>
      </w:r>
      <w:r w:rsidRPr="001F2ABC">
        <w:t>non</w:t>
      </w:r>
      <w:r>
        <w:noBreakHyphen/>
      </w:r>
      <w:r w:rsidRPr="001F2ABC">
        <w:t xml:space="preserve">primary production income) to defer </w:t>
      </w:r>
      <w:r>
        <w:t>the recognition of assessable income where the income is deposited into an FMD account</w:t>
      </w:r>
      <w:r w:rsidRPr="001F2ABC">
        <w:t xml:space="preserve">. </w:t>
      </w:r>
    </w:p>
    <w:p w14:paraId="24B667F0" w14:textId="77777777" w:rsidR="006E40C9" w:rsidRDefault="006E40C9" w:rsidP="006E40C9">
      <w:r w:rsidRPr="001F2ABC">
        <w:t xml:space="preserve">Primary producers </w:t>
      </w:r>
      <w:r>
        <w:t>can</w:t>
      </w:r>
      <w:r w:rsidRPr="001F2ABC">
        <w:t xml:space="preserve"> claim deductions for </w:t>
      </w:r>
      <w:r>
        <w:t xml:space="preserve">deposits made into </w:t>
      </w:r>
      <w:r w:rsidRPr="001F2ABC">
        <w:t xml:space="preserve">their FMD </w:t>
      </w:r>
      <w:r>
        <w:t xml:space="preserve">account </w:t>
      </w:r>
      <w:r w:rsidRPr="001F2ABC">
        <w:t>in the</w:t>
      </w:r>
      <w:r>
        <w:t xml:space="preserve"> income</w:t>
      </w:r>
      <w:r w:rsidRPr="001F2ABC">
        <w:t xml:space="preserve"> year of deposit, with subsequent withdrawals being </w:t>
      </w:r>
      <w:r>
        <w:t>assessed</w:t>
      </w:r>
      <w:r w:rsidRPr="001F2ABC">
        <w:t xml:space="preserve"> in the </w:t>
      </w:r>
      <w:r>
        <w:t xml:space="preserve">income </w:t>
      </w:r>
      <w:r w:rsidRPr="001F2ABC">
        <w:t>year of withdrawal. The FMD</w:t>
      </w:r>
      <w:r>
        <w:t xml:space="preserve"> scheme</w:t>
      </w:r>
      <w:r w:rsidRPr="001F2ABC">
        <w:t xml:space="preserve"> has a maximum limit on deposits </w:t>
      </w:r>
      <w:r>
        <w:t>of $800,000 on deposits from 1 July 2016</w:t>
      </w:r>
      <w:r w:rsidRPr="001F2ABC">
        <w:t>.</w:t>
      </w:r>
      <w:r>
        <w:t xml:space="preserve"> </w:t>
      </w:r>
      <w:r w:rsidRPr="00046F85">
        <w:fldChar w:fldCharType="begin"/>
      </w:r>
      <w:r>
        <w:instrText xml:space="preserve"> XE "Primary producer</w:instrText>
      </w:r>
      <w:r w:rsidRPr="00046F85">
        <w:instrText xml:space="preserve">s" </w:instrText>
      </w:r>
      <w:r w:rsidRPr="00046F85">
        <w:fldChar w:fldCharType="end"/>
      </w:r>
    </w:p>
    <w:p w14:paraId="04BE3836" w14:textId="77777777" w:rsidR="006E40C9" w:rsidRDefault="006E40C9" w:rsidP="0003254D">
      <w:pPr>
        <w:pStyle w:val="Heading4"/>
      </w:pPr>
      <w:r>
        <w:t>B38</w:t>
      </w:r>
      <w:r>
        <w:tab/>
        <w:t>Income tax averaging for primary producers</w:t>
      </w:r>
    </w:p>
    <w:p w14:paraId="107F10D0"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A6938D" w14:textId="77777777">
        <w:trPr>
          <w:cantSplit/>
          <w:jc w:val="center"/>
        </w:trPr>
        <w:tc>
          <w:tcPr>
            <w:tcW w:w="967" w:type="dxa"/>
            <w:tcBorders>
              <w:top w:val="single" w:sz="2" w:space="0" w:color="auto"/>
              <w:bottom w:val="single" w:sz="2" w:space="0" w:color="auto"/>
            </w:tcBorders>
          </w:tcPr>
          <w:p w14:paraId="75B4C0F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25AE56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1F39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CF4372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F3B6F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BE201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E27C8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CF52C1" w14:textId="77777777" w:rsidR="006E40C9" w:rsidRDefault="006E40C9">
            <w:pPr>
              <w:pStyle w:val="MeasureTableTextRightAligned"/>
            </w:pPr>
            <w:r>
              <w:t>2027-28</w:t>
            </w:r>
          </w:p>
        </w:tc>
      </w:tr>
      <w:tr w:rsidR="006E40C9" w14:paraId="70E43F86" w14:textId="77777777">
        <w:trPr>
          <w:cantSplit/>
          <w:jc w:val="center"/>
        </w:trPr>
        <w:tc>
          <w:tcPr>
            <w:tcW w:w="967" w:type="dxa"/>
            <w:tcBorders>
              <w:top w:val="single" w:sz="2" w:space="0" w:color="auto"/>
              <w:bottom w:val="single" w:sz="2" w:space="0" w:color="auto"/>
            </w:tcBorders>
          </w:tcPr>
          <w:p w14:paraId="3B774F1B"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6B229234"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284FB51A" w14:textId="77777777" w:rsidR="006E40C9" w:rsidRDefault="006E40C9">
            <w:pPr>
              <w:pStyle w:val="MeasureTableTextRightAligned"/>
            </w:pPr>
            <w:r>
              <w:t>275</w:t>
            </w:r>
          </w:p>
        </w:tc>
        <w:tc>
          <w:tcPr>
            <w:tcW w:w="967" w:type="dxa"/>
            <w:tcBorders>
              <w:top w:val="single" w:sz="2" w:space="0" w:color="auto"/>
              <w:bottom w:val="single" w:sz="2" w:space="0" w:color="auto"/>
            </w:tcBorders>
            <w:vAlign w:val="bottom"/>
          </w:tcPr>
          <w:p w14:paraId="14E362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4AF56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B55E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8F6B4C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B83230A" w14:textId="77777777" w:rsidR="006E40C9" w:rsidRDefault="006E40C9">
            <w:pPr>
              <w:pStyle w:val="MeasureTableTextRightAligned"/>
            </w:pPr>
            <w:r>
              <w:t>*</w:t>
            </w:r>
          </w:p>
        </w:tc>
      </w:tr>
      <w:tr w:rsidR="006E40C9" w14:paraId="5AE5C3E1" w14:textId="77777777">
        <w:trPr>
          <w:cantSplit/>
          <w:jc w:val="center"/>
        </w:trPr>
        <w:tc>
          <w:tcPr>
            <w:tcW w:w="1934" w:type="dxa"/>
            <w:gridSpan w:val="2"/>
            <w:tcBorders>
              <w:top w:val="single" w:sz="2" w:space="0" w:color="auto"/>
              <w:bottom w:val="nil"/>
            </w:tcBorders>
          </w:tcPr>
          <w:p w14:paraId="7F65F2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14742A"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CB91F22" w14:textId="1B66B5B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EC5E2D" w14:textId="77777777" w:rsidR="006E40C9" w:rsidRDefault="006E40C9">
            <w:pPr>
              <w:pStyle w:val="MeasureTableTextLeftAligned"/>
            </w:pPr>
            <w:r>
              <w:t>B38</w:t>
            </w:r>
          </w:p>
        </w:tc>
      </w:tr>
      <w:tr w:rsidR="006E40C9" w14:paraId="2EB42455" w14:textId="77777777">
        <w:trPr>
          <w:cantSplit/>
          <w:jc w:val="center"/>
        </w:trPr>
        <w:tc>
          <w:tcPr>
            <w:tcW w:w="1934" w:type="dxa"/>
            <w:gridSpan w:val="2"/>
            <w:tcBorders>
              <w:top w:val="nil"/>
              <w:bottom w:val="nil"/>
            </w:tcBorders>
          </w:tcPr>
          <w:p w14:paraId="3B987F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457C040" w14:textId="77777777" w:rsidR="006E40C9" w:rsidRPr="00584CA7" w:rsidRDefault="006E40C9">
            <w:pPr>
              <w:pStyle w:val="MeasureTableTextLeftAligned"/>
            </w:pPr>
            <w:r>
              <w:t>High</w:t>
            </w:r>
          </w:p>
        </w:tc>
        <w:tc>
          <w:tcPr>
            <w:tcW w:w="1500" w:type="dxa"/>
            <w:gridSpan w:val="2"/>
            <w:tcBorders>
              <w:top w:val="nil"/>
              <w:bottom w:val="nil"/>
            </w:tcBorders>
          </w:tcPr>
          <w:p w14:paraId="157741F3" w14:textId="77777777" w:rsidR="006E40C9" w:rsidRDefault="006E40C9">
            <w:pPr>
              <w:pStyle w:val="MeasureTableTextItalic"/>
            </w:pPr>
            <w:r>
              <w:t>* Category</w:t>
            </w:r>
          </w:p>
        </w:tc>
        <w:tc>
          <w:tcPr>
            <w:tcW w:w="1124" w:type="dxa"/>
            <w:gridSpan w:val="2"/>
            <w:tcBorders>
              <w:top w:val="nil"/>
              <w:bottom w:val="nil"/>
            </w:tcBorders>
          </w:tcPr>
          <w:p w14:paraId="1B29D3EE" w14:textId="77777777" w:rsidR="006E40C9" w:rsidRDefault="006E40C9">
            <w:pPr>
              <w:pStyle w:val="MeasureTableTextLeftAligned"/>
            </w:pPr>
            <w:r>
              <w:t>3+</w:t>
            </w:r>
          </w:p>
        </w:tc>
      </w:tr>
      <w:tr w:rsidR="006E40C9" w14:paraId="182448FE" w14:textId="77777777">
        <w:trPr>
          <w:cantSplit/>
          <w:jc w:val="center"/>
        </w:trPr>
        <w:tc>
          <w:tcPr>
            <w:tcW w:w="1934" w:type="dxa"/>
            <w:gridSpan w:val="2"/>
            <w:tcBorders>
              <w:top w:val="nil"/>
              <w:bottom w:val="nil"/>
            </w:tcBorders>
          </w:tcPr>
          <w:p w14:paraId="4FE2A6AC" w14:textId="77777777" w:rsidR="006E40C9" w:rsidRDefault="006E40C9">
            <w:pPr>
              <w:pStyle w:val="MeasureTableTextItalic"/>
            </w:pPr>
            <w:r>
              <w:t>Commencement date:</w:t>
            </w:r>
          </w:p>
        </w:tc>
        <w:tc>
          <w:tcPr>
            <w:tcW w:w="3179" w:type="dxa"/>
            <w:gridSpan w:val="4"/>
            <w:tcBorders>
              <w:top w:val="nil"/>
              <w:bottom w:val="nil"/>
            </w:tcBorders>
          </w:tcPr>
          <w:p w14:paraId="4520ED80" w14:textId="77777777" w:rsidR="006E40C9" w:rsidRDefault="006E40C9">
            <w:pPr>
              <w:pStyle w:val="MeasureTableTextLeftAligned"/>
            </w:pPr>
            <w:r>
              <w:t>Introduced before 1985</w:t>
            </w:r>
          </w:p>
        </w:tc>
        <w:tc>
          <w:tcPr>
            <w:tcW w:w="1500" w:type="dxa"/>
            <w:gridSpan w:val="2"/>
            <w:tcBorders>
              <w:top w:val="nil"/>
              <w:bottom w:val="nil"/>
            </w:tcBorders>
          </w:tcPr>
          <w:p w14:paraId="1B441940" w14:textId="77777777" w:rsidR="006E40C9" w:rsidRPr="00F32057" w:rsidRDefault="006E40C9">
            <w:pPr>
              <w:pStyle w:val="MeasureTableTextItalic"/>
            </w:pPr>
            <w:r>
              <w:t>Expiry date:</w:t>
            </w:r>
          </w:p>
        </w:tc>
        <w:tc>
          <w:tcPr>
            <w:tcW w:w="1124" w:type="dxa"/>
            <w:gridSpan w:val="2"/>
            <w:tcBorders>
              <w:top w:val="nil"/>
              <w:bottom w:val="nil"/>
            </w:tcBorders>
          </w:tcPr>
          <w:p w14:paraId="1E89663F" w14:textId="77777777" w:rsidR="006E40C9" w:rsidRPr="00F32057" w:rsidRDefault="006E40C9">
            <w:pPr>
              <w:pStyle w:val="MeasureTableTextLeftAligned"/>
            </w:pPr>
          </w:p>
        </w:tc>
      </w:tr>
      <w:tr w:rsidR="006E40C9" w14:paraId="58E87CA7" w14:textId="77777777">
        <w:trPr>
          <w:cantSplit/>
          <w:jc w:val="center"/>
        </w:trPr>
        <w:tc>
          <w:tcPr>
            <w:tcW w:w="1934" w:type="dxa"/>
            <w:gridSpan w:val="2"/>
            <w:tcBorders>
              <w:top w:val="nil"/>
            </w:tcBorders>
          </w:tcPr>
          <w:p w14:paraId="43110467" w14:textId="77777777" w:rsidR="006E40C9" w:rsidRDefault="006E40C9">
            <w:pPr>
              <w:pStyle w:val="MeasureTableTextItalic"/>
            </w:pPr>
            <w:r>
              <w:t>Legislative reference:</w:t>
            </w:r>
          </w:p>
        </w:tc>
        <w:tc>
          <w:tcPr>
            <w:tcW w:w="5803" w:type="dxa"/>
            <w:gridSpan w:val="8"/>
            <w:tcBorders>
              <w:top w:val="nil"/>
            </w:tcBorders>
          </w:tcPr>
          <w:p w14:paraId="7EE2ABDF"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392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6A02E935" w14:textId="77777777" w:rsidR="006E40C9" w:rsidRPr="00540040" w:rsidRDefault="006E40C9" w:rsidP="006E40C9">
      <w:pPr>
        <w:pStyle w:val="MeasureTableHeading"/>
      </w:pPr>
    </w:p>
    <w:p w14:paraId="0CB98E98" w14:textId="5A619EEE" w:rsidR="006E40C9" w:rsidRDefault="006E40C9" w:rsidP="006E40C9">
      <w:r>
        <w:t>The benchmark tax treatment is that income tax is calculated on the taxable income of a taxpayer for an income year at their applicable rate of tax. However, p</w:t>
      </w:r>
      <w:r w:rsidRPr="00394E43">
        <w:t>rimary producers</w:t>
      </w:r>
      <w:r>
        <w:t>, unless they have opted out,</w:t>
      </w:r>
      <w:r w:rsidRPr="00394E43">
        <w:t xml:space="preserve"> </w:t>
      </w:r>
      <w:r>
        <w:t>calculate their</w:t>
      </w:r>
      <w:r w:rsidRPr="00394E43">
        <w:t xml:space="preserve"> tax at a tax rate based on their average income earned over the previous </w:t>
      </w:r>
      <w:r>
        <w:t>5</w:t>
      </w:r>
      <w:r w:rsidRPr="00394E43">
        <w:t xml:space="preserve"> income years</w:t>
      </w:r>
      <w:r>
        <w:t xml:space="preserve"> to smooth their income tax liability. Primary producers that choose to opt out of income tax averaging are able to re</w:t>
      </w:r>
      <w:r>
        <w:noBreakHyphen/>
        <w:t>enter the system after 10 income years.</w:t>
      </w:r>
      <w:r w:rsidRPr="00046F85">
        <w:fldChar w:fldCharType="begin"/>
      </w:r>
      <w:r>
        <w:instrText xml:space="preserve"> XE "Primary producers</w:instrText>
      </w:r>
      <w:r w:rsidRPr="00046F85">
        <w:instrText xml:space="preserve">" </w:instrText>
      </w:r>
      <w:r w:rsidRPr="00046F85">
        <w:fldChar w:fldCharType="end"/>
      </w:r>
      <w:r>
        <w:fldChar w:fldCharType="begin"/>
      </w:r>
      <w:r>
        <w:instrText xml:space="preserve"> XE "</w:instrText>
      </w:r>
      <w:r w:rsidRPr="006C2F92">
        <w:instrText>Income averaging:Primary producers</w:instrText>
      </w:r>
      <w:r>
        <w:instrText xml:space="preserve">" </w:instrText>
      </w:r>
      <w:r>
        <w:fldChar w:fldCharType="end"/>
      </w:r>
    </w:p>
    <w:p w14:paraId="45A005C1" w14:textId="77777777" w:rsidR="006E40C9" w:rsidRDefault="006E40C9" w:rsidP="0003254D">
      <w:pPr>
        <w:pStyle w:val="Heading4"/>
      </w:pPr>
      <w:r>
        <w:t>B39</w:t>
      </w:r>
      <w:r>
        <w:tab/>
        <w:t>Primary producers – concessional tax treatment for carbon abatement income</w:t>
      </w:r>
    </w:p>
    <w:p w14:paraId="2709A13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FF65998" w14:textId="77777777">
        <w:trPr>
          <w:cantSplit/>
          <w:jc w:val="center"/>
        </w:trPr>
        <w:tc>
          <w:tcPr>
            <w:tcW w:w="967" w:type="dxa"/>
            <w:tcBorders>
              <w:top w:val="single" w:sz="2" w:space="0" w:color="auto"/>
              <w:bottom w:val="single" w:sz="2" w:space="0" w:color="auto"/>
            </w:tcBorders>
          </w:tcPr>
          <w:p w14:paraId="377AAE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88E17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3EBA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77F9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AC92F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8E45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FEB61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9C65B3" w14:textId="77777777" w:rsidR="006E40C9" w:rsidRDefault="006E40C9">
            <w:pPr>
              <w:pStyle w:val="MeasureTableTextRightAligned"/>
            </w:pPr>
            <w:r>
              <w:t>2027-28</w:t>
            </w:r>
          </w:p>
        </w:tc>
      </w:tr>
      <w:tr w:rsidR="006E40C9" w14:paraId="4F085C0C" w14:textId="77777777">
        <w:trPr>
          <w:cantSplit/>
          <w:jc w:val="center"/>
        </w:trPr>
        <w:tc>
          <w:tcPr>
            <w:tcW w:w="967" w:type="dxa"/>
            <w:tcBorders>
              <w:top w:val="single" w:sz="2" w:space="0" w:color="auto"/>
              <w:bottom w:val="single" w:sz="2" w:space="0" w:color="auto"/>
            </w:tcBorders>
          </w:tcPr>
          <w:p w14:paraId="58D806B1" w14:textId="77777777" w:rsidR="006E40C9" w:rsidRDefault="006E40C9">
            <w:pPr>
              <w:pStyle w:val="MeasureTableTextRightAligned"/>
            </w:pPr>
            <w:r>
              <w:t>-</w:t>
            </w:r>
          </w:p>
        </w:tc>
        <w:tc>
          <w:tcPr>
            <w:tcW w:w="967" w:type="dxa"/>
            <w:tcBorders>
              <w:top w:val="single" w:sz="2" w:space="0" w:color="auto"/>
              <w:bottom w:val="single" w:sz="2" w:space="0" w:color="auto"/>
            </w:tcBorders>
          </w:tcPr>
          <w:p w14:paraId="728592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51854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71B8CD"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00CB4E11" w14:textId="77777777" w:rsidR="006E40C9" w:rsidRDefault="006E40C9">
            <w:pPr>
              <w:pStyle w:val="MeasureTableTextRightAligned"/>
            </w:pPr>
            <w:r>
              <w:t>2</w:t>
            </w:r>
          </w:p>
        </w:tc>
        <w:tc>
          <w:tcPr>
            <w:tcW w:w="967" w:type="dxa"/>
            <w:gridSpan w:val="2"/>
            <w:tcBorders>
              <w:top w:val="single" w:sz="2" w:space="0" w:color="auto"/>
              <w:bottom w:val="single" w:sz="2" w:space="0" w:color="auto"/>
            </w:tcBorders>
            <w:vAlign w:val="bottom"/>
          </w:tcPr>
          <w:p w14:paraId="127EA17E"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F0624E9"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49C2BE39" w14:textId="77777777" w:rsidR="006E40C9" w:rsidRDefault="006E40C9">
            <w:pPr>
              <w:pStyle w:val="MeasureTableTextRightAligned"/>
            </w:pPr>
            <w:r>
              <w:t>2</w:t>
            </w:r>
          </w:p>
        </w:tc>
      </w:tr>
      <w:tr w:rsidR="006E40C9" w14:paraId="70F16A88" w14:textId="77777777">
        <w:trPr>
          <w:cantSplit/>
          <w:jc w:val="center"/>
        </w:trPr>
        <w:tc>
          <w:tcPr>
            <w:tcW w:w="1934" w:type="dxa"/>
            <w:gridSpan w:val="2"/>
            <w:tcBorders>
              <w:top w:val="single" w:sz="2" w:space="0" w:color="auto"/>
              <w:bottom w:val="nil"/>
            </w:tcBorders>
          </w:tcPr>
          <w:p w14:paraId="0EC0178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531704"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0A6DC27" w14:textId="732ACF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C58ACFD" w14:textId="77777777" w:rsidR="006E40C9" w:rsidRDefault="006E40C9">
            <w:pPr>
              <w:pStyle w:val="MeasureTableTextLeftAligned"/>
            </w:pPr>
            <w:r>
              <w:t>B39</w:t>
            </w:r>
          </w:p>
        </w:tc>
      </w:tr>
      <w:tr w:rsidR="006E40C9" w14:paraId="26F09E2A" w14:textId="77777777">
        <w:trPr>
          <w:cantSplit/>
          <w:jc w:val="center"/>
        </w:trPr>
        <w:tc>
          <w:tcPr>
            <w:tcW w:w="1934" w:type="dxa"/>
            <w:gridSpan w:val="2"/>
            <w:tcBorders>
              <w:top w:val="nil"/>
              <w:bottom w:val="nil"/>
            </w:tcBorders>
          </w:tcPr>
          <w:p w14:paraId="7890D0B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A44A02" w14:textId="77777777" w:rsidR="006E40C9" w:rsidRPr="00584CA7" w:rsidRDefault="006E40C9">
            <w:pPr>
              <w:pStyle w:val="MeasureTableTextLeftAligned"/>
            </w:pPr>
            <w:r>
              <w:t>Low</w:t>
            </w:r>
          </w:p>
        </w:tc>
        <w:tc>
          <w:tcPr>
            <w:tcW w:w="1500" w:type="dxa"/>
            <w:gridSpan w:val="2"/>
            <w:tcBorders>
              <w:top w:val="nil"/>
              <w:bottom w:val="nil"/>
            </w:tcBorders>
          </w:tcPr>
          <w:p w14:paraId="47B811DB" w14:textId="77777777" w:rsidR="006E40C9" w:rsidRDefault="006E40C9">
            <w:pPr>
              <w:pStyle w:val="MeasureTableTextItalic"/>
            </w:pPr>
          </w:p>
        </w:tc>
        <w:tc>
          <w:tcPr>
            <w:tcW w:w="1124" w:type="dxa"/>
            <w:gridSpan w:val="2"/>
            <w:tcBorders>
              <w:top w:val="nil"/>
              <w:bottom w:val="nil"/>
            </w:tcBorders>
          </w:tcPr>
          <w:p w14:paraId="7B91E44F" w14:textId="77777777" w:rsidR="006E40C9" w:rsidRDefault="006E40C9">
            <w:pPr>
              <w:pStyle w:val="MeasureTableTextLeftAligned"/>
            </w:pPr>
          </w:p>
        </w:tc>
      </w:tr>
      <w:tr w:rsidR="006E40C9" w14:paraId="6A663A22" w14:textId="77777777">
        <w:trPr>
          <w:cantSplit/>
          <w:jc w:val="center"/>
        </w:trPr>
        <w:tc>
          <w:tcPr>
            <w:tcW w:w="1934" w:type="dxa"/>
            <w:gridSpan w:val="2"/>
            <w:tcBorders>
              <w:top w:val="nil"/>
              <w:bottom w:val="nil"/>
            </w:tcBorders>
          </w:tcPr>
          <w:p w14:paraId="77F087A6" w14:textId="77777777" w:rsidR="006E40C9" w:rsidRDefault="006E40C9">
            <w:pPr>
              <w:pStyle w:val="MeasureTableTextItalic"/>
            </w:pPr>
            <w:r>
              <w:t>Commencement date:</w:t>
            </w:r>
          </w:p>
        </w:tc>
        <w:tc>
          <w:tcPr>
            <w:tcW w:w="3179" w:type="dxa"/>
            <w:gridSpan w:val="4"/>
            <w:tcBorders>
              <w:top w:val="nil"/>
              <w:bottom w:val="nil"/>
            </w:tcBorders>
          </w:tcPr>
          <w:p w14:paraId="6190D5B3" w14:textId="77777777" w:rsidR="006E40C9" w:rsidRDefault="006E40C9">
            <w:pPr>
              <w:pStyle w:val="MeasureTableTextLeftAligned"/>
            </w:pPr>
            <w:r>
              <w:t>1 July 2022</w:t>
            </w:r>
          </w:p>
        </w:tc>
        <w:tc>
          <w:tcPr>
            <w:tcW w:w="1500" w:type="dxa"/>
            <w:gridSpan w:val="2"/>
            <w:tcBorders>
              <w:top w:val="nil"/>
              <w:bottom w:val="nil"/>
            </w:tcBorders>
          </w:tcPr>
          <w:p w14:paraId="0C633189" w14:textId="77777777" w:rsidR="006E40C9" w:rsidRPr="00F32057" w:rsidRDefault="006E40C9">
            <w:pPr>
              <w:pStyle w:val="MeasureTableTextItalic"/>
            </w:pPr>
            <w:r>
              <w:t>Expiry date:</w:t>
            </w:r>
          </w:p>
        </w:tc>
        <w:tc>
          <w:tcPr>
            <w:tcW w:w="1124" w:type="dxa"/>
            <w:gridSpan w:val="2"/>
            <w:tcBorders>
              <w:top w:val="nil"/>
              <w:bottom w:val="nil"/>
            </w:tcBorders>
          </w:tcPr>
          <w:p w14:paraId="547011C3" w14:textId="77777777" w:rsidR="006E40C9" w:rsidRPr="00F32057" w:rsidRDefault="006E40C9">
            <w:pPr>
              <w:pStyle w:val="MeasureTableTextLeftAligned"/>
            </w:pPr>
          </w:p>
        </w:tc>
      </w:tr>
      <w:tr w:rsidR="006E40C9" w14:paraId="7C473B11" w14:textId="77777777">
        <w:trPr>
          <w:cantSplit/>
          <w:jc w:val="center"/>
        </w:trPr>
        <w:tc>
          <w:tcPr>
            <w:tcW w:w="1934" w:type="dxa"/>
            <w:gridSpan w:val="2"/>
            <w:tcBorders>
              <w:top w:val="nil"/>
            </w:tcBorders>
          </w:tcPr>
          <w:p w14:paraId="6ED11173" w14:textId="77777777" w:rsidR="006E40C9" w:rsidRDefault="006E40C9">
            <w:pPr>
              <w:pStyle w:val="MeasureTableTextItalic"/>
            </w:pPr>
            <w:r>
              <w:t>Legislative reference:</w:t>
            </w:r>
          </w:p>
        </w:tc>
        <w:tc>
          <w:tcPr>
            <w:tcW w:w="5803" w:type="dxa"/>
            <w:gridSpan w:val="8"/>
            <w:tcBorders>
              <w:top w:val="nil"/>
            </w:tcBorders>
          </w:tcPr>
          <w:p w14:paraId="65976694"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392 and Subdivisions 420-A and 420-D of the </w:t>
            </w:r>
            <w:r>
              <w:rPr>
                <w:rFonts w:ascii="Arial" w:hAnsi="Arial" w:cs="Arial"/>
                <w:i/>
                <w:iCs/>
                <w:color w:val="000000"/>
                <w:sz w:val="16"/>
                <w:szCs w:val="16"/>
              </w:rPr>
              <w:t>Income Tax Assessment Act</w:t>
            </w:r>
            <w:r>
              <w:rPr>
                <w:rFonts w:ascii="Arial" w:hAnsi="Arial" w:cs="Arial"/>
                <w:sz w:val="17"/>
                <w:szCs w:val="17"/>
              </w:rPr>
              <w:t xml:space="preserve"> </w:t>
            </w:r>
            <w:r>
              <w:rPr>
                <w:rFonts w:ascii="Arial" w:hAnsi="Arial" w:cs="Arial"/>
                <w:i/>
                <w:iCs/>
                <w:color w:val="000000"/>
                <w:sz w:val="16"/>
                <w:szCs w:val="16"/>
              </w:rPr>
              <w:t>1997</w:t>
            </w:r>
          </w:p>
        </w:tc>
      </w:tr>
    </w:tbl>
    <w:p w14:paraId="53B1EC51" w14:textId="77777777" w:rsidR="006E40C9" w:rsidRPr="00540040" w:rsidRDefault="006E40C9" w:rsidP="006E40C9">
      <w:pPr>
        <w:pStyle w:val="MeasureTableHeading"/>
      </w:pPr>
    </w:p>
    <w:p w14:paraId="6BC3C40D" w14:textId="77777777" w:rsidR="006E40C9" w:rsidRDefault="006E40C9" w:rsidP="006E40C9">
      <w:r>
        <w:t xml:space="preserve">Under the benchmark, Australian Carbon Credit Unit (ACCU) holders are taxed based on changes in the value of their ACCUs held each year, with increases in the value of ACCUs held resulting in assessable income and decreases in value resulting in deductions. </w:t>
      </w:r>
    </w:p>
    <w:p w14:paraId="504524C0" w14:textId="77777777" w:rsidR="006E40C9" w:rsidRDefault="006E40C9" w:rsidP="006E40C9">
      <w:r>
        <w:t>For ACCUs held from 1 July 2022, primary producers meeting the eligibility requirements for the FMD scheme and tax averaging are afforded a more concessional treatment. Eligible primary producers will not be taxed based on changes in the value of their ACCUs held each year, and will instead be taxed on the proceeds from the sale of ACCUs in the year of sale.</w:t>
      </w:r>
    </w:p>
    <w:p w14:paraId="079FC7AC" w14:textId="77777777" w:rsidR="006E40C9" w:rsidRDefault="006E40C9" w:rsidP="0003254D">
      <w:pPr>
        <w:pStyle w:val="Heading4"/>
      </w:pPr>
      <w:r>
        <w:t>B40</w:t>
      </w:r>
      <w:r>
        <w:tab/>
        <w:t>Spreading of insurance income for loss of livestock or trees</w:t>
      </w:r>
    </w:p>
    <w:p w14:paraId="17BBD6DF"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E472528" w14:textId="77777777">
        <w:trPr>
          <w:cantSplit/>
          <w:jc w:val="center"/>
        </w:trPr>
        <w:tc>
          <w:tcPr>
            <w:tcW w:w="967" w:type="dxa"/>
            <w:tcBorders>
              <w:top w:val="single" w:sz="2" w:space="0" w:color="auto"/>
              <w:bottom w:val="single" w:sz="2" w:space="0" w:color="auto"/>
            </w:tcBorders>
          </w:tcPr>
          <w:p w14:paraId="1C2EE4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DF2ABE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B924D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C826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826B8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16448E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4E83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22A5D39" w14:textId="77777777" w:rsidR="006E40C9" w:rsidRDefault="006E40C9">
            <w:pPr>
              <w:pStyle w:val="MeasureTableTextRightAligned"/>
            </w:pPr>
            <w:r>
              <w:t>2027-28</w:t>
            </w:r>
          </w:p>
        </w:tc>
      </w:tr>
      <w:tr w:rsidR="006E40C9" w14:paraId="73C53CC9" w14:textId="77777777">
        <w:trPr>
          <w:cantSplit/>
          <w:jc w:val="center"/>
        </w:trPr>
        <w:tc>
          <w:tcPr>
            <w:tcW w:w="967" w:type="dxa"/>
            <w:tcBorders>
              <w:top w:val="single" w:sz="2" w:space="0" w:color="auto"/>
              <w:bottom w:val="single" w:sz="2" w:space="0" w:color="auto"/>
            </w:tcBorders>
          </w:tcPr>
          <w:p w14:paraId="4A69340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0FD58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2768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E598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1EAA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670299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F9768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844001D" w14:textId="77777777" w:rsidR="006E40C9" w:rsidRDefault="006E40C9">
            <w:pPr>
              <w:pStyle w:val="MeasureTableTextRightAligned"/>
            </w:pPr>
            <w:r>
              <w:t>*</w:t>
            </w:r>
          </w:p>
        </w:tc>
      </w:tr>
      <w:tr w:rsidR="006E40C9" w14:paraId="3A4325F8" w14:textId="77777777">
        <w:trPr>
          <w:cantSplit/>
          <w:jc w:val="center"/>
        </w:trPr>
        <w:tc>
          <w:tcPr>
            <w:tcW w:w="1934" w:type="dxa"/>
            <w:gridSpan w:val="2"/>
            <w:tcBorders>
              <w:top w:val="single" w:sz="2" w:space="0" w:color="auto"/>
              <w:bottom w:val="nil"/>
            </w:tcBorders>
          </w:tcPr>
          <w:p w14:paraId="70B9EC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7B57921" w14:textId="77777777" w:rsidR="006E40C9" w:rsidRDefault="006E40C9">
            <w:pPr>
              <w:pStyle w:val="MeasureTableTextLeftAligned"/>
            </w:pPr>
            <w:r>
              <w:t>Deferral</w:t>
            </w:r>
          </w:p>
        </w:tc>
        <w:tc>
          <w:tcPr>
            <w:tcW w:w="1500" w:type="dxa"/>
            <w:gridSpan w:val="2"/>
            <w:tcBorders>
              <w:top w:val="single" w:sz="2" w:space="0" w:color="auto"/>
              <w:bottom w:val="nil"/>
            </w:tcBorders>
          </w:tcPr>
          <w:p w14:paraId="77F4A39A" w14:textId="1EB84A0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35491F" w14:textId="77777777" w:rsidR="006E40C9" w:rsidRDefault="006E40C9">
            <w:pPr>
              <w:pStyle w:val="MeasureTableTextLeftAligned"/>
            </w:pPr>
            <w:r>
              <w:t>B40</w:t>
            </w:r>
          </w:p>
        </w:tc>
      </w:tr>
      <w:tr w:rsidR="006E40C9" w14:paraId="4344D228" w14:textId="77777777">
        <w:trPr>
          <w:cantSplit/>
          <w:jc w:val="center"/>
        </w:trPr>
        <w:tc>
          <w:tcPr>
            <w:tcW w:w="1934" w:type="dxa"/>
            <w:gridSpan w:val="2"/>
            <w:tcBorders>
              <w:top w:val="nil"/>
              <w:bottom w:val="nil"/>
            </w:tcBorders>
          </w:tcPr>
          <w:p w14:paraId="3D1470B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35CDBD" w14:textId="77777777" w:rsidR="006E40C9" w:rsidRPr="00584CA7" w:rsidRDefault="006E40C9">
            <w:pPr>
              <w:pStyle w:val="MeasureTableTextLeftAligned"/>
            </w:pPr>
            <w:r>
              <w:t>Not Applicable</w:t>
            </w:r>
          </w:p>
        </w:tc>
        <w:tc>
          <w:tcPr>
            <w:tcW w:w="1500" w:type="dxa"/>
            <w:gridSpan w:val="2"/>
            <w:tcBorders>
              <w:top w:val="nil"/>
              <w:bottom w:val="nil"/>
            </w:tcBorders>
          </w:tcPr>
          <w:p w14:paraId="2F22A5A6" w14:textId="77777777" w:rsidR="006E40C9" w:rsidRDefault="006E40C9">
            <w:pPr>
              <w:pStyle w:val="MeasureTableTextItalic"/>
            </w:pPr>
            <w:r>
              <w:t>* Category</w:t>
            </w:r>
          </w:p>
        </w:tc>
        <w:tc>
          <w:tcPr>
            <w:tcW w:w="1124" w:type="dxa"/>
            <w:gridSpan w:val="2"/>
            <w:tcBorders>
              <w:top w:val="nil"/>
              <w:bottom w:val="nil"/>
            </w:tcBorders>
          </w:tcPr>
          <w:p w14:paraId="5F39B0E9" w14:textId="77777777" w:rsidR="006E40C9" w:rsidRDefault="006E40C9">
            <w:pPr>
              <w:pStyle w:val="MeasureTableTextLeftAligned"/>
            </w:pPr>
            <w:r>
              <w:t>2+</w:t>
            </w:r>
          </w:p>
        </w:tc>
      </w:tr>
      <w:tr w:rsidR="006E40C9" w14:paraId="3EF99AD4" w14:textId="77777777">
        <w:trPr>
          <w:cantSplit/>
          <w:jc w:val="center"/>
        </w:trPr>
        <w:tc>
          <w:tcPr>
            <w:tcW w:w="1934" w:type="dxa"/>
            <w:gridSpan w:val="2"/>
            <w:tcBorders>
              <w:top w:val="nil"/>
              <w:bottom w:val="nil"/>
            </w:tcBorders>
          </w:tcPr>
          <w:p w14:paraId="423F1782" w14:textId="77777777" w:rsidR="006E40C9" w:rsidRDefault="006E40C9">
            <w:pPr>
              <w:pStyle w:val="MeasureTableTextItalic"/>
            </w:pPr>
            <w:r>
              <w:t>Commencement date:</w:t>
            </w:r>
          </w:p>
        </w:tc>
        <w:tc>
          <w:tcPr>
            <w:tcW w:w="3179" w:type="dxa"/>
            <w:gridSpan w:val="4"/>
            <w:tcBorders>
              <w:top w:val="nil"/>
              <w:bottom w:val="nil"/>
            </w:tcBorders>
          </w:tcPr>
          <w:p w14:paraId="09759AF1" w14:textId="77777777" w:rsidR="006E40C9" w:rsidRDefault="006E40C9">
            <w:pPr>
              <w:pStyle w:val="MeasureTableTextLeftAligned"/>
            </w:pPr>
            <w:r>
              <w:t>Introduced before 1985</w:t>
            </w:r>
          </w:p>
        </w:tc>
        <w:tc>
          <w:tcPr>
            <w:tcW w:w="1500" w:type="dxa"/>
            <w:gridSpan w:val="2"/>
            <w:tcBorders>
              <w:top w:val="nil"/>
              <w:bottom w:val="nil"/>
            </w:tcBorders>
          </w:tcPr>
          <w:p w14:paraId="7FC5B250" w14:textId="77777777" w:rsidR="006E40C9" w:rsidRPr="00F32057" w:rsidRDefault="006E40C9">
            <w:pPr>
              <w:pStyle w:val="MeasureTableTextItalic"/>
            </w:pPr>
            <w:r>
              <w:t>Expiry date:</w:t>
            </w:r>
          </w:p>
        </w:tc>
        <w:tc>
          <w:tcPr>
            <w:tcW w:w="1124" w:type="dxa"/>
            <w:gridSpan w:val="2"/>
            <w:tcBorders>
              <w:top w:val="nil"/>
              <w:bottom w:val="nil"/>
            </w:tcBorders>
          </w:tcPr>
          <w:p w14:paraId="5E56B20E" w14:textId="77777777" w:rsidR="006E40C9" w:rsidRPr="00F32057" w:rsidRDefault="006E40C9">
            <w:pPr>
              <w:pStyle w:val="MeasureTableTextLeftAligned"/>
            </w:pPr>
          </w:p>
        </w:tc>
      </w:tr>
      <w:tr w:rsidR="006E40C9" w14:paraId="2AA4AE8E" w14:textId="77777777">
        <w:trPr>
          <w:cantSplit/>
          <w:jc w:val="center"/>
        </w:trPr>
        <w:tc>
          <w:tcPr>
            <w:tcW w:w="1934" w:type="dxa"/>
            <w:gridSpan w:val="2"/>
            <w:tcBorders>
              <w:top w:val="nil"/>
            </w:tcBorders>
          </w:tcPr>
          <w:p w14:paraId="08B58565" w14:textId="77777777" w:rsidR="006E40C9" w:rsidRDefault="006E40C9">
            <w:pPr>
              <w:pStyle w:val="MeasureTableTextItalic"/>
            </w:pPr>
            <w:r>
              <w:t>Legislative reference:</w:t>
            </w:r>
          </w:p>
        </w:tc>
        <w:tc>
          <w:tcPr>
            <w:tcW w:w="5803" w:type="dxa"/>
            <w:gridSpan w:val="8"/>
            <w:tcBorders>
              <w:top w:val="nil"/>
            </w:tcBorders>
          </w:tcPr>
          <w:p w14:paraId="36CB270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385-130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AC938DC" w14:textId="77777777" w:rsidR="006E40C9" w:rsidRPr="00540040" w:rsidRDefault="006E40C9" w:rsidP="006E40C9">
      <w:pPr>
        <w:pStyle w:val="MeasureTableHeading"/>
      </w:pPr>
    </w:p>
    <w:p w14:paraId="6496F708" w14:textId="6E1AF65C" w:rsidR="006E40C9" w:rsidRDefault="006E40C9" w:rsidP="006E40C9">
      <w:r>
        <w:t>The benchmark tax treatment is that insurance proceeds are consideration for the item that was lost or destroyed and may be assessable to the taxpayer. However, primary producers who receive insurance payouts in respect of trees lost because of fire, or livestock</w:t>
      </w:r>
      <w:r>
        <w:fldChar w:fldCharType="begin"/>
      </w:r>
      <w:r>
        <w:instrText xml:space="preserve"> XE "</w:instrText>
      </w:r>
      <w:r w:rsidRPr="000402D9">
        <w:instrText>Livestock</w:instrText>
      </w:r>
      <w:r>
        <w:instrText xml:space="preserve">" </w:instrText>
      </w:r>
      <w:r>
        <w:fldChar w:fldCharType="end"/>
      </w:r>
      <w:r>
        <w:t xml:space="preserve"> lost due to natural disasters, </w:t>
      </w:r>
      <w:r w:rsidRPr="0040405E">
        <w:t xml:space="preserve">can elect to spread the income equally over </w:t>
      </w:r>
      <w:r>
        <w:t>5</w:t>
      </w:r>
      <w:r w:rsidRPr="0040405E">
        <w:t xml:space="preserve"> income years, resulting in a deferral</w:t>
      </w:r>
      <w:r>
        <w:t xml:space="preserve"> of income tax.</w:t>
      </w:r>
      <w:r w:rsidRPr="00046F85">
        <w:fldChar w:fldCharType="begin"/>
      </w:r>
      <w:r>
        <w:instrText xml:space="preserve"> XE "Primary producer</w:instrText>
      </w:r>
      <w:r w:rsidRPr="00046F85">
        <w:instrText xml:space="preserve">s" </w:instrText>
      </w:r>
      <w:r w:rsidRPr="00046F85">
        <w:fldChar w:fldCharType="end"/>
      </w:r>
    </w:p>
    <w:p w14:paraId="0E8FE712" w14:textId="77777777" w:rsidR="006E40C9" w:rsidRDefault="006E40C9" w:rsidP="0003254D">
      <w:pPr>
        <w:pStyle w:val="Heading4"/>
      </w:pPr>
      <w:r>
        <w:t>B41</w:t>
      </w:r>
      <w:r>
        <w:tab/>
        <w:t>Sustainable Rural Water Use and Infrastructure Program</w:t>
      </w:r>
    </w:p>
    <w:p w14:paraId="41A04600"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37CF405" w14:textId="77777777">
        <w:trPr>
          <w:cantSplit/>
          <w:jc w:val="center"/>
        </w:trPr>
        <w:tc>
          <w:tcPr>
            <w:tcW w:w="967" w:type="dxa"/>
            <w:tcBorders>
              <w:top w:val="single" w:sz="2" w:space="0" w:color="auto"/>
              <w:bottom w:val="single" w:sz="2" w:space="0" w:color="auto"/>
            </w:tcBorders>
          </w:tcPr>
          <w:p w14:paraId="3CAA4B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114F1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F13E2D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F363C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485A6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C124B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2A97D2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324B3C" w14:textId="77777777" w:rsidR="006E40C9" w:rsidRDefault="006E40C9">
            <w:pPr>
              <w:pStyle w:val="MeasureTableTextRightAligned"/>
            </w:pPr>
            <w:r>
              <w:t>2027-28</w:t>
            </w:r>
          </w:p>
        </w:tc>
      </w:tr>
      <w:tr w:rsidR="006E40C9" w14:paraId="6F3EE671" w14:textId="77777777">
        <w:trPr>
          <w:cantSplit/>
          <w:jc w:val="center"/>
        </w:trPr>
        <w:tc>
          <w:tcPr>
            <w:tcW w:w="967" w:type="dxa"/>
            <w:tcBorders>
              <w:top w:val="single" w:sz="2" w:space="0" w:color="auto"/>
              <w:bottom w:val="single" w:sz="2" w:space="0" w:color="auto"/>
            </w:tcBorders>
          </w:tcPr>
          <w:p w14:paraId="2BAA38A3" w14:textId="77777777" w:rsidR="006E40C9" w:rsidRDefault="006E40C9">
            <w:pPr>
              <w:pStyle w:val="MeasureTableTextRightAligned"/>
            </w:pPr>
            <w:r>
              <w:t>-10</w:t>
            </w:r>
          </w:p>
        </w:tc>
        <w:tc>
          <w:tcPr>
            <w:tcW w:w="967" w:type="dxa"/>
            <w:tcBorders>
              <w:top w:val="single" w:sz="2" w:space="0" w:color="auto"/>
              <w:bottom w:val="single" w:sz="2" w:space="0" w:color="auto"/>
            </w:tcBorders>
          </w:tcPr>
          <w:p w14:paraId="3C4B90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EE471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2AB2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06DF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AAE6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365434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ED3D27E" w14:textId="77777777" w:rsidR="006E40C9" w:rsidRDefault="006E40C9">
            <w:pPr>
              <w:pStyle w:val="MeasureTableTextRightAligned"/>
            </w:pPr>
            <w:r>
              <w:t>..</w:t>
            </w:r>
          </w:p>
        </w:tc>
      </w:tr>
      <w:tr w:rsidR="006E40C9" w14:paraId="30F55AAE" w14:textId="77777777">
        <w:trPr>
          <w:cantSplit/>
          <w:jc w:val="center"/>
        </w:trPr>
        <w:tc>
          <w:tcPr>
            <w:tcW w:w="1934" w:type="dxa"/>
            <w:gridSpan w:val="2"/>
            <w:tcBorders>
              <w:top w:val="single" w:sz="2" w:space="0" w:color="auto"/>
              <w:bottom w:val="nil"/>
            </w:tcBorders>
          </w:tcPr>
          <w:p w14:paraId="5B1B5F8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2BCBC7" w14:textId="77777777" w:rsidR="006E40C9" w:rsidRDefault="006E40C9">
            <w:pPr>
              <w:pStyle w:val="MeasureTableTextLeftAligned"/>
            </w:pPr>
            <w:r>
              <w:t>Denial of deferral</w:t>
            </w:r>
          </w:p>
        </w:tc>
        <w:tc>
          <w:tcPr>
            <w:tcW w:w="1500" w:type="dxa"/>
            <w:gridSpan w:val="2"/>
            <w:tcBorders>
              <w:top w:val="single" w:sz="2" w:space="0" w:color="auto"/>
              <w:bottom w:val="nil"/>
            </w:tcBorders>
          </w:tcPr>
          <w:p w14:paraId="5F356B0E" w14:textId="4DC079B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58E928" w14:textId="77777777" w:rsidR="006E40C9" w:rsidRDefault="006E40C9">
            <w:pPr>
              <w:pStyle w:val="MeasureTableTextLeftAligned"/>
            </w:pPr>
            <w:r>
              <w:t>B41</w:t>
            </w:r>
          </w:p>
        </w:tc>
      </w:tr>
      <w:tr w:rsidR="006E40C9" w14:paraId="5D54A824" w14:textId="77777777">
        <w:trPr>
          <w:cantSplit/>
          <w:jc w:val="center"/>
        </w:trPr>
        <w:tc>
          <w:tcPr>
            <w:tcW w:w="1934" w:type="dxa"/>
            <w:gridSpan w:val="2"/>
            <w:tcBorders>
              <w:top w:val="nil"/>
              <w:bottom w:val="nil"/>
            </w:tcBorders>
          </w:tcPr>
          <w:p w14:paraId="4FA4931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AA9C15" w14:textId="6406AFE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732D893" w14:textId="77777777" w:rsidR="006E40C9" w:rsidRDefault="006E40C9">
            <w:pPr>
              <w:pStyle w:val="MeasureTableTextItalic"/>
            </w:pPr>
          </w:p>
        </w:tc>
        <w:tc>
          <w:tcPr>
            <w:tcW w:w="1124" w:type="dxa"/>
            <w:gridSpan w:val="2"/>
            <w:tcBorders>
              <w:top w:val="nil"/>
              <w:bottom w:val="nil"/>
            </w:tcBorders>
          </w:tcPr>
          <w:p w14:paraId="24AB5E7D" w14:textId="77777777" w:rsidR="006E40C9" w:rsidRDefault="006E40C9">
            <w:pPr>
              <w:pStyle w:val="MeasureTableTextLeftAligned"/>
            </w:pPr>
          </w:p>
        </w:tc>
      </w:tr>
      <w:tr w:rsidR="006E40C9" w14:paraId="65F3AA1C" w14:textId="77777777">
        <w:trPr>
          <w:cantSplit/>
          <w:jc w:val="center"/>
        </w:trPr>
        <w:tc>
          <w:tcPr>
            <w:tcW w:w="1934" w:type="dxa"/>
            <w:gridSpan w:val="2"/>
            <w:tcBorders>
              <w:top w:val="nil"/>
              <w:bottom w:val="nil"/>
            </w:tcBorders>
          </w:tcPr>
          <w:p w14:paraId="13C358E7" w14:textId="77777777" w:rsidR="006E40C9" w:rsidRDefault="006E40C9">
            <w:pPr>
              <w:pStyle w:val="MeasureTableTextItalic"/>
            </w:pPr>
            <w:r>
              <w:t>Commencement date:</w:t>
            </w:r>
          </w:p>
        </w:tc>
        <w:tc>
          <w:tcPr>
            <w:tcW w:w="3179" w:type="dxa"/>
            <w:gridSpan w:val="4"/>
            <w:tcBorders>
              <w:top w:val="nil"/>
              <w:bottom w:val="nil"/>
            </w:tcBorders>
          </w:tcPr>
          <w:p w14:paraId="48365801" w14:textId="77777777" w:rsidR="006E40C9" w:rsidRDefault="006E40C9">
            <w:pPr>
              <w:pStyle w:val="MeasureTableTextLeftAligned"/>
            </w:pPr>
            <w:r>
              <w:t>1 April 2010</w:t>
            </w:r>
          </w:p>
        </w:tc>
        <w:tc>
          <w:tcPr>
            <w:tcW w:w="1500" w:type="dxa"/>
            <w:gridSpan w:val="2"/>
            <w:tcBorders>
              <w:top w:val="nil"/>
              <w:bottom w:val="nil"/>
            </w:tcBorders>
          </w:tcPr>
          <w:p w14:paraId="67DB0025" w14:textId="77777777" w:rsidR="006E40C9" w:rsidRPr="00F32057" w:rsidRDefault="006E40C9">
            <w:pPr>
              <w:pStyle w:val="MeasureTableTextItalic"/>
            </w:pPr>
            <w:r>
              <w:t>Expiry date:</w:t>
            </w:r>
          </w:p>
        </w:tc>
        <w:tc>
          <w:tcPr>
            <w:tcW w:w="1124" w:type="dxa"/>
            <w:gridSpan w:val="2"/>
            <w:tcBorders>
              <w:top w:val="nil"/>
              <w:bottom w:val="nil"/>
            </w:tcBorders>
          </w:tcPr>
          <w:p w14:paraId="57A166DA" w14:textId="77777777" w:rsidR="006E40C9" w:rsidRPr="00F32057" w:rsidRDefault="006E40C9">
            <w:pPr>
              <w:pStyle w:val="MeasureTableTextLeftAligned"/>
            </w:pPr>
          </w:p>
        </w:tc>
      </w:tr>
      <w:tr w:rsidR="006E40C9" w14:paraId="3309A13B" w14:textId="77777777">
        <w:trPr>
          <w:cantSplit/>
          <w:jc w:val="center"/>
        </w:trPr>
        <w:tc>
          <w:tcPr>
            <w:tcW w:w="1934" w:type="dxa"/>
            <w:gridSpan w:val="2"/>
            <w:tcBorders>
              <w:top w:val="nil"/>
            </w:tcBorders>
          </w:tcPr>
          <w:p w14:paraId="4FD1EA1C" w14:textId="77777777" w:rsidR="006E40C9" w:rsidRDefault="006E40C9">
            <w:pPr>
              <w:pStyle w:val="MeasureTableTextItalic"/>
            </w:pPr>
            <w:r>
              <w:t>Legislative reference:</w:t>
            </w:r>
          </w:p>
        </w:tc>
        <w:tc>
          <w:tcPr>
            <w:tcW w:w="5803" w:type="dxa"/>
            <w:gridSpan w:val="8"/>
            <w:tcBorders>
              <w:top w:val="nil"/>
            </w:tcBorders>
          </w:tcPr>
          <w:p w14:paraId="430F0A44"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59-65 to 59-80 of the </w:t>
            </w:r>
            <w:r>
              <w:rPr>
                <w:rFonts w:ascii="Arial" w:hAnsi="Arial" w:cs="Arial"/>
                <w:i/>
                <w:iCs/>
                <w:color w:val="000000"/>
                <w:sz w:val="16"/>
                <w:szCs w:val="16"/>
              </w:rPr>
              <w:t>Income Tax Assessment Act 1997</w:t>
            </w:r>
          </w:p>
        </w:tc>
      </w:tr>
    </w:tbl>
    <w:p w14:paraId="137B15B3" w14:textId="77777777" w:rsidR="006E40C9" w:rsidRPr="00540040" w:rsidRDefault="006E40C9" w:rsidP="006E40C9">
      <w:pPr>
        <w:pStyle w:val="MeasureTableHeading"/>
      </w:pPr>
    </w:p>
    <w:p w14:paraId="73FC2F84" w14:textId="77777777" w:rsidR="006E40C9" w:rsidRDefault="006E40C9" w:rsidP="006E40C9">
      <w:r w:rsidRPr="00A538FA">
        <w:t>Under the benchmark treatment, payments under the Sustainable Rural Water Use and Infrastructure Program would be assessable income, and the associated expenditure deductible or, in cases of capital expenditure, included in the cost base for calculating a capital gain. Taxpayers can instead choose to make payments received under eligible Sustainable Rural Water Use and Infrastructure Program agreements free of income tax (including capital gains tax), with expenditures funded by such payments not being deductible.</w:t>
      </w:r>
    </w:p>
    <w:p w14:paraId="2CB7E3B3" w14:textId="77777777" w:rsidR="006E40C9" w:rsidRDefault="006E40C9" w:rsidP="0003254D">
      <w:pPr>
        <w:pStyle w:val="Heading4"/>
      </w:pPr>
      <w:r>
        <w:t>B42</w:t>
      </w:r>
      <w:r>
        <w:tab/>
        <w:t>Valuation of livestock from natural increase</w:t>
      </w:r>
    </w:p>
    <w:p w14:paraId="25A7108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8C956C" w14:textId="77777777">
        <w:trPr>
          <w:cantSplit/>
          <w:jc w:val="center"/>
        </w:trPr>
        <w:tc>
          <w:tcPr>
            <w:tcW w:w="967" w:type="dxa"/>
            <w:tcBorders>
              <w:top w:val="single" w:sz="2" w:space="0" w:color="auto"/>
              <w:bottom w:val="single" w:sz="2" w:space="0" w:color="auto"/>
            </w:tcBorders>
          </w:tcPr>
          <w:p w14:paraId="15322E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135E46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878A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9DDDBB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43C3A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B641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BEB5A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EFA0B33" w14:textId="77777777" w:rsidR="006E40C9" w:rsidRDefault="006E40C9">
            <w:pPr>
              <w:pStyle w:val="MeasureTableTextRightAligned"/>
            </w:pPr>
            <w:r>
              <w:t>2027-28</w:t>
            </w:r>
          </w:p>
        </w:tc>
      </w:tr>
      <w:tr w:rsidR="006E40C9" w14:paraId="09C290B2" w14:textId="77777777">
        <w:trPr>
          <w:cantSplit/>
          <w:jc w:val="center"/>
        </w:trPr>
        <w:tc>
          <w:tcPr>
            <w:tcW w:w="967" w:type="dxa"/>
            <w:tcBorders>
              <w:top w:val="single" w:sz="2" w:space="0" w:color="auto"/>
              <w:bottom w:val="single" w:sz="2" w:space="0" w:color="auto"/>
            </w:tcBorders>
          </w:tcPr>
          <w:p w14:paraId="714D074E"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1E28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07AF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EB47A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27C5C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DB38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12DB0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6A0158" w14:textId="77777777" w:rsidR="006E40C9" w:rsidRDefault="006E40C9">
            <w:pPr>
              <w:pStyle w:val="MeasureTableTextRightAligned"/>
            </w:pPr>
            <w:r>
              <w:t>*</w:t>
            </w:r>
          </w:p>
        </w:tc>
      </w:tr>
      <w:tr w:rsidR="006E40C9" w14:paraId="3E14EE15" w14:textId="77777777">
        <w:trPr>
          <w:cantSplit/>
          <w:jc w:val="center"/>
        </w:trPr>
        <w:tc>
          <w:tcPr>
            <w:tcW w:w="1934" w:type="dxa"/>
            <w:gridSpan w:val="2"/>
            <w:tcBorders>
              <w:top w:val="single" w:sz="2" w:space="0" w:color="auto"/>
              <w:bottom w:val="nil"/>
            </w:tcBorders>
          </w:tcPr>
          <w:p w14:paraId="0835BCB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961107"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6817EAC5" w14:textId="3B454C9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66E5D" w14:textId="77777777" w:rsidR="006E40C9" w:rsidRDefault="006E40C9">
            <w:pPr>
              <w:pStyle w:val="MeasureTableTextLeftAligned"/>
            </w:pPr>
            <w:r>
              <w:t>B42</w:t>
            </w:r>
          </w:p>
        </w:tc>
      </w:tr>
      <w:tr w:rsidR="006E40C9" w14:paraId="5055BD7E" w14:textId="77777777">
        <w:trPr>
          <w:cantSplit/>
          <w:jc w:val="center"/>
        </w:trPr>
        <w:tc>
          <w:tcPr>
            <w:tcW w:w="1934" w:type="dxa"/>
            <w:gridSpan w:val="2"/>
            <w:tcBorders>
              <w:top w:val="nil"/>
              <w:bottom w:val="nil"/>
            </w:tcBorders>
          </w:tcPr>
          <w:p w14:paraId="43FE5EB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837595" w14:textId="77777777" w:rsidR="006E40C9" w:rsidRPr="00584CA7" w:rsidRDefault="006E40C9">
            <w:pPr>
              <w:pStyle w:val="MeasureTableTextLeftAligned"/>
            </w:pPr>
            <w:r>
              <w:t>Not Applicable</w:t>
            </w:r>
          </w:p>
        </w:tc>
        <w:tc>
          <w:tcPr>
            <w:tcW w:w="1500" w:type="dxa"/>
            <w:gridSpan w:val="2"/>
            <w:tcBorders>
              <w:top w:val="nil"/>
              <w:bottom w:val="nil"/>
            </w:tcBorders>
          </w:tcPr>
          <w:p w14:paraId="1E42A155" w14:textId="77777777" w:rsidR="006E40C9" w:rsidRDefault="006E40C9">
            <w:pPr>
              <w:pStyle w:val="MeasureTableTextItalic"/>
            </w:pPr>
            <w:r>
              <w:t>* Category</w:t>
            </w:r>
          </w:p>
        </w:tc>
        <w:tc>
          <w:tcPr>
            <w:tcW w:w="1124" w:type="dxa"/>
            <w:gridSpan w:val="2"/>
            <w:tcBorders>
              <w:top w:val="nil"/>
              <w:bottom w:val="nil"/>
            </w:tcBorders>
          </w:tcPr>
          <w:p w14:paraId="7D34094D" w14:textId="77777777" w:rsidR="006E40C9" w:rsidRDefault="006E40C9">
            <w:pPr>
              <w:pStyle w:val="MeasureTableTextLeftAligned"/>
            </w:pPr>
            <w:r>
              <w:t>2+</w:t>
            </w:r>
          </w:p>
        </w:tc>
      </w:tr>
      <w:tr w:rsidR="006E40C9" w14:paraId="46E2F71D" w14:textId="77777777">
        <w:trPr>
          <w:cantSplit/>
          <w:jc w:val="center"/>
        </w:trPr>
        <w:tc>
          <w:tcPr>
            <w:tcW w:w="1934" w:type="dxa"/>
            <w:gridSpan w:val="2"/>
            <w:tcBorders>
              <w:top w:val="nil"/>
              <w:bottom w:val="nil"/>
            </w:tcBorders>
          </w:tcPr>
          <w:p w14:paraId="0453619F" w14:textId="77777777" w:rsidR="006E40C9" w:rsidRDefault="006E40C9">
            <w:pPr>
              <w:pStyle w:val="MeasureTableTextItalic"/>
            </w:pPr>
            <w:r>
              <w:t>Commencement date:</w:t>
            </w:r>
          </w:p>
        </w:tc>
        <w:tc>
          <w:tcPr>
            <w:tcW w:w="3179" w:type="dxa"/>
            <w:gridSpan w:val="4"/>
            <w:tcBorders>
              <w:top w:val="nil"/>
              <w:bottom w:val="nil"/>
            </w:tcBorders>
          </w:tcPr>
          <w:p w14:paraId="0DD4B1E2" w14:textId="77777777" w:rsidR="006E40C9" w:rsidRDefault="006E40C9">
            <w:pPr>
              <w:pStyle w:val="MeasureTableTextLeftAligned"/>
            </w:pPr>
            <w:r>
              <w:t>1 July 1997</w:t>
            </w:r>
          </w:p>
        </w:tc>
        <w:tc>
          <w:tcPr>
            <w:tcW w:w="1500" w:type="dxa"/>
            <w:gridSpan w:val="2"/>
            <w:tcBorders>
              <w:top w:val="nil"/>
              <w:bottom w:val="nil"/>
            </w:tcBorders>
          </w:tcPr>
          <w:p w14:paraId="33B8E985" w14:textId="77777777" w:rsidR="006E40C9" w:rsidRPr="00F32057" w:rsidRDefault="006E40C9">
            <w:pPr>
              <w:pStyle w:val="MeasureTableTextItalic"/>
            </w:pPr>
            <w:r>
              <w:t>Expiry date:</w:t>
            </w:r>
          </w:p>
        </w:tc>
        <w:tc>
          <w:tcPr>
            <w:tcW w:w="1124" w:type="dxa"/>
            <w:gridSpan w:val="2"/>
            <w:tcBorders>
              <w:top w:val="nil"/>
              <w:bottom w:val="nil"/>
            </w:tcBorders>
          </w:tcPr>
          <w:p w14:paraId="57E3528E" w14:textId="77777777" w:rsidR="006E40C9" w:rsidRPr="00F32057" w:rsidRDefault="006E40C9">
            <w:pPr>
              <w:pStyle w:val="MeasureTableTextLeftAligned"/>
            </w:pPr>
          </w:p>
        </w:tc>
      </w:tr>
      <w:tr w:rsidR="006E40C9" w14:paraId="29E0DC5D" w14:textId="77777777">
        <w:trPr>
          <w:cantSplit/>
          <w:jc w:val="center"/>
        </w:trPr>
        <w:tc>
          <w:tcPr>
            <w:tcW w:w="1934" w:type="dxa"/>
            <w:gridSpan w:val="2"/>
            <w:tcBorders>
              <w:top w:val="nil"/>
            </w:tcBorders>
          </w:tcPr>
          <w:p w14:paraId="0C2EF219" w14:textId="77777777" w:rsidR="006E40C9" w:rsidRDefault="006E40C9">
            <w:pPr>
              <w:pStyle w:val="MeasureTableTextItalic"/>
            </w:pPr>
            <w:r>
              <w:t>Legislative reference:</w:t>
            </w:r>
          </w:p>
        </w:tc>
        <w:tc>
          <w:tcPr>
            <w:tcW w:w="5803" w:type="dxa"/>
            <w:gridSpan w:val="8"/>
            <w:tcBorders>
              <w:top w:val="nil"/>
            </w:tcBorders>
          </w:tcPr>
          <w:p w14:paraId="000A656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70-55</w:t>
            </w:r>
            <w:r w:rsidRPr="00FC7B3F">
              <w:rPr>
                <w:rFonts w:ascii="Arial" w:hAnsi="Arial" w:cs="Microsoft Sans Serif"/>
                <w:sz w:val="16"/>
                <w:szCs w:val="17"/>
              </w:rPr>
              <w:t xml:space="preserv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32729B41" w14:textId="77777777" w:rsidR="006E40C9" w:rsidRPr="00540040" w:rsidRDefault="006E40C9" w:rsidP="006E40C9">
      <w:pPr>
        <w:pStyle w:val="MeasureTableHeading"/>
      </w:pPr>
    </w:p>
    <w:p w14:paraId="71BAC7F4" w14:textId="77777777" w:rsidR="006E40C9" w:rsidRDefault="006E40C9" w:rsidP="006E40C9">
      <w:r>
        <w:t>Under the benchmark, trading stock would be allocated a closing stock value of either cost, market value or replacement value.</w:t>
      </w:r>
    </w:p>
    <w:p w14:paraId="2595D673" w14:textId="77777777" w:rsidR="006E40C9" w:rsidRDefault="006E40C9" w:rsidP="006E40C9">
      <w:r>
        <w:t>However, the cost of livestock acquired by natural increase may be calculated using the actual cost of the animal or the cost prescribed by regulations for a particular type of animal. The use of the prescribed rate may produce a value different to the benchmark.</w:t>
      </w:r>
      <w:r w:rsidRPr="00262F4F">
        <w:t xml:space="preserve"> </w:t>
      </w:r>
      <w:r>
        <w:fldChar w:fldCharType="begin"/>
      </w:r>
      <w:r>
        <w:instrText xml:space="preserve"> XE "L</w:instrText>
      </w:r>
      <w:r w:rsidRPr="006A6194">
        <w:instrText>ivestock</w:instrText>
      </w:r>
      <w:r>
        <w:instrText xml:space="preserve">" </w:instrText>
      </w:r>
      <w:r>
        <w:fldChar w:fldCharType="end"/>
      </w:r>
      <w:r>
        <w:t xml:space="preserve"> </w:t>
      </w:r>
    </w:p>
    <w:p w14:paraId="0050C888" w14:textId="77777777" w:rsidR="006E40C9" w:rsidRDefault="006E40C9" w:rsidP="0003254D">
      <w:pPr>
        <w:pStyle w:val="Heading3"/>
      </w:pPr>
      <w:r>
        <w:t>Tax expenditures for manufacturing and mining</w:t>
      </w:r>
    </w:p>
    <w:p w14:paraId="3629B936" w14:textId="77777777" w:rsidR="006E40C9" w:rsidRDefault="006E40C9" w:rsidP="0003254D">
      <w:pPr>
        <w:pStyle w:val="Heading4"/>
      </w:pPr>
      <w:r>
        <w:t>B43</w:t>
      </w:r>
      <w:r>
        <w:tab/>
        <w:t>Exemption of the Critical Minerals Production Tax Incentive</w:t>
      </w:r>
    </w:p>
    <w:p w14:paraId="79B3221C"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E8711B6" w14:textId="77777777">
        <w:trPr>
          <w:cantSplit/>
          <w:jc w:val="center"/>
        </w:trPr>
        <w:tc>
          <w:tcPr>
            <w:tcW w:w="967" w:type="dxa"/>
            <w:tcBorders>
              <w:top w:val="single" w:sz="2" w:space="0" w:color="auto"/>
              <w:bottom w:val="single" w:sz="2" w:space="0" w:color="auto"/>
            </w:tcBorders>
          </w:tcPr>
          <w:p w14:paraId="68307E1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61094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ACA32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FB22C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70D9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E587EC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403601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8B63F8" w14:textId="77777777" w:rsidR="006E40C9" w:rsidRDefault="006E40C9">
            <w:pPr>
              <w:pStyle w:val="MeasureTableTextRightAligned"/>
            </w:pPr>
            <w:r>
              <w:t>2027-28</w:t>
            </w:r>
          </w:p>
        </w:tc>
      </w:tr>
      <w:tr w:rsidR="006E40C9" w14:paraId="6AE979B2" w14:textId="77777777">
        <w:trPr>
          <w:cantSplit/>
          <w:jc w:val="center"/>
        </w:trPr>
        <w:tc>
          <w:tcPr>
            <w:tcW w:w="967" w:type="dxa"/>
            <w:tcBorders>
              <w:top w:val="single" w:sz="2" w:space="0" w:color="auto"/>
              <w:bottom w:val="single" w:sz="2" w:space="0" w:color="auto"/>
            </w:tcBorders>
          </w:tcPr>
          <w:p w14:paraId="0EBF4D42"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03A42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D81C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2965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1C133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192B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A49CC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1FCC31" w14:textId="58B8902F" w:rsidR="006E40C9" w:rsidRDefault="00763AB8">
            <w:pPr>
              <w:pStyle w:val="MeasureTableTextRightAligned"/>
            </w:pPr>
            <w:r>
              <w:t>50</w:t>
            </w:r>
          </w:p>
        </w:tc>
      </w:tr>
      <w:tr w:rsidR="006E40C9" w14:paraId="6AA9DA21" w14:textId="77777777">
        <w:trPr>
          <w:cantSplit/>
          <w:jc w:val="center"/>
        </w:trPr>
        <w:tc>
          <w:tcPr>
            <w:tcW w:w="1934" w:type="dxa"/>
            <w:gridSpan w:val="2"/>
            <w:tcBorders>
              <w:top w:val="single" w:sz="2" w:space="0" w:color="auto"/>
              <w:bottom w:val="nil"/>
            </w:tcBorders>
          </w:tcPr>
          <w:p w14:paraId="19EE924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6EAE4B" w14:textId="77777777" w:rsidR="006E40C9" w:rsidRDefault="006E40C9">
            <w:pPr>
              <w:pStyle w:val="MeasureTableTextLeftAligned"/>
            </w:pPr>
            <w:r>
              <w:t>Exemption</w:t>
            </w:r>
          </w:p>
        </w:tc>
        <w:tc>
          <w:tcPr>
            <w:tcW w:w="1500" w:type="dxa"/>
            <w:gridSpan w:val="2"/>
            <w:tcBorders>
              <w:top w:val="single" w:sz="2" w:space="0" w:color="auto"/>
              <w:bottom w:val="nil"/>
            </w:tcBorders>
          </w:tcPr>
          <w:p w14:paraId="612160CA" w14:textId="0690748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8B14CD" w14:textId="77777777" w:rsidR="006E40C9" w:rsidRDefault="006E40C9">
            <w:pPr>
              <w:pStyle w:val="MeasureTableTextLeftAligned"/>
            </w:pPr>
            <w:r>
              <w:t>New</w:t>
            </w:r>
          </w:p>
        </w:tc>
      </w:tr>
      <w:tr w:rsidR="006E40C9" w14:paraId="3CB9714C" w14:textId="77777777">
        <w:trPr>
          <w:cantSplit/>
          <w:jc w:val="center"/>
        </w:trPr>
        <w:tc>
          <w:tcPr>
            <w:tcW w:w="1934" w:type="dxa"/>
            <w:gridSpan w:val="2"/>
            <w:tcBorders>
              <w:top w:val="nil"/>
              <w:bottom w:val="nil"/>
            </w:tcBorders>
          </w:tcPr>
          <w:p w14:paraId="1122262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1DFA1C" w14:textId="77777777" w:rsidR="006E40C9" w:rsidRPr="00584CA7" w:rsidRDefault="006E40C9">
            <w:pPr>
              <w:pStyle w:val="MeasureTableTextLeftAligned"/>
            </w:pPr>
            <w:r>
              <w:t>Low</w:t>
            </w:r>
          </w:p>
        </w:tc>
        <w:tc>
          <w:tcPr>
            <w:tcW w:w="1500" w:type="dxa"/>
            <w:gridSpan w:val="2"/>
            <w:tcBorders>
              <w:top w:val="nil"/>
              <w:bottom w:val="nil"/>
            </w:tcBorders>
          </w:tcPr>
          <w:p w14:paraId="2710E581" w14:textId="77777777" w:rsidR="006E40C9" w:rsidRDefault="006E40C9">
            <w:pPr>
              <w:pStyle w:val="MeasureTableTextItalic"/>
            </w:pPr>
          </w:p>
        </w:tc>
        <w:tc>
          <w:tcPr>
            <w:tcW w:w="1124" w:type="dxa"/>
            <w:gridSpan w:val="2"/>
            <w:tcBorders>
              <w:top w:val="nil"/>
              <w:bottom w:val="nil"/>
            </w:tcBorders>
          </w:tcPr>
          <w:p w14:paraId="4E415DD4" w14:textId="77777777" w:rsidR="006E40C9" w:rsidRDefault="006E40C9">
            <w:pPr>
              <w:pStyle w:val="MeasureTableTextLeftAligned"/>
            </w:pPr>
          </w:p>
        </w:tc>
      </w:tr>
      <w:tr w:rsidR="006E40C9" w14:paraId="117A9CB5" w14:textId="77777777">
        <w:trPr>
          <w:cantSplit/>
          <w:jc w:val="center"/>
        </w:trPr>
        <w:tc>
          <w:tcPr>
            <w:tcW w:w="1934" w:type="dxa"/>
            <w:gridSpan w:val="2"/>
            <w:tcBorders>
              <w:top w:val="nil"/>
              <w:bottom w:val="nil"/>
            </w:tcBorders>
          </w:tcPr>
          <w:p w14:paraId="313C3DF0" w14:textId="77777777" w:rsidR="006E40C9" w:rsidRDefault="006E40C9">
            <w:pPr>
              <w:pStyle w:val="MeasureTableTextItalic"/>
            </w:pPr>
            <w:r>
              <w:t>Commencement date:</w:t>
            </w:r>
          </w:p>
        </w:tc>
        <w:tc>
          <w:tcPr>
            <w:tcW w:w="3179" w:type="dxa"/>
            <w:gridSpan w:val="4"/>
            <w:tcBorders>
              <w:top w:val="nil"/>
              <w:bottom w:val="nil"/>
            </w:tcBorders>
          </w:tcPr>
          <w:p w14:paraId="6F20E50B" w14:textId="77777777" w:rsidR="006E40C9" w:rsidRDefault="006E40C9">
            <w:pPr>
              <w:pStyle w:val="MeasureTableTextLeftAligned"/>
            </w:pPr>
            <w:r>
              <w:t>1 July 2027</w:t>
            </w:r>
          </w:p>
        </w:tc>
        <w:tc>
          <w:tcPr>
            <w:tcW w:w="1500" w:type="dxa"/>
            <w:gridSpan w:val="2"/>
            <w:tcBorders>
              <w:top w:val="nil"/>
              <w:bottom w:val="nil"/>
            </w:tcBorders>
          </w:tcPr>
          <w:p w14:paraId="5BFFD46D" w14:textId="77777777" w:rsidR="006E40C9" w:rsidRPr="00F32057" w:rsidRDefault="006E40C9">
            <w:pPr>
              <w:pStyle w:val="MeasureTableTextItalic"/>
            </w:pPr>
            <w:r>
              <w:t>Expiry date:</w:t>
            </w:r>
          </w:p>
        </w:tc>
        <w:tc>
          <w:tcPr>
            <w:tcW w:w="1124" w:type="dxa"/>
            <w:gridSpan w:val="2"/>
            <w:tcBorders>
              <w:top w:val="nil"/>
              <w:bottom w:val="nil"/>
            </w:tcBorders>
          </w:tcPr>
          <w:p w14:paraId="00853623" w14:textId="77777777" w:rsidR="006E40C9" w:rsidRPr="00F32057" w:rsidRDefault="006E40C9">
            <w:pPr>
              <w:pStyle w:val="MeasureTableTextLeftAligned"/>
            </w:pPr>
            <w:r>
              <w:t>30 June 2040</w:t>
            </w:r>
          </w:p>
        </w:tc>
      </w:tr>
      <w:tr w:rsidR="006E40C9" w14:paraId="3B1CE291" w14:textId="77777777">
        <w:trPr>
          <w:cantSplit/>
          <w:jc w:val="center"/>
        </w:trPr>
        <w:tc>
          <w:tcPr>
            <w:tcW w:w="1934" w:type="dxa"/>
            <w:gridSpan w:val="2"/>
            <w:tcBorders>
              <w:top w:val="nil"/>
            </w:tcBorders>
          </w:tcPr>
          <w:p w14:paraId="27DA83E1" w14:textId="77777777" w:rsidR="006E40C9" w:rsidRDefault="006E40C9">
            <w:pPr>
              <w:pStyle w:val="MeasureTableTextItalic"/>
            </w:pPr>
            <w:r>
              <w:t>Legislative reference:</w:t>
            </w:r>
          </w:p>
        </w:tc>
        <w:tc>
          <w:tcPr>
            <w:tcW w:w="5803" w:type="dxa"/>
            <w:gridSpan w:val="8"/>
            <w:tcBorders>
              <w:top w:val="nil"/>
            </w:tcBorders>
          </w:tcPr>
          <w:p w14:paraId="05020F98"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Not yet legislated</w:t>
            </w:r>
          </w:p>
        </w:tc>
      </w:tr>
    </w:tbl>
    <w:p w14:paraId="5E2CBA8A" w14:textId="77777777" w:rsidR="006E40C9" w:rsidRPr="00540040" w:rsidRDefault="006E40C9" w:rsidP="006E40C9">
      <w:pPr>
        <w:pStyle w:val="MeasureTableHeading"/>
      </w:pPr>
    </w:p>
    <w:p w14:paraId="74FD2AD4" w14:textId="3B0AB49D" w:rsidR="006E40C9" w:rsidRPr="00CA48E5" w:rsidRDefault="006E40C9" w:rsidP="006E40C9">
      <w:r w:rsidRPr="00CA48E5">
        <w:t>Under the benchmark, government payments to taxpayers are generally treated as assessable income and subject to tax. Refundable tax offsets are classified as payments, as the taxpayer may receive a cash refund</w:t>
      </w:r>
      <w:r w:rsidR="00CD14AD" w:rsidRPr="00CD14AD">
        <w:t xml:space="preserve"> </w:t>
      </w:r>
      <w:r w:rsidR="00CD14AD">
        <w:t>depending on their circumstances</w:t>
      </w:r>
      <w:r w:rsidRPr="00CA48E5">
        <w:t xml:space="preserve">. A tax expenditure arises when payments made under a refundable tax offset are exempt from tax. The tax expenditure is calculated as the value of this tax exemption – in the case of companies, the amount of the offset received multiplied by the taxpayer’s corporate tax rate. </w:t>
      </w:r>
    </w:p>
    <w:p w14:paraId="2F60FA08" w14:textId="1B6E6373" w:rsidR="006E40C9" w:rsidRDefault="006E40C9" w:rsidP="006E40C9">
      <w:r w:rsidRPr="00CA48E5">
        <w:t>For income years beginning on or after 1 July 2027 but before 1 July 2040, the Critical Minerals Production Tax Incentive (CMPTI) will provide a refundable tax offset to companies subject to Australian income tax that process critical minerals. The value of the refundable offset is 10 per cent of eligible expenditure for processing and refining any of the 31 minerals published on the Government’s Critical Minerals list (as at 14</w:t>
      </w:r>
      <w:r w:rsidR="00BD4D42">
        <w:t> </w:t>
      </w:r>
      <w:r w:rsidRPr="00CA48E5">
        <w:t>May</w:t>
      </w:r>
      <w:r w:rsidR="00BD4D42">
        <w:t> </w:t>
      </w:r>
      <w:r w:rsidRPr="00CA48E5">
        <w:t>2024) through each eligible facility. Eligible expenditure will exclude the costs of the raw materials, as well as the capital costs of depreciation and financing. Under the CMPTI, if a taxpayer’s income tax liability is reduced to zero, any residual unused refundable tax offset amount can be refunded as cash to the company.</w:t>
      </w:r>
    </w:p>
    <w:p w14:paraId="3664D7DA" w14:textId="77777777" w:rsidR="006E40C9" w:rsidRDefault="006E40C9" w:rsidP="0003254D">
      <w:pPr>
        <w:pStyle w:val="Heading4"/>
      </w:pPr>
      <w:r>
        <w:t>B44</w:t>
      </w:r>
      <w:r>
        <w:tab/>
        <w:t>Exemption of the Hydrogen Production Tax Incentive</w:t>
      </w:r>
    </w:p>
    <w:p w14:paraId="55B9A2F5"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F68D77C" w14:textId="77777777">
        <w:trPr>
          <w:cantSplit/>
          <w:jc w:val="center"/>
        </w:trPr>
        <w:tc>
          <w:tcPr>
            <w:tcW w:w="967" w:type="dxa"/>
            <w:tcBorders>
              <w:top w:val="single" w:sz="2" w:space="0" w:color="auto"/>
              <w:bottom w:val="single" w:sz="2" w:space="0" w:color="auto"/>
            </w:tcBorders>
          </w:tcPr>
          <w:p w14:paraId="4DAD65E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2AFAA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DF9BA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C6464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6DEA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D13F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706D2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180446" w14:textId="77777777" w:rsidR="006E40C9" w:rsidRDefault="006E40C9">
            <w:pPr>
              <w:pStyle w:val="MeasureTableTextRightAligned"/>
            </w:pPr>
            <w:r>
              <w:t>2027-28</w:t>
            </w:r>
          </w:p>
        </w:tc>
      </w:tr>
      <w:tr w:rsidR="006E40C9" w14:paraId="1EA4BEDD" w14:textId="77777777">
        <w:trPr>
          <w:cantSplit/>
          <w:jc w:val="center"/>
        </w:trPr>
        <w:tc>
          <w:tcPr>
            <w:tcW w:w="967" w:type="dxa"/>
            <w:tcBorders>
              <w:top w:val="single" w:sz="2" w:space="0" w:color="auto"/>
              <w:bottom w:val="single" w:sz="2" w:space="0" w:color="auto"/>
            </w:tcBorders>
          </w:tcPr>
          <w:p w14:paraId="141F72A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57E83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7D2D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34262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A969A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7464B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BE3F8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39823DE" w14:textId="77777777" w:rsidR="006E40C9" w:rsidRDefault="006E40C9">
            <w:pPr>
              <w:pStyle w:val="MeasureTableTextRightAligned"/>
            </w:pPr>
            <w:r>
              <w:t>30</w:t>
            </w:r>
          </w:p>
        </w:tc>
      </w:tr>
      <w:tr w:rsidR="006E40C9" w14:paraId="381077FC" w14:textId="77777777">
        <w:trPr>
          <w:cantSplit/>
          <w:jc w:val="center"/>
        </w:trPr>
        <w:tc>
          <w:tcPr>
            <w:tcW w:w="1934" w:type="dxa"/>
            <w:gridSpan w:val="2"/>
            <w:tcBorders>
              <w:top w:val="single" w:sz="2" w:space="0" w:color="auto"/>
              <w:bottom w:val="nil"/>
            </w:tcBorders>
          </w:tcPr>
          <w:p w14:paraId="313AD52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0F8A0A" w14:textId="77777777" w:rsidR="006E40C9" w:rsidRDefault="006E40C9">
            <w:pPr>
              <w:pStyle w:val="MeasureTableTextLeftAligned"/>
            </w:pPr>
            <w:r>
              <w:t>Exemption</w:t>
            </w:r>
          </w:p>
        </w:tc>
        <w:tc>
          <w:tcPr>
            <w:tcW w:w="1500" w:type="dxa"/>
            <w:gridSpan w:val="2"/>
            <w:tcBorders>
              <w:top w:val="single" w:sz="2" w:space="0" w:color="auto"/>
              <w:bottom w:val="nil"/>
            </w:tcBorders>
          </w:tcPr>
          <w:p w14:paraId="242F71CF" w14:textId="39FA739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2DD350" w14:textId="77777777" w:rsidR="006E40C9" w:rsidRDefault="006E40C9">
            <w:pPr>
              <w:pStyle w:val="MeasureTableTextLeftAligned"/>
            </w:pPr>
            <w:r>
              <w:t>New</w:t>
            </w:r>
          </w:p>
        </w:tc>
      </w:tr>
      <w:tr w:rsidR="006E40C9" w14:paraId="201935E8" w14:textId="77777777">
        <w:trPr>
          <w:cantSplit/>
          <w:jc w:val="center"/>
        </w:trPr>
        <w:tc>
          <w:tcPr>
            <w:tcW w:w="1934" w:type="dxa"/>
            <w:gridSpan w:val="2"/>
            <w:tcBorders>
              <w:top w:val="nil"/>
              <w:bottom w:val="nil"/>
            </w:tcBorders>
          </w:tcPr>
          <w:p w14:paraId="6AD7C2C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5944E1" w14:textId="77777777" w:rsidR="006E40C9" w:rsidRPr="00584CA7" w:rsidRDefault="006E40C9">
            <w:pPr>
              <w:pStyle w:val="MeasureTableTextLeftAligned"/>
            </w:pPr>
            <w:r>
              <w:t>Low</w:t>
            </w:r>
          </w:p>
        </w:tc>
        <w:tc>
          <w:tcPr>
            <w:tcW w:w="1500" w:type="dxa"/>
            <w:gridSpan w:val="2"/>
            <w:tcBorders>
              <w:top w:val="nil"/>
              <w:bottom w:val="nil"/>
            </w:tcBorders>
          </w:tcPr>
          <w:p w14:paraId="65B4693E" w14:textId="77777777" w:rsidR="006E40C9" w:rsidRDefault="006E40C9">
            <w:pPr>
              <w:pStyle w:val="MeasureTableTextItalic"/>
            </w:pPr>
          </w:p>
        </w:tc>
        <w:tc>
          <w:tcPr>
            <w:tcW w:w="1124" w:type="dxa"/>
            <w:gridSpan w:val="2"/>
            <w:tcBorders>
              <w:top w:val="nil"/>
              <w:bottom w:val="nil"/>
            </w:tcBorders>
          </w:tcPr>
          <w:p w14:paraId="553652F4" w14:textId="77777777" w:rsidR="006E40C9" w:rsidRDefault="006E40C9">
            <w:pPr>
              <w:pStyle w:val="MeasureTableTextLeftAligned"/>
            </w:pPr>
          </w:p>
        </w:tc>
      </w:tr>
      <w:tr w:rsidR="006E40C9" w14:paraId="60DF4E78" w14:textId="77777777">
        <w:trPr>
          <w:cantSplit/>
          <w:jc w:val="center"/>
        </w:trPr>
        <w:tc>
          <w:tcPr>
            <w:tcW w:w="1934" w:type="dxa"/>
            <w:gridSpan w:val="2"/>
            <w:tcBorders>
              <w:top w:val="nil"/>
              <w:bottom w:val="nil"/>
            </w:tcBorders>
          </w:tcPr>
          <w:p w14:paraId="0235C1E7" w14:textId="77777777" w:rsidR="006E40C9" w:rsidRDefault="006E40C9">
            <w:pPr>
              <w:pStyle w:val="MeasureTableTextItalic"/>
            </w:pPr>
            <w:r>
              <w:t>Commencement date:</w:t>
            </w:r>
          </w:p>
        </w:tc>
        <w:tc>
          <w:tcPr>
            <w:tcW w:w="3179" w:type="dxa"/>
            <w:gridSpan w:val="4"/>
            <w:tcBorders>
              <w:top w:val="nil"/>
              <w:bottom w:val="nil"/>
            </w:tcBorders>
          </w:tcPr>
          <w:p w14:paraId="635C6C5E" w14:textId="77777777" w:rsidR="006E40C9" w:rsidRDefault="006E40C9">
            <w:pPr>
              <w:pStyle w:val="MeasureTableTextLeftAligned"/>
            </w:pPr>
            <w:r>
              <w:t>1 July 2027</w:t>
            </w:r>
          </w:p>
        </w:tc>
        <w:tc>
          <w:tcPr>
            <w:tcW w:w="1500" w:type="dxa"/>
            <w:gridSpan w:val="2"/>
            <w:tcBorders>
              <w:top w:val="nil"/>
              <w:bottom w:val="nil"/>
            </w:tcBorders>
          </w:tcPr>
          <w:p w14:paraId="6BB64DDB" w14:textId="77777777" w:rsidR="006E40C9" w:rsidRPr="00F32057" w:rsidRDefault="006E40C9">
            <w:pPr>
              <w:pStyle w:val="MeasureTableTextItalic"/>
            </w:pPr>
            <w:r>
              <w:t>Expiry date:</w:t>
            </w:r>
          </w:p>
        </w:tc>
        <w:tc>
          <w:tcPr>
            <w:tcW w:w="1124" w:type="dxa"/>
            <w:gridSpan w:val="2"/>
            <w:tcBorders>
              <w:top w:val="nil"/>
              <w:bottom w:val="nil"/>
            </w:tcBorders>
          </w:tcPr>
          <w:p w14:paraId="4BD5B721" w14:textId="77777777" w:rsidR="006E40C9" w:rsidRPr="00F32057" w:rsidRDefault="006E40C9">
            <w:pPr>
              <w:pStyle w:val="MeasureTableTextLeftAligned"/>
            </w:pPr>
            <w:r>
              <w:t>30 June 2040</w:t>
            </w:r>
          </w:p>
        </w:tc>
      </w:tr>
      <w:tr w:rsidR="006E40C9" w14:paraId="4B03327F" w14:textId="77777777">
        <w:trPr>
          <w:cantSplit/>
          <w:jc w:val="center"/>
        </w:trPr>
        <w:tc>
          <w:tcPr>
            <w:tcW w:w="1934" w:type="dxa"/>
            <w:gridSpan w:val="2"/>
            <w:tcBorders>
              <w:top w:val="nil"/>
            </w:tcBorders>
          </w:tcPr>
          <w:p w14:paraId="71D2377E" w14:textId="77777777" w:rsidR="006E40C9" w:rsidRDefault="006E40C9">
            <w:pPr>
              <w:pStyle w:val="MeasureTableTextItalic"/>
            </w:pPr>
            <w:r>
              <w:t>Legislative reference:</w:t>
            </w:r>
          </w:p>
        </w:tc>
        <w:tc>
          <w:tcPr>
            <w:tcW w:w="5803" w:type="dxa"/>
            <w:gridSpan w:val="8"/>
            <w:tcBorders>
              <w:top w:val="nil"/>
            </w:tcBorders>
          </w:tcPr>
          <w:p w14:paraId="28A7DE2D"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Not yet legislated</w:t>
            </w:r>
          </w:p>
        </w:tc>
      </w:tr>
    </w:tbl>
    <w:p w14:paraId="54B51D49" w14:textId="77777777" w:rsidR="006E40C9" w:rsidRPr="00540040" w:rsidRDefault="006E40C9" w:rsidP="006E40C9">
      <w:pPr>
        <w:pStyle w:val="MeasureTableHeading"/>
      </w:pPr>
    </w:p>
    <w:p w14:paraId="4331499E" w14:textId="6ED7FD05" w:rsidR="006E40C9" w:rsidRDefault="006E40C9" w:rsidP="006E40C9">
      <w:r>
        <w:t>Under the benchmark, government payments to taxpayers are generally treated as assessable income and subject to tax. Refundable tax offsets are classified as payments, as the taxpayer may receive a cash refund</w:t>
      </w:r>
      <w:r w:rsidR="001C1EBD">
        <w:t xml:space="preserve"> depending on their circumstances</w:t>
      </w:r>
      <w:r>
        <w:t xml:space="preserve">. A tax expenditure arises when payments made under a refundable tax offset are exempt from tax. The tax expenditure is calculated as the value of this tax exemption – in the case of companies, the amount of the offset received multiplied by the taxpayer’s corporate income tax rate. </w:t>
      </w:r>
    </w:p>
    <w:p w14:paraId="54E212E8" w14:textId="77777777" w:rsidR="006E40C9" w:rsidRDefault="006E40C9" w:rsidP="006E40C9">
      <w:r>
        <w:t>For income years beginning on or after 1 July 2027 but before 1 July 2040, the Hydrogen Production Tax Incentive (HPTI) will provide a refundable tax offset to companies subject to Australian income tax that produce hydrogen under an eligible production profile registered with the Guarantee of Origin Scheme. The value of the refundable offset is $2 for each kilogram of eligible hydrogen produced below the specified emissions intensity criteria. Under the HPTI, if a taxpayer’s income tax liability is reduced to zero, any residual unused refundable tax offset amount can be refunded as cash to the company.</w:t>
      </w:r>
    </w:p>
    <w:p w14:paraId="7FFC2652" w14:textId="77777777" w:rsidR="006E40C9" w:rsidRDefault="006E40C9" w:rsidP="0003254D">
      <w:pPr>
        <w:pStyle w:val="Heading3"/>
      </w:pPr>
      <w:r>
        <w:t>Tax expenditures for transport and communications</w:t>
      </w:r>
    </w:p>
    <w:p w14:paraId="0757020B" w14:textId="77777777" w:rsidR="006E40C9" w:rsidRDefault="006E40C9" w:rsidP="0003254D">
      <w:pPr>
        <w:pStyle w:val="Heading4"/>
      </w:pPr>
      <w:r>
        <w:t>B45</w:t>
      </w:r>
      <w:r>
        <w:tab/>
        <w:t>Denial of depreciation deduction for car value above the car limit</w:t>
      </w:r>
    </w:p>
    <w:p w14:paraId="2FF602FD"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E4F62B" w14:textId="77777777">
        <w:trPr>
          <w:cantSplit/>
          <w:jc w:val="center"/>
        </w:trPr>
        <w:tc>
          <w:tcPr>
            <w:tcW w:w="967" w:type="dxa"/>
            <w:tcBorders>
              <w:top w:val="single" w:sz="2" w:space="0" w:color="auto"/>
              <w:bottom w:val="single" w:sz="2" w:space="0" w:color="auto"/>
            </w:tcBorders>
          </w:tcPr>
          <w:p w14:paraId="0BDD77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2E2BE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58385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76CE4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D558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B51D1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29823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76A000" w14:textId="77777777" w:rsidR="006E40C9" w:rsidRDefault="006E40C9">
            <w:pPr>
              <w:pStyle w:val="MeasureTableTextRightAligned"/>
            </w:pPr>
            <w:r>
              <w:t>2027-28</w:t>
            </w:r>
          </w:p>
        </w:tc>
      </w:tr>
      <w:tr w:rsidR="006E40C9" w14:paraId="6FF08619" w14:textId="77777777">
        <w:trPr>
          <w:cantSplit/>
          <w:jc w:val="center"/>
        </w:trPr>
        <w:tc>
          <w:tcPr>
            <w:tcW w:w="967" w:type="dxa"/>
            <w:tcBorders>
              <w:top w:val="single" w:sz="2" w:space="0" w:color="auto"/>
              <w:bottom w:val="single" w:sz="2" w:space="0" w:color="auto"/>
            </w:tcBorders>
          </w:tcPr>
          <w:p w14:paraId="7BC4A51C" w14:textId="77777777" w:rsidR="006E40C9" w:rsidRDefault="006E40C9">
            <w:pPr>
              <w:pStyle w:val="MeasureTableTextRightAligned"/>
            </w:pPr>
            <w:r>
              <w:t>-150</w:t>
            </w:r>
          </w:p>
        </w:tc>
        <w:tc>
          <w:tcPr>
            <w:tcW w:w="967" w:type="dxa"/>
            <w:tcBorders>
              <w:top w:val="single" w:sz="2" w:space="0" w:color="auto"/>
              <w:bottom w:val="single" w:sz="2" w:space="0" w:color="auto"/>
            </w:tcBorders>
          </w:tcPr>
          <w:p w14:paraId="41FF2D0A"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756FBADC"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5A608F25" w14:textId="77777777" w:rsidR="006E40C9" w:rsidRDefault="006E40C9">
            <w:pPr>
              <w:pStyle w:val="MeasureTableTextRightAligned"/>
            </w:pPr>
            <w:r>
              <w:t>-230</w:t>
            </w:r>
          </w:p>
        </w:tc>
        <w:tc>
          <w:tcPr>
            <w:tcW w:w="967" w:type="dxa"/>
            <w:tcBorders>
              <w:top w:val="single" w:sz="2" w:space="0" w:color="auto"/>
              <w:bottom w:val="single" w:sz="2" w:space="0" w:color="auto"/>
            </w:tcBorders>
            <w:vAlign w:val="bottom"/>
          </w:tcPr>
          <w:p w14:paraId="456056C8"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1BEE166B"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17DEBF98" w14:textId="77777777" w:rsidR="006E40C9" w:rsidRDefault="006E40C9">
            <w:pPr>
              <w:pStyle w:val="MeasureTableTextRightAligned"/>
            </w:pPr>
            <w:r>
              <w:t>-280</w:t>
            </w:r>
          </w:p>
        </w:tc>
        <w:tc>
          <w:tcPr>
            <w:tcW w:w="968" w:type="dxa"/>
            <w:tcBorders>
              <w:top w:val="single" w:sz="2" w:space="0" w:color="auto"/>
              <w:bottom w:val="single" w:sz="2" w:space="0" w:color="auto"/>
            </w:tcBorders>
            <w:vAlign w:val="bottom"/>
          </w:tcPr>
          <w:p w14:paraId="5768F0F3" w14:textId="77777777" w:rsidR="006E40C9" w:rsidRDefault="006E40C9">
            <w:pPr>
              <w:pStyle w:val="MeasureTableTextRightAligned"/>
            </w:pPr>
            <w:r>
              <w:t>-300</w:t>
            </w:r>
          </w:p>
        </w:tc>
      </w:tr>
      <w:tr w:rsidR="006E40C9" w14:paraId="735F409E" w14:textId="77777777">
        <w:trPr>
          <w:cantSplit/>
          <w:jc w:val="center"/>
        </w:trPr>
        <w:tc>
          <w:tcPr>
            <w:tcW w:w="1934" w:type="dxa"/>
            <w:gridSpan w:val="2"/>
            <w:tcBorders>
              <w:top w:val="single" w:sz="2" w:space="0" w:color="auto"/>
              <w:bottom w:val="nil"/>
            </w:tcBorders>
          </w:tcPr>
          <w:p w14:paraId="7955558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BF2456"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14E1E0AB" w14:textId="018A876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74C967" w14:textId="77777777" w:rsidR="006E40C9" w:rsidRDefault="006E40C9">
            <w:pPr>
              <w:pStyle w:val="MeasureTableTextLeftAligned"/>
            </w:pPr>
            <w:r>
              <w:t>B43</w:t>
            </w:r>
          </w:p>
        </w:tc>
      </w:tr>
      <w:tr w:rsidR="006E40C9" w14:paraId="24384F23" w14:textId="77777777">
        <w:trPr>
          <w:cantSplit/>
          <w:jc w:val="center"/>
        </w:trPr>
        <w:tc>
          <w:tcPr>
            <w:tcW w:w="1934" w:type="dxa"/>
            <w:gridSpan w:val="2"/>
            <w:tcBorders>
              <w:top w:val="nil"/>
              <w:bottom w:val="nil"/>
            </w:tcBorders>
          </w:tcPr>
          <w:p w14:paraId="283EE33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F9E7099" w14:textId="77777777" w:rsidR="006E40C9" w:rsidRPr="00584CA7" w:rsidRDefault="006E40C9">
            <w:pPr>
              <w:pStyle w:val="MeasureTableTextLeftAligned"/>
            </w:pPr>
            <w:r>
              <w:t>Low</w:t>
            </w:r>
          </w:p>
        </w:tc>
        <w:tc>
          <w:tcPr>
            <w:tcW w:w="1500" w:type="dxa"/>
            <w:gridSpan w:val="2"/>
            <w:tcBorders>
              <w:top w:val="nil"/>
              <w:bottom w:val="nil"/>
            </w:tcBorders>
          </w:tcPr>
          <w:p w14:paraId="4C524DFC" w14:textId="77777777" w:rsidR="006E40C9" w:rsidRDefault="006E40C9">
            <w:pPr>
              <w:pStyle w:val="MeasureTableTextItalic"/>
            </w:pPr>
          </w:p>
        </w:tc>
        <w:tc>
          <w:tcPr>
            <w:tcW w:w="1124" w:type="dxa"/>
            <w:gridSpan w:val="2"/>
            <w:tcBorders>
              <w:top w:val="nil"/>
              <w:bottom w:val="nil"/>
            </w:tcBorders>
          </w:tcPr>
          <w:p w14:paraId="0C86A36D" w14:textId="77777777" w:rsidR="006E40C9" w:rsidRDefault="006E40C9">
            <w:pPr>
              <w:pStyle w:val="MeasureTableTextLeftAligned"/>
            </w:pPr>
          </w:p>
        </w:tc>
      </w:tr>
      <w:tr w:rsidR="006E40C9" w14:paraId="6CB1C2C9" w14:textId="77777777">
        <w:trPr>
          <w:cantSplit/>
          <w:jc w:val="center"/>
        </w:trPr>
        <w:tc>
          <w:tcPr>
            <w:tcW w:w="1934" w:type="dxa"/>
            <w:gridSpan w:val="2"/>
            <w:tcBorders>
              <w:top w:val="nil"/>
              <w:bottom w:val="nil"/>
            </w:tcBorders>
          </w:tcPr>
          <w:p w14:paraId="1F40B095" w14:textId="77777777" w:rsidR="006E40C9" w:rsidRDefault="006E40C9">
            <w:pPr>
              <w:pStyle w:val="MeasureTableTextItalic"/>
            </w:pPr>
            <w:r>
              <w:t>Commencement date:</w:t>
            </w:r>
          </w:p>
        </w:tc>
        <w:tc>
          <w:tcPr>
            <w:tcW w:w="3179" w:type="dxa"/>
            <w:gridSpan w:val="4"/>
            <w:tcBorders>
              <w:top w:val="nil"/>
              <w:bottom w:val="nil"/>
            </w:tcBorders>
          </w:tcPr>
          <w:p w14:paraId="0FC306D1" w14:textId="77777777" w:rsidR="006E40C9" w:rsidRDefault="006E40C9">
            <w:pPr>
              <w:pStyle w:val="MeasureTableTextLeftAligned"/>
            </w:pPr>
            <w:r>
              <w:t>1 July 2001</w:t>
            </w:r>
          </w:p>
        </w:tc>
        <w:tc>
          <w:tcPr>
            <w:tcW w:w="1500" w:type="dxa"/>
            <w:gridSpan w:val="2"/>
            <w:tcBorders>
              <w:top w:val="nil"/>
              <w:bottom w:val="nil"/>
            </w:tcBorders>
          </w:tcPr>
          <w:p w14:paraId="47E94CBA" w14:textId="77777777" w:rsidR="006E40C9" w:rsidRPr="00F32057" w:rsidRDefault="006E40C9">
            <w:pPr>
              <w:pStyle w:val="MeasureTableTextItalic"/>
            </w:pPr>
            <w:r>
              <w:t>Expiry date:</w:t>
            </w:r>
          </w:p>
        </w:tc>
        <w:tc>
          <w:tcPr>
            <w:tcW w:w="1124" w:type="dxa"/>
            <w:gridSpan w:val="2"/>
            <w:tcBorders>
              <w:top w:val="nil"/>
              <w:bottom w:val="nil"/>
            </w:tcBorders>
          </w:tcPr>
          <w:p w14:paraId="5C315C60" w14:textId="77777777" w:rsidR="006E40C9" w:rsidRPr="00F32057" w:rsidRDefault="006E40C9">
            <w:pPr>
              <w:pStyle w:val="MeasureTableTextLeftAligned"/>
            </w:pPr>
          </w:p>
        </w:tc>
      </w:tr>
      <w:tr w:rsidR="006E40C9" w14:paraId="600C458D" w14:textId="77777777">
        <w:trPr>
          <w:cantSplit/>
          <w:jc w:val="center"/>
        </w:trPr>
        <w:tc>
          <w:tcPr>
            <w:tcW w:w="1934" w:type="dxa"/>
            <w:gridSpan w:val="2"/>
            <w:tcBorders>
              <w:top w:val="nil"/>
            </w:tcBorders>
          </w:tcPr>
          <w:p w14:paraId="7A8A9925" w14:textId="77777777" w:rsidR="006E40C9" w:rsidRDefault="006E40C9">
            <w:pPr>
              <w:pStyle w:val="MeasureTableTextItalic"/>
            </w:pPr>
            <w:r>
              <w:t>Legislative reference:</w:t>
            </w:r>
          </w:p>
        </w:tc>
        <w:tc>
          <w:tcPr>
            <w:tcW w:w="5803" w:type="dxa"/>
            <w:gridSpan w:val="8"/>
            <w:tcBorders>
              <w:top w:val="nil"/>
            </w:tcBorders>
          </w:tcPr>
          <w:p w14:paraId="322211A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40-230 of the </w:t>
            </w:r>
            <w:r>
              <w:rPr>
                <w:rFonts w:ascii="Arial" w:hAnsi="Arial" w:cs="Arial"/>
                <w:i/>
                <w:iCs/>
                <w:color w:val="000000"/>
                <w:sz w:val="16"/>
                <w:szCs w:val="16"/>
              </w:rPr>
              <w:t>Income Tax Assessment Act 1997</w:t>
            </w:r>
          </w:p>
        </w:tc>
      </w:tr>
    </w:tbl>
    <w:p w14:paraId="51D52529" w14:textId="77777777" w:rsidR="006E40C9" w:rsidRPr="00540040" w:rsidRDefault="006E40C9" w:rsidP="006E40C9">
      <w:pPr>
        <w:pStyle w:val="MeasureTableHeading"/>
      </w:pPr>
    </w:p>
    <w:p w14:paraId="78FF8828" w14:textId="77777777" w:rsidR="006E40C9" w:rsidRDefault="006E40C9" w:rsidP="006E40C9">
      <w:r>
        <w:t>The benchmark treatment is that the full value of a car used for income</w:t>
      </w:r>
      <w:r>
        <w:noBreakHyphen/>
        <w:t>producing purposes should be depreciated. However, if the value of a car used for income</w:t>
      </w:r>
      <w:r>
        <w:noBreakHyphen/>
        <w:t>producing purposes exceeds a certain amount (‘car limit’), the amount of depreciation deductions that can be claimed is capped at the ‘car limit’.</w:t>
      </w:r>
      <w:r w:rsidDel="00664CED">
        <w:t xml:space="preserve"> </w:t>
      </w:r>
      <w:r>
        <w:fldChar w:fldCharType="begin"/>
      </w:r>
      <w:r>
        <w:instrText xml:space="preserve"> XE "</w:instrText>
      </w:r>
      <w:r w:rsidRPr="009B1031">
        <w:instrText>Depreciation deductions</w:instrText>
      </w:r>
      <w:r>
        <w:instrText>:C</w:instrText>
      </w:r>
      <w:r w:rsidRPr="009B1031">
        <w:instrText>ar value</w:instrText>
      </w:r>
      <w:r>
        <w:instrText xml:space="preserve">" </w:instrText>
      </w:r>
      <w:r>
        <w:fldChar w:fldCharType="end"/>
      </w:r>
    </w:p>
    <w:p w14:paraId="7E1766CE" w14:textId="77777777" w:rsidR="006E40C9" w:rsidRDefault="006E40C9" w:rsidP="0003254D">
      <w:pPr>
        <w:pStyle w:val="Heading4"/>
      </w:pPr>
      <w:r>
        <w:t>B46</w:t>
      </w:r>
      <w:r>
        <w:tab/>
        <w:t>Shipping – investment incentives</w:t>
      </w:r>
    </w:p>
    <w:p w14:paraId="62CFEBD6"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F4009E" w14:textId="77777777">
        <w:trPr>
          <w:cantSplit/>
          <w:jc w:val="center"/>
        </w:trPr>
        <w:tc>
          <w:tcPr>
            <w:tcW w:w="967" w:type="dxa"/>
            <w:tcBorders>
              <w:top w:val="single" w:sz="2" w:space="0" w:color="auto"/>
              <w:bottom w:val="single" w:sz="2" w:space="0" w:color="auto"/>
            </w:tcBorders>
          </w:tcPr>
          <w:p w14:paraId="5D976C7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5284D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2C137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F2B42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F6682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8058E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3EA69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8A97F2" w14:textId="77777777" w:rsidR="006E40C9" w:rsidRDefault="006E40C9">
            <w:pPr>
              <w:pStyle w:val="MeasureTableTextRightAligned"/>
            </w:pPr>
            <w:r>
              <w:t>2027-28</w:t>
            </w:r>
          </w:p>
        </w:tc>
      </w:tr>
      <w:tr w:rsidR="006E40C9" w14:paraId="7432EDC1" w14:textId="77777777">
        <w:trPr>
          <w:cantSplit/>
          <w:jc w:val="center"/>
        </w:trPr>
        <w:tc>
          <w:tcPr>
            <w:tcW w:w="967" w:type="dxa"/>
            <w:tcBorders>
              <w:top w:val="single" w:sz="2" w:space="0" w:color="auto"/>
              <w:bottom w:val="single" w:sz="2" w:space="0" w:color="auto"/>
            </w:tcBorders>
          </w:tcPr>
          <w:p w14:paraId="44C8A83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0E9C8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AAA4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76CA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52BD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D2BCAA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40B541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1A50EBB" w14:textId="77777777" w:rsidR="006E40C9" w:rsidRDefault="006E40C9">
            <w:pPr>
              <w:pStyle w:val="MeasureTableTextRightAligned"/>
            </w:pPr>
            <w:r>
              <w:t>*</w:t>
            </w:r>
          </w:p>
        </w:tc>
      </w:tr>
      <w:tr w:rsidR="006E40C9" w14:paraId="70293E85" w14:textId="77777777">
        <w:trPr>
          <w:cantSplit/>
          <w:jc w:val="center"/>
        </w:trPr>
        <w:tc>
          <w:tcPr>
            <w:tcW w:w="1934" w:type="dxa"/>
            <w:gridSpan w:val="2"/>
            <w:tcBorders>
              <w:top w:val="single" w:sz="2" w:space="0" w:color="auto"/>
              <w:bottom w:val="nil"/>
            </w:tcBorders>
          </w:tcPr>
          <w:p w14:paraId="60D7EC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96711C" w14:textId="77777777" w:rsidR="006E40C9" w:rsidRDefault="006E40C9">
            <w:pPr>
              <w:pStyle w:val="MeasureTableTextLeftAligned"/>
            </w:pPr>
            <w:r>
              <w:t>Exemption, Accelerated write-off, Deferral</w:t>
            </w:r>
          </w:p>
        </w:tc>
        <w:tc>
          <w:tcPr>
            <w:tcW w:w="1500" w:type="dxa"/>
            <w:gridSpan w:val="2"/>
            <w:tcBorders>
              <w:top w:val="single" w:sz="2" w:space="0" w:color="auto"/>
              <w:bottom w:val="nil"/>
            </w:tcBorders>
          </w:tcPr>
          <w:p w14:paraId="647E12A4" w14:textId="4532FC0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9E04C1" w14:textId="77777777" w:rsidR="006E40C9" w:rsidRDefault="006E40C9">
            <w:pPr>
              <w:pStyle w:val="MeasureTableTextLeftAligned"/>
            </w:pPr>
            <w:r>
              <w:t>B44</w:t>
            </w:r>
          </w:p>
        </w:tc>
      </w:tr>
      <w:tr w:rsidR="006E40C9" w14:paraId="03DE7749" w14:textId="77777777">
        <w:trPr>
          <w:cantSplit/>
          <w:jc w:val="center"/>
        </w:trPr>
        <w:tc>
          <w:tcPr>
            <w:tcW w:w="1934" w:type="dxa"/>
            <w:gridSpan w:val="2"/>
            <w:tcBorders>
              <w:top w:val="nil"/>
              <w:bottom w:val="nil"/>
            </w:tcBorders>
          </w:tcPr>
          <w:p w14:paraId="79506F6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CF6CDC" w14:textId="77777777" w:rsidR="006E40C9" w:rsidRPr="00584CA7" w:rsidRDefault="006E40C9">
            <w:pPr>
              <w:pStyle w:val="MeasureTableTextLeftAligned"/>
            </w:pPr>
            <w:r>
              <w:t>Not Applicable</w:t>
            </w:r>
          </w:p>
        </w:tc>
        <w:tc>
          <w:tcPr>
            <w:tcW w:w="1500" w:type="dxa"/>
            <w:gridSpan w:val="2"/>
            <w:tcBorders>
              <w:top w:val="nil"/>
              <w:bottom w:val="nil"/>
            </w:tcBorders>
          </w:tcPr>
          <w:p w14:paraId="398FF9AE" w14:textId="77777777" w:rsidR="006E40C9" w:rsidRDefault="006E40C9">
            <w:pPr>
              <w:pStyle w:val="MeasureTableTextItalic"/>
            </w:pPr>
            <w:r>
              <w:t>* Category</w:t>
            </w:r>
          </w:p>
        </w:tc>
        <w:tc>
          <w:tcPr>
            <w:tcW w:w="1124" w:type="dxa"/>
            <w:gridSpan w:val="2"/>
            <w:tcBorders>
              <w:top w:val="nil"/>
              <w:bottom w:val="nil"/>
            </w:tcBorders>
          </w:tcPr>
          <w:p w14:paraId="636A662B" w14:textId="77777777" w:rsidR="006E40C9" w:rsidRDefault="006E40C9">
            <w:pPr>
              <w:pStyle w:val="MeasureTableTextLeftAligned"/>
            </w:pPr>
            <w:r>
              <w:t>2+</w:t>
            </w:r>
          </w:p>
        </w:tc>
      </w:tr>
      <w:tr w:rsidR="006E40C9" w14:paraId="0F177403" w14:textId="77777777">
        <w:trPr>
          <w:cantSplit/>
          <w:jc w:val="center"/>
        </w:trPr>
        <w:tc>
          <w:tcPr>
            <w:tcW w:w="1934" w:type="dxa"/>
            <w:gridSpan w:val="2"/>
            <w:tcBorders>
              <w:top w:val="nil"/>
              <w:bottom w:val="nil"/>
            </w:tcBorders>
          </w:tcPr>
          <w:p w14:paraId="0892E212" w14:textId="77777777" w:rsidR="006E40C9" w:rsidRDefault="006E40C9">
            <w:pPr>
              <w:pStyle w:val="MeasureTableTextItalic"/>
            </w:pPr>
            <w:r>
              <w:t>Commencement date:</w:t>
            </w:r>
          </w:p>
        </w:tc>
        <w:tc>
          <w:tcPr>
            <w:tcW w:w="3179" w:type="dxa"/>
            <w:gridSpan w:val="4"/>
            <w:tcBorders>
              <w:top w:val="nil"/>
              <w:bottom w:val="nil"/>
            </w:tcBorders>
          </w:tcPr>
          <w:p w14:paraId="05F78903" w14:textId="77777777" w:rsidR="006E40C9" w:rsidRDefault="006E40C9">
            <w:pPr>
              <w:pStyle w:val="MeasureTableTextLeftAligned"/>
            </w:pPr>
            <w:r>
              <w:t>1 July 2012</w:t>
            </w:r>
          </w:p>
        </w:tc>
        <w:tc>
          <w:tcPr>
            <w:tcW w:w="1500" w:type="dxa"/>
            <w:gridSpan w:val="2"/>
            <w:tcBorders>
              <w:top w:val="nil"/>
              <w:bottom w:val="nil"/>
            </w:tcBorders>
          </w:tcPr>
          <w:p w14:paraId="044FDB9C" w14:textId="77777777" w:rsidR="006E40C9" w:rsidRPr="00F32057" w:rsidRDefault="006E40C9">
            <w:pPr>
              <w:pStyle w:val="MeasureTableTextItalic"/>
            </w:pPr>
            <w:r>
              <w:t>Expiry date:</w:t>
            </w:r>
          </w:p>
        </w:tc>
        <w:tc>
          <w:tcPr>
            <w:tcW w:w="1124" w:type="dxa"/>
            <w:gridSpan w:val="2"/>
            <w:tcBorders>
              <w:top w:val="nil"/>
              <w:bottom w:val="nil"/>
            </w:tcBorders>
          </w:tcPr>
          <w:p w14:paraId="06A8A6E6" w14:textId="77777777" w:rsidR="006E40C9" w:rsidRPr="00F32057" w:rsidRDefault="006E40C9">
            <w:pPr>
              <w:pStyle w:val="MeasureTableTextLeftAligned"/>
            </w:pPr>
          </w:p>
        </w:tc>
      </w:tr>
      <w:tr w:rsidR="006E40C9" w14:paraId="7C1C515C" w14:textId="77777777">
        <w:trPr>
          <w:cantSplit/>
          <w:jc w:val="center"/>
        </w:trPr>
        <w:tc>
          <w:tcPr>
            <w:tcW w:w="1934" w:type="dxa"/>
            <w:gridSpan w:val="2"/>
            <w:tcBorders>
              <w:top w:val="nil"/>
            </w:tcBorders>
          </w:tcPr>
          <w:p w14:paraId="11CA623F" w14:textId="77777777" w:rsidR="006E40C9" w:rsidRDefault="006E40C9">
            <w:pPr>
              <w:pStyle w:val="MeasureTableTextItalic"/>
            </w:pPr>
            <w:r>
              <w:t>Legislative reference:</w:t>
            </w:r>
          </w:p>
        </w:tc>
        <w:tc>
          <w:tcPr>
            <w:tcW w:w="5803" w:type="dxa"/>
            <w:gridSpan w:val="8"/>
            <w:tcBorders>
              <w:top w:val="nil"/>
            </w:tcBorders>
          </w:tcPr>
          <w:p w14:paraId="1C27C57C" w14:textId="77777777" w:rsidR="006E40C9" w:rsidRDefault="006E40C9">
            <w:pPr>
              <w:widowControl w:val="0"/>
              <w:autoSpaceDE w:val="0"/>
              <w:autoSpaceDN w:val="0"/>
              <w:adjustRightInd w:val="0"/>
              <w:spacing w:after="0" w:line="240" w:lineRule="auto"/>
              <w:rPr>
                <w:rFonts w:ascii="Arial" w:hAnsi="Arial" w:cs="Arial"/>
                <w:sz w:val="17"/>
                <w:szCs w:val="17"/>
              </w:rPr>
            </w:pPr>
            <w:r>
              <w:rPr>
                <w:rFonts w:ascii="Arial" w:hAnsi="Arial" w:cs="Arial"/>
                <w:sz w:val="17"/>
                <w:szCs w:val="17"/>
              </w:rPr>
              <w:t>Section 51-100 of the</w:t>
            </w:r>
            <w:r>
              <w:rPr>
                <w:rFonts w:ascii="Arial" w:hAnsi="Arial" w:cs="Arial"/>
                <w:i/>
                <w:iCs/>
                <w:color w:val="000000"/>
                <w:sz w:val="16"/>
                <w:szCs w:val="16"/>
              </w:rPr>
              <w:t xml:space="preserve"> Income Tax Assessment Act 1997</w:t>
            </w:r>
          </w:p>
          <w:p w14:paraId="3CCFDB2C" w14:textId="77777777" w:rsidR="006E40C9" w:rsidRDefault="006E40C9">
            <w:pPr>
              <w:widowControl w:val="0"/>
              <w:autoSpaceDE w:val="0"/>
              <w:autoSpaceDN w:val="0"/>
              <w:adjustRightInd w:val="0"/>
              <w:spacing w:after="0" w:line="240" w:lineRule="auto"/>
              <w:rPr>
                <w:rFonts w:ascii="Arial" w:hAnsi="Arial" w:cs="Arial"/>
                <w:sz w:val="17"/>
                <w:szCs w:val="17"/>
              </w:rPr>
            </w:pPr>
            <w:r>
              <w:rPr>
                <w:rFonts w:ascii="Arial" w:hAnsi="Arial" w:cs="Arial"/>
                <w:sz w:val="17"/>
                <w:szCs w:val="17"/>
              </w:rPr>
              <w:t xml:space="preserve">Subsection 128B(3) of the </w:t>
            </w:r>
            <w:r>
              <w:rPr>
                <w:rFonts w:ascii="Arial" w:hAnsi="Arial" w:cs="Arial"/>
                <w:i/>
                <w:iCs/>
                <w:color w:val="000000"/>
                <w:sz w:val="16"/>
                <w:szCs w:val="16"/>
              </w:rPr>
              <w:t>Income Tax Assessment Act 1936</w:t>
            </w:r>
          </w:p>
          <w:p w14:paraId="0D17F883"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7"/>
                <w:szCs w:val="17"/>
              </w:rPr>
              <w:t xml:space="preserve">Item 10 of the table to subsection 40-102(4) of the </w:t>
            </w:r>
            <w:r>
              <w:rPr>
                <w:rFonts w:ascii="Arial" w:hAnsi="Arial" w:cs="Arial"/>
                <w:i/>
                <w:iCs/>
                <w:color w:val="000000"/>
                <w:sz w:val="16"/>
                <w:szCs w:val="16"/>
              </w:rPr>
              <w:t>Income Tax Assessment Act 1997</w:t>
            </w:r>
          </w:p>
          <w:p w14:paraId="6BA55EAD"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40-362 of the </w:t>
            </w:r>
            <w:r>
              <w:rPr>
                <w:rFonts w:ascii="Arial" w:hAnsi="Arial" w:cs="Arial"/>
                <w:i/>
                <w:iCs/>
                <w:color w:val="000000"/>
                <w:sz w:val="16"/>
                <w:szCs w:val="16"/>
              </w:rPr>
              <w:t>Income Tax Assessment Act 1997</w:t>
            </w:r>
          </w:p>
          <w:p w14:paraId="422E0FA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w:t>
            </w:r>
            <w:r>
              <w:rPr>
                <w:rFonts w:ascii="Arial" w:hAnsi="Arial" w:cs="Arial"/>
                <w:sz w:val="17"/>
                <w:szCs w:val="17"/>
              </w:rPr>
              <w:t xml:space="preserve">ubsection 40-285(5) of the </w:t>
            </w:r>
            <w:r>
              <w:rPr>
                <w:rFonts w:ascii="Arial" w:hAnsi="Arial" w:cs="Arial"/>
                <w:i/>
                <w:iCs/>
                <w:color w:val="000000"/>
                <w:sz w:val="16"/>
                <w:szCs w:val="16"/>
              </w:rPr>
              <w:t>Income Tax Assessment Act 1997</w:t>
            </w:r>
          </w:p>
        </w:tc>
      </w:tr>
    </w:tbl>
    <w:p w14:paraId="656A3DBE" w14:textId="77777777" w:rsidR="006E40C9" w:rsidRPr="00540040" w:rsidRDefault="006E40C9" w:rsidP="006E40C9">
      <w:pPr>
        <w:pStyle w:val="MeasureTableHeading"/>
      </w:pPr>
    </w:p>
    <w:p w14:paraId="37CF7DA9" w14:textId="77777777" w:rsidR="006E40C9" w:rsidRPr="00CA3429" w:rsidRDefault="006E40C9" w:rsidP="006E40C9">
      <w:pPr>
        <w:rPr>
          <w:rFonts w:eastAsia="Calibri"/>
          <w:lang w:eastAsia="en-US"/>
        </w:rPr>
      </w:pPr>
      <w:r w:rsidRPr="00CA3429">
        <w:rPr>
          <w:rFonts w:eastAsia="Calibri"/>
          <w:lang w:eastAsia="en-US"/>
        </w:rPr>
        <w:t>Under the benchmark, vessels are depreciated over their effective lives, shipping income and gains on the sale of vessels are generally assessable, and royalty withholding tax is applicable on payments made for the lease of vessels.</w:t>
      </w:r>
    </w:p>
    <w:p w14:paraId="2E149BDB" w14:textId="1B6A28D3" w:rsidR="006E40C9" w:rsidRDefault="006E40C9" w:rsidP="006E40C9">
      <w:pPr>
        <w:rPr>
          <w:rFonts w:eastAsia="Calibri"/>
          <w:lang w:eastAsia="en-US"/>
        </w:rPr>
      </w:pPr>
      <w:r w:rsidRPr="00CA3429">
        <w:rPr>
          <w:rFonts w:eastAsia="Calibri"/>
          <w:lang w:eastAsia="en-US"/>
        </w:rPr>
        <w:t xml:space="preserve">Tax incentives are provided to encourage investment in the Australian shipping industry and to facilitate Australian competition on international routes. The investment incentives that may be available and which cause a tax </w:t>
      </w:r>
      <w:r>
        <w:rPr>
          <w:rFonts w:eastAsia="Calibri"/>
          <w:lang w:eastAsia="en-US"/>
        </w:rPr>
        <w:t>expenditure</w:t>
      </w:r>
      <w:r w:rsidRPr="00CA3429">
        <w:rPr>
          <w:rFonts w:eastAsia="Calibri"/>
          <w:lang w:eastAsia="en-US"/>
        </w:rPr>
        <w:t xml:space="preserve"> to arise include accelerated depreciation of eligible vessels via a cap of 10 years on the effective life of those vessels, an income tax exemption for ship operators on qualifying shipping income, the deferral of taxation on balancing adjustment amounts on disposal of eligible vessels, roll over relief from income tax on the sale of an eligible vessel, and an exemption from royalty withholding tax for payments made for the lease of eligible vessels.</w:t>
      </w:r>
    </w:p>
    <w:p w14:paraId="67ABE3C4" w14:textId="77777777" w:rsidR="006E40C9" w:rsidRDefault="006E40C9" w:rsidP="0003254D">
      <w:pPr>
        <w:pStyle w:val="Heading4"/>
      </w:pPr>
      <w:r>
        <w:t>B47</w:t>
      </w:r>
      <w:r>
        <w:tab/>
        <w:t>Shipping – refundable tax offset for employers of qualifying Australian seafarers</w:t>
      </w:r>
    </w:p>
    <w:p w14:paraId="484DD3C8"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68941C" w14:textId="77777777">
        <w:trPr>
          <w:cantSplit/>
          <w:jc w:val="center"/>
        </w:trPr>
        <w:tc>
          <w:tcPr>
            <w:tcW w:w="967" w:type="dxa"/>
            <w:tcBorders>
              <w:top w:val="single" w:sz="2" w:space="0" w:color="auto"/>
              <w:bottom w:val="single" w:sz="2" w:space="0" w:color="auto"/>
            </w:tcBorders>
          </w:tcPr>
          <w:p w14:paraId="6CC289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34325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7CB4A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22C7F8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24613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B23D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6E6369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8C84E16" w14:textId="77777777" w:rsidR="006E40C9" w:rsidRDefault="006E40C9">
            <w:pPr>
              <w:pStyle w:val="MeasureTableTextRightAligned"/>
            </w:pPr>
            <w:r>
              <w:t>2027-28</w:t>
            </w:r>
          </w:p>
        </w:tc>
      </w:tr>
      <w:tr w:rsidR="006E40C9" w14:paraId="5F1BF382" w14:textId="77777777">
        <w:trPr>
          <w:cantSplit/>
          <w:jc w:val="center"/>
        </w:trPr>
        <w:tc>
          <w:tcPr>
            <w:tcW w:w="967" w:type="dxa"/>
            <w:tcBorders>
              <w:top w:val="single" w:sz="2" w:space="0" w:color="auto"/>
              <w:bottom w:val="single" w:sz="2" w:space="0" w:color="auto"/>
            </w:tcBorders>
          </w:tcPr>
          <w:p w14:paraId="4206C239" w14:textId="77777777" w:rsidR="006E40C9" w:rsidRDefault="006E40C9">
            <w:pPr>
              <w:pStyle w:val="MeasureTableTextRightAligned"/>
            </w:pPr>
            <w:r>
              <w:t>3</w:t>
            </w:r>
          </w:p>
        </w:tc>
        <w:tc>
          <w:tcPr>
            <w:tcW w:w="967" w:type="dxa"/>
            <w:tcBorders>
              <w:top w:val="single" w:sz="2" w:space="0" w:color="auto"/>
              <w:bottom w:val="single" w:sz="2" w:space="0" w:color="auto"/>
            </w:tcBorders>
          </w:tcPr>
          <w:p w14:paraId="1855EC8F"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3360FA59"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2A70FE5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4BDA8A4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19F6A50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2624AC1F" w14:textId="77777777" w:rsidR="006E40C9" w:rsidRDefault="006E40C9">
            <w:pPr>
              <w:pStyle w:val="MeasureTableTextRightAligned"/>
            </w:pPr>
            <w:r>
              <w:t>3</w:t>
            </w:r>
          </w:p>
        </w:tc>
        <w:tc>
          <w:tcPr>
            <w:tcW w:w="968" w:type="dxa"/>
            <w:tcBorders>
              <w:top w:val="single" w:sz="2" w:space="0" w:color="auto"/>
              <w:bottom w:val="single" w:sz="2" w:space="0" w:color="auto"/>
            </w:tcBorders>
            <w:vAlign w:val="bottom"/>
          </w:tcPr>
          <w:p w14:paraId="67EBE0CC" w14:textId="77777777" w:rsidR="006E40C9" w:rsidRDefault="006E40C9">
            <w:pPr>
              <w:pStyle w:val="MeasureTableTextRightAligned"/>
            </w:pPr>
            <w:r>
              <w:t>3</w:t>
            </w:r>
          </w:p>
        </w:tc>
      </w:tr>
      <w:tr w:rsidR="006E40C9" w14:paraId="78F23791" w14:textId="77777777">
        <w:trPr>
          <w:cantSplit/>
          <w:jc w:val="center"/>
        </w:trPr>
        <w:tc>
          <w:tcPr>
            <w:tcW w:w="1934" w:type="dxa"/>
            <w:gridSpan w:val="2"/>
            <w:tcBorders>
              <w:top w:val="single" w:sz="2" w:space="0" w:color="auto"/>
              <w:bottom w:val="nil"/>
            </w:tcBorders>
          </w:tcPr>
          <w:p w14:paraId="4E59B6A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C17BEF" w14:textId="77777777" w:rsidR="006E40C9" w:rsidRDefault="006E40C9">
            <w:pPr>
              <w:pStyle w:val="MeasureTableTextLeftAligned"/>
            </w:pPr>
            <w:r>
              <w:t>Exemption</w:t>
            </w:r>
          </w:p>
        </w:tc>
        <w:tc>
          <w:tcPr>
            <w:tcW w:w="1500" w:type="dxa"/>
            <w:gridSpan w:val="2"/>
            <w:tcBorders>
              <w:top w:val="single" w:sz="2" w:space="0" w:color="auto"/>
              <w:bottom w:val="nil"/>
            </w:tcBorders>
          </w:tcPr>
          <w:p w14:paraId="33BC7A68" w14:textId="12E347F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B0C7EA" w14:textId="77777777" w:rsidR="006E40C9" w:rsidRDefault="006E40C9">
            <w:pPr>
              <w:pStyle w:val="MeasureTableTextLeftAligned"/>
            </w:pPr>
            <w:r>
              <w:t>B45</w:t>
            </w:r>
          </w:p>
        </w:tc>
      </w:tr>
      <w:tr w:rsidR="006E40C9" w14:paraId="5A66C7B6" w14:textId="77777777">
        <w:trPr>
          <w:cantSplit/>
          <w:jc w:val="center"/>
        </w:trPr>
        <w:tc>
          <w:tcPr>
            <w:tcW w:w="1934" w:type="dxa"/>
            <w:gridSpan w:val="2"/>
            <w:tcBorders>
              <w:top w:val="nil"/>
              <w:bottom w:val="nil"/>
            </w:tcBorders>
          </w:tcPr>
          <w:p w14:paraId="7F4AB48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FC8CCF" w14:textId="2C4086B7"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6B2E573" w14:textId="77777777" w:rsidR="006E40C9" w:rsidRDefault="006E40C9">
            <w:pPr>
              <w:pStyle w:val="MeasureTableTextItalic"/>
            </w:pPr>
          </w:p>
        </w:tc>
        <w:tc>
          <w:tcPr>
            <w:tcW w:w="1124" w:type="dxa"/>
            <w:gridSpan w:val="2"/>
            <w:tcBorders>
              <w:top w:val="nil"/>
              <w:bottom w:val="nil"/>
            </w:tcBorders>
          </w:tcPr>
          <w:p w14:paraId="5819372E" w14:textId="77777777" w:rsidR="006E40C9" w:rsidRDefault="006E40C9">
            <w:pPr>
              <w:pStyle w:val="MeasureTableTextLeftAligned"/>
            </w:pPr>
          </w:p>
        </w:tc>
      </w:tr>
      <w:tr w:rsidR="006E40C9" w14:paraId="5D0EADDB" w14:textId="77777777">
        <w:trPr>
          <w:cantSplit/>
          <w:jc w:val="center"/>
        </w:trPr>
        <w:tc>
          <w:tcPr>
            <w:tcW w:w="1934" w:type="dxa"/>
            <w:gridSpan w:val="2"/>
            <w:tcBorders>
              <w:top w:val="nil"/>
              <w:bottom w:val="nil"/>
            </w:tcBorders>
          </w:tcPr>
          <w:p w14:paraId="34086F74" w14:textId="77777777" w:rsidR="006E40C9" w:rsidRDefault="006E40C9">
            <w:pPr>
              <w:pStyle w:val="MeasureTableTextItalic"/>
            </w:pPr>
            <w:r>
              <w:t>Commencement date:</w:t>
            </w:r>
          </w:p>
        </w:tc>
        <w:tc>
          <w:tcPr>
            <w:tcW w:w="3179" w:type="dxa"/>
            <w:gridSpan w:val="4"/>
            <w:tcBorders>
              <w:top w:val="nil"/>
              <w:bottom w:val="nil"/>
            </w:tcBorders>
          </w:tcPr>
          <w:p w14:paraId="42A882EB" w14:textId="77777777" w:rsidR="006E40C9" w:rsidRDefault="006E40C9">
            <w:pPr>
              <w:pStyle w:val="MeasureTableTextLeftAligned"/>
            </w:pPr>
            <w:r>
              <w:t>1 July 2012</w:t>
            </w:r>
          </w:p>
        </w:tc>
        <w:tc>
          <w:tcPr>
            <w:tcW w:w="1500" w:type="dxa"/>
            <w:gridSpan w:val="2"/>
            <w:tcBorders>
              <w:top w:val="nil"/>
              <w:bottom w:val="nil"/>
            </w:tcBorders>
          </w:tcPr>
          <w:p w14:paraId="55B339AD" w14:textId="77777777" w:rsidR="006E40C9" w:rsidRPr="00F32057" w:rsidRDefault="006E40C9">
            <w:pPr>
              <w:pStyle w:val="MeasureTableTextItalic"/>
            </w:pPr>
            <w:r>
              <w:t>Expiry date:</w:t>
            </w:r>
          </w:p>
        </w:tc>
        <w:tc>
          <w:tcPr>
            <w:tcW w:w="1124" w:type="dxa"/>
            <w:gridSpan w:val="2"/>
            <w:tcBorders>
              <w:top w:val="nil"/>
              <w:bottom w:val="nil"/>
            </w:tcBorders>
          </w:tcPr>
          <w:p w14:paraId="57B8868D" w14:textId="77777777" w:rsidR="006E40C9" w:rsidRPr="00F32057" w:rsidRDefault="006E40C9">
            <w:pPr>
              <w:pStyle w:val="MeasureTableTextLeftAligned"/>
            </w:pPr>
          </w:p>
        </w:tc>
      </w:tr>
      <w:tr w:rsidR="006E40C9" w14:paraId="06CF15E5" w14:textId="77777777">
        <w:trPr>
          <w:cantSplit/>
          <w:jc w:val="center"/>
        </w:trPr>
        <w:tc>
          <w:tcPr>
            <w:tcW w:w="1934" w:type="dxa"/>
            <w:gridSpan w:val="2"/>
            <w:tcBorders>
              <w:top w:val="nil"/>
            </w:tcBorders>
          </w:tcPr>
          <w:p w14:paraId="17309436" w14:textId="77777777" w:rsidR="006E40C9" w:rsidRDefault="006E40C9">
            <w:pPr>
              <w:pStyle w:val="MeasureTableTextItalic"/>
            </w:pPr>
            <w:r>
              <w:t>Legislative reference:</w:t>
            </w:r>
          </w:p>
        </w:tc>
        <w:tc>
          <w:tcPr>
            <w:tcW w:w="5803" w:type="dxa"/>
            <w:gridSpan w:val="8"/>
            <w:tcBorders>
              <w:top w:val="nil"/>
            </w:tcBorders>
          </w:tcPr>
          <w:p w14:paraId="3DB29370"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Subdivision 61-N of the</w:t>
            </w:r>
            <w:r>
              <w:rPr>
                <w:rFonts w:ascii="Arial" w:hAnsi="Arial" w:cs="Arial"/>
                <w:i/>
                <w:iCs/>
                <w:color w:val="000000"/>
                <w:sz w:val="16"/>
                <w:szCs w:val="16"/>
              </w:rPr>
              <w:t xml:space="preserve"> Income Tax Assessment Act 1997</w:t>
            </w:r>
          </w:p>
        </w:tc>
      </w:tr>
    </w:tbl>
    <w:p w14:paraId="51879C60" w14:textId="77777777" w:rsidR="006E40C9" w:rsidRPr="00540040" w:rsidRDefault="006E40C9" w:rsidP="006E40C9">
      <w:pPr>
        <w:pStyle w:val="MeasureTableHeading"/>
      </w:pPr>
    </w:p>
    <w:p w14:paraId="5A86F2D4" w14:textId="77777777" w:rsidR="006E40C9" w:rsidRDefault="006E40C9" w:rsidP="006E40C9">
      <w:pPr>
        <w:rPr>
          <w:rFonts w:eastAsia="Calibri"/>
          <w:lang w:eastAsia="en-US"/>
        </w:rPr>
      </w:pPr>
      <w:r w:rsidRPr="00E9392A">
        <w:rPr>
          <w:rFonts w:eastAsia="Calibri"/>
          <w:lang w:eastAsia="en-US"/>
        </w:rPr>
        <w:t xml:space="preserve">Under the benchmark, government payments to taxpayers are generally treated as assessable income and subject to tax. A tax </w:t>
      </w:r>
      <w:r>
        <w:rPr>
          <w:rFonts w:eastAsia="Calibri"/>
          <w:lang w:eastAsia="en-US"/>
        </w:rPr>
        <w:t>expenditure</w:t>
      </w:r>
      <w:r w:rsidRPr="00E9392A">
        <w:rPr>
          <w:rFonts w:eastAsia="Calibri"/>
          <w:lang w:eastAsia="en-US"/>
        </w:rPr>
        <w:t xml:space="preserve"> arises when payments made under a refundable tax offset are exempt from tax.</w:t>
      </w:r>
    </w:p>
    <w:p w14:paraId="061E94B2" w14:textId="77777777" w:rsidR="006E40C9" w:rsidRDefault="006E40C9" w:rsidP="006E40C9">
      <w:pPr>
        <w:rPr>
          <w:rFonts w:eastAsia="Calibri"/>
          <w:lang w:eastAsia="en-US"/>
        </w:rPr>
      </w:pPr>
      <w:r w:rsidRPr="0025679F">
        <w:rPr>
          <w:rFonts w:eastAsia="Calibri"/>
          <w:lang w:eastAsia="en-US"/>
        </w:rPr>
        <w:t>A refundable tax offset is available to qualifying companies that employ qualifying Australian seafarers</w:t>
      </w:r>
      <w:r w:rsidRPr="0025679F">
        <w:rPr>
          <w:rFonts w:eastAsia="Calibri"/>
          <w:lang w:eastAsia="en-US"/>
        </w:rPr>
        <w:fldChar w:fldCharType="begin"/>
      </w:r>
      <w:r w:rsidRPr="0025679F">
        <w:instrText xml:space="preserve"> XE "Shipping:Seafarers" </w:instrText>
      </w:r>
      <w:r w:rsidRPr="0025679F">
        <w:rPr>
          <w:rFonts w:eastAsia="Calibri"/>
          <w:lang w:eastAsia="en-US"/>
        </w:rPr>
        <w:fldChar w:fldCharType="end"/>
      </w:r>
      <w:r w:rsidRPr="0025679F">
        <w:rPr>
          <w:rFonts w:eastAsia="Calibri"/>
          <w:lang w:eastAsia="en-US"/>
        </w:rPr>
        <w:t>.</w:t>
      </w:r>
      <w:r>
        <w:rPr>
          <w:rFonts w:eastAsia="Calibri"/>
          <w:lang w:eastAsia="en-US"/>
        </w:rPr>
        <w:t xml:space="preserve"> If a taxpayer’s income tax liability is reduced to zero, any residual unused refundable tax offset amount can be refunded as cash to the company.</w:t>
      </w:r>
    </w:p>
    <w:p w14:paraId="5E3B36CC" w14:textId="77777777" w:rsidR="006E40C9" w:rsidRDefault="006E40C9" w:rsidP="0003254D">
      <w:pPr>
        <w:pStyle w:val="Heading4"/>
      </w:pPr>
      <w:r>
        <w:t>B48</w:t>
      </w:r>
      <w:r>
        <w:tab/>
        <w:t>Deductions for boat expenditure</w:t>
      </w:r>
    </w:p>
    <w:p w14:paraId="20B20A8D" w14:textId="4CBBD639"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884DC21" w14:textId="77777777">
        <w:trPr>
          <w:cantSplit/>
          <w:jc w:val="center"/>
        </w:trPr>
        <w:tc>
          <w:tcPr>
            <w:tcW w:w="967" w:type="dxa"/>
            <w:tcBorders>
              <w:top w:val="single" w:sz="2" w:space="0" w:color="auto"/>
              <w:bottom w:val="single" w:sz="2" w:space="0" w:color="auto"/>
            </w:tcBorders>
          </w:tcPr>
          <w:p w14:paraId="694B7F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7712C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318C6F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95EE0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AD9B63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3072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9A62B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CA3CA1" w14:textId="77777777" w:rsidR="006E40C9" w:rsidRDefault="006E40C9">
            <w:pPr>
              <w:pStyle w:val="MeasureTableTextRightAligned"/>
            </w:pPr>
            <w:r>
              <w:t>2027-28</w:t>
            </w:r>
          </w:p>
        </w:tc>
      </w:tr>
      <w:tr w:rsidR="006E40C9" w14:paraId="633A2708" w14:textId="77777777">
        <w:trPr>
          <w:cantSplit/>
          <w:jc w:val="center"/>
        </w:trPr>
        <w:tc>
          <w:tcPr>
            <w:tcW w:w="967" w:type="dxa"/>
            <w:tcBorders>
              <w:top w:val="single" w:sz="2" w:space="0" w:color="auto"/>
              <w:bottom w:val="single" w:sz="2" w:space="0" w:color="auto"/>
            </w:tcBorders>
          </w:tcPr>
          <w:p w14:paraId="1BFDD08E" w14:textId="77777777" w:rsidR="006E40C9" w:rsidRDefault="006E40C9">
            <w:pPr>
              <w:pStyle w:val="MeasureTableTextRightAligned"/>
            </w:pPr>
            <w:r>
              <w:t>*</w:t>
            </w:r>
          </w:p>
        </w:tc>
        <w:tc>
          <w:tcPr>
            <w:tcW w:w="967" w:type="dxa"/>
            <w:tcBorders>
              <w:top w:val="single" w:sz="2" w:space="0" w:color="auto"/>
              <w:bottom w:val="single" w:sz="2" w:space="0" w:color="auto"/>
            </w:tcBorders>
          </w:tcPr>
          <w:p w14:paraId="7336A7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4C6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213F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8F9EB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C9EA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4031D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CC45694" w14:textId="77777777" w:rsidR="006E40C9" w:rsidRDefault="006E40C9">
            <w:pPr>
              <w:pStyle w:val="MeasureTableTextRightAligned"/>
            </w:pPr>
            <w:r>
              <w:t>*</w:t>
            </w:r>
          </w:p>
        </w:tc>
      </w:tr>
      <w:tr w:rsidR="006E40C9" w14:paraId="4CCB97AC" w14:textId="77777777">
        <w:trPr>
          <w:cantSplit/>
          <w:jc w:val="center"/>
        </w:trPr>
        <w:tc>
          <w:tcPr>
            <w:tcW w:w="1934" w:type="dxa"/>
            <w:gridSpan w:val="2"/>
            <w:tcBorders>
              <w:top w:val="single" w:sz="2" w:space="0" w:color="auto"/>
              <w:bottom w:val="nil"/>
            </w:tcBorders>
          </w:tcPr>
          <w:p w14:paraId="48F851B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964DF2E" w14:textId="77777777" w:rsidR="006E40C9" w:rsidRDefault="006E40C9">
            <w:pPr>
              <w:pStyle w:val="MeasureTableTextLeftAligned"/>
            </w:pPr>
            <w:r>
              <w:t>Deduction</w:t>
            </w:r>
          </w:p>
        </w:tc>
        <w:tc>
          <w:tcPr>
            <w:tcW w:w="1500" w:type="dxa"/>
            <w:gridSpan w:val="2"/>
            <w:tcBorders>
              <w:top w:val="single" w:sz="2" w:space="0" w:color="auto"/>
              <w:bottom w:val="nil"/>
            </w:tcBorders>
          </w:tcPr>
          <w:p w14:paraId="2DD2DCE6" w14:textId="0AE92E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D7140B2" w14:textId="77777777" w:rsidR="006E40C9" w:rsidRDefault="006E40C9">
            <w:pPr>
              <w:pStyle w:val="MeasureTableTextLeftAligned"/>
            </w:pPr>
            <w:r>
              <w:t>B46</w:t>
            </w:r>
          </w:p>
        </w:tc>
      </w:tr>
      <w:tr w:rsidR="006E40C9" w14:paraId="06D0FDC8" w14:textId="77777777">
        <w:trPr>
          <w:cantSplit/>
          <w:jc w:val="center"/>
        </w:trPr>
        <w:tc>
          <w:tcPr>
            <w:tcW w:w="1934" w:type="dxa"/>
            <w:gridSpan w:val="2"/>
            <w:tcBorders>
              <w:top w:val="nil"/>
              <w:bottom w:val="nil"/>
            </w:tcBorders>
          </w:tcPr>
          <w:p w14:paraId="3986855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8B71F7E" w14:textId="77777777" w:rsidR="006E40C9" w:rsidRPr="00584CA7" w:rsidRDefault="006E40C9">
            <w:pPr>
              <w:pStyle w:val="MeasureTableTextLeftAligned"/>
            </w:pPr>
            <w:r>
              <w:t>Not Applicable</w:t>
            </w:r>
          </w:p>
        </w:tc>
        <w:tc>
          <w:tcPr>
            <w:tcW w:w="1500" w:type="dxa"/>
            <w:gridSpan w:val="2"/>
            <w:tcBorders>
              <w:top w:val="nil"/>
              <w:bottom w:val="nil"/>
            </w:tcBorders>
          </w:tcPr>
          <w:p w14:paraId="24401565" w14:textId="77777777" w:rsidR="006E40C9" w:rsidRDefault="006E40C9">
            <w:pPr>
              <w:pStyle w:val="MeasureTableTextItalic"/>
            </w:pPr>
            <w:r>
              <w:t>* Category</w:t>
            </w:r>
          </w:p>
        </w:tc>
        <w:tc>
          <w:tcPr>
            <w:tcW w:w="1124" w:type="dxa"/>
            <w:gridSpan w:val="2"/>
            <w:tcBorders>
              <w:top w:val="nil"/>
              <w:bottom w:val="nil"/>
            </w:tcBorders>
          </w:tcPr>
          <w:p w14:paraId="49817777" w14:textId="77777777" w:rsidR="006E40C9" w:rsidRDefault="006E40C9">
            <w:pPr>
              <w:pStyle w:val="MeasureTableTextLeftAligned"/>
            </w:pPr>
            <w:r>
              <w:t>1+</w:t>
            </w:r>
          </w:p>
        </w:tc>
      </w:tr>
      <w:tr w:rsidR="006E40C9" w14:paraId="23F49C11" w14:textId="77777777">
        <w:trPr>
          <w:cantSplit/>
          <w:jc w:val="center"/>
        </w:trPr>
        <w:tc>
          <w:tcPr>
            <w:tcW w:w="1934" w:type="dxa"/>
            <w:gridSpan w:val="2"/>
            <w:tcBorders>
              <w:top w:val="nil"/>
              <w:bottom w:val="nil"/>
            </w:tcBorders>
          </w:tcPr>
          <w:p w14:paraId="1AA48433" w14:textId="77777777" w:rsidR="006E40C9" w:rsidRDefault="006E40C9">
            <w:pPr>
              <w:pStyle w:val="MeasureTableTextItalic"/>
            </w:pPr>
            <w:r>
              <w:t>Commencement date:</w:t>
            </w:r>
          </w:p>
        </w:tc>
        <w:tc>
          <w:tcPr>
            <w:tcW w:w="3179" w:type="dxa"/>
            <w:gridSpan w:val="4"/>
            <w:tcBorders>
              <w:top w:val="nil"/>
              <w:bottom w:val="nil"/>
            </w:tcBorders>
          </w:tcPr>
          <w:p w14:paraId="34706841" w14:textId="77777777" w:rsidR="006E40C9" w:rsidRDefault="006E40C9">
            <w:pPr>
              <w:pStyle w:val="MeasureTableTextLeftAligned"/>
            </w:pPr>
            <w:r>
              <w:t>2007</w:t>
            </w:r>
          </w:p>
        </w:tc>
        <w:tc>
          <w:tcPr>
            <w:tcW w:w="1500" w:type="dxa"/>
            <w:gridSpan w:val="2"/>
            <w:tcBorders>
              <w:top w:val="nil"/>
              <w:bottom w:val="nil"/>
            </w:tcBorders>
          </w:tcPr>
          <w:p w14:paraId="575C4347" w14:textId="77777777" w:rsidR="006E40C9" w:rsidRPr="00F32057" w:rsidRDefault="006E40C9">
            <w:pPr>
              <w:pStyle w:val="MeasureTableTextItalic"/>
            </w:pPr>
            <w:r>
              <w:t>Expiry date:</w:t>
            </w:r>
          </w:p>
        </w:tc>
        <w:tc>
          <w:tcPr>
            <w:tcW w:w="1124" w:type="dxa"/>
            <w:gridSpan w:val="2"/>
            <w:tcBorders>
              <w:top w:val="nil"/>
              <w:bottom w:val="nil"/>
            </w:tcBorders>
          </w:tcPr>
          <w:p w14:paraId="098DE771" w14:textId="77777777" w:rsidR="006E40C9" w:rsidRPr="00F32057" w:rsidRDefault="006E40C9">
            <w:pPr>
              <w:pStyle w:val="MeasureTableTextLeftAligned"/>
            </w:pPr>
          </w:p>
        </w:tc>
      </w:tr>
      <w:tr w:rsidR="006E40C9" w14:paraId="129F3EA7" w14:textId="77777777">
        <w:trPr>
          <w:cantSplit/>
          <w:jc w:val="center"/>
        </w:trPr>
        <w:tc>
          <w:tcPr>
            <w:tcW w:w="1934" w:type="dxa"/>
            <w:gridSpan w:val="2"/>
            <w:tcBorders>
              <w:top w:val="nil"/>
            </w:tcBorders>
          </w:tcPr>
          <w:p w14:paraId="7A13EC9F" w14:textId="77777777" w:rsidR="006E40C9" w:rsidRDefault="006E40C9">
            <w:pPr>
              <w:pStyle w:val="MeasureTableTextItalic"/>
            </w:pPr>
            <w:r>
              <w:t>Legislative reference:</w:t>
            </w:r>
          </w:p>
        </w:tc>
        <w:tc>
          <w:tcPr>
            <w:tcW w:w="5803" w:type="dxa"/>
            <w:gridSpan w:val="8"/>
            <w:tcBorders>
              <w:top w:val="nil"/>
            </w:tcBorders>
          </w:tcPr>
          <w:p w14:paraId="696995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26-47 of the </w:t>
            </w:r>
            <w:r>
              <w:rPr>
                <w:rFonts w:ascii="Arial" w:hAnsi="Arial" w:cs="Arial"/>
                <w:i/>
                <w:iCs/>
                <w:color w:val="000000"/>
                <w:sz w:val="16"/>
                <w:szCs w:val="16"/>
              </w:rPr>
              <w:t>Income Tax Assessment Act 1997</w:t>
            </w:r>
          </w:p>
        </w:tc>
      </w:tr>
    </w:tbl>
    <w:p w14:paraId="0233405F" w14:textId="77777777" w:rsidR="006E40C9" w:rsidRPr="00540040" w:rsidRDefault="006E40C9" w:rsidP="006E40C9">
      <w:pPr>
        <w:pStyle w:val="MeasureTableHeading"/>
      </w:pPr>
    </w:p>
    <w:p w14:paraId="03393CBB" w14:textId="77777777" w:rsidR="006E40C9" w:rsidRDefault="006E40C9" w:rsidP="006E40C9">
      <w:r>
        <w:t xml:space="preserve">Under the benchmark, expenses connected to income earning activity, or a business are generally deductible. However, a tax expenditure arises as taxpayers who cannot demonstrate they are carrying on a business using a boat may only claim deductions for expenses incurred in boating activities </w:t>
      </w:r>
      <w:r>
        <w:fldChar w:fldCharType="begin"/>
      </w:r>
      <w:r>
        <w:instrText xml:space="preserve"> XE "B</w:instrText>
      </w:r>
      <w:r w:rsidRPr="00561C92">
        <w:instrText>oat expenditure</w:instrText>
      </w:r>
      <w:r>
        <w:instrText xml:space="preserve">" </w:instrText>
      </w:r>
      <w:r>
        <w:fldChar w:fldCharType="end"/>
      </w:r>
      <w:r>
        <w:t>up to the level of income generated in that year from their boating activity. These taxpayers can also carry forward any excess deductions from their boating activity and apply them against income from that boating activity in future income years.</w:t>
      </w:r>
    </w:p>
    <w:p w14:paraId="45DB7899" w14:textId="77777777" w:rsidR="006E40C9" w:rsidRDefault="006E40C9" w:rsidP="0003254D">
      <w:pPr>
        <w:pStyle w:val="Heading3"/>
      </w:pPr>
      <w:r>
        <w:t>Tax expenditures for other economic affairs</w:t>
      </w:r>
    </w:p>
    <w:p w14:paraId="0FAE6BEF" w14:textId="77777777" w:rsidR="006E40C9" w:rsidRDefault="006E40C9" w:rsidP="0003254D">
      <w:pPr>
        <w:pStyle w:val="Heading4"/>
      </w:pPr>
      <w:r>
        <w:t>B49</w:t>
      </w:r>
      <w:r>
        <w:tab/>
        <w:t>Digital Games Tax Offset</w:t>
      </w:r>
    </w:p>
    <w:p w14:paraId="316F604E"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D2E9642" w14:textId="77777777">
        <w:trPr>
          <w:cantSplit/>
          <w:jc w:val="center"/>
        </w:trPr>
        <w:tc>
          <w:tcPr>
            <w:tcW w:w="967" w:type="dxa"/>
            <w:tcBorders>
              <w:top w:val="single" w:sz="2" w:space="0" w:color="auto"/>
              <w:bottom w:val="single" w:sz="2" w:space="0" w:color="auto"/>
            </w:tcBorders>
          </w:tcPr>
          <w:p w14:paraId="18CE57D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F0BD1B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378CB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C36B4C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C2FB0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25449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C510C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B2247F1" w14:textId="77777777" w:rsidR="006E40C9" w:rsidRDefault="006E40C9">
            <w:pPr>
              <w:pStyle w:val="MeasureTableTextRightAligned"/>
            </w:pPr>
            <w:r>
              <w:t>2027-28</w:t>
            </w:r>
          </w:p>
        </w:tc>
      </w:tr>
      <w:tr w:rsidR="006E40C9" w14:paraId="786627EB" w14:textId="77777777">
        <w:trPr>
          <w:cantSplit/>
          <w:jc w:val="center"/>
        </w:trPr>
        <w:tc>
          <w:tcPr>
            <w:tcW w:w="967" w:type="dxa"/>
            <w:tcBorders>
              <w:top w:val="single" w:sz="2" w:space="0" w:color="auto"/>
              <w:bottom w:val="single" w:sz="2" w:space="0" w:color="auto"/>
            </w:tcBorders>
          </w:tcPr>
          <w:p w14:paraId="3F47342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9A95FC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CCA0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27BA01"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49176BB0"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228B290A" w14:textId="77777777" w:rsidR="006E40C9" w:rsidRDefault="006E40C9">
            <w:pPr>
              <w:pStyle w:val="MeasureTableTextRightAligned"/>
            </w:pPr>
            <w:r>
              <w:t>10</w:t>
            </w:r>
          </w:p>
        </w:tc>
        <w:tc>
          <w:tcPr>
            <w:tcW w:w="967" w:type="dxa"/>
            <w:gridSpan w:val="2"/>
            <w:tcBorders>
              <w:top w:val="single" w:sz="2" w:space="0" w:color="auto"/>
              <w:bottom w:val="single" w:sz="2" w:space="0" w:color="auto"/>
            </w:tcBorders>
            <w:vAlign w:val="bottom"/>
          </w:tcPr>
          <w:p w14:paraId="4FB236E7" w14:textId="77777777" w:rsidR="006E40C9" w:rsidRDefault="006E40C9">
            <w:pPr>
              <w:pStyle w:val="MeasureTableTextRightAligned"/>
            </w:pPr>
            <w:r>
              <w:t>14</w:t>
            </w:r>
          </w:p>
        </w:tc>
        <w:tc>
          <w:tcPr>
            <w:tcW w:w="968" w:type="dxa"/>
            <w:tcBorders>
              <w:top w:val="single" w:sz="2" w:space="0" w:color="auto"/>
              <w:bottom w:val="single" w:sz="2" w:space="0" w:color="auto"/>
            </w:tcBorders>
            <w:vAlign w:val="bottom"/>
          </w:tcPr>
          <w:p w14:paraId="02F126B2" w14:textId="77777777" w:rsidR="006E40C9" w:rsidRDefault="006E40C9">
            <w:pPr>
              <w:pStyle w:val="MeasureTableTextRightAligned"/>
            </w:pPr>
            <w:r>
              <w:t>17</w:t>
            </w:r>
          </w:p>
        </w:tc>
      </w:tr>
      <w:tr w:rsidR="006E40C9" w14:paraId="5D1E11A5" w14:textId="77777777">
        <w:trPr>
          <w:cantSplit/>
          <w:jc w:val="center"/>
        </w:trPr>
        <w:tc>
          <w:tcPr>
            <w:tcW w:w="1934" w:type="dxa"/>
            <w:gridSpan w:val="2"/>
            <w:tcBorders>
              <w:top w:val="single" w:sz="2" w:space="0" w:color="auto"/>
              <w:bottom w:val="nil"/>
            </w:tcBorders>
          </w:tcPr>
          <w:p w14:paraId="0216577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271D38" w14:textId="77777777" w:rsidR="006E40C9" w:rsidRDefault="006E40C9">
            <w:pPr>
              <w:pStyle w:val="MeasureTableTextLeftAligned"/>
            </w:pPr>
            <w:r>
              <w:t>Exemption</w:t>
            </w:r>
          </w:p>
        </w:tc>
        <w:tc>
          <w:tcPr>
            <w:tcW w:w="1500" w:type="dxa"/>
            <w:gridSpan w:val="2"/>
            <w:tcBorders>
              <w:top w:val="single" w:sz="2" w:space="0" w:color="auto"/>
              <w:bottom w:val="nil"/>
            </w:tcBorders>
          </w:tcPr>
          <w:p w14:paraId="2D98B9C6" w14:textId="3AAAD5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1BB5E6" w14:textId="77777777" w:rsidR="006E40C9" w:rsidRDefault="006E40C9">
            <w:pPr>
              <w:pStyle w:val="MeasureTableTextLeftAligned"/>
            </w:pPr>
            <w:r>
              <w:t>B47</w:t>
            </w:r>
          </w:p>
        </w:tc>
      </w:tr>
      <w:tr w:rsidR="006E40C9" w14:paraId="795C8B71" w14:textId="77777777">
        <w:trPr>
          <w:cantSplit/>
          <w:jc w:val="center"/>
        </w:trPr>
        <w:tc>
          <w:tcPr>
            <w:tcW w:w="1934" w:type="dxa"/>
            <w:gridSpan w:val="2"/>
            <w:tcBorders>
              <w:top w:val="nil"/>
              <w:bottom w:val="nil"/>
            </w:tcBorders>
          </w:tcPr>
          <w:p w14:paraId="6597BFA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A06C46" w14:textId="349CED84"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A665D8B" w14:textId="77777777" w:rsidR="006E40C9" w:rsidRDefault="006E40C9">
            <w:pPr>
              <w:pStyle w:val="MeasureTableTextItalic"/>
            </w:pPr>
          </w:p>
        </w:tc>
        <w:tc>
          <w:tcPr>
            <w:tcW w:w="1124" w:type="dxa"/>
            <w:gridSpan w:val="2"/>
            <w:tcBorders>
              <w:top w:val="nil"/>
              <w:bottom w:val="nil"/>
            </w:tcBorders>
          </w:tcPr>
          <w:p w14:paraId="741F8C76" w14:textId="77777777" w:rsidR="006E40C9" w:rsidRDefault="006E40C9">
            <w:pPr>
              <w:pStyle w:val="MeasureTableTextLeftAligned"/>
            </w:pPr>
          </w:p>
        </w:tc>
      </w:tr>
      <w:tr w:rsidR="006E40C9" w14:paraId="21F7F54C" w14:textId="77777777">
        <w:trPr>
          <w:cantSplit/>
          <w:jc w:val="center"/>
        </w:trPr>
        <w:tc>
          <w:tcPr>
            <w:tcW w:w="1934" w:type="dxa"/>
            <w:gridSpan w:val="2"/>
            <w:tcBorders>
              <w:top w:val="nil"/>
              <w:bottom w:val="nil"/>
            </w:tcBorders>
          </w:tcPr>
          <w:p w14:paraId="6E5E6290" w14:textId="77777777" w:rsidR="006E40C9" w:rsidRDefault="006E40C9">
            <w:pPr>
              <w:pStyle w:val="MeasureTableTextItalic"/>
            </w:pPr>
            <w:r>
              <w:t>Commencement date:</w:t>
            </w:r>
          </w:p>
        </w:tc>
        <w:tc>
          <w:tcPr>
            <w:tcW w:w="3179" w:type="dxa"/>
            <w:gridSpan w:val="4"/>
            <w:tcBorders>
              <w:top w:val="nil"/>
              <w:bottom w:val="nil"/>
            </w:tcBorders>
          </w:tcPr>
          <w:p w14:paraId="35F81989" w14:textId="77777777" w:rsidR="006E40C9" w:rsidRDefault="006E40C9">
            <w:pPr>
              <w:pStyle w:val="MeasureTableTextLeftAligned"/>
            </w:pPr>
            <w:r>
              <w:t>1 July 2022</w:t>
            </w:r>
          </w:p>
        </w:tc>
        <w:tc>
          <w:tcPr>
            <w:tcW w:w="1500" w:type="dxa"/>
            <w:gridSpan w:val="2"/>
            <w:tcBorders>
              <w:top w:val="nil"/>
              <w:bottom w:val="nil"/>
            </w:tcBorders>
          </w:tcPr>
          <w:p w14:paraId="09F873EA" w14:textId="77777777" w:rsidR="006E40C9" w:rsidRPr="00F32057" w:rsidRDefault="006E40C9">
            <w:pPr>
              <w:pStyle w:val="MeasureTableTextItalic"/>
            </w:pPr>
            <w:r>
              <w:t>Expiry date:</w:t>
            </w:r>
          </w:p>
        </w:tc>
        <w:tc>
          <w:tcPr>
            <w:tcW w:w="1124" w:type="dxa"/>
            <w:gridSpan w:val="2"/>
            <w:tcBorders>
              <w:top w:val="nil"/>
              <w:bottom w:val="nil"/>
            </w:tcBorders>
          </w:tcPr>
          <w:p w14:paraId="1B839501" w14:textId="77777777" w:rsidR="006E40C9" w:rsidRPr="00F32057" w:rsidRDefault="006E40C9">
            <w:pPr>
              <w:pStyle w:val="MeasureTableTextLeftAligned"/>
            </w:pPr>
          </w:p>
        </w:tc>
      </w:tr>
      <w:tr w:rsidR="006E40C9" w14:paraId="1B22EACC" w14:textId="77777777">
        <w:trPr>
          <w:cantSplit/>
          <w:jc w:val="center"/>
        </w:trPr>
        <w:tc>
          <w:tcPr>
            <w:tcW w:w="1934" w:type="dxa"/>
            <w:gridSpan w:val="2"/>
            <w:tcBorders>
              <w:top w:val="nil"/>
            </w:tcBorders>
          </w:tcPr>
          <w:p w14:paraId="408A2559" w14:textId="77777777" w:rsidR="006E40C9" w:rsidRDefault="006E40C9">
            <w:pPr>
              <w:pStyle w:val="MeasureTableTextItalic"/>
            </w:pPr>
            <w:r>
              <w:t>Legislative reference:</w:t>
            </w:r>
          </w:p>
        </w:tc>
        <w:tc>
          <w:tcPr>
            <w:tcW w:w="5803" w:type="dxa"/>
            <w:gridSpan w:val="8"/>
            <w:tcBorders>
              <w:top w:val="nil"/>
            </w:tcBorders>
          </w:tcPr>
          <w:p w14:paraId="0EC79EC7" w14:textId="4B253B02"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378 </w:t>
            </w:r>
            <w:r w:rsidR="003D3317">
              <w:rPr>
                <w:rFonts w:ascii="Arial" w:hAnsi="Arial" w:cs="Arial"/>
                <w:color w:val="000000"/>
                <w:sz w:val="16"/>
                <w:szCs w:val="16"/>
              </w:rPr>
              <w:t>of</w:t>
            </w:r>
            <w:r>
              <w:rPr>
                <w:rFonts w:ascii="Arial" w:hAnsi="Arial" w:cs="Arial"/>
                <w:color w:val="000000"/>
                <w:sz w:val="16"/>
                <w:szCs w:val="16"/>
              </w:rPr>
              <w:t xml:space="preserve"> the </w:t>
            </w:r>
            <w:r>
              <w:rPr>
                <w:rFonts w:ascii="Arial" w:hAnsi="Arial" w:cs="Arial"/>
                <w:i/>
                <w:iCs/>
                <w:color w:val="000000"/>
                <w:sz w:val="16"/>
                <w:szCs w:val="16"/>
              </w:rPr>
              <w:t>Income Tax Assessment Act 1997</w:t>
            </w:r>
          </w:p>
        </w:tc>
      </w:tr>
    </w:tbl>
    <w:p w14:paraId="259657EC" w14:textId="77777777" w:rsidR="006E40C9" w:rsidRPr="00540040" w:rsidRDefault="006E40C9" w:rsidP="006E40C9">
      <w:pPr>
        <w:pStyle w:val="MeasureTableHeading"/>
      </w:pPr>
    </w:p>
    <w:p w14:paraId="13B7BAF9" w14:textId="77777777" w:rsidR="006E40C9" w:rsidRDefault="006E40C9" w:rsidP="006E40C9">
      <w:r w:rsidRPr="00580AF9">
        <w:t xml:space="preserve">Under the benchmark, government payments to taxpayers are generally treated as assessable income and subject to tax. A tax </w:t>
      </w:r>
      <w:r>
        <w:t xml:space="preserve">expenditure </w:t>
      </w:r>
      <w:r w:rsidRPr="00580AF9">
        <w:t>arises when payments made under a refundable tax offset are exempt from tax.</w:t>
      </w:r>
    </w:p>
    <w:p w14:paraId="0A8CABD1" w14:textId="77777777" w:rsidR="006E40C9" w:rsidRDefault="006E40C9" w:rsidP="006E40C9">
      <w:r>
        <w:t xml:space="preserve">Eligible companies incurring expenditure in relation to the development of digital games in Australia may be eligible for a refundable tax offset calculated at 30 per cent of qualifying expenditure, capped at $20 million per year. Qualifying expenditure must be incurred on or after 1 July 2022. </w:t>
      </w:r>
      <w:r w:rsidRPr="005724E6">
        <w:t>If a taxpayer’s income tax liability is reduced to zero, any residual unused refundable tax offset amount can be refunded as cash to the company.</w:t>
      </w:r>
      <w:r>
        <w:fldChar w:fldCharType="begin"/>
      </w:r>
      <w:r>
        <w:instrText xml:space="preserve"> XE "</w:instrText>
      </w:r>
      <w:r w:rsidRPr="00AB5467">
        <w:instrText>Digital Games Tax Offset</w:instrText>
      </w:r>
      <w:r>
        <w:instrText xml:space="preserve">" </w:instrText>
      </w:r>
      <w:r>
        <w:fldChar w:fldCharType="end"/>
      </w:r>
    </w:p>
    <w:p w14:paraId="51A81DBB" w14:textId="77777777" w:rsidR="006E40C9" w:rsidRDefault="006E40C9" w:rsidP="0003254D">
      <w:pPr>
        <w:pStyle w:val="Heading4"/>
      </w:pPr>
      <w:r>
        <w:t>B50</w:t>
      </w:r>
      <w:r>
        <w:tab/>
        <w:t>Additional deduction for external training expenses</w:t>
      </w:r>
    </w:p>
    <w:p w14:paraId="3989809A" w14:textId="49E45D6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F10F99" w14:textId="77777777">
        <w:trPr>
          <w:cantSplit/>
          <w:jc w:val="center"/>
        </w:trPr>
        <w:tc>
          <w:tcPr>
            <w:tcW w:w="967" w:type="dxa"/>
            <w:tcBorders>
              <w:top w:val="single" w:sz="2" w:space="0" w:color="auto"/>
              <w:bottom w:val="single" w:sz="2" w:space="0" w:color="auto"/>
            </w:tcBorders>
          </w:tcPr>
          <w:p w14:paraId="6B175C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43879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B498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A38E9A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67C2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968EC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F0D4C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71F46F0" w14:textId="77777777" w:rsidR="006E40C9" w:rsidRDefault="006E40C9">
            <w:pPr>
              <w:pStyle w:val="MeasureTableTextRightAligned"/>
            </w:pPr>
            <w:r>
              <w:t>2027-28</w:t>
            </w:r>
          </w:p>
        </w:tc>
      </w:tr>
      <w:tr w:rsidR="006E40C9" w14:paraId="7FD7A697" w14:textId="77777777">
        <w:trPr>
          <w:cantSplit/>
          <w:jc w:val="center"/>
        </w:trPr>
        <w:tc>
          <w:tcPr>
            <w:tcW w:w="967" w:type="dxa"/>
            <w:tcBorders>
              <w:top w:val="single" w:sz="2" w:space="0" w:color="auto"/>
              <w:bottom w:val="single" w:sz="2" w:space="0" w:color="auto"/>
            </w:tcBorders>
          </w:tcPr>
          <w:p w14:paraId="1BF0331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8E45F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339E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500BD8"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30E302B6"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0FEBBE2A" w14:textId="77777777" w:rsidR="006E40C9" w:rsidRDefault="006E40C9">
            <w:pPr>
              <w:pStyle w:val="MeasureTableTextRightAligned"/>
            </w:pPr>
            <w:r>
              <w:t>150</w:t>
            </w:r>
          </w:p>
        </w:tc>
        <w:tc>
          <w:tcPr>
            <w:tcW w:w="967" w:type="dxa"/>
            <w:gridSpan w:val="2"/>
            <w:tcBorders>
              <w:top w:val="single" w:sz="2" w:space="0" w:color="auto"/>
              <w:bottom w:val="single" w:sz="2" w:space="0" w:color="auto"/>
            </w:tcBorders>
            <w:vAlign w:val="bottom"/>
          </w:tcPr>
          <w:p w14:paraId="61EB04A8" w14:textId="77777777" w:rsidR="006E40C9" w:rsidRDefault="006E40C9">
            <w:pPr>
              <w:pStyle w:val="MeasureTableTextRightAligned"/>
            </w:pPr>
            <w:r>
              <w:t>50</w:t>
            </w:r>
          </w:p>
        </w:tc>
        <w:tc>
          <w:tcPr>
            <w:tcW w:w="968" w:type="dxa"/>
            <w:tcBorders>
              <w:top w:val="single" w:sz="2" w:space="0" w:color="auto"/>
              <w:bottom w:val="single" w:sz="2" w:space="0" w:color="auto"/>
            </w:tcBorders>
            <w:vAlign w:val="bottom"/>
          </w:tcPr>
          <w:p w14:paraId="101E921A" w14:textId="77777777" w:rsidR="006E40C9" w:rsidRDefault="006E40C9">
            <w:pPr>
              <w:pStyle w:val="MeasureTableTextRightAligned"/>
            </w:pPr>
            <w:r>
              <w:t>-</w:t>
            </w:r>
          </w:p>
        </w:tc>
      </w:tr>
      <w:tr w:rsidR="006E40C9" w14:paraId="1AEA381C" w14:textId="77777777">
        <w:trPr>
          <w:cantSplit/>
          <w:jc w:val="center"/>
        </w:trPr>
        <w:tc>
          <w:tcPr>
            <w:tcW w:w="1934" w:type="dxa"/>
            <w:gridSpan w:val="2"/>
            <w:tcBorders>
              <w:top w:val="single" w:sz="2" w:space="0" w:color="auto"/>
              <w:bottom w:val="nil"/>
            </w:tcBorders>
          </w:tcPr>
          <w:p w14:paraId="0F1EE31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F9F8E4" w14:textId="77777777" w:rsidR="006E40C9" w:rsidRDefault="006E40C9">
            <w:pPr>
              <w:pStyle w:val="MeasureTableTextLeftAligned"/>
            </w:pPr>
            <w:r>
              <w:t>Deduction</w:t>
            </w:r>
          </w:p>
        </w:tc>
        <w:tc>
          <w:tcPr>
            <w:tcW w:w="1500" w:type="dxa"/>
            <w:gridSpan w:val="2"/>
            <w:tcBorders>
              <w:top w:val="single" w:sz="2" w:space="0" w:color="auto"/>
              <w:bottom w:val="nil"/>
            </w:tcBorders>
          </w:tcPr>
          <w:p w14:paraId="46CE0404" w14:textId="46A2244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7CE857" w14:textId="77777777" w:rsidR="006E40C9" w:rsidRDefault="006E40C9">
            <w:pPr>
              <w:pStyle w:val="MeasureTableTextLeftAligned"/>
            </w:pPr>
            <w:r>
              <w:t>B48</w:t>
            </w:r>
          </w:p>
        </w:tc>
      </w:tr>
      <w:tr w:rsidR="006E40C9" w14:paraId="050C10BC" w14:textId="77777777">
        <w:trPr>
          <w:cantSplit/>
          <w:jc w:val="center"/>
        </w:trPr>
        <w:tc>
          <w:tcPr>
            <w:tcW w:w="1934" w:type="dxa"/>
            <w:gridSpan w:val="2"/>
            <w:tcBorders>
              <w:top w:val="nil"/>
              <w:bottom w:val="nil"/>
            </w:tcBorders>
          </w:tcPr>
          <w:p w14:paraId="2677503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4DBAE7" w14:textId="77777777" w:rsidR="006E40C9" w:rsidRPr="00584CA7" w:rsidRDefault="006E40C9">
            <w:pPr>
              <w:pStyle w:val="MeasureTableTextLeftAligned"/>
            </w:pPr>
            <w:r>
              <w:t>Medium</w:t>
            </w:r>
          </w:p>
        </w:tc>
        <w:tc>
          <w:tcPr>
            <w:tcW w:w="1500" w:type="dxa"/>
            <w:gridSpan w:val="2"/>
            <w:tcBorders>
              <w:top w:val="nil"/>
              <w:bottom w:val="nil"/>
            </w:tcBorders>
          </w:tcPr>
          <w:p w14:paraId="23081719" w14:textId="77777777" w:rsidR="006E40C9" w:rsidRDefault="006E40C9">
            <w:pPr>
              <w:pStyle w:val="MeasureTableTextItalic"/>
            </w:pPr>
          </w:p>
        </w:tc>
        <w:tc>
          <w:tcPr>
            <w:tcW w:w="1124" w:type="dxa"/>
            <w:gridSpan w:val="2"/>
            <w:tcBorders>
              <w:top w:val="nil"/>
              <w:bottom w:val="nil"/>
            </w:tcBorders>
          </w:tcPr>
          <w:p w14:paraId="086AD222" w14:textId="77777777" w:rsidR="006E40C9" w:rsidRDefault="006E40C9">
            <w:pPr>
              <w:pStyle w:val="MeasureTableTextLeftAligned"/>
            </w:pPr>
          </w:p>
        </w:tc>
      </w:tr>
      <w:tr w:rsidR="006E40C9" w14:paraId="588214B5" w14:textId="77777777">
        <w:trPr>
          <w:cantSplit/>
          <w:jc w:val="center"/>
        </w:trPr>
        <w:tc>
          <w:tcPr>
            <w:tcW w:w="1934" w:type="dxa"/>
            <w:gridSpan w:val="2"/>
            <w:tcBorders>
              <w:top w:val="nil"/>
              <w:bottom w:val="nil"/>
            </w:tcBorders>
          </w:tcPr>
          <w:p w14:paraId="3AEAC07B" w14:textId="77777777" w:rsidR="006E40C9" w:rsidRDefault="006E40C9">
            <w:pPr>
              <w:pStyle w:val="MeasureTableTextItalic"/>
            </w:pPr>
            <w:r>
              <w:t>Commencement date:</w:t>
            </w:r>
          </w:p>
        </w:tc>
        <w:tc>
          <w:tcPr>
            <w:tcW w:w="3179" w:type="dxa"/>
            <w:gridSpan w:val="4"/>
            <w:tcBorders>
              <w:top w:val="nil"/>
              <w:bottom w:val="nil"/>
            </w:tcBorders>
          </w:tcPr>
          <w:p w14:paraId="5AE713C3" w14:textId="77777777" w:rsidR="006E40C9" w:rsidRDefault="006E40C9">
            <w:pPr>
              <w:pStyle w:val="MeasureTableTextLeftAligned"/>
            </w:pPr>
            <w:r>
              <w:t>29 March 2022</w:t>
            </w:r>
          </w:p>
        </w:tc>
        <w:tc>
          <w:tcPr>
            <w:tcW w:w="1500" w:type="dxa"/>
            <w:gridSpan w:val="2"/>
            <w:tcBorders>
              <w:top w:val="nil"/>
              <w:bottom w:val="nil"/>
            </w:tcBorders>
          </w:tcPr>
          <w:p w14:paraId="6DEDFAF3" w14:textId="77777777" w:rsidR="006E40C9" w:rsidRPr="00F32057" w:rsidRDefault="006E40C9">
            <w:pPr>
              <w:pStyle w:val="MeasureTableTextItalic"/>
            </w:pPr>
            <w:r>
              <w:t>Expiry date:</w:t>
            </w:r>
          </w:p>
        </w:tc>
        <w:tc>
          <w:tcPr>
            <w:tcW w:w="1124" w:type="dxa"/>
            <w:gridSpan w:val="2"/>
            <w:tcBorders>
              <w:top w:val="nil"/>
              <w:bottom w:val="nil"/>
            </w:tcBorders>
          </w:tcPr>
          <w:p w14:paraId="5DC137AF" w14:textId="77777777" w:rsidR="006E40C9" w:rsidRPr="00F32057" w:rsidRDefault="006E40C9">
            <w:pPr>
              <w:pStyle w:val="MeasureTableTextLeftAligned"/>
            </w:pPr>
            <w:r>
              <w:t>30 June 2024</w:t>
            </w:r>
          </w:p>
        </w:tc>
      </w:tr>
      <w:tr w:rsidR="006E40C9" w14:paraId="1A62A4B5" w14:textId="77777777">
        <w:trPr>
          <w:cantSplit/>
          <w:jc w:val="center"/>
        </w:trPr>
        <w:tc>
          <w:tcPr>
            <w:tcW w:w="1934" w:type="dxa"/>
            <w:gridSpan w:val="2"/>
            <w:tcBorders>
              <w:top w:val="nil"/>
            </w:tcBorders>
          </w:tcPr>
          <w:p w14:paraId="11613F52" w14:textId="77777777" w:rsidR="006E40C9" w:rsidRDefault="006E40C9">
            <w:pPr>
              <w:pStyle w:val="MeasureTableTextItalic"/>
            </w:pPr>
            <w:r>
              <w:t>Legislative reference:</w:t>
            </w:r>
          </w:p>
        </w:tc>
        <w:tc>
          <w:tcPr>
            <w:tcW w:w="5803" w:type="dxa"/>
            <w:gridSpan w:val="8"/>
            <w:tcBorders>
              <w:top w:val="nil"/>
            </w:tcBorders>
          </w:tcPr>
          <w:p w14:paraId="5AC6DEE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328-445 and 328-450 of the</w:t>
            </w:r>
            <w:r>
              <w:rPr>
                <w:rFonts w:ascii="Arial" w:hAnsi="Arial" w:cs="Arial"/>
                <w:i/>
                <w:iCs/>
                <w:color w:val="000000"/>
                <w:sz w:val="16"/>
                <w:szCs w:val="16"/>
              </w:rPr>
              <w:t xml:space="preserve"> Income Tax (Transitional Provisions) Act 1997</w:t>
            </w:r>
          </w:p>
        </w:tc>
      </w:tr>
    </w:tbl>
    <w:p w14:paraId="5555643B" w14:textId="77777777" w:rsidR="006E40C9" w:rsidRPr="00540040" w:rsidRDefault="006E40C9" w:rsidP="006E40C9">
      <w:pPr>
        <w:pStyle w:val="MeasureTableHeading"/>
      </w:pPr>
    </w:p>
    <w:p w14:paraId="47F31947" w14:textId="52ACF4CD" w:rsidR="006E40C9" w:rsidRPr="001F6E2A" w:rsidRDefault="006E40C9" w:rsidP="006E40C9">
      <w:r w:rsidRPr="001F6E2A">
        <w:t xml:space="preserve">Under the benchmark, the cost of expenses incurred in earning assessable income is deductible. A tax </w:t>
      </w:r>
      <w:r>
        <w:t>expenditure</w:t>
      </w:r>
      <w:r w:rsidRPr="001F6E2A">
        <w:t xml:space="preserve"> arises because eligible business entities c</w:t>
      </w:r>
      <w:r>
        <w:t>ould</w:t>
      </w:r>
      <w:r w:rsidRPr="001F6E2A">
        <w:t xml:space="preserve"> access an additional deduction for the cost of </w:t>
      </w:r>
      <w:bookmarkStart w:id="81" w:name="_Hlk120813338"/>
      <w:r w:rsidRPr="001F6E2A">
        <w:t xml:space="preserve">certain </w:t>
      </w:r>
      <w:bookmarkEnd w:id="81"/>
      <w:r w:rsidRPr="001F6E2A">
        <w:t xml:space="preserve">expenses on employee training. </w:t>
      </w:r>
    </w:p>
    <w:p w14:paraId="541D9D92" w14:textId="5038479F" w:rsidR="006E40C9" w:rsidRPr="001F6E2A" w:rsidRDefault="006E40C9" w:rsidP="006E40C9">
      <w:r w:rsidRPr="001F6E2A">
        <w:t xml:space="preserve">Small </w:t>
      </w:r>
      <w:r>
        <w:t xml:space="preserve">and medium </w:t>
      </w:r>
      <w:r w:rsidRPr="001F6E2A">
        <w:t xml:space="preserve">businesses with an aggregated annual turnover </w:t>
      </w:r>
      <w:bookmarkStart w:id="82" w:name="_Hlk120811369"/>
      <w:r w:rsidRPr="001F6E2A">
        <w:t>of</w:t>
      </w:r>
      <w:bookmarkEnd w:id="82"/>
      <w:r w:rsidRPr="001F6E2A">
        <w:t xml:space="preserve"> less than $50</w:t>
      </w:r>
      <w:r>
        <w:t> </w:t>
      </w:r>
      <w:r w:rsidRPr="001F6E2A">
        <w:t>million ha</w:t>
      </w:r>
      <w:r>
        <w:t>d</w:t>
      </w:r>
      <w:r w:rsidRPr="001F6E2A">
        <w:t xml:space="preserve"> access to an additional 20 per cent deduction for eligible expenditure incurred on external training delivered to their employees by providers registered in Australia. </w:t>
      </w:r>
    </w:p>
    <w:p w14:paraId="0F32CFA5" w14:textId="1A206EDD" w:rsidR="006E40C9" w:rsidRDefault="006E40C9" w:rsidP="006E40C9">
      <w:r>
        <w:t>T</w:t>
      </w:r>
      <w:r w:rsidRPr="001F6E2A">
        <w:t>he additional deduction appl</w:t>
      </w:r>
      <w:r>
        <w:t>ied</w:t>
      </w:r>
      <w:r w:rsidRPr="001F6E2A">
        <w:t xml:space="preserve"> </w:t>
      </w:r>
      <w:bookmarkStart w:id="83" w:name="_Hlk120812300"/>
      <w:r w:rsidRPr="001F6E2A">
        <w:t xml:space="preserve">to eligible expenditure incurred from </w:t>
      </w:r>
      <w:bookmarkEnd w:id="83"/>
      <w:r w:rsidRPr="001F6E2A">
        <w:t xml:space="preserve">7:30pm (AEDT) on 29 March 2022 until 30 June 2024. </w:t>
      </w:r>
    </w:p>
    <w:p w14:paraId="2B54AC1C" w14:textId="77777777" w:rsidR="006E40C9" w:rsidRDefault="006E40C9" w:rsidP="0003254D">
      <w:pPr>
        <w:pStyle w:val="Heading4"/>
      </w:pPr>
      <w:r>
        <w:t>B51</w:t>
      </w:r>
      <w:r>
        <w:tab/>
        <w:t>Additional deduction for digital adoption expenses</w:t>
      </w:r>
    </w:p>
    <w:p w14:paraId="6A5B665E" w14:textId="0DCEBAA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BD34E3" w14:textId="77777777">
        <w:trPr>
          <w:cantSplit/>
          <w:jc w:val="center"/>
        </w:trPr>
        <w:tc>
          <w:tcPr>
            <w:tcW w:w="967" w:type="dxa"/>
            <w:tcBorders>
              <w:top w:val="single" w:sz="2" w:space="0" w:color="auto"/>
              <w:bottom w:val="single" w:sz="2" w:space="0" w:color="auto"/>
            </w:tcBorders>
          </w:tcPr>
          <w:p w14:paraId="4F7306D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D9D5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D9909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8DD17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5A9BAC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6FBB4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6FD8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C034FA" w14:textId="77777777" w:rsidR="006E40C9" w:rsidRDefault="006E40C9">
            <w:pPr>
              <w:pStyle w:val="MeasureTableTextRightAligned"/>
            </w:pPr>
            <w:r>
              <w:t>2027-28</w:t>
            </w:r>
          </w:p>
        </w:tc>
      </w:tr>
      <w:tr w:rsidR="006E40C9" w14:paraId="655BC89F" w14:textId="77777777">
        <w:trPr>
          <w:cantSplit/>
          <w:jc w:val="center"/>
        </w:trPr>
        <w:tc>
          <w:tcPr>
            <w:tcW w:w="967" w:type="dxa"/>
            <w:tcBorders>
              <w:top w:val="single" w:sz="2" w:space="0" w:color="auto"/>
              <w:bottom w:val="single" w:sz="2" w:space="0" w:color="auto"/>
            </w:tcBorders>
          </w:tcPr>
          <w:p w14:paraId="0AA2A8A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D2DE83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333B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7ED1C8" w14:textId="77777777" w:rsidR="006E40C9" w:rsidRDefault="006E40C9">
            <w:pPr>
              <w:pStyle w:val="MeasureTableTextRightAligned"/>
            </w:pPr>
            <w:r>
              <w:t>550</w:t>
            </w:r>
          </w:p>
        </w:tc>
        <w:tc>
          <w:tcPr>
            <w:tcW w:w="967" w:type="dxa"/>
            <w:tcBorders>
              <w:top w:val="single" w:sz="2" w:space="0" w:color="auto"/>
              <w:bottom w:val="single" w:sz="2" w:space="0" w:color="auto"/>
            </w:tcBorders>
            <w:vAlign w:val="bottom"/>
          </w:tcPr>
          <w:p w14:paraId="31429A2F"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6321BD36" w14:textId="77777777" w:rsidR="006E40C9" w:rsidRDefault="006E40C9">
            <w:pPr>
              <w:pStyle w:val="MeasureTableTextRightAligned"/>
            </w:pPr>
            <w:r>
              <w:t>200</w:t>
            </w:r>
          </w:p>
        </w:tc>
        <w:tc>
          <w:tcPr>
            <w:tcW w:w="967" w:type="dxa"/>
            <w:gridSpan w:val="2"/>
            <w:tcBorders>
              <w:top w:val="single" w:sz="2" w:space="0" w:color="auto"/>
              <w:bottom w:val="single" w:sz="2" w:space="0" w:color="auto"/>
            </w:tcBorders>
            <w:vAlign w:val="bottom"/>
          </w:tcPr>
          <w:p w14:paraId="2064AD0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14F2C1A" w14:textId="77777777" w:rsidR="006E40C9" w:rsidRDefault="006E40C9">
            <w:pPr>
              <w:pStyle w:val="MeasureTableTextRightAligned"/>
            </w:pPr>
            <w:r>
              <w:t>-</w:t>
            </w:r>
          </w:p>
        </w:tc>
      </w:tr>
      <w:tr w:rsidR="006E40C9" w14:paraId="3C9038AD" w14:textId="77777777">
        <w:trPr>
          <w:cantSplit/>
          <w:jc w:val="center"/>
        </w:trPr>
        <w:tc>
          <w:tcPr>
            <w:tcW w:w="1934" w:type="dxa"/>
            <w:gridSpan w:val="2"/>
            <w:tcBorders>
              <w:top w:val="single" w:sz="2" w:space="0" w:color="auto"/>
              <w:bottom w:val="nil"/>
            </w:tcBorders>
          </w:tcPr>
          <w:p w14:paraId="0D2C5A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98C1EBA" w14:textId="77777777" w:rsidR="006E40C9" w:rsidRDefault="006E40C9">
            <w:pPr>
              <w:pStyle w:val="MeasureTableTextLeftAligned"/>
            </w:pPr>
            <w:r>
              <w:t>Deduction</w:t>
            </w:r>
          </w:p>
        </w:tc>
        <w:tc>
          <w:tcPr>
            <w:tcW w:w="1500" w:type="dxa"/>
            <w:gridSpan w:val="2"/>
            <w:tcBorders>
              <w:top w:val="single" w:sz="2" w:space="0" w:color="auto"/>
              <w:bottom w:val="nil"/>
            </w:tcBorders>
          </w:tcPr>
          <w:p w14:paraId="0F83B01F" w14:textId="65FDD3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085420" w14:textId="77777777" w:rsidR="006E40C9" w:rsidRDefault="006E40C9">
            <w:pPr>
              <w:pStyle w:val="MeasureTableTextLeftAligned"/>
            </w:pPr>
            <w:r>
              <w:t>B49</w:t>
            </w:r>
          </w:p>
        </w:tc>
      </w:tr>
      <w:tr w:rsidR="006E40C9" w14:paraId="1C3ECA2F" w14:textId="77777777">
        <w:trPr>
          <w:cantSplit/>
          <w:jc w:val="center"/>
        </w:trPr>
        <w:tc>
          <w:tcPr>
            <w:tcW w:w="1934" w:type="dxa"/>
            <w:gridSpan w:val="2"/>
            <w:tcBorders>
              <w:top w:val="nil"/>
              <w:bottom w:val="nil"/>
            </w:tcBorders>
          </w:tcPr>
          <w:p w14:paraId="03DB11A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40EE1E" w14:textId="77777777" w:rsidR="006E40C9" w:rsidRPr="00584CA7" w:rsidRDefault="006E40C9">
            <w:pPr>
              <w:pStyle w:val="MeasureTableTextLeftAligned"/>
            </w:pPr>
            <w:r>
              <w:t>Medium</w:t>
            </w:r>
          </w:p>
        </w:tc>
        <w:tc>
          <w:tcPr>
            <w:tcW w:w="1500" w:type="dxa"/>
            <w:gridSpan w:val="2"/>
            <w:tcBorders>
              <w:top w:val="nil"/>
              <w:bottom w:val="nil"/>
            </w:tcBorders>
          </w:tcPr>
          <w:p w14:paraId="03FB9C17" w14:textId="77777777" w:rsidR="006E40C9" w:rsidRDefault="006E40C9">
            <w:pPr>
              <w:pStyle w:val="MeasureTableTextItalic"/>
            </w:pPr>
          </w:p>
        </w:tc>
        <w:tc>
          <w:tcPr>
            <w:tcW w:w="1124" w:type="dxa"/>
            <w:gridSpan w:val="2"/>
            <w:tcBorders>
              <w:top w:val="nil"/>
              <w:bottom w:val="nil"/>
            </w:tcBorders>
          </w:tcPr>
          <w:p w14:paraId="669FD1C1" w14:textId="77777777" w:rsidR="006E40C9" w:rsidRDefault="006E40C9">
            <w:pPr>
              <w:pStyle w:val="MeasureTableTextLeftAligned"/>
            </w:pPr>
          </w:p>
        </w:tc>
      </w:tr>
      <w:tr w:rsidR="006E40C9" w14:paraId="507FD5E4" w14:textId="77777777">
        <w:trPr>
          <w:cantSplit/>
          <w:jc w:val="center"/>
        </w:trPr>
        <w:tc>
          <w:tcPr>
            <w:tcW w:w="1934" w:type="dxa"/>
            <w:gridSpan w:val="2"/>
            <w:tcBorders>
              <w:top w:val="nil"/>
              <w:bottom w:val="nil"/>
            </w:tcBorders>
          </w:tcPr>
          <w:p w14:paraId="2FDF2439" w14:textId="77777777" w:rsidR="006E40C9" w:rsidRDefault="006E40C9">
            <w:pPr>
              <w:pStyle w:val="MeasureTableTextItalic"/>
            </w:pPr>
            <w:r>
              <w:t>Commencement date:</w:t>
            </w:r>
          </w:p>
        </w:tc>
        <w:tc>
          <w:tcPr>
            <w:tcW w:w="3179" w:type="dxa"/>
            <w:gridSpan w:val="4"/>
            <w:tcBorders>
              <w:top w:val="nil"/>
              <w:bottom w:val="nil"/>
            </w:tcBorders>
          </w:tcPr>
          <w:p w14:paraId="1E7D6C8F" w14:textId="77777777" w:rsidR="006E40C9" w:rsidRDefault="006E40C9">
            <w:pPr>
              <w:pStyle w:val="MeasureTableTextLeftAligned"/>
            </w:pPr>
            <w:r>
              <w:t>29 March 2022</w:t>
            </w:r>
          </w:p>
        </w:tc>
        <w:tc>
          <w:tcPr>
            <w:tcW w:w="1500" w:type="dxa"/>
            <w:gridSpan w:val="2"/>
            <w:tcBorders>
              <w:top w:val="nil"/>
              <w:bottom w:val="nil"/>
            </w:tcBorders>
          </w:tcPr>
          <w:p w14:paraId="4CBA7939" w14:textId="77777777" w:rsidR="006E40C9" w:rsidRPr="00F32057" w:rsidRDefault="006E40C9">
            <w:pPr>
              <w:pStyle w:val="MeasureTableTextItalic"/>
            </w:pPr>
            <w:r>
              <w:t>Expiry date:</w:t>
            </w:r>
          </w:p>
        </w:tc>
        <w:tc>
          <w:tcPr>
            <w:tcW w:w="1124" w:type="dxa"/>
            <w:gridSpan w:val="2"/>
            <w:tcBorders>
              <w:top w:val="nil"/>
              <w:bottom w:val="nil"/>
            </w:tcBorders>
          </w:tcPr>
          <w:p w14:paraId="28C9604B" w14:textId="77777777" w:rsidR="006E40C9" w:rsidRPr="00F32057" w:rsidRDefault="006E40C9">
            <w:pPr>
              <w:pStyle w:val="MeasureTableTextLeftAligned"/>
            </w:pPr>
            <w:r>
              <w:t>30 June 2023</w:t>
            </w:r>
          </w:p>
        </w:tc>
      </w:tr>
      <w:tr w:rsidR="006E40C9" w14:paraId="5BC97534" w14:textId="77777777">
        <w:trPr>
          <w:cantSplit/>
          <w:jc w:val="center"/>
        </w:trPr>
        <w:tc>
          <w:tcPr>
            <w:tcW w:w="1934" w:type="dxa"/>
            <w:gridSpan w:val="2"/>
            <w:tcBorders>
              <w:top w:val="nil"/>
            </w:tcBorders>
          </w:tcPr>
          <w:p w14:paraId="533D71F4" w14:textId="77777777" w:rsidR="006E40C9" w:rsidRDefault="006E40C9">
            <w:pPr>
              <w:pStyle w:val="MeasureTableTextItalic"/>
            </w:pPr>
            <w:r>
              <w:t>Legislative reference:</w:t>
            </w:r>
          </w:p>
        </w:tc>
        <w:tc>
          <w:tcPr>
            <w:tcW w:w="5803" w:type="dxa"/>
            <w:gridSpan w:val="8"/>
            <w:tcBorders>
              <w:top w:val="nil"/>
            </w:tcBorders>
          </w:tcPr>
          <w:p w14:paraId="77498D95"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328-455 and 328-460 of the </w:t>
            </w:r>
            <w:r>
              <w:rPr>
                <w:rFonts w:ascii="Arial" w:hAnsi="Arial" w:cs="Arial"/>
                <w:i/>
                <w:iCs/>
                <w:color w:val="000000"/>
                <w:sz w:val="16"/>
                <w:szCs w:val="16"/>
              </w:rPr>
              <w:t>Income Tax (Transitional Provisions) Act 1997</w:t>
            </w:r>
          </w:p>
        </w:tc>
      </w:tr>
    </w:tbl>
    <w:p w14:paraId="5AA23144" w14:textId="77777777" w:rsidR="006E40C9" w:rsidRPr="00540040" w:rsidRDefault="006E40C9" w:rsidP="006E40C9">
      <w:pPr>
        <w:pStyle w:val="MeasureTableHeading"/>
      </w:pPr>
    </w:p>
    <w:p w14:paraId="1B48F4B1" w14:textId="6949CE6D" w:rsidR="006E40C9" w:rsidRPr="00FF462E" w:rsidRDefault="006E40C9" w:rsidP="006E40C9">
      <w:pPr>
        <w:rPr>
          <w:rFonts w:ascii="Calibri" w:hAnsi="Calibri"/>
        </w:rPr>
      </w:pPr>
      <w:r w:rsidRPr="00FF462E">
        <w:t xml:space="preserve">Under the benchmark, the cost of expenses incurred in earning assessable income is deductible and the cost of a depreciating asset is deducted over its effective life. A tax </w:t>
      </w:r>
      <w:r>
        <w:t xml:space="preserve">expenditure </w:t>
      </w:r>
      <w:r w:rsidRPr="00FF462E">
        <w:t>arises because eligible business entities c</w:t>
      </w:r>
      <w:r>
        <w:t>ould</w:t>
      </w:r>
      <w:r w:rsidRPr="00FF462E">
        <w:t xml:space="preserve"> access an additional deduction for the cost of certain expenditure on digital operations. </w:t>
      </w:r>
    </w:p>
    <w:p w14:paraId="58DFEEDC" w14:textId="77EF5C74" w:rsidR="006E40C9" w:rsidRPr="00FF462E" w:rsidRDefault="006E40C9" w:rsidP="006E40C9">
      <w:r w:rsidRPr="00FF462E">
        <w:t xml:space="preserve">Small </w:t>
      </w:r>
      <w:r>
        <w:t xml:space="preserve">and medium </w:t>
      </w:r>
      <w:r w:rsidRPr="00FF462E">
        <w:t>businesses with an aggregated annual turnover of less than $50</w:t>
      </w:r>
      <w:r>
        <w:t> </w:t>
      </w:r>
      <w:r w:rsidRPr="00FF462E">
        <w:t xml:space="preserve">million </w:t>
      </w:r>
      <w:r>
        <w:t>had</w:t>
      </w:r>
      <w:r w:rsidRPr="00FF462E">
        <w:t xml:space="preserve"> access to an additional 20 per cent deduction for the cost of eligible expenses and depreciating assets that support their digital operations or digitising their operations. </w:t>
      </w:r>
      <w:bookmarkStart w:id="84" w:name="_Hlk120811008"/>
      <w:r w:rsidRPr="00FF462E">
        <w:t>The additional deduction d</w:t>
      </w:r>
      <w:r>
        <w:t>id</w:t>
      </w:r>
      <w:r w:rsidRPr="00FF462E">
        <w:t xml:space="preserve"> not affect any other deductions in the tax law. </w:t>
      </w:r>
      <w:bookmarkEnd w:id="84"/>
    </w:p>
    <w:p w14:paraId="21DB4F7B" w14:textId="3CC4A496" w:rsidR="006E40C9" w:rsidRDefault="006E40C9" w:rsidP="006E40C9">
      <w:r>
        <w:t>T</w:t>
      </w:r>
      <w:r w:rsidRPr="00FF462E">
        <w:t>he additional deduction</w:t>
      </w:r>
      <w:r>
        <w:t xml:space="preserve"> </w:t>
      </w:r>
      <w:r w:rsidRPr="00FF462E">
        <w:t>appl</w:t>
      </w:r>
      <w:r>
        <w:t>ied</w:t>
      </w:r>
      <w:r w:rsidRPr="00FF462E">
        <w:t xml:space="preserve"> to eligible expenditure incurred from 7:30pm (AEDT) on 29 March 2022 until 30 June 2023. An annual cap appl</w:t>
      </w:r>
      <w:r>
        <w:t>ied</w:t>
      </w:r>
      <w:r w:rsidRPr="00FF462E">
        <w:t xml:space="preserve"> so that total expenditure of up to $100,000 per income year </w:t>
      </w:r>
      <w:r>
        <w:t xml:space="preserve">was </w:t>
      </w:r>
      <w:r w:rsidRPr="00FF462E">
        <w:t>eligible, with a maximum additional deduction of $20,000 per income year.</w:t>
      </w:r>
    </w:p>
    <w:p w14:paraId="7584E830" w14:textId="77777777" w:rsidR="006E40C9" w:rsidRDefault="006E40C9" w:rsidP="0003254D">
      <w:pPr>
        <w:pStyle w:val="Heading4"/>
      </w:pPr>
      <w:r>
        <w:t>B52</w:t>
      </w:r>
      <w:r>
        <w:tab/>
        <w:t>Additional deduction for electrification and energy efficiency</w:t>
      </w:r>
    </w:p>
    <w:p w14:paraId="06CC76B9" w14:textId="6C8CB97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E87385" w14:textId="77777777">
        <w:trPr>
          <w:cantSplit/>
          <w:jc w:val="center"/>
        </w:trPr>
        <w:tc>
          <w:tcPr>
            <w:tcW w:w="967" w:type="dxa"/>
            <w:tcBorders>
              <w:top w:val="single" w:sz="2" w:space="0" w:color="auto"/>
              <w:bottom w:val="single" w:sz="2" w:space="0" w:color="auto"/>
            </w:tcBorders>
          </w:tcPr>
          <w:p w14:paraId="6CF33F4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D000E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BF84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63989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6DA44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14383A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1E1A9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EF2843" w14:textId="77777777" w:rsidR="006E40C9" w:rsidRDefault="006E40C9">
            <w:pPr>
              <w:pStyle w:val="MeasureTableTextRightAligned"/>
            </w:pPr>
            <w:r>
              <w:t>2027-28</w:t>
            </w:r>
          </w:p>
        </w:tc>
      </w:tr>
      <w:tr w:rsidR="006E40C9" w14:paraId="407A7D78" w14:textId="77777777">
        <w:trPr>
          <w:cantSplit/>
          <w:jc w:val="center"/>
        </w:trPr>
        <w:tc>
          <w:tcPr>
            <w:tcW w:w="967" w:type="dxa"/>
            <w:tcBorders>
              <w:top w:val="single" w:sz="2" w:space="0" w:color="auto"/>
              <w:bottom w:val="single" w:sz="2" w:space="0" w:color="auto"/>
            </w:tcBorders>
          </w:tcPr>
          <w:p w14:paraId="50A4A5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775FC4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5BFC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ED94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63806C" w14:textId="77777777" w:rsidR="006E40C9" w:rsidRDefault="006E40C9">
            <w:pPr>
              <w:pStyle w:val="MeasureTableTextRightAligned"/>
            </w:pPr>
            <w:r>
              <w:t>270</w:t>
            </w:r>
          </w:p>
        </w:tc>
        <w:tc>
          <w:tcPr>
            <w:tcW w:w="967" w:type="dxa"/>
            <w:gridSpan w:val="2"/>
            <w:tcBorders>
              <w:top w:val="single" w:sz="2" w:space="0" w:color="auto"/>
              <w:bottom w:val="single" w:sz="2" w:space="0" w:color="auto"/>
            </w:tcBorders>
            <w:vAlign w:val="bottom"/>
          </w:tcPr>
          <w:p w14:paraId="744287DF" w14:textId="77777777" w:rsidR="006E40C9" w:rsidRDefault="006E40C9">
            <w:pPr>
              <w:pStyle w:val="MeasureTableTextRightAligned"/>
            </w:pPr>
            <w:r>
              <w:t>50</w:t>
            </w:r>
          </w:p>
        </w:tc>
        <w:tc>
          <w:tcPr>
            <w:tcW w:w="967" w:type="dxa"/>
            <w:gridSpan w:val="2"/>
            <w:tcBorders>
              <w:top w:val="single" w:sz="2" w:space="0" w:color="auto"/>
              <w:bottom w:val="single" w:sz="2" w:space="0" w:color="auto"/>
            </w:tcBorders>
            <w:vAlign w:val="bottom"/>
          </w:tcPr>
          <w:p w14:paraId="376371A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0B95B0" w14:textId="77777777" w:rsidR="006E40C9" w:rsidRDefault="006E40C9">
            <w:pPr>
              <w:pStyle w:val="MeasureTableTextRightAligned"/>
            </w:pPr>
            <w:r>
              <w:t>-</w:t>
            </w:r>
          </w:p>
        </w:tc>
      </w:tr>
      <w:tr w:rsidR="006E40C9" w14:paraId="21C2D3A8" w14:textId="77777777">
        <w:trPr>
          <w:cantSplit/>
          <w:jc w:val="center"/>
        </w:trPr>
        <w:tc>
          <w:tcPr>
            <w:tcW w:w="1934" w:type="dxa"/>
            <w:gridSpan w:val="2"/>
            <w:tcBorders>
              <w:top w:val="single" w:sz="2" w:space="0" w:color="auto"/>
              <w:bottom w:val="nil"/>
            </w:tcBorders>
          </w:tcPr>
          <w:p w14:paraId="362C3A3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C3013D" w14:textId="77777777" w:rsidR="006E40C9" w:rsidRDefault="006E40C9">
            <w:pPr>
              <w:pStyle w:val="MeasureTableTextLeftAligned"/>
            </w:pPr>
            <w:r>
              <w:t>Deduction</w:t>
            </w:r>
          </w:p>
        </w:tc>
        <w:tc>
          <w:tcPr>
            <w:tcW w:w="1500" w:type="dxa"/>
            <w:gridSpan w:val="2"/>
            <w:tcBorders>
              <w:top w:val="single" w:sz="2" w:space="0" w:color="auto"/>
              <w:bottom w:val="nil"/>
            </w:tcBorders>
          </w:tcPr>
          <w:p w14:paraId="29135B27" w14:textId="68A0A2A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69CA069" w14:textId="77777777" w:rsidR="006E40C9" w:rsidRDefault="006E40C9">
            <w:pPr>
              <w:pStyle w:val="MeasureTableTextLeftAligned"/>
            </w:pPr>
            <w:r>
              <w:t>B50</w:t>
            </w:r>
          </w:p>
        </w:tc>
      </w:tr>
      <w:tr w:rsidR="006E40C9" w14:paraId="47BAFE40" w14:textId="77777777">
        <w:trPr>
          <w:cantSplit/>
          <w:jc w:val="center"/>
        </w:trPr>
        <w:tc>
          <w:tcPr>
            <w:tcW w:w="1934" w:type="dxa"/>
            <w:gridSpan w:val="2"/>
            <w:tcBorders>
              <w:top w:val="nil"/>
              <w:bottom w:val="nil"/>
            </w:tcBorders>
          </w:tcPr>
          <w:p w14:paraId="4A3EA30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00486F" w14:textId="77777777" w:rsidR="006E40C9" w:rsidRPr="00584CA7" w:rsidRDefault="006E40C9">
            <w:pPr>
              <w:pStyle w:val="MeasureTableTextLeftAligned"/>
            </w:pPr>
            <w:r>
              <w:t>Medium</w:t>
            </w:r>
          </w:p>
        </w:tc>
        <w:tc>
          <w:tcPr>
            <w:tcW w:w="1500" w:type="dxa"/>
            <w:gridSpan w:val="2"/>
            <w:tcBorders>
              <w:top w:val="nil"/>
              <w:bottom w:val="nil"/>
            </w:tcBorders>
          </w:tcPr>
          <w:p w14:paraId="05E7B9D2" w14:textId="77777777" w:rsidR="006E40C9" w:rsidRDefault="006E40C9">
            <w:pPr>
              <w:pStyle w:val="MeasureTableTextItalic"/>
            </w:pPr>
          </w:p>
        </w:tc>
        <w:tc>
          <w:tcPr>
            <w:tcW w:w="1124" w:type="dxa"/>
            <w:gridSpan w:val="2"/>
            <w:tcBorders>
              <w:top w:val="nil"/>
              <w:bottom w:val="nil"/>
            </w:tcBorders>
          </w:tcPr>
          <w:p w14:paraId="25D06B8E" w14:textId="77777777" w:rsidR="006E40C9" w:rsidRDefault="006E40C9">
            <w:pPr>
              <w:pStyle w:val="MeasureTableTextLeftAligned"/>
            </w:pPr>
          </w:p>
        </w:tc>
      </w:tr>
      <w:tr w:rsidR="006E40C9" w14:paraId="5D4BD1C7" w14:textId="77777777">
        <w:trPr>
          <w:cantSplit/>
          <w:jc w:val="center"/>
        </w:trPr>
        <w:tc>
          <w:tcPr>
            <w:tcW w:w="1934" w:type="dxa"/>
            <w:gridSpan w:val="2"/>
            <w:tcBorders>
              <w:top w:val="nil"/>
              <w:bottom w:val="nil"/>
            </w:tcBorders>
          </w:tcPr>
          <w:p w14:paraId="6BB8CB05" w14:textId="77777777" w:rsidR="006E40C9" w:rsidRDefault="006E40C9">
            <w:pPr>
              <w:pStyle w:val="MeasureTableTextItalic"/>
            </w:pPr>
            <w:r>
              <w:t>Commencement date:</w:t>
            </w:r>
          </w:p>
        </w:tc>
        <w:tc>
          <w:tcPr>
            <w:tcW w:w="3179" w:type="dxa"/>
            <w:gridSpan w:val="4"/>
            <w:tcBorders>
              <w:top w:val="nil"/>
              <w:bottom w:val="nil"/>
            </w:tcBorders>
          </w:tcPr>
          <w:p w14:paraId="2B515CA1" w14:textId="77777777" w:rsidR="006E40C9" w:rsidRDefault="006E40C9">
            <w:pPr>
              <w:pStyle w:val="MeasureTableTextLeftAligned"/>
            </w:pPr>
            <w:r>
              <w:t>1 July 2023</w:t>
            </w:r>
          </w:p>
        </w:tc>
        <w:tc>
          <w:tcPr>
            <w:tcW w:w="1500" w:type="dxa"/>
            <w:gridSpan w:val="2"/>
            <w:tcBorders>
              <w:top w:val="nil"/>
              <w:bottom w:val="nil"/>
            </w:tcBorders>
          </w:tcPr>
          <w:p w14:paraId="6B5B4FD9" w14:textId="77777777" w:rsidR="006E40C9" w:rsidRPr="00F32057" w:rsidRDefault="006E40C9">
            <w:pPr>
              <w:pStyle w:val="MeasureTableTextItalic"/>
            </w:pPr>
            <w:r>
              <w:t>Expiry date:</w:t>
            </w:r>
          </w:p>
        </w:tc>
        <w:tc>
          <w:tcPr>
            <w:tcW w:w="1124" w:type="dxa"/>
            <w:gridSpan w:val="2"/>
            <w:tcBorders>
              <w:top w:val="nil"/>
              <w:bottom w:val="nil"/>
            </w:tcBorders>
          </w:tcPr>
          <w:p w14:paraId="29131CFD" w14:textId="77777777" w:rsidR="006E40C9" w:rsidRPr="00F32057" w:rsidRDefault="006E40C9">
            <w:pPr>
              <w:pStyle w:val="MeasureTableTextLeftAligned"/>
            </w:pPr>
            <w:r>
              <w:t>30 June 2024</w:t>
            </w:r>
          </w:p>
        </w:tc>
      </w:tr>
      <w:tr w:rsidR="006E40C9" w14:paraId="6FF9993E" w14:textId="77777777">
        <w:trPr>
          <w:cantSplit/>
          <w:jc w:val="center"/>
        </w:trPr>
        <w:tc>
          <w:tcPr>
            <w:tcW w:w="1934" w:type="dxa"/>
            <w:gridSpan w:val="2"/>
            <w:tcBorders>
              <w:top w:val="nil"/>
            </w:tcBorders>
          </w:tcPr>
          <w:p w14:paraId="40BB9E27" w14:textId="77777777" w:rsidR="006E40C9" w:rsidRDefault="006E40C9">
            <w:pPr>
              <w:pStyle w:val="MeasureTableTextItalic"/>
            </w:pPr>
            <w:r>
              <w:t>Legislative reference:</w:t>
            </w:r>
          </w:p>
        </w:tc>
        <w:tc>
          <w:tcPr>
            <w:tcW w:w="5803" w:type="dxa"/>
            <w:gridSpan w:val="8"/>
            <w:tcBorders>
              <w:top w:val="nil"/>
            </w:tcBorders>
          </w:tcPr>
          <w:p w14:paraId="78AF165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328-465 and 328-470 of the </w:t>
            </w:r>
            <w:r>
              <w:rPr>
                <w:rFonts w:ascii="Arial" w:hAnsi="Arial" w:cs="Arial"/>
                <w:i/>
                <w:iCs/>
                <w:color w:val="000000"/>
                <w:sz w:val="16"/>
                <w:szCs w:val="16"/>
              </w:rPr>
              <w:t>Income Tax (Transitional Provisions) Act 1997</w:t>
            </w:r>
          </w:p>
        </w:tc>
      </w:tr>
    </w:tbl>
    <w:p w14:paraId="5578C6D9" w14:textId="77777777" w:rsidR="006E40C9" w:rsidRPr="00540040" w:rsidRDefault="006E40C9" w:rsidP="006E40C9">
      <w:pPr>
        <w:pStyle w:val="MeasureTableHeading"/>
      </w:pPr>
    </w:p>
    <w:p w14:paraId="15715F42" w14:textId="5EEAE329" w:rsidR="006E40C9" w:rsidRPr="00983D5B" w:rsidRDefault="006E40C9" w:rsidP="006E40C9">
      <w:r w:rsidRPr="00983D5B">
        <w:t>Under the benchmark, the cost of a depreciating asset is deducted over its effective life. A tax expenditure arises because eligible business entities c</w:t>
      </w:r>
      <w:r>
        <w:t>ould</w:t>
      </w:r>
      <w:r w:rsidRPr="00983D5B">
        <w:t xml:space="preserve"> access an additional deduction for the electrification of assets and improvements to energy efficiency.</w:t>
      </w:r>
    </w:p>
    <w:p w14:paraId="39601416" w14:textId="113C2E29" w:rsidR="006E40C9" w:rsidRPr="00983D5B" w:rsidRDefault="006E40C9" w:rsidP="006E40C9">
      <w:r w:rsidRPr="00983D5B">
        <w:t xml:space="preserve">Small and medium businesses with an aggregated annual turnover of less than $50 million </w:t>
      </w:r>
      <w:r>
        <w:t>had</w:t>
      </w:r>
      <w:r w:rsidRPr="00983D5B">
        <w:t xml:space="preserve"> access to an additional 20 per cent deduction for the cost of eligible depreciating assets and upgrades that support electrification and more efficient use of energy. The additional deduction d</w:t>
      </w:r>
      <w:r>
        <w:t>id</w:t>
      </w:r>
      <w:r w:rsidRPr="00983D5B">
        <w:t xml:space="preserve"> not affect any other deductions in the tax law.</w:t>
      </w:r>
    </w:p>
    <w:p w14:paraId="35EF50CE" w14:textId="1119FDE4" w:rsidR="006E40C9" w:rsidRDefault="006E40C9" w:rsidP="006E40C9">
      <w:r>
        <w:t>T</w:t>
      </w:r>
      <w:r w:rsidRPr="00983D5B">
        <w:t>he additional deduction applie</w:t>
      </w:r>
      <w:r>
        <w:t>d</w:t>
      </w:r>
      <w:r w:rsidRPr="00983D5B">
        <w:t xml:space="preserve"> from 1 July 2023 until 30 June 2024. A cap on expenditure applie</w:t>
      </w:r>
      <w:r>
        <w:t>d</w:t>
      </w:r>
      <w:r w:rsidRPr="00983D5B">
        <w:t xml:space="preserve"> so that total expenditure of up to $100,000 </w:t>
      </w:r>
      <w:r>
        <w:t>wa</w:t>
      </w:r>
      <w:r w:rsidRPr="00983D5B">
        <w:t>s eligible, with a maximum additional deduction of $20,000.</w:t>
      </w:r>
    </w:p>
    <w:p w14:paraId="38FBCD3F" w14:textId="77777777" w:rsidR="006E40C9" w:rsidRDefault="006E40C9" w:rsidP="0003254D">
      <w:pPr>
        <w:pStyle w:val="Heading4"/>
      </w:pPr>
      <w:r>
        <w:t>B53</w:t>
      </w:r>
      <w:r>
        <w:tab/>
        <w:t>Capital gains tax concession for carried interests paid to venture capital partners</w:t>
      </w:r>
    </w:p>
    <w:p w14:paraId="2EFDBEA2" w14:textId="39F977A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459062B" w14:textId="77777777">
        <w:trPr>
          <w:cantSplit/>
          <w:jc w:val="center"/>
        </w:trPr>
        <w:tc>
          <w:tcPr>
            <w:tcW w:w="967" w:type="dxa"/>
            <w:tcBorders>
              <w:top w:val="single" w:sz="2" w:space="0" w:color="auto"/>
              <w:bottom w:val="single" w:sz="2" w:space="0" w:color="auto"/>
            </w:tcBorders>
          </w:tcPr>
          <w:p w14:paraId="5787110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3A56B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C14107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C7BA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48FA9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7C13AE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AFDB2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C4C226" w14:textId="77777777" w:rsidR="006E40C9" w:rsidRDefault="006E40C9">
            <w:pPr>
              <w:pStyle w:val="MeasureTableTextRightAligned"/>
            </w:pPr>
            <w:r>
              <w:t>2027-28</w:t>
            </w:r>
          </w:p>
        </w:tc>
      </w:tr>
      <w:tr w:rsidR="006E40C9" w14:paraId="3AC9A592" w14:textId="77777777">
        <w:trPr>
          <w:cantSplit/>
          <w:jc w:val="center"/>
        </w:trPr>
        <w:tc>
          <w:tcPr>
            <w:tcW w:w="967" w:type="dxa"/>
            <w:tcBorders>
              <w:top w:val="single" w:sz="2" w:space="0" w:color="auto"/>
              <w:bottom w:val="single" w:sz="2" w:space="0" w:color="auto"/>
            </w:tcBorders>
          </w:tcPr>
          <w:p w14:paraId="464E7B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4BECB1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6871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CD30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DD2F1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64E6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AE9496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2B1D1C7" w14:textId="77777777" w:rsidR="006E40C9" w:rsidRDefault="006E40C9">
            <w:pPr>
              <w:pStyle w:val="MeasureTableTextRightAligned"/>
            </w:pPr>
            <w:r>
              <w:t>*</w:t>
            </w:r>
          </w:p>
        </w:tc>
      </w:tr>
      <w:tr w:rsidR="006E40C9" w14:paraId="7FDF1406" w14:textId="77777777">
        <w:trPr>
          <w:cantSplit/>
          <w:jc w:val="center"/>
        </w:trPr>
        <w:tc>
          <w:tcPr>
            <w:tcW w:w="1934" w:type="dxa"/>
            <w:gridSpan w:val="2"/>
            <w:tcBorders>
              <w:top w:val="single" w:sz="2" w:space="0" w:color="auto"/>
              <w:bottom w:val="nil"/>
            </w:tcBorders>
          </w:tcPr>
          <w:p w14:paraId="64E1A98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328C6B" w14:textId="77777777" w:rsidR="006E40C9" w:rsidRDefault="006E40C9">
            <w:pPr>
              <w:pStyle w:val="MeasureTableTextLeftAligned"/>
            </w:pPr>
            <w:r>
              <w:t>Deferral</w:t>
            </w:r>
          </w:p>
        </w:tc>
        <w:tc>
          <w:tcPr>
            <w:tcW w:w="1500" w:type="dxa"/>
            <w:gridSpan w:val="2"/>
            <w:tcBorders>
              <w:top w:val="single" w:sz="2" w:space="0" w:color="auto"/>
              <w:bottom w:val="nil"/>
            </w:tcBorders>
          </w:tcPr>
          <w:p w14:paraId="6E41CAEC" w14:textId="1D7DB50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D12A8B5" w14:textId="77777777" w:rsidR="006E40C9" w:rsidRDefault="006E40C9">
            <w:pPr>
              <w:pStyle w:val="MeasureTableTextLeftAligned"/>
            </w:pPr>
            <w:r>
              <w:t>B51</w:t>
            </w:r>
          </w:p>
        </w:tc>
      </w:tr>
      <w:tr w:rsidR="006E40C9" w14:paraId="4D7D8FA6" w14:textId="77777777">
        <w:trPr>
          <w:cantSplit/>
          <w:jc w:val="center"/>
        </w:trPr>
        <w:tc>
          <w:tcPr>
            <w:tcW w:w="1934" w:type="dxa"/>
            <w:gridSpan w:val="2"/>
            <w:tcBorders>
              <w:top w:val="nil"/>
              <w:bottom w:val="nil"/>
            </w:tcBorders>
          </w:tcPr>
          <w:p w14:paraId="2C1016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2EA645" w14:textId="77777777" w:rsidR="006E40C9" w:rsidRPr="00584CA7" w:rsidRDefault="006E40C9">
            <w:pPr>
              <w:pStyle w:val="MeasureTableTextLeftAligned"/>
            </w:pPr>
            <w:r>
              <w:t>Not Applicable</w:t>
            </w:r>
          </w:p>
        </w:tc>
        <w:tc>
          <w:tcPr>
            <w:tcW w:w="1500" w:type="dxa"/>
            <w:gridSpan w:val="2"/>
            <w:tcBorders>
              <w:top w:val="nil"/>
              <w:bottom w:val="nil"/>
            </w:tcBorders>
          </w:tcPr>
          <w:p w14:paraId="18AD5F37" w14:textId="77777777" w:rsidR="006E40C9" w:rsidRDefault="006E40C9">
            <w:pPr>
              <w:pStyle w:val="MeasureTableTextItalic"/>
            </w:pPr>
            <w:r>
              <w:t>* Category</w:t>
            </w:r>
          </w:p>
        </w:tc>
        <w:tc>
          <w:tcPr>
            <w:tcW w:w="1124" w:type="dxa"/>
            <w:gridSpan w:val="2"/>
            <w:tcBorders>
              <w:top w:val="nil"/>
              <w:bottom w:val="nil"/>
            </w:tcBorders>
          </w:tcPr>
          <w:p w14:paraId="4E2A72A9" w14:textId="77777777" w:rsidR="006E40C9" w:rsidRDefault="006E40C9">
            <w:pPr>
              <w:pStyle w:val="MeasureTableTextLeftAligned"/>
            </w:pPr>
            <w:r>
              <w:t>2+</w:t>
            </w:r>
          </w:p>
        </w:tc>
      </w:tr>
      <w:tr w:rsidR="006E40C9" w14:paraId="3BAF471E" w14:textId="77777777">
        <w:trPr>
          <w:cantSplit/>
          <w:jc w:val="center"/>
        </w:trPr>
        <w:tc>
          <w:tcPr>
            <w:tcW w:w="1934" w:type="dxa"/>
            <w:gridSpan w:val="2"/>
            <w:tcBorders>
              <w:top w:val="nil"/>
              <w:bottom w:val="nil"/>
            </w:tcBorders>
          </w:tcPr>
          <w:p w14:paraId="64FC9F94" w14:textId="77777777" w:rsidR="006E40C9" w:rsidRDefault="006E40C9">
            <w:pPr>
              <w:pStyle w:val="MeasureTableTextItalic"/>
            </w:pPr>
            <w:r>
              <w:t>Commencement date:</w:t>
            </w:r>
          </w:p>
        </w:tc>
        <w:tc>
          <w:tcPr>
            <w:tcW w:w="3179" w:type="dxa"/>
            <w:gridSpan w:val="4"/>
            <w:tcBorders>
              <w:top w:val="nil"/>
              <w:bottom w:val="nil"/>
            </w:tcBorders>
          </w:tcPr>
          <w:p w14:paraId="4A82ED85" w14:textId="77777777" w:rsidR="006E40C9" w:rsidRDefault="006E40C9">
            <w:pPr>
              <w:pStyle w:val="MeasureTableTextLeftAligned"/>
            </w:pPr>
            <w:r>
              <w:t>2002</w:t>
            </w:r>
          </w:p>
        </w:tc>
        <w:tc>
          <w:tcPr>
            <w:tcW w:w="1500" w:type="dxa"/>
            <w:gridSpan w:val="2"/>
            <w:tcBorders>
              <w:top w:val="nil"/>
              <w:bottom w:val="nil"/>
            </w:tcBorders>
          </w:tcPr>
          <w:p w14:paraId="1BDEF1B8" w14:textId="77777777" w:rsidR="006E40C9" w:rsidRPr="00F32057" w:rsidRDefault="006E40C9">
            <w:pPr>
              <w:pStyle w:val="MeasureTableTextItalic"/>
            </w:pPr>
            <w:r>
              <w:t>Expiry date:</w:t>
            </w:r>
          </w:p>
        </w:tc>
        <w:tc>
          <w:tcPr>
            <w:tcW w:w="1124" w:type="dxa"/>
            <w:gridSpan w:val="2"/>
            <w:tcBorders>
              <w:top w:val="nil"/>
              <w:bottom w:val="nil"/>
            </w:tcBorders>
          </w:tcPr>
          <w:p w14:paraId="52EBD09F" w14:textId="77777777" w:rsidR="006E40C9" w:rsidRPr="00F32057" w:rsidRDefault="006E40C9">
            <w:pPr>
              <w:pStyle w:val="MeasureTableTextLeftAligned"/>
            </w:pPr>
          </w:p>
        </w:tc>
      </w:tr>
      <w:tr w:rsidR="006E40C9" w14:paraId="1639674A" w14:textId="77777777">
        <w:trPr>
          <w:cantSplit/>
          <w:jc w:val="center"/>
        </w:trPr>
        <w:tc>
          <w:tcPr>
            <w:tcW w:w="1934" w:type="dxa"/>
            <w:gridSpan w:val="2"/>
            <w:tcBorders>
              <w:top w:val="nil"/>
            </w:tcBorders>
          </w:tcPr>
          <w:p w14:paraId="4E481E31" w14:textId="77777777" w:rsidR="006E40C9" w:rsidRDefault="006E40C9">
            <w:pPr>
              <w:pStyle w:val="MeasureTableTextItalic"/>
            </w:pPr>
            <w:r>
              <w:t>Legislative reference:</w:t>
            </w:r>
          </w:p>
        </w:tc>
        <w:tc>
          <w:tcPr>
            <w:tcW w:w="5803" w:type="dxa"/>
            <w:gridSpan w:val="8"/>
            <w:tcBorders>
              <w:top w:val="nil"/>
            </w:tcBorders>
          </w:tcPr>
          <w:p w14:paraId="3FBB24E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sidRPr="00FC7B3F">
              <w:rPr>
                <w:rFonts w:ascii="Arial" w:hAnsi="Arial" w:cs="Microsoft Sans Serif"/>
                <w:sz w:val="16"/>
                <w:szCs w:val="17"/>
              </w:rPr>
              <w:t xml:space="preserve">Sections 104-255 and 118-21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p w14:paraId="0983895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Venture Capital Act 2002</w:t>
            </w:r>
          </w:p>
        </w:tc>
      </w:tr>
    </w:tbl>
    <w:p w14:paraId="333C45B2" w14:textId="77777777" w:rsidR="006E40C9" w:rsidRPr="00540040" w:rsidRDefault="006E40C9" w:rsidP="006E40C9">
      <w:pPr>
        <w:pStyle w:val="MeasureTableHeading"/>
      </w:pPr>
    </w:p>
    <w:p w14:paraId="2A4A7FE7" w14:textId="08B8345B" w:rsidR="006E40C9" w:rsidRDefault="006E40C9" w:rsidP="006E40C9">
      <w:r w:rsidRPr="0095059B">
        <w:t>Venture capital fund managers may be paid a performance</w:t>
      </w:r>
      <w:r>
        <w:noBreakHyphen/>
      </w:r>
      <w:r w:rsidRPr="0095059B">
        <w:t xml:space="preserve">based share of partnership profits by investors. Such performance payments are </w:t>
      </w:r>
      <w:r>
        <w:t>‘</w:t>
      </w:r>
      <w:r w:rsidRPr="0095059B">
        <w:t>carried interests</w:t>
      </w:r>
      <w:r>
        <w:fldChar w:fldCharType="begin"/>
      </w:r>
      <w:r>
        <w:instrText xml:space="preserve"> XE "C</w:instrText>
      </w:r>
      <w:r w:rsidRPr="00091E40">
        <w:instrText>arried interests</w:instrText>
      </w:r>
      <w:r>
        <w:instrText xml:space="preserve">" </w:instrText>
      </w:r>
      <w:r>
        <w:fldChar w:fldCharType="end"/>
      </w:r>
      <w:r>
        <w:t>‘</w:t>
      </w:r>
      <w:r w:rsidRPr="0095059B">
        <w:t>.</w:t>
      </w:r>
      <w:r>
        <w:t xml:space="preserve"> Under the benchmark, these entitlements are generally ordinary income of the partner. However, a tax expenditure arises as a</w:t>
      </w:r>
      <w:r w:rsidRPr="0095059B">
        <w:t>n entitlement to receive a carried interest is a capital gains tax event in the hands of venture capital</w:t>
      </w:r>
      <w:r>
        <w:fldChar w:fldCharType="begin"/>
      </w:r>
      <w:r>
        <w:instrText xml:space="preserve"> XE "</w:instrText>
      </w:r>
      <w:r w:rsidRPr="000C23A2">
        <w:instrText>Venture capital</w:instrText>
      </w:r>
      <w:r>
        <w:instrText xml:space="preserve">" </w:instrText>
      </w:r>
      <w:r>
        <w:fldChar w:fldCharType="end"/>
      </w:r>
      <w:r w:rsidRPr="0095059B">
        <w:t xml:space="preserve"> fund </w:t>
      </w:r>
      <w:r>
        <w:t>partners</w:t>
      </w:r>
      <w:r w:rsidRPr="0095059B">
        <w:t xml:space="preserve"> and is not treated as </w:t>
      </w:r>
      <w:r>
        <w:t xml:space="preserve">ordinary </w:t>
      </w:r>
      <w:r w:rsidRPr="0095059B">
        <w:t xml:space="preserve">income. Consequently, </w:t>
      </w:r>
      <w:r>
        <w:t>i</w:t>
      </w:r>
      <w:r w:rsidRPr="0095059B">
        <w:t xml:space="preserve">ndividual </w:t>
      </w:r>
      <w:r>
        <w:t>partners</w:t>
      </w:r>
      <w:r w:rsidRPr="0095059B">
        <w:t xml:space="preserve"> </w:t>
      </w:r>
      <w:r>
        <w:t>may</w:t>
      </w:r>
      <w:r w:rsidDel="0058721C">
        <w:t xml:space="preserve"> </w:t>
      </w:r>
      <w:r>
        <w:t>be</w:t>
      </w:r>
      <w:r w:rsidRPr="0095059B">
        <w:t xml:space="preserve"> eligible for the 50</w:t>
      </w:r>
      <w:r>
        <w:t> </w:t>
      </w:r>
      <w:r w:rsidRPr="0095059B">
        <w:t>per</w:t>
      </w:r>
      <w:r>
        <w:t> </w:t>
      </w:r>
      <w:r w:rsidRPr="0095059B">
        <w:t>cent discount on their carried interest.</w:t>
      </w:r>
    </w:p>
    <w:p w14:paraId="07198A47" w14:textId="77777777" w:rsidR="006E40C9" w:rsidRDefault="006E40C9" w:rsidP="0003254D">
      <w:pPr>
        <w:pStyle w:val="Heading4"/>
      </w:pPr>
      <w:r>
        <w:t>B54</w:t>
      </w:r>
      <w:r>
        <w:tab/>
        <w:t>Clarification of the debt or equity treatment of perpetual subordinated debt</w:t>
      </w:r>
    </w:p>
    <w:p w14:paraId="79DA7299" w14:textId="06961DB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C9F159" w14:textId="77777777">
        <w:trPr>
          <w:cantSplit/>
          <w:jc w:val="center"/>
        </w:trPr>
        <w:tc>
          <w:tcPr>
            <w:tcW w:w="967" w:type="dxa"/>
            <w:tcBorders>
              <w:top w:val="single" w:sz="2" w:space="0" w:color="auto"/>
              <w:bottom w:val="single" w:sz="2" w:space="0" w:color="auto"/>
            </w:tcBorders>
          </w:tcPr>
          <w:p w14:paraId="4C6B493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E5E4D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0897F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F79D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51F37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F6D97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01F9B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D56D2B" w14:textId="77777777" w:rsidR="006E40C9" w:rsidRDefault="006E40C9">
            <w:pPr>
              <w:pStyle w:val="MeasureTableTextRightAligned"/>
            </w:pPr>
            <w:r>
              <w:t>2027-28</w:t>
            </w:r>
          </w:p>
        </w:tc>
      </w:tr>
      <w:tr w:rsidR="006E40C9" w14:paraId="41418A11" w14:textId="77777777">
        <w:trPr>
          <w:cantSplit/>
          <w:jc w:val="center"/>
        </w:trPr>
        <w:tc>
          <w:tcPr>
            <w:tcW w:w="967" w:type="dxa"/>
            <w:tcBorders>
              <w:top w:val="single" w:sz="2" w:space="0" w:color="auto"/>
              <w:bottom w:val="single" w:sz="2" w:space="0" w:color="auto"/>
            </w:tcBorders>
          </w:tcPr>
          <w:p w14:paraId="4C3CBE5F" w14:textId="77777777" w:rsidR="006E40C9" w:rsidRDefault="006E40C9">
            <w:pPr>
              <w:pStyle w:val="MeasureTableTextRightAligned"/>
            </w:pPr>
            <w:r>
              <w:t>*</w:t>
            </w:r>
          </w:p>
        </w:tc>
        <w:tc>
          <w:tcPr>
            <w:tcW w:w="967" w:type="dxa"/>
            <w:tcBorders>
              <w:top w:val="single" w:sz="2" w:space="0" w:color="auto"/>
              <w:bottom w:val="single" w:sz="2" w:space="0" w:color="auto"/>
            </w:tcBorders>
          </w:tcPr>
          <w:p w14:paraId="516010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692E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73050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94E98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CF95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0A023E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A8D7EAE" w14:textId="77777777" w:rsidR="006E40C9" w:rsidRDefault="006E40C9">
            <w:pPr>
              <w:pStyle w:val="MeasureTableTextRightAligned"/>
            </w:pPr>
            <w:r>
              <w:t>*</w:t>
            </w:r>
          </w:p>
        </w:tc>
      </w:tr>
      <w:tr w:rsidR="006E40C9" w14:paraId="0F189976" w14:textId="77777777">
        <w:trPr>
          <w:cantSplit/>
          <w:jc w:val="center"/>
        </w:trPr>
        <w:tc>
          <w:tcPr>
            <w:tcW w:w="1934" w:type="dxa"/>
            <w:gridSpan w:val="2"/>
            <w:tcBorders>
              <w:top w:val="single" w:sz="2" w:space="0" w:color="auto"/>
              <w:bottom w:val="nil"/>
            </w:tcBorders>
          </w:tcPr>
          <w:p w14:paraId="0A5A7DA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92B513" w14:textId="77777777" w:rsidR="006E40C9" w:rsidRDefault="006E40C9">
            <w:pPr>
              <w:pStyle w:val="MeasureTableTextLeftAligned"/>
            </w:pPr>
            <w:r>
              <w:t>Deduction</w:t>
            </w:r>
          </w:p>
        </w:tc>
        <w:tc>
          <w:tcPr>
            <w:tcW w:w="1500" w:type="dxa"/>
            <w:gridSpan w:val="2"/>
            <w:tcBorders>
              <w:top w:val="single" w:sz="2" w:space="0" w:color="auto"/>
              <w:bottom w:val="nil"/>
            </w:tcBorders>
          </w:tcPr>
          <w:p w14:paraId="33397218" w14:textId="60831E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DDAD48A" w14:textId="77777777" w:rsidR="006E40C9" w:rsidRDefault="006E40C9">
            <w:pPr>
              <w:pStyle w:val="MeasureTableTextLeftAligned"/>
            </w:pPr>
            <w:r>
              <w:t>B52</w:t>
            </w:r>
          </w:p>
        </w:tc>
      </w:tr>
      <w:tr w:rsidR="006E40C9" w14:paraId="220571B0" w14:textId="77777777">
        <w:trPr>
          <w:cantSplit/>
          <w:jc w:val="center"/>
        </w:trPr>
        <w:tc>
          <w:tcPr>
            <w:tcW w:w="1934" w:type="dxa"/>
            <w:gridSpan w:val="2"/>
            <w:tcBorders>
              <w:top w:val="nil"/>
              <w:bottom w:val="nil"/>
            </w:tcBorders>
          </w:tcPr>
          <w:p w14:paraId="3DC409D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4BABCB3" w14:textId="77777777" w:rsidR="006E40C9" w:rsidRPr="00584CA7" w:rsidRDefault="006E40C9">
            <w:pPr>
              <w:pStyle w:val="MeasureTableTextLeftAligned"/>
            </w:pPr>
            <w:r>
              <w:t>Not Applicable</w:t>
            </w:r>
          </w:p>
        </w:tc>
        <w:tc>
          <w:tcPr>
            <w:tcW w:w="1500" w:type="dxa"/>
            <w:gridSpan w:val="2"/>
            <w:tcBorders>
              <w:top w:val="nil"/>
              <w:bottom w:val="nil"/>
            </w:tcBorders>
          </w:tcPr>
          <w:p w14:paraId="2AE5E3F7" w14:textId="77777777" w:rsidR="006E40C9" w:rsidRDefault="006E40C9">
            <w:pPr>
              <w:pStyle w:val="MeasureTableTextItalic"/>
            </w:pPr>
            <w:r>
              <w:t>* Category</w:t>
            </w:r>
          </w:p>
        </w:tc>
        <w:tc>
          <w:tcPr>
            <w:tcW w:w="1124" w:type="dxa"/>
            <w:gridSpan w:val="2"/>
            <w:tcBorders>
              <w:top w:val="nil"/>
              <w:bottom w:val="nil"/>
            </w:tcBorders>
          </w:tcPr>
          <w:p w14:paraId="50673267" w14:textId="77777777" w:rsidR="006E40C9" w:rsidRDefault="006E40C9">
            <w:pPr>
              <w:pStyle w:val="MeasureTableTextLeftAligned"/>
            </w:pPr>
            <w:r>
              <w:t>NA</w:t>
            </w:r>
          </w:p>
        </w:tc>
      </w:tr>
      <w:tr w:rsidR="006E40C9" w14:paraId="0584A413" w14:textId="77777777">
        <w:trPr>
          <w:cantSplit/>
          <w:jc w:val="center"/>
        </w:trPr>
        <w:tc>
          <w:tcPr>
            <w:tcW w:w="1934" w:type="dxa"/>
            <w:gridSpan w:val="2"/>
            <w:tcBorders>
              <w:top w:val="nil"/>
              <w:bottom w:val="nil"/>
            </w:tcBorders>
          </w:tcPr>
          <w:p w14:paraId="45E71F5D" w14:textId="77777777" w:rsidR="006E40C9" w:rsidRDefault="006E40C9">
            <w:pPr>
              <w:pStyle w:val="MeasureTableTextItalic"/>
            </w:pPr>
            <w:r>
              <w:t>Commencement date:</w:t>
            </w:r>
          </w:p>
        </w:tc>
        <w:tc>
          <w:tcPr>
            <w:tcW w:w="3179" w:type="dxa"/>
            <w:gridSpan w:val="4"/>
            <w:tcBorders>
              <w:top w:val="nil"/>
              <w:bottom w:val="nil"/>
            </w:tcBorders>
          </w:tcPr>
          <w:p w14:paraId="4EAB15FD" w14:textId="77777777" w:rsidR="006E40C9" w:rsidRDefault="006E40C9">
            <w:pPr>
              <w:pStyle w:val="MeasureTableTextLeftAligned"/>
            </w:pPr>
            <w:r>
              <w:t>1 July 2001</w:t>
            </w:r>
          </w:p>
        </w:tc>
        <w:tc>
          <w:tcPr>
            <w:tcW w:w="1500" w:type="dxa"/>
            <w:gridSpan w:val="2"/>
            <w:tcBorders>
              <w:top w:val="nil"/>
              <w:bottom w:val="nil"/>
            </w:tcBorders>
          </w:tcPr>
          <w:p w14:paraId="147777A2" w14:textId="77777777" w:rsidR="006E40C9" w:rsidRPr="00F32057" w:rsidRDefault="006E40C9">
            <w:pPr>
              <w:pStyle w:val="MeasureTableTextItalic"/>
            </w:pPr>
            <w:r>
              <w:t>Expiry date:</w:t>
            </w:r>
          </w:p>
        </w:tc>
        <w:tc>
          <w:tcPr>
            <w:tcW w:w="1124" w:type="dxa"/>
            <w:gridSpan w:val="2"/>
            <w:tcBorders>
              <w:top w:val="nil"/>
              <w:bottom w:val="nil"/>
            </w:tcBorders>
          </w:tcPr>
          <w:p w14:paraId="46354AD5" w14:textId="77777777" w:rsidR="006E40C9" w:rsidRPr="00F32057" w:rsidRDefault="006E40C9">
            <w:pPr>
              <w:pStyle w:val="MeasureTableTextLeftAligned"/>
            </w:pPr>
          </w:p>
        </w:tc>
      </w:tr>
      <w:tr w:rsidR="006E40C9" w14:paraId="7D0B172D" w14:textId="77777777">
        <w:trPr>
          <w:cantSplit/>
          <w:jc w:val="center"/>
        </w:trPr>
        <w:tc>
          <w:tcPr>
            <w:tcW w:w="1934" w:type="dxa"/>
            <w:gridSpan w:val="2"/>
            <w:tcBorders>
              <w:top w:val="nil"/>
            </w:tcBorders>
          </w:tcPr>
          <w:p w14:paraId="4C972672" w14:textId="77777777" w:rsidR="006E40C9" w:rsidRDefault="006E40C9">
            <w:pPr>
              <w:pStyle w:val="MeasureTableTextItalic"/>
            </w:pPr>
            <w:r>
              <w:t>Legislative reference:</w:t>
            </w:r>
          </w:p>
        </w:tc>
        <w:tc>
          <w:tcPr>
            <w:tcW w:w="5803" w:type="dxa"/>
            <w:gridSpan w:val="8"/>
            <w:tcBorders>
              <w:top w:val="nil"/>
            </w:tcBorders>
          </w:tcPr>
          <w:p w14:paraId="5DAAD06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974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Division 974 of the </w:t>
            </w:r>
            <w:r>
              <w:rPr>
                <w:rFonts w:ascii="Arial" w:hAnsi="Arial" w:cs="Arial"/>
                <w:i/>
                <w:iCs/>
                <w:color w:val="000000"/>
                <w:sz w:val="16"/>
                <w:szCs w:val="16"/>
              </w:rPr>
              <w:t>Income Tax Assessment (1997 Act) Regulations 2021</w:t>
            </w:r>
          </w:p>
        </w:tc>
      </w:tr>
    </w:tbl>
    <w:p w14:paraId="2D8505EC" w14:textId="77777777" w:rsidR="006E40C9" w:rsidRPr="00540040" w:rsidRDefault="006E40C9" w:rsidP="006E40C9">
      <w:pPr>
        <w:pStyle w:val="MeasureTableHeading"/>
      </w:pPr>
    </w:p>
    <w:p w14:paraId="6340E9DA" w14:textId="77777777" w:rsidR="006E40C9" w:rsidRDefault="006E40C9" w:rsidP="006E40C9">
      <w:r w:rsidRPr="00027FDF">
        <w:t>Issuers can defer payments on Upper Tier 2 perpetual cumulative subordinated notes because of clauses on ‘profitability, insolvency or negative earnings conditions’. In these circumstances, these notes can be classified as debt interests for tax purposes. As such, distributions on the notes may be tax deductible. Under the benchmark debt equity rules, the notes would be equity interests and distributions will not be tax deductible.</w:t>
      </w:r>
    </w:p>
    <w:p w14:paraId="4C583619" w14:textId="77777777" w:rsidR="006E40C9" w:rsidRDefault="006E40C9" w:rsidP="0003254D">
      <w:pPr>
        <w:pStyle w:val="Heading4"/>
      </w:pPr>
      <w:r>
        <w:t>B55</w:t>
      </w:r>
      <w:r>
        <w:tab/>
        <w:t>Deduction for borrowing expenses</w:t>
      </w:r>
    </w:p>
    <w:p w14:paraId="6F20381E" w14:textId="3CB6C99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5676F" w14:textId="77777777">
        <w:trPr>
          <w:cantSplit/>
          <w:jc w:val="center"/>
        </w:trPr>
        <w:tc>
          <w:tcPr>
            <w:tcW w:w="967" w:type="dxa"/>
            <w:tcBorders>
              <w:top w:val="single" w:sz="2" w:space="0" w:color="auto"/>
              <w:bottom w:val="single" w:sz="2" w:space="0" w:color="auto"/>
            </w:tcBorders>
          </w:tcPr>
          <w:p w14:paraId="4215CB5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26869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0571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D4630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E8EC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9C1D68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4ED7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7A84BEC" w14:textId="77777777" w:rsidR="006E40C9" w:rsidRDefault="006E40C9">
            <w:pPr>
              <w:pStyle w:val="MeasureTableTextRightAligned"/>
            </w:pPr>
            <w:r>
              <w:t>2027-28</w:t>
            </w:r>
          </w:p>
        </w:tc>
      </w:tr>
      <w:tr w:rsidR="006E40C9" w14:paraId="1D16EA94" w14:textId="77777777">
        <w:trPr>
          <w:cantSplit/>
          <w:jc w:val="center"/>
        </w:trPr>
        <w:tc>
          <w:tcPr>
            <w:tcW w:w="967" w:type="dxa"/>
            <w:tcBorders>
              <w:top w:val="single" w:sz="2" w:space="0" w:color="auto"/>
              <w:bottom w:val="single" w:sz="2" w:space="0" w:color="auto"/>
            </w:tcBorders>
          </w:tcPr>
          <w:p w14:paraId="790E1132"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B69F6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0D1B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E8310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AE4D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EEBD9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9ECA95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72A4E9F" w14:textId="77777777" w:rsidR="006E40C9" w:rsidRDefault="006E40C9">
            <w:pPr>
              <w:pStyle w:val="MeasureTableTextRightAligned"/>
            </w:pPr>
            <w:r>
              <w:t>*</w:t>
            </w:r>
          </w:p>
        </w:tc>
      </w:tr>
      <w:tr w:rsidR="006E40C9" w14:paraId="4995D791" w14:textId="77777777">
        <w:trPr>
          <w:cantSplit/>
          <w:jc w:val="center"/>
        </w:trPr>
        <w:tc>
          <w:tcPr>
            <w:tcW w:w="1934" w:type="dxa"/>
            <w:gridSpan w:val="2"/>
            <w:tcBorders>
              <w:top w:val="single" w:sz="2" w:space="0" w:color="auto"/>
              <w:bottom w:val="nil"/>
            </w:tcBorders>
          </w:tcPr>
          <w:p w14:paraId="1331E7D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96EB4E" w14:textId="77777777" w:rsidR="006E40C9" w:rsidRDefault="006E40C9">
            <w:pPr>
              <w:pStyle w:val="MeasureTableTextLeftAligned"/>
            </w:pPr>
            <w:r>
              <w:t>Deduction</w:t>
            </w:r>
          </w:p>
        </w:tc>
        <w:tc>
          <w:tcPr>
            <w:tcW w:w="1500" w:type="dxa"/>
            <w:gridSpan w:val="2"/>
            <w:tcBorders>
              <w:top w:val="single" w:sz="2" w:space="0" w:color="auto"/>
              <w:bottom w:val="nil"/>
            </w:tcBorders>
          </w:tcPr>
          <w:p w14:paraId="44CDF9E2" w14:textId="231ECC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F83855" w14:textId="77777777" w:rsidR="006E40C9" w:rsidRDefault="006E40C9">
            <w:pPr>
              <w:pStyle w:val="MeasureTableTextLeftAligned"/>
            </w:pPr>
            <w:r>
              <w:t>B53</w:t>
            </w:r>
          </w:p>
        </w:tc>
      </w:tr>
      <w:tr w:rsidR="006E40C9" w14:paraId="2E1A5342" w14:textId="77777777">
        <w:trPr>
          <w:cantSplit/>
          <w:jc w:val="center"/>
        </w:trPr>
        <w:tc>
          <w:tcPr>
            <w:tcW w:w="1934" w:type="dxa"/>
            <w:gridSpan w:val="2"/>
            <w:tcBorders>
              <w:top w:val="nil"/>
              <w:bottom w:val="nil"/>
            </w:tcBorders>
          </w:tcPr>
          <w:p w14:paraId="147BA27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6150320" w14:textId="77777777" w:rsidR="006E40C9" w:rsidRPr="00584CA7" w:rsidRDefault="006E40C9">
            <w:pPr>
              <w:pStyle w:val="MeasureTableTextLeftAligned"/>
            </w:pPr>
            <w:r>
              <w:t>Not Applicable</w:t>
            </w:r>
          </w:p>
        </w:tc>
        <w:tc>
          <w:tcPr>
            <w:tcW w:w="1500" w:type="dxa"/>
            <w:gridSpan w:val="2"/>
            <w:tcBorders>
              <w:top w:val="nil"/>
              <w:bottom w:val="nil"/>
            </w:tcBorders>
          </w:tcPr>
          <w:p w14:paraId="4F25D68A" w14:textId="77777777" w:rsidR="006E40C9" w:rsidRDefault="006E40C9">
            <w:pPr>
              <w:pStyle w:val="MeasureTableTextItalic"/>
            </w:pPr>
            <w:r>
              <w:t>* Category</w:t>
            </w:r>
          </w:p>
        </w:tc>
        <w:tc>
          <w:tcPr>
            <w:tcW w:w="1124" w:type="dxa"/>
            <w:gridSpan w:val="2"/>
            <w:tcBorders>
              <w:top w:val="nil"/>
              <w:bottom w:val="nil"/>
            </w:tcBorders>
          </w:tcPr>
          <w:p w14:paraId="79A445E5" w14:textId="77777777" w:rsidR="006E40C9" w:rsidRDefault="006E40C9">
            <w:pPr>
              <w:pStyle w:val="MeasureTableTextLeftAligned"/>
            </w:pPr>
            <w:r>
              <w:t>2+</w:t>
            </w:r>
          </w:p>
        </w:tc>
      </w:tr>
      <w:tr w:rsidR="006E40C9" w14:paraId="57A144C7" w14:textId="77777777">
        <w:trPr>
          <w:cantSplit/>
          <w:jc w:val="center"/>
        </w:trPr>
        <w:tc>
          <w:tcPr>
            <w:tcW w:w="1934" w:type="dxa"/>
            <w:gridSpan w:val="2"/>
            <w:tcBorders>
              <w:top w:val="nil"/>
              <w:bottom w:val="nil"/>
            </w:tcBorders>
          </w:tcPr>
          <w:p w14:paraId="42F8E890" w14:textId="77777777" w:rsidR="006E40C9" w:rsidRDefault="006E40C9">
            <w:pPr>
              <w:pStyle w:val="MeasureTableTextItalic"/>
            </w:pPr>
            <w:r>
              <w:t>Commencement date:</w:t>
            </w:r>
          </w:p>
        </w:tc>
        <w:tc>
          <w:tcPr>
            <w:tcW w:w="3179" w:type="dxa"/>
            <w:gridSpan w:val="4"/>
            <w:tcBorders>
              <w:top w:val="nil"/>
              <w:bottom w:val="nil"/>
            </w:tcBorders>
          </w:tcPr>
          <w:p w14:paraId="61FEB121" w14:textId="77777777" w:rsidR="006E40C9" w:rsidRDefault="006E40C9">
            <w:pPr>
              <w:pStyle w:val="MeasureTableTextLeftAligned"/>
            </w:pPr>
            <w:r>
              <w:t>1 July 1997</w:t>
            </w:r>
          </w:p>
        </w:tc>
        <w:tc>
          <w:tcPr>
            <w:tcW w:w="1500" w:type="dxa"/>
            <w:gridSpan w:val="2"/>
            <w:tcBorders>
              <w:top w:val="nil"/>
              <w:bottom w:val="nil"/>
            </w:tcBorders>
          </w:tcPr>
          <w:p w14:paraId="02DE3082" w14:textId="77777777" w:rsidR="006E40C9" w:rsidRPr="00F32057" w:rsidRDefault="006E40C9">
            <w:pPr>
              <w:pStyle w:val="MeasureTableTextItalic"/>
            </w:pPr>
            <w:r>
              <w:t>Expiry date:</w:t>
            </w:r>
          </w:p>
        </w:tc>
        <w:tc>
          <w:tcPr>
            <w:tcW w:w="1124" w:type="dxa"/>
            <w:gridSpan w:val="2"/>
            <w:tcBorders>
              <w:top w:val="nil"/>
              <w:bottom w:val="nil"/>
            </w:tcBorders>
          </w:tcPr>
          <w:p w14:paraId="20F7A5D3" w14:textId="77777777" w:rsidR="006E40C9" w:rsidRPr="00F32057" w:rsidRDefault="006E40C9">
            <w:pPr>
              <w:pStyle w:val="MeasureTableTextLeftAligned"/>
            </w:pPr>
          </w:p>
        </w:tc>
      </w:tr>
      <w:tr w:rsidR="006E40C9" w14:paraId="6FF83423" w14:textId="77777777">
        <w:trPr>
          <w:cantSplit/>
          <w:jc w:val="center"/>
        </w:trPr>
        <w:tc>
          <w:tcPr>
            <w:tcW w:w="1934" w:type="dxa"/>
            <w:gridSpan w:val="2"/>
            <w:tcBorders>
              <w:top w:val="nil"/>
            </w:tcBorders>
          </w:tcPr>
          <w:p w14:paraId="60D86ED1" w14:textId="77777777" w:rsidR="006E40C9" w:rsidRDefault="006E40C9">
            <w:pPr>
              <w:pStyle w:val="MeasureTableTextItalic"/>
            </w:pPr>
            <w:r>
              <w:t>Legislative reference:</w:t>
            </w:r>
          </w:p>
        </w:tc>
        <w:tc>
          <w:tcPr>
            <w:tcW w:w="5803" w:type="dxa"/>
            <w:gridSpan w:val="8"/>
            <w:tcBorders>
              <w:top w:val="nil"/>
            </w:tcBorders>
          </w:tcPr>
          <w:p w14:paraId="6A2030AC"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25-25 of the </w:t>
            </w:r>
            <w:r>
              <w:rPr>
                <w:rFonts w:ascii="Arial" w:hAnsi="Arial" w:cs="Arial"/>
                <w:i/>
                <w:iCs/>
                <w:color w:val="000000"/>
                <w:sz w:val="16"/>
                <w:szCs w:val="16"/>
              </w:rPr>
              <w:t>Income Tax Assessment Act 1997</w:t>
            </w:r>
          </w:p>
        </w:tc>
      </w:tr>
    </w:tbl>
    <w:p w14:paraId="1FF51402" w14:textId="77777777" w:rsidR="006E40C9" w:rsidRPr="00540040" w:rsidRDefault="006E40C9" w:rsidP="006E40C9">
      <w:pPr>
        <w:pStyle w:val="MeasureTableHeading"/>
      </w:pPr>
    </w:p>
    <w:p w14:paraId="180D5CC8" w14:textId="6E4D4724" w:rsidR="006E40C9" w:rsidRDefault="006E40C9" w:rsidP="006E40C9">
      <w:r>
        <w:t>Under the benchmark treatment up</w:t>
      </w:r>
      <w:r w:rsidR="00427FF8">
        <w:t>-</w:t>
      </w:r>
      <w:r>
        <w:t>front borrowing expenses (such as fees) incurred when borrowing to buy an asset used to produce assessable income would be capital in nature and included in the cost base of the asset. However, a</w:t>
      </w:r>
      <w:r w:rsidRPr="000C2813">
        <w:t xml:space="preserve"> taxpayer is able to claim a deduction (spread over the shorter of the term of the loan or </w:t>
      </w:r>
      <w:r>
        <w:t>five</w:t>
      </w:r>
      <w:r w:rsidRPr="000C2813">
        <w:t xml:space="preserve"> years) for </w:t>
      </w:r>
      <w:r>
        <w:t xml:space="preserve">these </w:t>
      </w:r>
      <w:r w:rsidRPr="000C2813">
        <w:t>expenses</w:t>
      </w:r>
      <w:r>
        <w:fldChar w:fldCharType="begin"/>
      </w:r>
      <w:r>
        <w:instrText xml:space="preserve"> XE "</w:instrText>
      </w:r>
      <w:r w:rsidRPr="007D77CD">
        <w:instrText>B</w:instrText>
      </w:r>
      <w:r w:rsidRPr="003C2E9A">
        <w:instrText>orrowing expenses</w:instrText>
      </w:r>
      <w:r>
        <w:instrText xml:space="preserve">" </w:instrText>
      </w:r>
      <w:r>
        <w:fldChar w:fldCharType="end"/>
      </w:r>
      <w:r w:rsidRPr="000C2813">
        <w:t>.</w:t>
      </w:r>
    </w:p>
    <w:p w14:paraId="53AD2625" w14:textId="77777777" w:rsidR="006E40C9" w:rsidRDefault="006E40C9" w:rsidP="00432D19">
      <w:pPr>
        <w:pStyle w:val="Heading4"/>
      </w:pPr>
      <w:r>
        <w:t>B56</w:t>
      </w:r>
      <w:r>
        <w:tab/>
        <w:t>Deduction for certain co-operatives repaying government loans</w:t>
      </w:r>
    </w:p>
    <w:p w14:paraId="349D29D7" w14:textId="26A67E4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1423AAC" w14:textId="77777777">
        <w:trPr>
          <w:cantSplit/>
          <w:jc w:val="center"/>
        </w:trPr>
        <w:tc>
          <w:tcPr>
            <w:tcW w:w="967" w:type="dxa"/>
            <w:tcBorders>
              <w:top w:val="single" w:sz="2" w:space="0" w:color="auto"/>
              <w:bottom w:val="single" w:sz="2" w:space="0" w:color="auto"/>
            </w:tcBorders>
          </w:tcPr>
          <w:p w14:paraId="0C5AF32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82DDA2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1802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2323F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28607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08F6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F17E0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7BAA54" w14:textId="77777777" w:rsidR="006E40C9" w:rsidRDefault="006E40C9">
            <w:pPr>
              <w:pStyle w:val="MeasureTableTextRightAligned"/>
            </w:pPr>
            <w:r>
              <w:t>2027-28</w:t>
            </w:r>
          </w:p>
        </w:tc>
      </w:tr>
      <w:tr w:rsidR="006E40C9" w14:paraId="16CD9C08" w14:textId="77777777">
        <w:trPr>
          <w:cantSplit/>
          <w:jc w:val="center"/>
        </w:trPr>
        <w:tc>
          <w:tcPr>
            <w:tcW w:w="967" w:type="dxa"/>
            <w:tcBorders>
              <w:top w:val="single" w:sz="2" w:space="0" w:color="auto"/>
              <w:bottom w:val="single" w:sz="2" w:space="0" w:color="auto"/>
            </w:tcBorders>
          </w:tcPr>
          <w:p w14:paraId="24D1B061"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682F3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E715E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3F69F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D069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7A34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345E5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A13DB36" w14:textId="77777777" w:rsidR="006E40C9" w:rsidRDefault="006E40C9">
            <w:pPr>
              <w:pStyle w:val="MeasureTableTextRightAligned"/>
            </w:pPr>
            <w:r>
              <w:t>*</w:t>
            </w:r>
          </w:p>
        </w:tc>
      </w:tr>
      <w:tr w:rsidR="006E40C9" w14:paraId="7B77FAF6" w14:textId="77777777">
        <w:trPr>
          <w:cantSplit/>
          <w:jc w:val="center"/>
        </w:trPr>
        <w:tc>
          <w:tcPr>
            <w:tcW w:w="1934" w:type="dxa"/>
            <w:gridSpan w:val="2"/>
            <w:tcBorders>
              <w:top w:val="single" w:sz="2" w:space="0" w:color="auto"/>
              <w:bottom w:val="nil"/>
            </w:tcBorders>
          </w:tcPr>
          <w:p w14:paraId="68E7AA9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880181" w14:textId="77777777" w:rsidR="006E40C9" w:rsidRDefault="006E40C9">
            <w:pPr>
              <w:pStyle w:val="MeasureTableTextLeftAligned"/>
            </w:pPr>
            <w:r>
              <w:t>Deduction</w:t>
            </w:r>
          </w:p>
        </w:tc>
        <w:tc>
          <w:tcPr>
            <w:tcW w:w="1500" w:type="dxa"/>
            <w:gridSpan w:val="2"/>
            <w:tcBorders>
              <w:top w:val="single" w:sz="2" w:space="0" w:color="auto"/>
              <w:bottom w:val="nil"/>
            </w:tcBorders>
          </w:tcPr>
          <w:p w14:paraId="6EAE7080" w14:textId="54820AB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1ED902" w14:textId="77777777" w:rsidR="006E40C9" w:rsidRDefault="006E40C9">
            <w:pPr>
              <w:pStyle w:val="MeasureTableTextLeftAligned"/>
            </w:pPr>
            <w:r>
              <w:t>B54</w:t>
            </w:r>
          </w:p>
        </w:tc>
      </w:tr>
      <w:tr w:rsidR="006E40C9" w14:paraId="59289F23" w14:textId="77777777">
        <w:trPr>
          <w:cantSplit/>
          <w:jc w:val="center"/>
        </w:trPr>
        <w:tc>
          <w:tcPr>
            <w:tcW w:w="1934" w:type="dxa"/>
            <w:gridSpan w:val="2"/>
            <w:tcBorders>
              <w:top w:val="nil"/>
              <w:bottom w:val="nil"/>
            </w:tcBorders>
          </w:tcPr>
          <w:p w14:paraId="44E3BC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BECFBE" w14:textId="77777777" w:rsidR="006E40C9" w:rsidRPr="00584CA7" w:rsidRDefault="006E40C9">
            <w:pPr>
              <w:pStyle w:val="MeasureTableTextLeftAligned"/>
            </w:pPr>
            <w:r>
              <w:t>Not Applicable</w:t>
            </w:r>
          </w:p>
        </w:tc>
        <w:tc>
          <w:tcPr>
            <w:tcW w:w="1500" w:type="dxa"/>
            <w:gridSpan w:val="2"/>
            <w:tcBorders>
              <w:top w:val="nil"/>
              <w:bottom w:val="nil"/>
            </w:tcBorders>
          </w:tcPr>
          <w:p w14:paraId="0634AB8E" w14:textId="77777777" w:rsidR="006E40C9" w:rsidRDefault="006E40C9">
            <w:pPr>
              <w:pStyle w:val="MeasureTableTextItalic"/>
            </w:pPr>
            <w:r>
              <w:t>* Category</w:t>
            </w:r>
          </w:p>
        </w:tc>
        <w:tc>
          <w:tcPr>
            <w:tcW w:w="1124" w:type="dxa"/>
            <w:gridSpan w:val="2"/>
            <w:tcBorders>
              <w:top w:val="nil"/>
              <w:bottom w:val="nil"/>
            </w:tcBorders>
          </w:tcPr>
          <w:p w14:paraId="2DA6200F" w14:textId="77777777" w:rsidR="006E40C9" w:rsidRDefault="006E40C9">
            <w:pPr>
              <w:pStyle w:val="MeasureTableTextLeftAligned"/>
            </w:pPr>
            <w:r>
              <w:t>2+</w:t>
            </w:r>
          </w:p>
        </w:tc>
      </w:tr>
      <w:tr w:rsidR="006E40C9" w14:paraId="5704A02A" w14:textId="77777777">
        <w:trPr>
          <w:cantSplit/>
          <w:jc w:val="center"/>
        </w:trPr>
        <w:tc>
          <w:tcPr>
            <w:tcW w:w="1934" w:type="dxa"/>
            <w:gridSpan w:val="2"/>
            <w:tcBorders>
              <w:top w:val="nil"/>
              <w:bottom w:val="nil"/>
            </w:tcBorders>
          </w:tcPr>
          <w:p w14:paraId="066DEAB1" w14:textId="77777777" w:rsidR="006E40C9" w:rsidRDefault="006E40C9">
            <w:pPr>
              <w:pStyle w:val="MeasureTableTextItalic"/>
            </w:pPr>
            <w:r>
              <w:t>Commencement date:</w:t>
            </w:r>
          </w:p>
        </w:tc>
        <w:tc>
          <w:tcPr>
            <w:tcW w:w="3179" w:type="dxa"/>
            <w:gridSpan w:val="4"/>
            <w:tcBorders>
              <w:top w:val="nil"/>
              <w:bottom w:val="nil"/>
            </w:tcBorders>
          </w:tcPr>
          <w:p w14:paraId="41D14E22" w14:textId="77777777" w:rsidR="006E40C9" w:rsidRDefault="006E40C9">
            <w:pPr>
              <w:pStyle w:val="MeasureTableTextLeftAligned"/>
            </w:pPr>
            <w:r>
              <w:t>Introduced before 1985</w:t>
            </w:r>
          </w:p>
        </w:tc>
        <w:tc>
          <w:tcPr>
            <w:tcW w:w="1500" w:type="dxa"/>
            <w:gridSpan w:val="2"/>
            <w:tcBorders>
              <w:top w:val="nil"/>
              <w:bottom w:val="nil"/>
            </w:tcBorders>
          </w:tcPr>
          <w:p w14:paraId="15AF5348" w14:textId="77777777" w:rsidR="006E40C9" w:rsidRPr="00F32057" w:rsidRDefault="006E40C9">
            <w:pPr>
              <w:pStyle w:val="MeasureTableTextItalic"/>
            </w:pPr>
            <w:r>
              <w:t>Expiry date:</w:t>
            </w:r>
          </w:p>
        </w:tc>
        <w:tc>
          <w:tcPr>
            <w:tcW w:w="1124" w:type="dxa"/>
            <w:gridSpan w:val="2"/>
            <w:tcBorders>
              <w:top w:val="nil"/>
              <w:bottom w:val="nil"/>
            </w:tcBorders>
          </w:tcPr>
          <w:p w14:paraId="021ABE56" w14:textId="77777777" w:rsidR="006E40C9" w:rsidRPr="00F32057" w:rsidRDefault="006E40C9">
            <w:pPr>
              <w:pStyle w:val="MeasureTableTextLeftAligned"/>
            </w:pPr>
          </w:p>
        </w:tc>
      </w:tr>
      <w:tr w:rsidR="006E40C9" w14:paraId="0A84ECD2" w14:textId="77777777">
        <w:trPr>
          <w:cantSplit/>
          <w:jc w:val="center"/>
        </w:trPr>
        <w:tc>
          <w:tcPr>
            <w:tcW w:w="1934" w:type="dxa"/>
            <w:gridSpan w:val="2"/>
            <w:tcBorders>
              <w:top w:val="nil"/>
            </w:tcBorders>
          </w:tcPr>
          <w:p w14:paraId="67814A91" w14:textId="77777777" w:rsidR="006E40C9" w:rsidRDefault="006E40C9">
            <w:pPr>
              <w:pStyle w:val="MeasureTableTextItalic"/>
            </w:pPr>
            <w:r>
              <w:t>Legislative reference:</w:t>
            </w:r>
          </w:p>
        </w:tc>
        <w:tc>
          <w:tcPr>
            <w:tcW w:w="5803" w:type="dxa"/>
            <w:gridSpan w:val="8"/>
            <w:tcBorders>
              <w:top w:val="nil"/>
            </w:tcBorders>
          </w:tcPr>
          <w:p w14:paraId="66168F5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117 and 120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287DF853" w14:textId="77777777" w:rsidR="006E40C9" w:rsidRPr="00540040" w:rsidRDefault="006E40C9" w:rsidP="006E40C9">
      <w:pPr>
        <w:pStyle w:val="MeasureTableHeading"/>
      </w:pPr>
    </w:p>
    <w:p w14:paraId="03AC5F4C" w14:textId="77777777" w:rsidR="006E40C9" w:rsidRDefault="006E40C9" w:rsidP="006E40C9">
      <w:r>
        <w:t>Under the benchmark, a repayment of the principal on a loan is generally not deductible. However, co</w:t>
      </w:r>
      <w:r>
        <w:noBreakHyphen/>
        <w:t>operative companies</w:t>
      </w:r>
      <w:r>
        <w:fldChar w:fldCharType="begin"/>
      </w:r>
      <w:r>
        <w:instrText xml:space="preserve"> XE "Co-operative companies" </w:instrText>
      </w:r>
      <w:r>
        <w:fldChar w:fldCharType="end"/>
      </w:r>
      <w:r>
        <w:t xml:space="preserve"> whose primary object is the acquisition from their shareholders of commodities or animals for disposal or distribution can claim a deduction for repayments of certain Australian and state government loans</w:t>
      </w:r>
      <w:r>
        <w:fldChar w:fldCharType="begin"/>
      </w:r>
      <w:r>
        <w:instrText xml:space="preserve"> XE "Australian and State Government loans" </w:instrText>
      </w:r>
      <w:r>
        <w:fldChar w:fldCharType="end"/>
      </w:r>
      <w:r>
        <w:t xml:space="preserve">. </w:t>
      </w:r>
    </w:p>
    <w:p w14:paraId="06D0A39B" w14:textId="77777777" w:rsidR="006E40C9" w:rsidRDefault="006E40C9" w:rsidP="006E40C9">
      <w:r>
        <w:t>The deduction is allowed only if 90 per cent or more of the value of the company is held by shareholders who supply the company with the commodities or animals.</w:t>
      </w:r>
    </w:p>
    <w:p w14:paraId="0D211F3E" w14:textId="77777777" w:rsidR="006E40C9" w:rsidRDefault="006E40C9" w:rsidP="00432D19">
      <w:pPr>
        <w:pStyle w:val="Heading4"/>
      </w:pPr>
      <w:r>
        <w:t>B57</w:t>
      </w:r>
      <w:r>
        <w:tab/>
        <w:t>Denial of deductibility for non-compliant payments</w:t>
      </w:r>
    </w:p>
    <w:p w14:paraId="4AB84E43" w14:textId="47255E4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F2C206" w14:textId="77777777">
        <w:trPr>
          <w:cantSplit/>
          <w:jc w:val="center"/>
        </w:trPr>
        <w:tc>
          <w:tcPr>
            <w:tcW w:w="967" w:type="dxa"/>
            <w:tcBorders>
              <w:top w:val="single" w:sz="2" w:space="0" w:color="auto"/>
              <w:bottom w:val="single" w:sz="2" w:space="0" w:color="auto"/>
            </w:tcBorders>
          </w:tcPr>
          <w:p w14:paraId="1B9F37C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62BCC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51F47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1D480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60647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FA3C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CF5F1A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44F188" w14:textId="77777777" w:rsidR="006E40C9" w:rsidRDefault="006E40C9">
            <w:pPr>
              <w:pStyle w:val="MeasureTableTextRightAligned"/>
            </w:pPr>
            <w:r>
              <w:t>2027-28</w:t>
            </w:r>
          </w:p>
        </w:tc>
      </w:tr>
      <w:tr w:rsidR="006E40C9" w14:paraId="35C5663B" w14:textId="77777777">
        <w:trPr>
          <w:cantSplit/>
          <w:jc w:val="center"/>
        </w:trPr>
        <w:tc>
          <w:tcPr>
            <w:tcW w:w="967" w:type="dxa"/>
            <w:tcBorders>
              <w:top w:val="single" w:sz="2" w:space="0" w:color="auto"/>
              <w:bottom w:val="single" w:sz="2" w:space="0" w:color="auto"/>
            </w:tcBorders>
          </w:tcPr>
          <w:p w14:paraId="210A55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76F4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8B5C0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554F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D7EA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3C90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A83734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FE95741" w14:textId="77777777" w:rsidR="006E40C9" w:rsidRDefault="006E40C9">
            <w:pPr>
              <w:pStyle w:val="MeasureTableTextRightAligned"/>
            </w:pPr>
            <w:r>
              <w:t>*</w:t>
            </w:r>
          </w:p>
        </w:tc>
      </w:tr>
      <w:tr w:rsidR="006E40C9" w14:paraId="0AA5F545" w14:textId="77777777">
        <w:trPr>
          <w:cantSplit/>
          <w:jc w:val="center"/>
        </w:trPr>
        <w:tc>
          <w:tcPr>
            <w:tcW w:w="1934" w:type="dxa"/>
            <w:gridSpan w:val="2"/>
            <w:tcBorders>
              <w:top w:val="single" w:sz="2" w:space="0" w:color="auto"/>
              <w:bottom w:val="nil"/>
            </w:tcBorders>
          </w:tcPr>
          <w:p w14:paraId="70EFA4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8A6024"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3B9727E9" w14:textId="469FCC2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0E2DF86" w14:textId="77777777" w:rsidR="006E40C9" w:rsidRDefault="006E40C9">
            <w:pPr>
              <w:pStyle w:val="MeasureTableTextLeftAligned"/>
            </w:pPr>
            <w:r>
              <w:t>B55</w:t>
            </w:r>
          </w:p>
        </w:tc>
      </w:tr>
      <w:tr w:rsidR="006E40C9" w14:paraId="27B94A75" w14:textId="77777777">
        <w:trPr>
          <w:cantSplit/>
          <w:jc w:val="center"/>
        </w:trPr>
        <w:tc>
          <w:tcPr>
            <w:tcW w:w="1934" w:type="dxa"/>
            <w:gridSpan w:val="2"/>
            <w:tcBorders>
              <w:top w:val="nil"/>
              <w:bottom w:val="nil"/>
            </w:tcBorders>
          </w:tcPr>
          <w:p w14:paraId="1BBF06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6A0DD6" w14:textId="77777777" w:rsidR="006E40C9" w:rsidRPr="00584CA7" w:rsidRDefault="006E40C9">
            <w:pPr>
              <w:pStyle w:val="MeasureTableTextLeftAligned"/>
            </w:pPr>
            <w:r>
              <w:t>Not Applicable</w:t>
            </w:r>
          </w:p>
        </w:tc>
        <w:tc>
          <w:tcPr>
            <w:tcW w:w="1500" w:type="dxa"/>
            <w:gridSpan w:val="2"/>
            <w:tcBorders>
              <w:top w:val="nil"/>
              <w:bottom w:val="nil"/>
            </w:tcBorders>
          </w:tcPr>
          <w:p w14:paraId="21A18557" w14:textId="77777777" w:rsidR="006E40C9" w:rsidRDefault="006E40C9">
            <w:pPr>
              <w:pStyle w:val="MeasureTableTextItalic"/>
            </w:pPr>
            <w:r>
              <w:t>* Category</w:t>
            </w:r>
          </w:p>
        </w:tc>
        <w:tc>
          <w:tcPr>
            <w:tcW w:w="1124" w:type="dxa"/>
            <w:gridSpan w:val="2"/>
            <w:tcBorders>
              <w:top w:val="nil"/>
              <w:bottom w:val="nil"/>
            </w:tcBorders>
          </w:tcPr>
          <w:p w14:paraId="4C850FBB" w14:textId="77777777" w:rsidR="006E40C9" w:rsidRDefault="006E40C9">
            <w:pPr>
              <w:pStyle w:val="MeasureTableTextLeftAligned"/>
            </w:pPr>
            <w:r>
              <w:t>1-</w:t>
            </w:r>
          </w:p>
        </w:tc>
      </w:tr>
      <w:tr w:rsidR="006E40C9" w14:paraId="60F3FBB1" w14:textId="77777777">
        <w:trPr>
          <w:cantSplit/>
          <w:jc w:val="center"/>
        </w:trPr>
        <w:tc>
          <w:tcPr>
            <w:tcW w:w="1934" w:type="dxa"/>
            <w:gridSpan w:val="2"/>
            <w:tcBorders>
              <w:top w:val="nil"/>
              <w:bottom w:val="nil"/>
            </w:tcBorders>
          </w:tcPr>
          <w:p w14:paraId="0A6A35F6" w14:textId="77777777" w:rsidR="006E40C9" w:rsidRDefault="006E40C9">
            <w:pPr>
              <w:pStyle w:val="MeasureTableTextItalic"/>
            </w:pPr>
            <w:r>
              <w:t>Commencement date:</w:t>
            </w:r>
          </w:p>
        </w:tc>
        <w:tc>
          <w:tcPr>
            <w:tcW w:w="3179" w:type="dxa"/>
            <w:gridSpan w:val="4"/>
            <w:tcBorders>
              <w:top w:val="nil"/>
              <w:bottom w:val="nil"/>
            </w:tcBorders>
          </w:tcPr>
          <w:p w14:paraId="27A4CE79" w14:textId="77777777" w:rsidR="006E40C9" w:rsidRDefault="006E40C9">
            <w:pPr>
              <w:pStyle w:val="MeasureTableTextLeftAligned"/>
            </w:pPr>
            <w:r>
              <w:t>1 July 2019</w:t>
            </w:r>
          </w:p>
        </w:tc>
        <w:tc>
          <w:tcPr>
            <w:tcW w:w="1500" w:type="dxa"/>
            <w:gridSpan w:val="2"/>
            <w:tcBorders>
              <w:top w:val="nil"/>
              <w:bottom w:val="nil"/>
            </w:tcBorders>
          </w:tcPr>
          <w:p w14:paraId="7891C2F5" w14:textId="77777777" w:rsidR="006E40C9" w:rsidRPr="00F32057" w:rsidRDefault="006E40C9">
            <w:pPr>
              <w:pStyle w:val="MeasureTableTextItalic"/>
            </w:pPr>
            <w:r>
              <w:t>Expiry date:</w:t>
            </w:r>
          </w:p>
        </w:tc>
        <w:tc>
          <w:tcPr>
            <w:tcW w:w="1124" w:type="dxa"/>
            <w:gridSpan w:val="2"/>
            <w:tcBorders>
              <w:top w:val="nil"/>
              <w:bottom w:val="nil"/>
            </w:tcBorders>
          </w:tcPr>
          <w:p w14:paraId="0AF12A64" w14:textId="77777777" w:rsidR="006E40C9" w:rsidRPr="00F32057" w:rsidRDefault="006E40C9">
            <w:pPr>
              <w:pStyle w:val="MeasureTableTextLeftAligned"/>
            </w:pPr>
          </w:p>
        </w:tc>
      </w:tr>
      <w:tr w:rsidR="006E40C9" w14:paraId="77FD3F63" w14:textId="77777777">
        <w:trPr>
          <w:cantSplit/>
          <w:jc w:val="center"/>
        </w:trPr>
        <w:tc>
          <w:tcPr>
            <w:tcW w:w="1934" w:type="dxa"/>
            <w:gridSpan w:val="2"/>
            <w:tcBorders>
              <w:top w:val="nil"/>
            </w:tcBorders>
          </w:tcPr>
          <w:p w14:paraId="0B0BAC71" w14:textId="77777777" w:rsidR="006E40C9" w:rsidRDefault="006E40C9">
            <w:pPr>
              <w:pStyle w:val="MeasureTableTextItalic"/>
            </w:pPr>
            <w:r>
              <w:t>Legislative reference:</w:t>
            </w:r>
          </w:p>
        </w:tc>
        <w:tc>
          <w:tcPr>
            <w:tcW w:w="5803" w:type="dxa"/>
            <w:gridSpan w:val="8"/>
            <w:tcBorders>
              <w:top w:val="nil"/>
            </w:tcBorders>
          </w:tcPr>
          <w:p w14:paraId="59E3172F" w14:textId="77777777" w:rsidR="006E40C9" w:rsidRPr="00F32057" w:rsidRDefault="006E40C9">
            <w:pPr>
              <w:widowControl w:val="0"/>
              <w:autoSpaceDE w:val="0"/>
              <w:autoSpaceDN w:val="0"/>
              <w:adjustRightInd w:val="0"/>
              <w:spacing w:after="0" w:line="240" w:lineRule="auto"/>
            </w:pPr>
            <w:r>
              <w:rPr>
                <w:rFonts w:ascii="Arial" w:hAnsi="Arial" w:cs="Arial"/>
                <w:sz w:val="16"/>
                <w:szCs w:val="16"/>
              </w:rPr>
              <w:t xml:space="preserve">Section 26-105 of the </w:t>
            </w:r>
            <w:r>
              <w:rPr>
                <w:rFonts w:ascii="Arial" w:hAnsi="Arial" w:cs="Arial"/>
                <w:i/>
                <w:iCs/>
                <w:color w:val="000000"/>
                <w:sz w:val="16"/>
                <w:szCs w:val="16"/>
              </w:rPr>
              <w:t>Income Tax Assessment Act 1997</w:t>
            </w:r>
          </w:p>
        </w:tc>
      </w:tr>
    </w:tbl>
    <w:p w14:paraId="4975A696" w14:textId="77777777" w:rsidR="006E40C9" w:rsidRPr="00540040" w:rsidRDefault="006E40C9" w:rsidP="006E40C9">
      <w:pPr>
        <w:pStyle w:val="MeasureTableHeading"/>
      </w:pPr>
    </w:p>
    <w:p w14:paraId="41849871" w14:textId="77777777" w:rsidR="006E40C9" w:rsidRDefault="006E40C9" w:rsidP="006E40C9">
      <w:r>
        <w:t xml:space="preserve">Under the benchmark, a deduction is generally allowed to entities such as businesses for the payment of salary and wages, or payment for services made to another entity such as a contractor. </w:t>
      </w:r>
    </w:p>
    <w:p w14:paraId="16D8F9A0" w14:textId="20DEEE5F" w:rsidR="006E40C9" w:rsidRDefault="006E40C9" w:rsidP="006E40C9">
      <w:r>
        <w:t>Since 1 July 2019, a deduction has been denied for these payments where an entity</w:t>
      </w:r>
      <w:r w:rsidDel="00065677">
        <w:t xml:space="preserve"> </w:t>
      </w:r>
      <w:r>
        <w:t>fails to comply with their withholding and reporting obligations, unless certain exemptions apply.</w:t>
      </w:r>
    </w:p>
    <w:p w14:paraId="1CED290C" w14:textId="77777777" w:rsidR="006E40C9" w:rsidRDefault="006E40C9" w:rsidP="00432D19">
      <w:pPr>
        <w:pStyle w:val="Heading4"/>
      </w:pPr>
      <w:r>
        <w:t>B58</w:t>
      </w:r>
      <w:r>
        <w:tab/>
        <w:t>Early stage investors – non-refundable tax offset</w:t>
      </w:r>
    </w:p>
    <w:p w14:paraId="514C747F" w14:textId="7F4105D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1B2E7E" w14:textId="77777777">
        <w:trPr>
          <w:cantSplit/>
          <w:jc w:val="center"/>
        </w:trPr>
        <w:tc>
          <w:tcPr>
            <w:tcW w:w="967" w:type="dxa"/>
            <w:tcBorders>
              <w:top w:val="single" w:sz="2" w:space="0" w:color="auto"/>
              <w:bottom w:val="single" w:sz="2" w:space="0" w:color="auto"/>
            </w:tcBorders>
          </w:tcPr>
          <w:p w14:paraId="7D1DFC6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2682A0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21DE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B5A4F4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A0016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F639A0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17BE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9055F05" w14:textId="77777777" w:rsidR="006E40C9" w:rsidRDefault="006E40C9">
            <w:pPr>
              <w:pStyle w:val="MeasureTableTextRightAligned"/>
            </w:pPr>
            <w:r>
              <w:t>2027-28</w:t>
            </w:r>
          </w:p>
        </w:tc>
      </w:tr>
      <w:tr w:rsidR="006E40C9" w14:paraId="21EF2BDB" w14:textId="77777777">
        <w:trPr>
          <w:cantSplit/>
          <w:jc w:val="center"/>
        </w:trPr>
        <w:tc>
          <w:tcPr>
            <w:tcW w:w="967" w:type="dxa"/>
            <w:tcBorders>
              <w:top w:val="single" w:sz="2" w:space="0" w:color="auto"/>
              <w:bottom w:val="single" w:sz="2" w:space="0" w:color="auto"/>
            </w:tcBorders>
          </w:tcPr>
          <w:p w14:paraId="43D34BEC"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1C1486C3" w14:textId="77777777" w:rsidR="006E40C9" w:rsidRDefault="006E40C9">
            <w:pPr>
              <w:pStyle w:val="MeasureTableTextRightAligned"/>
            </w:pPr>
            <w:r>
              <w:t>35</w:t>
            </w:r>
          </w:p>
        </w:tc>
        <w:tc>
          <w:tcPr>
            <w:tcW w:w="967" w:type="dxa"/>
            <w:tcBorders>
              <w:top w:val="single" w:sz="2" w:space="0" w:color="auto"/>
              <w:bottom w:val="single" w:sz="2" w:space="0" w:color="auto"/>
            </w:tcBorders>
            <w:vAlign w:val="bottom"/>
          </w:tcPr>
          <w:p w14:paraId="5A829B23"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5F8685AC"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46C31045"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4453F96A" w14:textId="77777777" w:rsidR="006E40C9" w:rsidRDefault="006E40C9">
            <w:pPr>
              <w:pStyle w:val="MeasureTableTextRightAligned"/>
            </w:pPr>
            <w:r>
              <w:t>45</w:t>
            </w:r>
          </w:p>
        </w:tc>
        <w:tc>
          <w:tcPr>
            <w:tcW w:w="967" w:type="dxa"/>
            <w:gridSpan w:val="2"/>
            <w:tcBorders>
              <w:top w:val="single" w:sz="2" w:space="0" w:color="auto"/>
              <w:bottom w:val="single" w:sz="2" w:space="0" w:color="auto"/>
            </w:tcBorders>
            <w:vAlign w:val="bottom"/>
          </w:tcPr>
          <w:p w14:paraId="649422E2" w14:textId="77777777" w:rsidR="006E40C9" w:rsidRDefault="006E40C9">
            <w:pPr>
              <w:pStyle w:val="MeasureTableTextRightAligned"/>
            </w:pPr>
            <w:r>
              <w:t>45</w:t>
            </w:r>
          </w:p>
        </w:tc>
        <w:tc>
          <w:tcPr>
            <w:tcW w:w="968" w:type="dxa"/>
            <w:tcBorders>
              <w:top w:val="single" w:sz="2" w:space="0" w:color="auto"/>
              <w:bottom w:val="single" w:sz="2" w:space="0" w:color="auto"/>
            </w:tcBorders>
            <w:vAlign w:val="bottom"/>
          </w:tcPr>
          <w:p w14:paraId="220B2DF7" w14:textId="77777777" w:rsidR="006E40C9" w:rsidRDefault="006E40C9">
            <w:pPr>
              <w:pStyle w:val="MeasureTableTextRightAligned"/>
            </w:pPr>
            <w:r>
              <w:t>50</w:t>
            </w:r>
          </w:p>
        </w:tc>
      </w:tr>
      <w:tr w:rsidR="006E40C9" w14:paraId="088E2655" w14:textId="77777777">
        <w:trPr>
          <w:cantSplit/>
          <w:jc w:val="center"/>
        </w:trPr>
        <w:tc>
          <w:tcPr>
            <w:tcW w:w="1934" w:type="dxa"/>
            <w:gridSpan w:val="2"/>
            <w:tcBorders>
              <w:top w:val="single" w:sz="2" w:space="0" w:color="auto"/>
              <w:bottom w:val="nil"/>
            </w:tcBorders>
          </w:tcPr>
          <w:p w14:paraId="6F72433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890925" w14:textId="77777777" w:rsidR="006E40C9" w:rsidRDefault="006E40C9">
            <w:pPr>
              <w:pStyle w:val="MeasureTableTextLeftAligned"/>
            </w:pPr>
            <w:r>
              <w:t>Offset</w:t>
            </w:r>
          </w:p>
        </w:tc>
        <w:tc>
          <w:tcPr>
            <w:tcW w:w="1500" w:type="dxa"/>
            <w:gridSpan w:val="2"/>
            <w:tcBorders>
              <w:top w:val="single" w:sz="2" w:space="0" w:color="auto"/>
              <w:bottom w:val="nil"/>
            </w:tcBorders>
          </w:tcPr>
          <w:p w14:paraId="5D308F9B" w14:textId="045539B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B020BDF" w14:textId="77777777" w:rsidR="006E40C9" w:rsidRDefault="006E40C9">
            <w:pPr>
              <w:pStyle w:val="MeasureTableTextLeftAligned"/>
            </w:pPr>
            <w:r>
              <w:t>B56</w:t>
            </w:r>
          </w:p>
        </w:tc>
      </w:tr>
      <w:tr w:rsidR="006E40C9" w14:paraId="4DADE4B0" w14:textId="77777777">
        <w:trPr>
          <w:cantSplit/>
          <w:jc w:val="center"/>
        </w:trPr>
        <w:tc>
          <w:tcPr>
            <w:tcW w:w="1934" w:type="dxa"/>
            <w:gridSpan w:val="2"/>
            <w:tcBorders>
              <w:top w:val="nil"/>
              <w:bottom w:val="nil"/>
            </w:tcBorders>
          </w:tcPr>
          <w:p w14:paraId="506146D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E6CC1E" w14:textId="77777777" w:rsidR="006E40C9" w:rsidRPr="00584CA7" w:rsidRDefault="006E40C9">
            <w:pPr>
              <w:pStyle w:val="MeasureTableTextLeftAligned"/>
            </w:pPr>
            <w:r>
              <w:t>Low</w:t>
            </w:r>
          </w:p>
        </w:tc>
        <w:tc>
          <w:tcPr>
            <w:tcW w:w="1500" w:type="dxa"/>
            <w:gridSpan w:val="2"/>
            <w:tcBorders>
              <w:top w:val="nil"/>
              <w:bottom w:val="nil"/>
            </w:tcBorders>
          </w:tcPr>
          <w:p w14:paraId="37316EF8" w14:textId="77777777" w:rsidR="006E40C9" w:rsidRDefault="006E40C9">
            <w:pPr>
              <w:pStyle w:val="MeasureTableTextItalic"/>
            </w:pPr>
          </w:p>
        </w:tc>
        <w:tc>
          <w:tcPr>
            <w:tcW w:w="1124" w:type="dxa"/>
            <w:gridSpan w:val="2"/>
            <w:tcBorders>
              <w:top w:val="nil"/>
              <w:bottom w:val="nil"/>
            </w:tcBorders>
          </w:tcPr>
          <w:p w14:paraId="7E7AF249" w14:textId="77777777" w:rsidR="006E40C9" w:rsidRDefault="006E40C9">
            <w:pPr>
              <w:pStyle w:val="MeasureTableTextLeftAligned"/>
            </w:pPr>
          </w:p>
        </w:tc>
      </w:tr>
      <w:tr w:rsidR="006E40C9" w14:paraId="33CE10D5" w14:textId="77777777">
        <w:trPr>
          <w:cantSplit/>
          <w:jc w:val="center"/>
        </w:trPr>
        <w:tc>
          <w:tcPr>
            <w:tcW w:w="1934" w:type="dxa"/>
            <w:gridSpan w:val="2"/>
            <w:tcBorders>
              <w:top w:val="nil"/>
              <w:bottom w:val="nil"/>
            </w:tcBorders>
          </w:tcPr>
          <w:p w14:paraId="232B0BAE" w14:textId="77777777" w:rsidR="006E40C9" w:rsidRDefault="006E40C9">
            <w:pPr>
              <w:pStyle w:val="MeasureTableTextItalic"/>
            </w:pPr>
            <w:r>
              <w:t>Commencement date:</w:t>
            </w:r>
          </w:p>
        </w:tc>
        <w:tc>
          <w:tcPr>
            <w:tcW w:w="3179" w:type="dxa"/>
            <w:gridSpan w:val="4"/>
            <w:tcBorders>
              <w:top w:val="nil"/>
              <w:bottom w:val="nil"/>
            </w:tcBorders>
          </w:tcPr>
          <w:p w14:paraId="456BE096" w14:textId="77777777" w:rsidR="006E40C9" w:rsidRDefault="006E40C9">
            <w:pPr>
              <w:pStyle w:val="MeasureTableTextLeftAligned"/>
            </w:pPr>
            <w:r>
              <w:t>2016</w:t>
            </w:r>
          </w:p>
        </w:tc>
        <w:tc>
          <w:tcPr>
            <w:tcW w:w="1500" w:type="dxa"/>
            <w:gridSpan w:val="2"/>
            <w:tcBorders>
              <w:top w:val="nil"/>
              <w:bottom w:val="nil"/>
            </w:tcBorders>
          </w:tcPr>
          <w:p w14:paraId="5693B42E" w14:textId="77777777" w:rsidR="006E40C9" w:rsidRPr="00F32057" w:rsidRDefault="006E40C9">
            <w:pPr>
              <w:pStyle w:val="MeasureTableTextItalic"/>
            </w:pPr>
            <w:r>
              <w:t>Expiry date:</w:t>
            </w:r>
          </w:p>
        </w:tc>
        <w:tc>
          <w:tcPr>
            <w:tcW w:w="1124" w:type="dxa"/>
            <w:gridSpan w:val="2"/>
            <w:tcBorders>
              <w:top w:val="nil"/>
              <w:bottom w:val="nil"/>
            </w:tcBorders>
          </w:tcPr>
          <w:p w14:paraId="7B7432CE" w14:textId="77777777" w:rsidR="006E40C9" w:rsidRPr="00F32057" w:rsidRDefault="006E40C9">
            <w:pPr>
              <w:pStyle w:val="MeasureTableTextLeftAligned"/>
            </w:pPr>
          </w:p>
        </w:tc>
      </w:tr>
      <w:tr w:rsidR="006E40C9" w14:paraId="00C837C7" w14:textId="77777777">
        <w:trPr>
          <w:cantSplit/>
          <w:jc w:val="center"/>
        </w:trPr>
        <w:tc>
          <w:tcPr>
            <w:tcW w:w="1934" w:type="dxa"/>
            <w:gridSpan w:val="2"/>
            <w:tcBorders>
              <w:top w:val="nil"/>
            </w:tcBorders>
          </w:tcPr>
          <w:p w14:paraId="036888EF" w14:textId="77777777" w:rsidR="006E40C9" w:rsidRDefault="006E40C9">
            <w:pPr>
              <w:pStyle w:val="MeasureTableTextItalic"/>
            </w:pPr>
            <w:r>
              <w:t>Legislative reference:</w:t>
            </w:r>
          </w:p>
        </w:tc>
        <w:tc>
          <w:tcPr>
            <w:tcW w:w="5803" w:type="dxa"/>
            <w:gridSpan w:val="8"/>
            <w:tcBorders>
              <w:top w:val="nil"/>
            </w:tcBorders>
          </w:tcPr>
          <w:p w14:paraId="5C59EC3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360 of the </w:t>
            </w:r>
            <w:r>
              <w:rPr>
                <w:rFonts w:ascii="Arial" w:hAnsi="Arial" w:cs="Arial"/>
                <w:i/>
                <w:iCs/>
                <w:color w:val="000000"/>
                <w:sz w:val="16"/>
                <w:szCs w:val="16"/>
              </w:rPr>
              <w:t>Income Tax Assessment Act 1997</w:t>
            </w:r>
          </w:p>
        </w:tc>
      </w:tr>
    </w:tbl>
    <w:p w14:paraId="1C108471" w14:textId="77777777" w:rsidR="006E40C9" w:rsidRPr="00540040" w:rsidRDefault="006E40C9" w:rsidP="006E40C9">
      <w:pPr>
        <w:pStyle w:val="MeasureTableHeading"/>
      </w:pPr>
    </w:p>
    <w:p w14:paraId="40B5B0E7" w14:textId="77777777" w:rsidR="006E40C9" w:rsidRDefault="006E40C9" w:rsidP="006E40C9">
      <w:r>
        <w:t>The benchmark tax treatment is that gains and income from investments are generally assessable.</w:t>
      </w:r>
    </w:p>
    <w:p w14:paraId="155068B2" w14:textId="475D23BE" w:rsidR="006E40C9" w:rsidRDefault="006E40C9" w:rsidP="006E40C9">
      <w:pPr>
        <w:rPr>
          <w:rFonts w:eastAsia="Calibri"/>
          <w:lang w:eastAsia="en-US"/>
        </w:rPr>
      </w:pPr>
      <w:r>
        <w:t xml:space="preserve">A tax expenditure arises because </w:t>
      </w:r>
      <w:r>
        <w:rPr>
          <w:lang w:val="en"/>
        </w:rPr>
        <w:t>eligible investors in qualifying early stage innovation</w:t>
      </w:r>
      <w:r w:rsidRPr="00BE11B8">
        <w:rPr>
          <w:lang w:val="en"/>
        </w:rPr>
        <w:t xml:space="preserve"> companies </w:t>
      </w:r>
      <w:r>
        <w:rPr>
          <w:lang w:val="en"/>
        </w:rPr>
        <w:t xml:space="preserve">receive </w:t>
      </w:r>
      <w:r w:rsidRPr="00BE11B8">
        <w:rPr>
          <w:lang w:val="en"/>
        </w:rPr>
        <w:t>a 20 per cent non</w:t>
      </w:r>
      <w:r>
        <w:rPr>
          <w:lang w:val="en"/>
        </w:rPr>
        <w:noBreakHyphen/>
      </w:r>
      <w:r w:rsidRPr="00BE11B8">
        <w:rPr>
          <w:lang w:val="en"/>
        </w:rPr>
        <w:t>refundable</w:t>
      </w:r>
      <w:r>
        <w:rPr>
          <w:lang w:val="en"/>
        </w:rPr>
        <w:t xml:space="preserve"> carry forward</w:t>
      </w:r>
      <w:r w:rsidRPr="00BE11B8">
        <w:rPr>
          <w:lang w:val="en"/>
        </w:rPr>
        <w:t xml:space="preserve"> tax offset based on the</w:t>
      </w:r>
      <w:r>
        <w:rPr>
          <w:lang w:val="en"/>
        </w:rPr>
        <w:t>ir</w:t>
      </w:r>
      <w:r w:rsidRPr="00BE11B8">
        <w:rPr>
          <w:lang w:val="en"/>
        </w:rPr>
        <w:t xml:space="preserve"> investment, </w:t>
      </w:r>
      <w:r>
        <w:rPr>
          <w:lang w:val="en"/>
        </w:rPr>
        <w:t xml:space="preserve">which reduces the amount of tax that would otherwise be payable, </w:t>
      </w:r>
      <w:r w:rsidRPr="00BE11B8">
        <w:rPr>
          <w:lang w:val="en"/>
        </w:rPr>
        <w:t>capped at</w:t>
      </w:r>
      <w:r>
        <w:rPr>
          <w:lang w:val="en"/>
        </w:rPr>
        <w:t xml:space="preserve"> a total offset amount of</w:t>
      </w:r>
      <w:r w:rsidRPr="00BE11B8">
        <w:rPr>
          <w:lang w:val="en"/>
        </w:rPr>
        <w:t xml:space="preserve"> $200,000 per investor</w:t>
      </w:r>
      <w:r>
        <w:rPr>
          <w:lang w:val="en"/>
        </w:rPr>
        <w:t xml:space="preserve"> in each income year. </w:t>
      </w:r>
    </w:p>
    <w:p w14:paraId="48CD3D7F" w14:textId="77777777" w:rsidR="006E40C9" w:rsidRDefault="006E40C9" w:rsidP="00432D19">
      <w:pPr>
        <w:pStyle w:val="Heading4"/>
      </w:pPr>
      <w:r>
        <w:t>B59</w:t>
      </w:r>
      <w:r>
        <w:tab/>
        <w:t>Immediate deduction for professional expenses</w:t>
      </w:r>
    </w:p>
    <w:p w14:paraId="04BCF9E5" w14:textId="5175286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5A2BED" w14:textId="77777777">
        <w:trPr>
          <w:cantSplit/>
          <w:jc w:val="center"/>
        </w:trPr>
        <w:tc>
          <w:tcPr>
            <w:tcW w:w="967" w:type="dxa"/>
            <w:tcBorders>
              <w:top w:val="single" w:sz="2" w:space="0" w:color="auto"/>
              <w:bottom w:val="single" w:sz="2" w:space="0" w:color="auto"/>
            </w:tcBorders>
          </w:tcPr>
          <w:p w14:paraId="60CB87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2C6E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288544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3150AA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471F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9DF7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28813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F1ABD7" w14:textId="77777777" w:rsidR="006E40C9" w:rsidRDefault="006E40C9">
            <w:pPr>
              <w:pStyle w:val="MeasureTableTextRightAligned"/>
            </w:pPr>
            <w:r>
              <w:t>2027-28</w:t>
            </w:r>
          </w:p>
        </w:tc>
      </w:tr>
      <w:tr w:rsidR="006E40C9" w14:paraId="179766FD" w14:textId="77777777">
        <w:trPr>
          <w:cantSplit/>
          <w:jc w:val="center"/>
        </w:trPr>
        <w:tc>
          <w:tcPr>
            <w:tcW w:w="967" w:type="dxa"/>
            <w:tcBorders>
              <w:top w:val="single" w:sz="2" w:space="0" w:color="auto"/>
              <w:bottom w:val="single" w:sz="2" w:space="0" w:color="auto"/>
            </w:tcBorders>
          </w:tcPr>
          <w:p w14:paraId="5F53EE40"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31E7EE35"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29AA42B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03CF448D"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41857A50" w14:textId="77777777" w:rsidR="006E40C9" w:rsidRDefault="006E40C9">
            <w:pPr>
              <w:pStyle w:val="MeasureTableTextRightAligned"/>
            </w:pPr>
            <w:r>
              <w:t>3</w:t>
            </w:r>
          </w:p>
        </w:tc>
        <w:tc>
          <w:tcPr>
            <w:tcW w:w="967" w:type="dxa"/>
            <w:gridSpan w:val="2"/>
            <w:tcBorders>
              <w:top w:val="single" w:sz="2" w:space="0" w:color="auto"/>
              <w:bottom w:val="single" w:sz="2" w:space="0" w:color="auto"/>
            </w:tcBorders>
            <w:vAlign w:val="bottom"/>
          </w:tcPr>
          <w:p w14:paraId="38B225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5569D6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6E1982B" w14:textId="77777777" w:rsidR="006E40C9" w:rsidRDefault="006E40C9">
            <w:pPr>
              <w:pStyle w:val="MeasureTableTextRightAligned"/>
            </w:pPr>
            <w:r>
              <w:t>..</w:t>
            </w:r>
          </w:p>
        </w:tc>
      </w:tr>
      <w:tr w:rsidR="006E40C9" w14:paraId="519400CC" w14:textId="77777777">
        <w:trPr>
          <w:cantSplit/>
          <w:jc w:val="center"/>
        </w:trPr>
        <w:tc>
          <w:tcPr>
            <w:tcW w:w="1934" w:type="dxa"/>
            <w:gridSpan w:val="2"/>
            <w:tcBorders>
              <w:top w:val="single" w:sz="2" w:space="0" w:color="auto"/>
              <w:bottom w:val="nil"/>
            </w:tcBorders>
          </w:tcPr>
          <w:p w14:paraId="2656C8A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A5DB411"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7D1EFDB" w14:textId="35BF4C1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EB6BD1" w14:textId="77777777" w:rsidR="006E40C9" w:rsidRDefault="006E40C9">
            <w:pPr>
              <w:pStyle w:val="MeasureTableTextLeftAligned"/>
            </w:pPr>
            <w:r>
              <w:t>B58</w:t>
            </w:r>
          </w:p>
        </w:tc>
      </w:tr>
      <w:tr w:rsidR="006E40C9" w14:paraId="13691A0E" w14:textId="77777777">
        <w:trPr>
          <w:cantSplit/>
          <w:jc w:val="center"/>
        </w:trPr>
        <w:tc>
          <w:tcPr>
            <w:tcW w:w="1934" w:type="dxa"/>
            <w:gridSpan w:val="2"/>
            <w:tcBorders>
              <w:top w:val="nil"/>
              <w:bottom w:val="nil"/>
            </w:tcBorders>
          </w:tcPr>
          <w:p w14:paraId="35EF841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0AAB14E" w14:textId="77777777" w:rsidR="006E40C9" w:rsidRPr="00584CA7" w:rsidRDefault="006E40C9">
            <w:pPr>
              <w:pStyle w:val="MeasureTableTextLeftAligned"/>
            </w:pPr>
            <w:r>
              <w:t>Low</w:t>
            </w:r>
          </w:p>
        </w:tc>
        <w:tc>
          <w:tcPr>
            <w:tcW w:w="1500" w:type="dxa"/>
            <w:gridSpan w:val="2"/>
            <w:tcBorders>
              <w:top w:val="nil"/>
              <w:bottom w:val="nil"/>
            </w:tcBorders>
          </w:tcPr>
          <w:p w14:paraId="6F60E675" w14:textId="77777777" w:rsidR="006E40C9" w:rsidRDefault="006E40C9">
            <w:pPr>
              <w:pStyle w:val="MeasureTableTextItalic"/>
            </w:pPr>
          </w:p>
        </w:tc>
        <w:tc>
          <w:tcPr>
            <w:tcW w:w="1124" w:type="dxa"/>
            <w:gridSpan w:val="2"/>
            <w:tcBorders>
              <w:top w:val="nil"/>
              <w:bottom w:val="nil"/>
            </w:tcBorders>
          </w:tcPr>
          <w:p w14:paraId="737610A2" w14:textId="77777777" w:rsidR="006E40C9" w:rsidRDefault="006E40C9">
            <w:pPr>
              <w:pStyle w:val="MeasureTableTextLeftAligned"/>
            </w:pPr>
          </w:p>
        </w:tc>
      </w:tr>
      <w:tr w:rsidR="006E40C9" w14:paraId="12B3E098" w14:textId="77777777">
        <w:trPr>
          <w:cantSplit/>
          <w:jc w:val="center"/>
        </w:trPr>
        <w:tc>
          <w:tcPr>
            <w:tcW w:w="1934" w:type="dxa"/>
            <w:gridSpan w:val="2"/>
            <w:tcBorders>
              <w:top w:val="nil"/>
              <w:bottom w:val="nil"/>
            </w:tcBorders>
          </w:tcPr>
          <w:p w14:paraId="421940A9" w14:textId="77777777" w:rsidR="006E40C9" w:rsidRDefault="006E40C9">
            <w:pPr>
              <w:pStyle w:val="MeasureTableTextItalic"/>
            </w:pPr>
            <w:r>
              <w:t>Commencement date:</w:t>
            </w:r>
          </w:p>
        </w:tc>
        <w:tc>
          <w:tcPr>
            <w:tcW w:w="3179" w:type="dxa"/>
            <w:gridSpan w:val="4"/>
            <w:tcBorders>
              <w:top w:val="nil"/>
              <w:bottom w:val="nil"/>
            </w:tcBorders>
          </w:tcPr>
          <w:p w14:paraId="5DD2685D" w14:textId="77777777" w:rsidR="006E40C9" w:rsidRDefault="006E40C9">
            <w:pPr>
              <w:pStyle w:val="MeasureTableTextLeftAligned"/>
            </w:pPr>
            <w:r>
              <w:t>1 July 2015</w:t>
            </w:r>
          </w:p>
        </w:tc>
        <w:tc>
          <w:tcPr>
            <w:tcW w:w="1500" w:type="dxa"/>
            <w:gridSpan w:val="2"/>
            <w:tcBorders>
              <w:top w:val="nil"/>
              <w:bottom w:val="nil"/>
            </w:tcBorders>
          </w:tcPr>
          <w:p w14:paraId="6BFA90DF" w14:textId="77777777" w:rsidR="006E40C9" w:rsidRPr="00F32057" w:rsidRDefault="006E40C9">
            <w:pPr>
              <w:pStyle w:val="MeasureTableTextItalic"/>
            </w:pPr>
            <w:r>
              <w:t>Expiry date:</w:t>
            </w:r>
          </w:p>
        </w:tc>
        <w:tc>
          <w:tcPr>
            <w:tcW w:w="1124" w:type="dxa"/>
            <w:gridSpan w:val="2"/>
            <w:tcBorders>
              <w:top w:val="nil"/>
              <w:bottom w:val="nil"/>
            </w:tcBorders>
          </w:tcPr>
          <w:p w14:paraId="0694BA18" w14:textId="77777777" w:rsidR="006E40C9" w:rsidRPr="00F32057" w:rsidRDefault="006E40C9">
            <w:pPr>
              <w:pStyle w:val="MeasureTableTextLeftAligned"/>
            </w:pPr>
          </w:p>
        </w:tc>
      </w:tr>
      <w:tr w:rsidR="006E40C9" w14:paraId="1E07A911" w14:textId="77777777">
        <w:trPr>
          <w:cantSplit/>
          <w:jc w:val="center"/>
        </w:trPr>
        <w:tc>
          <w:tcPr>
            <w:tcW w:w="1934" w:type="dxa"/>
            <w:gridSpan w:val="2"/>
            <w:tcBorders>
              <w:top w:val="nil"/>
            </w:tcBorders>
          </w:tcPr>
          <w:p w14:paraId="19BBF1B3" w14:textId="77777777" w:rsidR="006E40C9" w:rsidRDefault="006E40C9">
            <w:pPr>
              <w:pStyle w:val="MeasureTableTextItalic"/>
            </w:pPr>
            <w:r>
              <w:t>Legislative reference:</w:t>
            </w:r>
          </w:p>
        </w:tc>
        <w:tc>
          <w:tcPr>
            <w:tcW w:w="5803" w:type="dxa"/>
            <w:gridSpan w:val="8"/>
            <w:tcBorders>
              <w:top w:val="nil"/>
            </w:tcBorders>
          </w:tcPr>
          <w:p w14:paraId="5A3428A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40-880 of the </w:t>
            </w:r>
            <w:r>
              <w:rPr>
                <w:rFonts w:ascii="Arial" w:hAnsi="Arial" w:cs="Arial"/>
                <w:i/>
                <w:iCs/>
                <w:color w:val="000000"/>
                <w:sz w:val="16"/>
                <w:szCs w:val="16"/>
              </w:rPr>
              <w:t>Income Tax Assessment Act 1997</w:t>
            </w:r>
          </w:p>
        </w:tc>
      </w:tr>
    </w:tbl>
    <w:p w14:paraId="26EDBF54" w14:textId="77777777" w:rsidR="006E40C9" w:rsidRPr="00540040" w:rsidRDefault="006E40C9" w:rsidP="006E40C9">
      <w:pPr>
        <w:pStyle w:val="MeasureTableHeading"/>
      </w:pPr>
    </w:p>
    <w:p w14:paraId="09D1BE4E" w14:textId="6E9F9371" w:rsidR="006E40C9" w:rsidRDefault="006E40C9" w:rsidP="006E40C9">
      <w:r>
        <w:t>Under the benchmark, professional expenses associated with starting a new business, such as professional, legal and accounting advice are deductible over a 5</w:t>
      </w:r>
      <w:r w:rsidR="00F11756">
        <w:t>-</w:t>
      </w:r>
      <w:r>
        <w:t xml:space="preserve">year period. </w:t>
      </w:r>
    </w:p>
    <w:p w14:paraId="4E7E6012" w14:textId="77777777" w:rsidR="006E40C9" w:rsidRDefault="006E40C9" w:rsidP="006E40C9">
      <w:r>
        <w:t>However, eligible businesses can immediately deduct these professional expenses in the year in which the expenditure is made. From 1 July 2020, the aggregated annual turnover threshold for eligible businesses to access this concession increased from $10 million to $50 million.</w:t>
      </w:r>
    </w:p>
    <w:p w14:paraId="6138730C" w14:textId="77777777" w:rsidR="006E40C9" w:rsidRDefault="006E40C9" w:rsidP="00432D19">
      <w:pPr>
        <w:pStyle w:val="Heading4"/>
      </w:pPr>
      <w:r>
        <w:t>B60</w:t>
      </w:r>
      <w:r>
        <w:tab/>
        <w:t>Income tax exemption for prescribed entities</w:t>
      </w:r>
    </w:p>
    <w:p w14:paraId="4DA26B66" w14:textId="0A9C8F7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2E8353" w14:textId="77777777">
        <w:trPr>
          <w:cantSplit/>
          <w:jc w:val="center"/>
        </w:trPr>
        <w:tc>
          <w:tcPr>
            <w:tcW w:w="967" w:type="dxa"/>
            <w:tcBorders>
              <w:top w:val="single" w:sz="2" w:space="0" w:color="auto"/>
              <w:bottom w:val="single" w:sz="2" w:space="0" w:color="auto"/>
            </w:tcBorders>
          </w:tcPr>
          <w:p w14:paraId="6AFF124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66E038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58AB0C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4ADA95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46A55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426EB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9E80C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C03141" w14:textId="77777777" w:rsidR="006E40C9" w:rsidRDefault="006E40C9">
            <w:pPr>
              <w:pStyle w:val="MeasureTableTextRightAligned"/>
            </w:pPr>
            <w:r>
              <w:t>2027-28</w:t>
            </w:r>
          </w:p>
        </w:tc>
      </w:tr>
      <w:tr w:rsidR="006E40C9" w14:paraId="52803AFC" w14:textId="77777777">
        <w:trPr>
          <w:cantSplit/>
          <w:jc w:val="center"/>
        </w:trPr>
        <w:tc>
          <w:tcPr>
            <w:tcW w:w="967" w:type="dxa"/>
            <w:tcBorders>
              <w:top w:val="single" w:sz="2" w:space="0" w:color="auto"/>
              <w:bottom w:val="single" w:sz="2" w:space="0" w:color="auto"/>
            </w:tcBorders>
          </w:tcPr>
          <w:p w14:paraId="4B70D29B" w14:textId="77777777" w:rsidR="006E40C9" w:rsidRDefault="006E40C9">
            <w:pPr>
              <w:pStyle w:val="MeasureTableTextRightAligned"/>
            </w:pPr>
            <w:r>
              <w:t>*</w:t>
            </w:r>
          </w:p>
        </w:tc>
        <w:tc>
          <w:tcPr>
            <w:tcW w:w="967" w:type="dxa"/>
            <w:tcBorders>
              <w:top w:val="single" w:sz="2" w:space="0" w:color="auto"/>
              <w:bottom w:val="single" w:sz="2" w:space="0" w:color="auto"/>
            </w:tcBorders>
          </w:tcPr>
          <w:p w14:paraId="424C5AC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434F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45E9A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20A93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8089A1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0D436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0DF5302" w14:textId="77777777" w:rsidR="006E40C9" w:rsidRDefault="006E40C9">
            <w:pPr>
              <w:pStyle w:val="MeasureTableTextRightAligned"/>
            </w:pPr>
            <w:r>
              <w:t>*</w:t>
            </w:r>
          </w:p>
        </w:tc>
      </w:tr>
      <w:tr w:rsidR="006E40C9" w14:paraId="5D976F72" w14:textId="77777777">
        <w:trPr>
          <w:cantSplit/>
          <w:jc w:val="center"/>
        </w:trPr>
        <w:tc>
          <w:tcPr>
            <w:tcW w:w="1934" w:type="dxa"/>
            <w:gridSpan w:val="2"/>
            <w:tcBorders>
              <w:top w:val="single" w:sz="2" w:space="0" w:color="auto"/>
              <w:bottom w:val="nil"/>
            </w:tcBorders>
          </w:tcPr>
          <w:p w14:paraId="1C63A56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CDEBD7" w14:textId="77777777" w:rsidR="006E40C9" w:rsidRDefault="006E40C9">
            <w:pPr>
              <w:pStyle w:val="MeasureTableTextLeftAligned"/>
            </w:pPr>
            <w:r>
              <w:t>Exemption</w:t>
            </w:r>
          </w:p>
        </w:tc>
        <w:tc>
          <w:tcPr>
            <w:tcW w:w="1500" w:type="dxa"/>
            <w:gridSpan w:val="2"/>
            <w:tcBorders>
              <w:top w:val="single" w:sz="2" w:space="0" w:color="auto"/>
              <w:bottom w:val="nil"/>
            </w:tcBorders>
          </w:tcPr>
          <w:p w14:paraId="37DD5526" w14:textId="6C2F20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185591" w14:textId="77777777" w:rsidR="006E40C9" w:rsidRDefault="006E40C9">
            <w:pPr>
              <w:pStyle w:val="MeasureTableTextLeftAligned"/>
            </w:pPr>
            <w:r>
              <w:t>B59</w:t>
            </w:r>
          </w:p>
        </w:tc>
      </w:tr>
      <w:tr w:rsidR="006E40C9" w14:paraId="383D9053" w14:textId="77777777">
        <w:trPr>
          <w:cantSplit/>
          <w:jc w:val="center"/>
        </w:trPr>
        <w:tc>
          <w:tcPr>
            <w:tcW w:w="1934" w:type="dxa"/>
            <w:gridSpan w:val="2"/>
            <w:tcBorders>
              <w:top w:val="nil"/>
              <w:bottom w:val="nil"/>
            </w:tcBorders>
          </w:tcPr>
          <w:p w14:paraId="159B451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B6C460" w14:textId="77777777" w:rsidR="006E40C9" w:rsidRPr="00584CA7" w:rsidRDefault="006E40C9">
            <w:pPr>
              <w:pStyle w:val="MeasureTableTextLeftAligned"/>
            </w:pPr>
            <w:r>
              <w:t>Not Applicable</w:t>
            </w:r>
          </w:p>
        </w:tc>
        <w:tc>
          <w:tcPr>
            <w:tcW w:w="1500" w:type="dxa"/>
            <w:gridSpan w:val="2"/>
            <w:tcBorders>
              <w:top w:val="nil"/>
              <w:bottom w:val="nil"/>
            </w:tcBorders>
          </w:tcPr>
          <w:p w14:paraId="7E9846C0" w14:textId="77777777" w:rsidR="006E40C9" w:rsidRDefault="006E40C9">
            <w:pPr>
              <w:pStyle w:val="MeasureTableTextItalic"/>
            </w:pPr>
            <w:r>
              <w:t>* Category</w:t>
            </w:r>
          </w:p>
        </w:tc>
        <w:tc>
          <w:tcPr>
            <w:tcW w:w="1124" w:type="dxa"/>
            <w:gridSpan w:val="2"/>
            <w:tcBorders>
              <w:top w:val="nil"/>
              <w:bottom w:val="nil"/>
            </w:tcBorders>
          </w:tcPr>
          <w:p w14:paraId="32DF3694" w14:textId="77777777" w:rsidR="006E40C9" w:rsidRDefault="006E40C9">
            <w:pPr>
              <w:pStyle w:val="MeasureTableTextLeftAligned"/>
            </w:pPr>
            <w:r>
              <w:t>4+</w:t>
            </w:r>
          </w:p>
        </w:tc>
      </w:tr>
      <w:tr w:rsidR="006E40C9" w14:paraId="4CF3E012" w14:textId="77777777">
        <w:trPr>
          <w:cantSplit/>
          <w:jc w:val="center"/>
        </w:trPr>
        <w:tc>
          <w:tcPr>
            <w:tcW w:w="1934" w:type="dxa"/>
            <w:gridSpan w:val="2"/>
            <w:tcBorders>
              <w:top w:val="nil"/>
              <w:bottom w:val="nil"/>
            </w:tcBorders>
          </w:tcPr>
          <w:p w14:paraId="2CD6A1B6" w14:textId="77777777" w:rsidR="006E40C9" w:rsidRDefault="006E40C9">
            <w:pPr>
              <w:pStyle w:val="MeasureTableTextItalic"/>
            </w:pPr>
            <w:r>
              <w:t>Commencement date:</w:t>
            </w:r>
          </w:p>
        </w:tc>
        <w:tc>
          <w:tcPr>
            <w:tcW w:w="3179" w:type="dxa"/>
            <w:gridSpan w:val="4"/>
            <w:tcBorders>
              <w:top w:val="nil"/>
              <w:bottom w:val="nil"/>
            </w:tcBorders>
          </w:tcPr>
          <w:p w14:paraId="410689A0" w14:textId="77777777" w:rsidR="006E40C9" w:rsidRDefault="006E40C9">
            <w:pPr>
              <w:pStyle w:val="MeasureTableTextLeftAligned"/>
            </w:pPr>
            <w:r>
              <w:t>Introduced before 1985</w:t>
            </w:r>
          </w:p>
        </w:tc>
        <w:tc>
          <w:tcPr>
            <w:tcW w:w="1500" w:type="dxa"/>
            <w:gridSpan w:val="2"/>
            <w:tcBorders>
              <w:top w:val="nil"/>
              <w:bottom w:val="nil"/>
            </w:tcBorders>
          </w:tcPr>
          <w:p w14:paraId="32DA960B" w14:textId="77777777" w:rsidR="006E40C9" w:rsidRPr="00F32057" w:rsidRDefault="006E40C9">
            <w:pPr>
              <w:pStyle w:val="MeasureTableTextItalic"/>
            </w:pPr>
            <w:r>
              <w:t>Expiry date:</w:t>
            </w:r>
          </w:p>
        </w:tc>
        <w:tc>
          <w:tcPr>
            <w:tcW w:w="1124" w:type="dxa"/>
            <w:gridSpan w:val="2"/>
            <w:tcBorders>
              <w:top w:val="nil"/>
              <w:bottom w:val="nil"/>
            </w:tcBorders>
          </w:tcPr>
          <w:p w14:paraId="06BAF273" w14:textId="77777777" w:rsidR="006E40C9" w:rsidRPr="00F32057" w:rsidRDefault="006E40C9">
            <w:pPr>
              <w:pStyle w:val="MeasureTableTextLeftAligned"/>
            </w:pPr>
          </w:p>
        </w:tc>
      </w:tr>
      <w:tr w:rsidR="006E40C9" w14:paraId="215EC453" w14:textId="77777777">
        <w:trPr>
          <w:cantSplit/>
          <w:jc w:val="center"/>
        </w:trPr>
        <w:tc>
          <w:tcPr>
            <w:tcW w:w="1934" w:type="dxa"/>
            <w:gridSpan w:val="2"/>
            <w:tcBorders>
              <w:top w:val="nil"/>
            </w:tcBorders>
          </w:tcPr>
          <w:p w14:paraId="42E7F884" w14:textId="77777777" w:rsidR="006E40C9" w:rsidRDefault="006E40C9">
            <w:pPr>
              <w:pStyle w:val="MeasureTableTextItalic"/>
            </w:pPr>
            <w:r>
              <w:t>Legislative reference:</w:t>
            </w:r>
          </w:p>
        </w:tc>
        <w:tc>
          <w:tcPr>
            <w:tcW w:w="5803" w:type="dxa"/>
            <w:gridSpan w:val="8"/>
            <w:tcBorders>
              <w:top w:val="nil"/>
            </w:tcBorders>
          </w:tcPr>
          <w:p w14:paraId="5835C1F5"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 xml:space="preserve">Division 50 of the </w:t>
            </w:r>
            <w:r w:rsidRPr="00F91AAF">
              <w:rPr>
                <w:rFonts w:ascii="Arial" w:hAnsi="Arial" w:cs="Arial"/>
                <w:i/>
                <w:iCs/>
                <w:color w:val="000000"/>
                <w:sz w:val="16"/>
                <w:szCs w:val="16"/>
              </w:rPr>
              <w:t>Income Tax Assessment Act 1997</w:t>
            </w:r>
          </w:p>
        </w:tc>
      </w:tr>
    </w:tbl>
    <w:p w14:paraId="4B9E6258" w14:textId="77777777" w:rsidR="006E40C9" w:rsidRPr="00540040" w:rsidRDefault="006E40C9" w:rsidP="006E40C9">
      <w:pPr>
        <w:pStyle w:val="MeasureTableHeading"/>
      </w:pPr>
    </w:p>
    <w:p w14:paraId="162F9AAB" w14:textId="77777777" w:rsidR="006E40C9" w:rsidRDefault="006E40C9" w:rsidP="006E40C9">
      <w:bookmarkStart w:id="85" w:name="_Hlk124941927"/>
      <w:r>
        <w:t xml:space="preserve">The benchmark tax treatment is that income tax is paid on the taxable income of an entity for an income year at its applicable rate of tax. However, the income of various prescribed entities is exempt from income tax. Prescribed entities include, amongst other things: </w:t>
      </w:r>
    </w:p>
    <w:p w14:paraId="3B4D5DA6" w14:textId="77777777" w:rsidR="006E40C9" w:rsidRDefault="006E40C9" w:rsidP="006E40C9">
      <w:pPr>
        <w:pStyle w:val="Bullet"/>
        <w:numPr>
          <w:ilvl w:val="0"/>
          <w:numId w:val="38"/>
        </w:numPr>
      </w:pPr>
      <w:r>
        <w:t>Commonwealth, state and territory public authorities</w:t>
      </w:r>
      <w:r>
        <w:fldChar w:fldCharType="begin"/>
      </w:r>
      <w:r>
        <w:instrText xml:space="preserve"> XE "Public authorities" </w:instrText>
      </w:r>
      <w:r>
        <w:fldChar w:fldCharType="end"/>
      </w:r>
      <w:r>
        <w:t>;</w:t>
      </w:r>
    </w:p>
    <w:p w14:paraId="220E86BE" w14:textId="77777777" w:rsidR="006E40C9" w:rsidRDefault="006E40C9" w:rsidP="006E40C9">
      <w:pPr>
        <w:pStyle w:val="Bullet"/>
        <w:numPr>
          <w:ilvl w:val="0"/>
          <w:numId w:val="38"/>
        </w:numPr>
      </w:pPr>
      <w:r>
        <w:t>public and not-for-profit hospitals</w:t>
      </w:r>
      <w:r>
        <w:fldChar w:fldCharType="begin"/>
      </w:r>
      <w:r>
        <w:instrText xml:space="preserve"> XE "Hospitals" </w:instrText>
      </w:r>
      <w:r>
        <w:fldChar w:fldCharType="end"/>
      </w:r>
      <w:r>
        <w:t>;</w:t>
      </w:r>
    </w:p>
    <w:p w14:paraId="2253EDE8" w14:textId="77777777" w:rsidR="006E40C9" w:rsidRDefault="006E40C9" w:rsidP="006E40C9">
      <w:pPr>
        <w:pStyle w:val="Bullet"/>
        <w:numPr>
          <w:ilvl w:val="0"/>
          <w:numId w:val="38"/>
        </w:numPr>
      </w:pPr>
      <w:r>
        <w:t>trade unions</w:t>
      </w:r>
      <w:r>
        <w:fldChar w:fldCharType="begin"/>
      </w:r>
      <w:r>
        <w:instrText xml:space="preserve"> XE "Trade unions" </w:instrText>
      </w:r>
      <w:r>
        <w:fldChar w:fldCharType="end"/>
      </w:r>
      <w:r>
        <w:t xml:space="preserve"> and employer associations</w:t>
      </w:r>
      <w:r>
        <w:fldChar w:fldCharType="begin"/>
      </w:r>
      <w:r>
        <w:instrText xml:space="preserve"> XE "Employer associations" </w:instrText>
      </w:r>
      <w:r>
        <w:fldChar w:fldCharType="end"/>
      </w:r>
      <w:r>
        <w:t xml:space="preserve">; </w:t>
      </w:r>
    </w:p>
    <w:p w14:paraId="08DAB0AE" w14:textId="77777777" w:rsidR="006E40C9" w:rsidRDefault="006E40C9" w:rsidP="006E40C9">
      <w:pPr>
        <w:pStyle w:val="Bullet"/>
        <w:numPr>
          <w:ilvl w:val="0"/>
          <w:numId w:val="38"/>
        </w:numPr>
      </w:pPr>
      <w:bookmarkStart w:id="86" w:name="_Hlk88734312"/>
      <w:r>
        <w:t>industry-specific not-for-profit associations predominantly devoted to promoting the development of aviation, tourism, agriculture, manufacturing or industry</w:t>
      </w:r>
      <w:bookmarkEnd w:id="86"/>
      <w:r>
        <w:fldChar w:fldCharType="begin"/>
      </w:r>
      <w:r>
        <w:instrText xml:space="preserve"> XE "Not</w:instrText>
      </w:r>
      <w:r>
        <w:softHyphen/>
        <w:instrText>for</w:instrText>
      </w:r>
      <w:r>
        <w:softHyphen/>
        <w:instrText xml:space="preserve">profit associations" </w:instrText>
      </w:r>
      <w:r>
        <w:fldChar w:fldCharType="end"/>
      </w:r>
      <w:r>
        <w:t xml:space="preserve">; </w:t>
      </w:r>
    </w:p>
    <w:p w14:paraId="48B8BD0E" w14:textId="77777777" w:rsidR="006E40C9" w:rsidRDefault="006E40C9" w:rsidP="006E40C9">
      <w:pPr>
        <w:pStyle w:val="Bullet"/>
        <w:numPr>
          <w:ilvl w:val="0"/>
          <w:numId w:val="38"/>
        </w:numPr>
      </w:pPr>
      <w:r>
        <w:t>registered charities, public educational institutions, scientific research funds, and community service entities</w:t>
      </w:r>
      <w:r>
        <w:fldChar w:fldCharType="begin"/>
      </w:r>
      <w:r>
        <w:instrText xml:space="preserve"> XE "Charities" </w:instrText>
      </w:r>
      <w:r>
        <w:fldChar w:fldCharType="end"/>
      </w:r>
      <w:r>
        <w:t xml:space="preserve">; </w:t>
      </w:r>
    </w:p>
    <w:p w14:paraId="7239A49D" w14:textId="77777777" w:rsidR="006E40C9" w:rsidRDefault="006E40C9" w:rsidP="006E40C9">
      <w:pPr>
        <w:pStyle w:val="Bullet"/>
        <w:numPr>
          <w:ilvl w:val="0"/>
          <w:numId w:val="38"/>
        </w:numPr>
      </w:pPr>
      <w:bookmarkStart w:id="87" w:name="_Hlk88734427"/>
      <w:r>
        <w:t>associations and clubs established for the encouragement of sports, music, art or literature</w:t>
      </w:r>
      <w:bookmarkEnd w:id="87"/>
      <w:r>
        <w:t>; and</w:t>
      </w:r>
    </w:p>
    <w:p w14:paraId="286D15C5" w14:textId="5B31097D" w:rsidR="006E40C9" w:rsidRPr="00540040" w:rsidRDefault="006E40C9" w:rsidP="006E40C9">
      <w:pPr>
        <w:pStyle w:val="Bullet"/>
        <w:numPr>
          <w:ilvl w:val="0"/>
          <w:numId w:val="38"/>
        </w:numPr>
      </w:pPr>
      <w:r w:rsidRPr="00540040">
        <w:rPr>
          <w:rFonts w:cs="Book Antiqua"/>
        </w:rPr>
        <w:t>certain international sporting organisations that receive Australian-sourced income relating to global sporting events held in Australia for time-limited periods before and after the events.</w:t>
      </w:r>
      <w:bookmarkEnd w:id="85"/>
    </w:p>
    <w:p w14:paraId="7BE8EE6B" w14:textId="77777777" w:rsidR="006E40C9" w:rsidRDefault="006E40C9" w:rsidP="00432D19">
      <w:pPr>
        <w:pStyle w:val="Heading4"/>
      </w:pPr>
      <w:r>
        <w:t>B61</w:t>
      </w:r>
      <w:r>
        <w:tab/>
        <w:t>Income tax exemptions for foreign government entities</w:t>
      </w:r>
    </w:p>
    <w:p w14:paraId="320F867E" w14:textId="7E74915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0F0677C" w14:textId="77777777">
        <w:trPr>
          <w:cantSplit/>
          <w:jc w:val="center"/>
        </w:trPr>
        <w:tc>
          <w:tcPr>
            <w:tcW w:w="967" w:type="dxa"/>
            <w:tcBorders>
              <w:top w:val="single" w:sz="2" w:space="0" w:color="auto"/>
              <w:bottom w:val="single" w:sz="2" w:space="0" w:color="auto"/>
            </w:tcBorders>
          </w:tcPr>
          <w:p w14:paraId="18A760E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3E0CB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7A66D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5C79C2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BE1C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47B6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25D6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A8EF47" w14:textId="77777777" w:rsidR="006E40C9" w:rsidRDefault="006E40C9">
            <w:pPr>
              <w:pStyle w:val="MeasureTableTextRightAligned"/>
            </w:pPr>
            <w:r>
              <w:t>2027-28</w:t>
            </w:r>
          </w:p>
        </w:tc>
      </w:tr>
      <w:tr w:rsidR="006E40C9" w14:paraId="4B39E4A0" w14:textId="77777777">
        <w:trPr>
          <w:cantSplit/>
          <w:jc w:val="center"/>
        </w:trPr>
        <w:tc>
          <w:tcPr>
            <w:tcW w:w="967" w:type="dxa"/>
            <w:tcBorders>
              <w:top w:val="single" w:sz="2" w:space="0" w:color="auto"/>
              <w:bottom w:val="single" w:sz="2" w:space="0" w:color="auto"/>
            </w:tcBorders>
          </w:tcPr>
          <w:p w14:paraId="01BEE115"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CD9EB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4EEC9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D7FF8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71C1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25538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A03464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AAF305" w14:textId="77777777" w:rsidR="006E40C9" w:rsidRDefault="006E40C9">
            <w:pPr>
              <w:pStyle w:val="MeasureTableTextRightAligned"/>
            </w:pPr>
            <w:r>
              <w:t>*</w:t>
            </w:r>
          </w:p>
        </w:tc>
      </w:tr>
      <w:tr w:rsidR="006E40C9" w14:paraId="5A482A93" w14:textId="77777777">
        <w:trPr>
          <w:cantSplit/>
          <w:jc w:val="center"/>
        </w:trPr>
        <w:tc>
          <w:tcPr>
            <w:tcW w:w="1934" w:type="dxa"/>
            <w:gridSpan w:val="2"/>
            <w:tcBorders>
              <w:top w:val="single" w:sz="2" w:space="0" w:color="auto"/>
              <w:bottom w:val="nil"/>
            </w:tcBorders>
          </w:tcPr>
          <w:p w14:paraId="0704B7D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B0DE4FC" w14:textId="77777777" w:rsidR="006E40C9" w:rsidRDefault="006E40C9">
            <w:pPr>
              <w:pStyle w:val="MeasureTableTextLeftAligned"/>
            </w:pPr>
            <w:r>
              <w:t>Exemption</w:t>
            </w:r>
          </w:p>
        </w:tc>
        <w:tc>
          <w:tcPr>
            <w:tcW w:w="1500" w:type="dxa"/>
            <w:gridSpan w:val="2"/>
            <w:tcBorders>
              <w:top w:val="single" w:sz="2" w:space="0" w:color="auto"/>
              <w:bottom w:val="nil"/>
            </w:tcBorders>
          </w:tcPr>
          <w:p w14:paraId="3F1679A1" w14:textId="1EEF3A5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44E669" w14:textId="77777777" w:rsidR="006E40C9" w:rsidRDefault="006E40C9">
            <w:pPr>
              <w:pStyle w:val="MeasureTableTextLeftAligned"/>
            </w:pPr>
            <w:r>
              <w:t>B60</w:t>
            </w:r>
          </w:p>
        </w:tc>
      </w:tr>
      <w:tr w:rsidR="006E40C9" w14:paraId="41015512" w14:textId="77777777">
        <w:trPr>
          <w:cantSplit/>
          <w:jc w:val="center"/>
        </w:trPr>
        <w:tc>
          <w:tcPr>
            <w:tcW w:w="1934" w:type="dxa"/>
            <w:gridSpan w:val="2"/>
            <w:tcBorders>
              <w:top w:val="nil"/>
              <w:bottom w:val="nil"/>
            </w:tcBorders>
          </w:tcPr>
          <w:p w14:paraId="1D9640D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42401D" w14:textId="77777777" w:rsidR="006E40C9" w:rsidRPr="00584CA7" w:rsidRDefault="006E40C9">
            <w:pPr>
              <w:pStyle w:val="MeasureTableTextLeftAligned"/>
            </w:pPr>
            <w:r>
              <w:t>Not Applicable</w:t>
            </w:r>
          </w:p>
        </w:tc>
        <w:tc>
          <w:tcPr>
            <w:tcW w:w="1500" w:type="dxa"/>
            <w:gridSpan w:val="2"/>
            <w:tcBorders>
              <w:top w:val="nil"/>
              <w:bottom w:val="nil"/>
            </w:tcBorders>
          </w:tcPr>
          <w:p w14:paraId="10A2615E" w14:textId="77777777" w:rsidR="006E40C9" w:rsidRDefault="006E40C9">
            <w:pPr>
              <w:pStyle w:val="MeasureTableTextItalic"/>
            </w:pPr>
            <w:r>
              <w:t>* Category</w:t>
            </w:r>
          </w:p>
        </w:tc>
        <w:tc>
          <w:tcPr>
            <w:tcW w:w="1124" w:type="dxa"/>
            <w:gridSpan w:val="2"/>
            <w:tcBorders>
              <w:top w:val="nil"/>
              <w:bottom w:val="nil"/>
            </w:tcBorders>
          </w:tcPr>
          <w:p w14:paraId="407E1BE7" w14:textId="77777777" w:rsidR="006E40C9" w:rsidRDefault="006E40C9">
            <w:pPr>
              <w:pStyle w:val="MeasureTableTextLeftAligned"/>
            </w:pPr>
            <w:r>
              <w:t>3+</w:t>
            </w:r>
          </w:p>
        </w:tc>
      </w:tr>
      <w:tr w:rsidR="006E40C9" w14:paraId="59A8D9E3" w14:textId="77777777">
        <w:trPr>
          <w:cantSplit/>
          <w:jc w:val="center"/>
        </w:trPr>
        <w:tc>
          <w:tcPr>
            <w:tcW w:w="1934" w:type="dxa"/>
            <w:gridSpan w:val="2"/>
            <w:tcBorders>
              <w:top w:val="nil"/>
              <w:bottom w:val="nil"/>
            </w:tcBorders>
          </w:tcPr>
          <w:p w14:paraId="6B295972" w14:textId="77777777" w:rsidR="006E40C9" w:rsidRDefault="006E40C9">
            <w:pPr>
              <w:pStyle w:val="MeasureTableTextItalic"/>
            </w:pPr>
            <w:r>
              <w:t>Commencement date:</w:t>
            </w:r>
          </w:p>
        </w:tc>
        <w:tc>
          <w:tcPr>
            <w:tcW w:w="3179" w:type="dxa"/>
            <w:gridSpan w:val="4"/>
            <w:tcBorders>
              <w:top w:val="nil"/>
              <w:bottom w:val="nil"/>
            </w:tcBorders>
          </w:tcPr>
          <w:p w14:paraId="2C595650" w14:textId="77777777" w:rsidR="006E40C9" w:rsidRDefault="006E40C9">
            <w:pPr>
              <w:pStyle w:val="MeasureTableTextLeftAligned"/>
            </w:pPr>
            <w:r>
              <w:t>Introduced before 1985</w:t>
            </w:r>
          </w:p>
        </w:tc>
        <w:tc>
          <w:tcPr>
            <w:tcW w:w="1500" w:type="dxa"/>
            <w:gridSpan w:val="2"/>
            <w:tcBorders>
              <w:top w:val="nil"/>
              <w:bottom w:val="nil"/>
            </w:tcBorders>
          </w:tcPr>
          <w:p w14:paraId="7A51041D" w14:textId="77777777" w:rsidR="006E40C9" w:rsidRPr="00F32057" w:rsidRDefault="006E40C9">
            <w:pPr>
              <w:pStyle w:val="MeasureTableTextItalic"/>
            </w:pPr>
            <w:r>
              <w:t>Expiry date:</w:t>
            </w:r>
          </w:p>
        </w:tc>
        <w:tc>
          <w:tcPr>
            <w:tcW w:w="1124" w:type="dxa"/>
            <w:gridSpan w:val="2"/>
            <w:tcBorders>
              <w:top w:val="nil"/>
              <w:bottom w:val="nil"/>
            </w:tcBorders>
          </w:tcPr>
          <w:p w14:paraId="1117D090" w14:textId="77777777" w:rsidR="006E40C9" w:rsidRPr="00F32057" w:rsidRDefault="006E40C9">
            <w:pPr>
              <w:pStyle w:val="MeasureTableTextLeftAligned"/>
            </w:pPr>
          </w:p>
        </w:tc>
      </w:tr>
      <w:tr w:rsidR="006E40C9" w14:paraId="2EE60839" w14:textId="77777777">
        <w:trPr>
          <w:cantSplit/>
          <w:jc w:val="center"/>
        </w:trPr>
        <w:tc>
          <w:tcPr>
            <w:tcW w:w="1934" w:type="dxa"/>
            <w:gridSpan w:val="2"/>
            <w:tcBorders>
              <w:top w:val="nil"/>
            </w:tcBorders>
          </w:tcPr>
          <w:p w14:paraId="3DBBAE6F" w14:textId="77777777" w:rsidR="006E40C9" w:rsidRDefault="006E40C9">
            <w:pPr>
              <w:pStyle w:val="MeasureTableTextItalic"/>
            </w:pPr>
            <w:r>
              <w:t>Legislative reference:</w:t>
            </w:r>
          </w:p>
        </w:tc>
        <w:tc>
          <w:tcPr>
            <w:tcW w:w="5803" w:type="dxa"/>
            <w:gridSpan w:val="8"/>
            <w:tcBorders>
              <w:top w:val="nil"/>
            </w:tcBorders>
          </w:tcPr>
          <w:p w14:paraId="641FB169"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Division 880 of the Income Tax Assessment Act 1997</w:t>
            </w:r>
          </w:p>
        </w:tc>
      </w:tr>
    </w:tbl>
    <w:p w14:paraId="49D64EF2" w14:textId="77777777" w:rsidR="006E40C9" w:rsidRPr="00540040" w:rsidRDefault="006E40C9" w:rsidP="006E40C9">
      <w:pPr>
        <w:pStyle w:val="MeasureTableHeading"/>
      </w:pPr>
    </w:p>
    <w:p w14:paraId="3D9F6465" w14:textId="77777777" w:rsidR="006E40C9" w:rsidRDefault="006E40C9" w:rsidP="006E40C9">
      <w:r>
        <w:t>Where the income of an eligible foreign government entity is a return on a portfolio</w:t>
      </w:r>
      <w:r>
        <w:noBreakHyphen/>
        <w:t>like membership interest, debt interest or non</w:t>
      </w:r>
      <w:r>
        <w:noBreakHyphen/>
        <w:t>share equity interest in an Australian company or managed investment trust (and is not a fund payment attributable to non-concessional managed investment trust income), this income is non</w:t>
      </w:r>
      <w:r>
        <w:noBreakHyphen/>
        <w:t>assessable non</w:t>
      </w:r>
      <w:r>
        <w:noBreakHyphen/>
        <w:t>exempt income that is also exempt from withholding tax.</w:t>
      </w:r>
    </w:p>
    <w:p w14:paraId="26DB3F4C" w14:textId="0345D59C" w:rsidR="006E40C9" w:rsidRDefault="006E40C9" w:rsidP="006E40C9">
      <w:r>
        <w:t xml:space="preserve">The benchmark tax treatment is the default withholding rate for dividends (30 per cent), interest (10 per cent), royalties (30 per cent), and managed investment trust payments (30 per cent). Where a tax treaty or exchange of information agreement has the effect of reducing the relevant default withholding rate, the benchmark rate is the rate specified in the applicable treaty or agreement (refer to B5). </w:t>
      </w:r>
      <w:r>
        <w:fldChar w:fldCharType="begin"/>
      </w:r>
      <w:r>
        <w:instrText xml:space="preserve"> XE "</w:instrText>
      </w:r>
      <w:r w:rsidRPr="00586B7F">
        <w:instrText>Foreign government entity</w:instrText>
      </w:r>
      <w:r>
        <w:instrText xml:space="preserve">" </w:instrText>
      </w:r>
      <w:r>
        <w:fldChar w:fldCharType="end"/>
      </w:r>
    </w:p>
    <w:p w14:paraId="441820D3" w14:textId="77777777" w:rsidR="006E40C9" w:rsidRDefault="006E40C9" w:rsidP="00432D19">
      <w:pPr>
        <w:pStyle w:val="Heading4"/>
      </w:pPr>
      <w:r>
        <w:t>B62</w:t>
      </w:r>
      <w:r>
        <w:tab/>
        <w:t>Income tax exemptions for foreign superannuation funds</w:t>
      </w:r>
    </w:p>
    <w:p w14:paraId="6CB00CCD" w14:textId="0831501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4BDD9E3" w14:textId="77777777">
        <w:trPr>
          <w:cantSplit/>
          <w:jc w:val="center"/>
        </w:trPr>
        <w:tc>
          <w:tcPr>
            <w:tcW w:w="967" w:type="dxa"/>
            <w:tcBorders>
              <w:top w:val="single" w:sz="2" w:space="0" w:color="auto"/>
              <w:bottom w:val="single" w:sz="2" w:space="0" w:color="auto"/>
            </w:tcBorders>
          </w:tcPr>
          <w:p w14:paraId="38E7FF9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46470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E1F06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3C95C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4B04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FE63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30378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CFF384" w14:textId="77777777" w:rsidR="006E40C9" w:rsidRDefault="006E40C9">
            <w:pPr>
              <w:pStyle w:val="MeasureTableTextRightAligned"/>
            </w:pPr>
            <w:r>
              <w:t>2027-28</w:t>
            </w:r>
          </w:p>
        </w:tc>
      </w:tr>
      <w:tr w:rsidR="006E40C9" w14:paraId="7FD0D177" w14:textId="77777777">
        <w:trPr>
          <w:cantSplit/>
          <w:jc w:val="center"/>
        </w:trPr>
        <w:tc>
          <w:tcPr>
            <w:tcW w:w="967" w:type="dxa"/>
            <w:tcBorders>
              <w:top w:val="single" w:sz="2" w:space="0" w:color="auto"/>
              <w:bottom w:val="single" w:sz="2" w:space="0" w:color="auto"/>
            </w:tcBorders>
          </w:tcPr>
          <w:p w14:paraId="025C7F28" w14:textId="77777777" w:rsidR="006E40C9" w:rsidRDefault="006E40C9">
            <w:pPr>
              <w:pStyle w:val="MeasureTableTextRightAligned"/>
            </w:pPr>
            <w:r>
              <w:t>*</w:t>
            </w:r>
          </w:p>
        </w:tc>
        <w:tc>
          <w:tcPr>
            <w:tcW w:w="967" w:type="dxa"/>
            <w:tcBorders>
              <w:top w:val="single" w:sz="2" w:space="0" w:color="auto"/>
              <w:bottom w:val="single" w:sz="2" w:space="0" w:color="auto"/>
            </w:tcBorders>
          </w:tcPr>
          <w:p w14:paraId="3186E3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C007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E1B6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002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4A51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FAD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C24189C" w14:textId="77777777" w:rsidR="006E40C9" w:rsidRDefault="006E40C9">
            <w:pPr>
              <w:pStyle w:val="MeasureTableTextRightAligned"/>
            </w:pPr>
            <w:r>
              <w:t>*</w:t>
            </w:r>
          </w:p>
        </w:tc>
      </w:tr>
      <w:tr w:rsidR="006E40C9" w14:paraId="0711BAC0" w14:textId="77777777">
        <w:trPr>
          <w:cantSplit/>
          <w:jc w:val="center"/>
        </w:trPr>
        <w:tc>
          <w:tcPr>
            <w:tcW w:w="1934" w:type="dxa"/>
            <w:gridSpan w:val="2"/>
            <w:tcBorders>
              <w:top w:val="single" w:sz="2" w:space="0" w:color="auto"/>
              <w:bottom w:val="nil"/>
            </w:tcBorders>
          </w:tcPr>
          <w:p w14:paraId="0900B6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5E4305" w14:textId="77777777" w:rsidR="006E40C9" w:rsidRDefault="006E40C9">
            <w:pPr>
              <w:pStyle w:val="MeasureTableTextLeftAligned"/>
            </w:pPr>
            <w:r>
              <w:t>Exemption</w:t>
            </w:r>
          </w:p>
        </w:tc>
        <w:tc>
          <w:tcPr>
            <w:tcW w:w="1500" w:type="dxa"/>
            <w:gridSpan w:val="2"/>
            <w:tcBorders>
              <w:top w:val="single" w:sz="2" w:space="0" w:color="auto"/>
              <w:bottom w:val="nil"/>
            </w:tcBorders>
          </w:tcPr>
          <w:p w14:paraId="6A3E069B" w14:textId="1BEEF43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9068CF" w14:textId="77777777" w:rsidR="006E40C9" w:rsidRDefault="006E40C9">
            <w:pPr>
              <w:pStyle w:val="MeasureTableTextLeftAligned"/>
            </w:pPr>
            <w:r>
              <w:t>B61</w:t>
            </w:r>
          </w:p>
        </w:tc>
      </w:tr>
      <w:tr w:rsidR="006E40C9" w14:paraId="5339ADA8" w14:textId="77777777">
        <w:trPr>
          <w:cantSplit/>
          <w:jc w:val="center"/>
        </w:trPr>
        <w:tc>
          <w:tcPr>
            <w:tcW w:w="1934" w:type="dxa"/>
            <w:gridSpan w:val="2"/>
            <w:tcBorders>
              <w:top w:val="nil"/>
              <w:bottom w:val="nil"/>
            </w:tcBorders>
          </w:tcPr>
          <w:p w14:paraId="4E35FA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7CFDEF9" w14:textId="77777777" w:rsidR="006E40C9" w:rsidRPr="00584CA7" w:rsidRDefault="006E40C9">
            <w:pPr>
              <w:pStyle w:val="MeasureTableTextLeftAligned"/>
            </w:pPr>
            <w:r>
              <w:t>Very Low</w:t>
            </w:r>
          </w:p>
        </w:tc>
        <w:tc>
          <w:tcPr>
            <w:tcW w:w="1500" w:type="dxa"/>
            <w:gridSpan w:val="2"/>
            <w:tcBorders>
              <w:top w:val="nil"/>
              <w:bottom w:val="nil"/>
            </w:tcBorders>
          </w:tcPr>
          <w:p w14:paraId="4CA9B41F" w14:textId="77777777" w:rsidR="006E40C9" w:rsidRDefault="006E40C9">
            <w:pPr>
              <w:pStyle w:val="MeasureTableTextItalic"/>
            </w:pPr>
            <w:r>
              <w:t>* Category</w:t>
            </w:r>
          </w:p>
        </w:tc>
        <w:tc>
          <w:tcPr>
            <w:tcW w:w="1124" w:type="dxa"/>
            <w:gridSpan w:val="2"/>
            <w:tcBorders>
              <w:top w:val="nil"/>
              <w:bottom w:val="nil"/>
            </w:tcBorders>
          </w:tcPr>
          <w:p w14:paraId="256FF5E9" w14:textId="034EFFB4" w:rsidR="006E40C9" w:rsidRDefault="006E40C9">
            <w:pPr>
              <w:pStyle w:val="MeasureTableTextLeftAligned"/>
            </w:pPr>
            <w:r>
              <w:t>1</w:t>
            </w:r>
          </w:p>
        </w:tc>
      </w:tr>
      <w:tr w:rsidR="006E40C9" w14:paraId="1E1FBC8E" w14:textId="77777777">
        <w:trPr>
          <w:cantSplit/>
          <w:jc w:val="center"/>
        </w:trPr>
        <w:tc>
          <w:tcPr>
            <w:tcW w:w="1934" w:type="dxa"/>
            <w:gridSpan w:val="2"/>
            <w:tcBorders>
              <w:top w:val="nil"/>
              <w:bottom w:val="nil"/>
            </w:tcBorders>
          </w:tcPr>
          <w:p w14:paraId="66C7E0D8" w14:textId="77777777" w:rsidR="006E40C9" w:rsidRDefault="006E40C9">
            <w:pPr>
              <w:pStyle w:val="MeasureTableTextItalic"/>
            </w:pPr>
            <w:r>
              <w:t>Commencement date:</w:t>
            </w:r>
          </w:p>
        </w:tc>
        <w:tc>
          <w:tcPr>
            <w:tcW w:w="3179" w:type="dxa"/>
            <w:gridSpan w:val="4"/>
            <w:tcBorders>
              <w:top w:val="nil"/>
              <w:bottom w:val="nil"/>
            </w:tcBorders>
          </w:tcPr>
          <w:p w14:paraId="1D099E01" w14:textId="77777777" w:rsidR="006E40C9" w:rsidRDefault="006E40C9">
            <w:pPr>
              <w:pStyle w:val="MeasureTableTextLeftAligned"/>
            </w:pPr>
            <w:r>
              <w:t>1981</w:t>
            </w:r>
          </w:p>
        </w:tc>
        <w:tc>
          <w:tcPr>
            <w:tcW w:w="1500" w:type="dxa"/>
            <w:gridSpan w:val="2"/>
            <w:tcBorders>
              <w:top w:val="nil"/>
              <w:bottom w:val="nil"/>
            </w:tcBorders>
          </w:tcPr>
          <w:p w14:paraId="14FF568C" w14:textId="77777777" w:rsidR="006E40C9" w:rsidRPr="00F32057" w:rsidRDefault="006E40C9">
            <w:pPr>
              <w:pStyle w:val="MeasureTableTextItalic"/>
            </w:pPr>
            <w:r>
              <w:t>Expiry date:</w:t>
            </w:r>
          </w:p>
        </w:tc>
        <w:tc>
          <w:tcPr>
            <w:tcW w:w="1124" w:type="dxa"/>
            <w:gridSpan w:val="2"/>
            <w:tcBorders>
              <w:top w:val="nil"/>
              <w:bottom w:val="nil"/>
            </w:tcBorders>
          </w:tcPr>
          <w:p w14:paraId="22A7E598" w14:textId="77777777" w:rsidR="006E40C9" w:rsidRPr="00F32057" w:rsidRDefault="006E40C9">
            <w:pPr>
              <w:pStyle w:val="MeasureTableTextLeftAligned"/>
            </w:pPr>
          </w:p>
        </w:tc>
      </w:tr>
      <w:tr w:rsidR="006E40C9" w14:paraId="6CB723B2" w14:textId="77777777">
        <w:trPr>
          <w:cantSplit/>
          <w:jc w:val="center"/>
        </w:trPr>
        <w:tc>
          <w:tcPr>
            <w:tcW w:w="1934" w:type="dxa"/>
            <w:gridSpan w:val="2"/>
            <w:tcBorders>
              <w:top w:val="nil"/>
            </w:tcBorders>
          </w:tcPr>
          <w:p w14:paraId="4291603D" w14:textId="77777777" w:rsidR="006E40C9" w:rsidRDefault="006E40C9">
            <w:pPr>
              <w:pStyle w:val="MeasureTableTextItalic"/>
            </w:pPr>
            <w:r>
              <w:t>Legislative reference:</w:t>
            </w:r>
          </w:p>
        </w:tc>
        <w:tc>
          <w:tcPr>
            <w:tcW w:w="5803" w:type="dxa"/>
            <w:gridSpan w:val="8"/>
            <w:tcBorders>
              <w:top w:val="nil"/>
            </w:tcBorders>
          </w:tcPr>
          <w:p w14:paraId="5E25D70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128B(3)(jb) of the </w:t>
            </w:r>
            <w:r>
              <w:rPr>
                <w:rFonts w:ascii="Arial" w:hAnsi="Arial" w:cs="Arial"/>
                <w:i/>
                <w:iCs/>
                <w:color w:val="000000"/>
                <w:sz w:val="16"/>
                <w:szCs w:val="16"/>
              </w:rPr>
              <w:t>Income Tax Assessment Act 1936</w:t>
            </w:r>
          </w:p>
        </w:tc>
      </w:tr>
    </w:tbl>
    <w:p w14:paraId="48E1630B" w14:textId="77777777" w:rsidR="006E40C9" w:rsidRPr="00540040" w:rsidRDefault="006E40C9" w:rsidP="006E40C9">
      <w:pPr>
        <w:pStyle w:val="MeasureTableHeading"/>
      </w:pPr>
    </w:p>
    <w:p w14:paraId="09A16EBF" w14:textId="292062F1" w:rsidR="006E40C9" w:rsidRDefault="006E40C9" w:rsidP="006E40C9">
      <w:r w:rsidRPr="00D21F8F">
        <w:t>Interest income and dividends received by foreign superannuation funds</w:t>
      </w:r>
      <w:r>
        <w:fldChar w:fldCharType="begin"/>
      </w:r>
      <w:r>
        <w:instrText xml:space="preserve"> XE "</w:instrText>
      </w:r>
      <w:r w:rsidRPr="00BE1C91">
        <w:instrText>Foreign superannuation funds</w:instrText>
      </w:r>
      <w:r>
        <w:instrText xml:space="preserve">" </w:instrText>
      </w:r>
      <w:r>
        <w:fldChar w:fldCharType="end"/>
      </w:r>
      <w:r w:rsidRPr="00D21F8F">
        <w:t xml:space="preserve"> are exempt from interest and dividend withholding taxes if </w:t>
      </w:r>
      <w:r>
        <w:t>this income</w:t>
      </w:r>
      <w:r w:rsidRPr="00D21F8F">
        <w:t xml:space="preserve"> is exempt from income tax in the country in which the foreign superannuation fund resides</w:t>
      </w:r>
      <w:r>
        <w:t xml:space="preserve"> and if the superannuation fund has a portfolio</w:t>
      </w:r>
      <w:r>
        <w:noBreakHyphen/>
        <w:t>like interest in the entity that pays the interest or dividends to the fund</w:t>
      </w:r>
      <w:r w:rsidRPr="00D21F8F">
        <w:t>.</w:t>
      </w:r>
      <w:r w:rsidRPr="00224433">
        <w:t xml:space="preserve"> </w:t>
      </w:r>
    </w:p>
    <w:p w14:paraId="11224F62" w14:textId="5A8083E7" w:rsidR="006E40C9" w:rsidRDefault="006E40C9" w:rsidP="006E40C9">
      <w:r>
        <w:t>The benchmark tax treatment is the default withholding rate for interest (10 per cent) and dividends (30 per cent), or where a tax treaty reduces the relevant default withholding rate, the rate specified in the applicable treaty (refer to B5).</w:t>
      </w:r>
    </w:p>
    <w:p w14:paraId="6C4C2CB4" w14:textId="77777777" w:rsidR="006E40C9" w:rsidRDefault="006E40C9" w:rsidP="00432D19">
      <w:pPr>
        <w:pStyle w:val="Heading4"/>
      </w:pPr>
      <w:r>
        <w:t>B63</w:t>
      </w:r>
      <w:r>
        <w:tab/>
        <w:t>Lower tax rate for small companies</w:t>
      </w:r>
    </w:p>
    <w:p w14:paraId="415BE7E2" w14:textId="5DDF8C1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6E7841" w14:textId="77777777">
        <w:trPr>
          <w:cantSplit/>
          <w:jc w:val="center"/>
        </w:trPr>
        <w:tc>
          <w:tcPr>
            <w:tcW w:w="967" w:type="dxa"/>
            <w:tcBorders>
              <w:top w:val="single" w:sz="2" w:space="0" w:color="auto"/>
              <w:bottom w:val="single" w:sz="2" w:space="0" w:color="auto"/>
            </w:tcBorders>
          </w:tcPr>
          <w:p w14:paraId="7DDB918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B6BE73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92729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43C31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89FD28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5B324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A45CA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3826520" w14:textId="77777777" w:rsidR="006E40C9" w:rsidRDefault="006E40C9">
            <w:pPr>
              <w:pStyle w:val="MeasureTableTextRightAligned"/>
            </w:pPr>
            <w:r>
              <w:t>2027-28</w:t>
            </w:r>
          </w:p>
        </w:tc>
      </w:tr>
      <w:tr w:rsidR="006E40C9" w14:paraId="5AB4E7B5" w14:textId="77777777">
        <w:trPr>
          <w:cantSplit/>
          <w:jc w:val="center"/>
        </w:trPr>
        <w:tc>
          <w:tcPr>
            <w:tcW w:w="967" w:type="dxa"/>
            <w:tcBorders>
              <w:top w:val="single" w:sz="2" w:space="0" w:color="auto"/>
              <w:bottom w:val="single" w:sz="2" w:space="0" w:color="auto"/>
            </w:tcBorders>
          </w:tcPr>
          <w:p w14:paraId="65084AB9" w14:textId="77777777" w:rsidR="006E40C9" w:rsidRDefault="006E40C9">
            <w:pPr>
              <w:pStyle w:val="MeasureTableTextRightAligned"/>
            </w:pPr>
            <w:r>
              <w:t>2,700</w:t>
            </w:r>
          </w:p>
        </w:tc>
        <w:tc>
          <w:tcPr>
            <w:tcW w:w="967" w:type="dxa"/>
            <w:tcBorders>
              <w:top w:val="single" w:sz="2" w:space="0" w:color="auto"/>
              <w:bottom w:val="single" w:sz="2" w:space="0" w:color="auto"/>
            </w:tcBorders>
          </w:tcPr>
          <w:p w14:paraId="0A2797D1" w14:textId="77777777" w:rsidR="006E40C9" w:rsidRDefault="006E40C9">
            <w:pPr>
              <w:pStyle w:val="MeasureTableTextRightAligned"/>
            </w:pPr>
            <w:r>
              <w:t>3,500</w:t>
            </w:r>
          </w:p>
        </w:tc>
        <w:tc>
          <w:tcPr>
            <w:tcW w:w="967" w:type="dxa"/>
            <w:tcBorders>
              <w:top w:val="single" w:sz="2" w:space="0" w:color="auto"/>
              <w:bottom w:val="single" w:sz="2" w:space="0" w:color="auto"/>
            </w:tcBorders>
            <w:vAlign w:val="bottom"/>
          </w:tcPr>
          <w:p w14:paraId="2BF7E307" w14:textId="77777777" w:rsidR="006E40C9" w:rsidRDefault="006E40C9">
            <w:pPr>
              <w:pStyle w:val="MeasureTableTextRightAligned"/>
            </w:pPr>
            <w:r>
              <w:t>4,300</w:t>
            </w:r>
          </w:p>
        </w:tc>
        <w:tc>
          <w:tcPr>
            <w:tcW w:w="967" w:type="dxa"/>
            <w:tcBorders>
              <w:top w:val="single" w:sz="2" w:space="0" w:color="auto"/>
              <w:bottom w:val="single" w:sz="2" w:space="0" w:color="auto"/>
            </w:tcBorders>
            <w:vAlign w:val="bottom"/>
          </w:tcPr>
          <w:p w14:paraId="5FCD3C90" w14:textId="77777777" w:rsidR="006E40C9" w:rsidRDefault="006E40C9">
            <w:pPr>
              <w:pStyle w:val="MeasureTableTextRightAligned"/>
            </w:pPr>
            <w:r>
              <w:t>3,700</w:t>
            </w:r>
          </w:p>
        </w:tc>
        <w:tc>
          <w:tcPr>
            <w:tcW w:w="967" w:type="dxa"/>
            <w:tcBorders>
              <w:top w:val="single" w:sz="2" w:space="0" w:color="auto"/>
              <w:bottom w:val="single" w:sz="2" w:space="0" w:color="auto"/>
            </w:tcBorders>
            <w:vAlign w:val="bottom"/>
          </w:tcPr>
          <w:p w14:paraId="5F9942EB" w14:textId="77777777" w:rsidR="006E40C9" w:rsidRDefault="006E40C9">
            <w:pPr>
              <w:pStyle w:val="MeasureTableTextRightAligned"/>
            </w:pPr>
            <w:r>
              <w:t>3,500</w:t>
            </w:r>
          </w:p>
        </w:tc>
        <w:tc>
          <w:tcPr>
            <w:tcW w:w="967" w:type="dxa"/>
            <w:gridSpan w:val="2"/>
            <w:tcBorders>
              <w:top w:val="single" w:sz="2" w:space="0" w:color="auto"/>
              <w:bottom w:val="single" w:sz="2" w:space="0" w:color="auto"/>
            </w:tcBorders>
            <w:vAlign w:val="bottom"/>
          </w:tcPr>
          <w:p w14:paraId="15A90CB6" w14:textId="77777777" w:rsidR="006E40C9" w:rsidRDefault="006E40C9">
            <w:pPr>
              <w:pStyle w:val="MeasureTableTextRightAligned"/>
            </w:pPr>
            <w:r>
              <w:t>3,700</w:t>
            </w:r>
          </w:p>
        </w:tc>
        <w:tc>
          <w:tcPr>
            <w:tcW w:w="967" w:type="dxa"/>
            <w:gridSpan w:val="2"/>
            <w:tcBorders>
              <w:top w:val="single" w:sz="2" w:space="0" w:color="auto"/>
              <w:bottom w:val="single" w:sz="2" w:space="0" w:color="auto"/>
            </w:tcBorders>
            <w:vAlign w:val="bottom"/>
          </w:tcPr>
          <w:p w14:paraId="115965B5" w14:textId="77777777" w:rsidR="006E40C9" w:rsidRDefault="006E40C9">
            <w:pPr>
              <w:pStyle w:val="MeasureTableTextRightAligned"/>
            </w:pPr>
            <w:r>
              <w:t>4,100</w:t>
            </w:r>
          </w:p>
        </w:tc>
        <w:tc>
          <w:tcPr>
            <w:tcW w:w="968" w:type="dxa"/>
            <w:tcBorders>
              <w:top w:val="single" w:sz="2" w:space="0" w:color="auto"/>
              <w:bottom w:val="single" w:sz="2" w:space="0" w:color="auto"/>
            </w:tcBorders>
            <w:vAlign w:val="bottom"/>
          </w:tcPr>
          <w:p w14:paraId="2D9F7E16" w14:textId="77777777" w:rsidR="006E40C9" w:rsidRDefault="006E40C9">
            <w:pPr>
              <w:pStyle w:val="MeasureTableTextRightAligned"/>
            </w:pPr>
            <w:r>
              <w:t>4,100</w:t>
            </w:r>
          </w:p>
        </w:tc>
      </w:tr>
      <w:tr w:rsidR="006E40C9" w14:paraId="05D85558" w14:textId="77777777">
        <w:trPr>
          <w:cantSplit/>
          <w:jc w:val="center"/>
        </w:trPr>
        <w:tc>
          <w:tcPr>
            <w:tcW w:w="1934" w:type="dxa"/>
            <w:gridSpan w:val="2"/>
            <w:tcBorders>
              <w:top w:val="single" w:sz="2" w:space="0" w:color="auto"/>
              <w:bottom w:val="nil"/>
            </w:tcBorders>
          </w:tcPr>
          <w:p w14:paraId="692A03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C83821"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B1E039C" w14:textId="63F080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7D454C" w14:textId="77777777" w:rsidR="006E40C9" w:rsidRDefault="006E40C9">
            <w:pPr>
              <w:pStyle w:val="MeasureTableTextLeftAligned"/>
            </w:pPr>
            <w:r>
              <w:t>B62</w:t>
            </w:r>
          </w:p>
        </w:tc>
      </w:tr>
      <w:tr w:rsidR="006E40C9" w14:paraId="2A2314DD" w14:textId="77777777">
        <w:trPr>
          <w:cantSplit/>
          <w:jc w:val="center"/>
        </w:trPr>
        <w:tc>
          <w:tcPr>
            <w:tcW w:w="1934" w:type="dxa"/>
            <w:gridSpan w:val="2"/>
            <w:tcBorders>
              <w:top w:val="nil"/>
              <w:bottom w:val="nil"/>
            </w:tcBorders>
          </w:tcPr>
          <w:p w14:paraId="574ED78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B01A1D" w14:textId="77777777" w:rsidR="006E40C9" w:rsidRPr="00584CA7" w:rsidRDefault="006E40C9">
            <w:pPr>
              <w:pStyle w:val="MeasureTableTextLeftAligned"/>
            </w:pPr>
            <w:r>
              <w:t>Medium</w:t>
            </w:r>
          </w:p>
        </w:tc>
        <w:tc>
          <w:tcPr>
            <w:tcW w:w="1500" w:type="dxa"/>
            <w:gridSpan w:val="2"/>
            <w:tcBorders>
              <w:top w:val="nil"/>
              <w:bottom w:val="nil"/>
            </w:tcBorders>
          </w:tcPr>
          <w:p w14:paraId="2CE66E81" w14:textId="77777777" w:rsidR="006E40C9" w:rsidRDefault="006E40C9">
            <w:pPr>
              <w:pStyle w:val="MeasureTableTextItalic"/>
            </w:pPr>
          </w:p>
        </w:tc>
        <w:tc>
          <w:tcPr>
            <w:tcW w:w="1124" w:type="dxa"/>
            <w:gridSpan w:val="2"/>
            <w:tcBorders>
              <w:top w:val="nil"/>
              <w:bottom w:val="nil"/>
            </w:tcBorders>
          </w:tcPr>
          <w:p w14:paraId="1F2A0589" w14:textId="77777777" w:rsidR="006E40C9" w:rsidRDefault="006E40C9">
            <w:pPr>
              <w:pStyle w:val="MeasureTableTextLeftAligned"/>
            </w:pPr>
          </w:p>
        </w:tc>
      </w:tr>
      <w:tr w:rsidR="006E40C9" w14:paraId="748E9D91" w14:textId="77777777">
        <w:trPr>
          <w:cantSplit/>
          <w:jc w:val="center"/>
        </w:trPr>
        <w:tc>
          <w:tcPr>
            <w:tcW w:w="1934" w:type="dxa"/>
            <w:gridSpan w:val="2"/>
            <w:tcBorders>
              <w:top w:val="nil"/>
              <w:bottom w:val="nil"/>
            </w:tcBorders>
          </w:tcPr>
          <w:p w14:paraId="1EE42FB0" w14:textId="77777777" w:rsidR="006E40C9" w:rsidRDefault="006E40C9">
            <w:pPr>
              <w:pStyle w:val="MeasureTableTextItalic"/>
            </w:pPr>
            <w:r>
              <w:t>Commencement date:</w:t>
            </w:r>
          </w:p>
        </w:tc>
        <w:tc>
          <w:tcPr>
            <w:tcW w:w="3179" w:type="dxa"/>
            <w:gridSpan w:val="4"/>
            <w:tcBorders>
              <w:top w:val="nil"/>
              <w:bottom w:val="nil"/>
            </w:tcBorders>
          </w:tcPr>
          <w:p w14:paraId="33063EC4" w14:textId="77777777" w:rsidR="006E40C9" w:rsidRDefault="006E40C9">
            <w:pPr>
              <w:pStyle w:val="MeasureTableTextLeftAligned"/>
            </w:pPr>
            <w:r>
              <w:t>1 July 2015</w:t>
            </w:r>
          </w:p>
        </w:tc>
        <w:tc>
          <w:tcPr>
            <w:tcW w:w="1500" w:type="dxa"/>
            <w:gridSpan w:val="2"/>
            <w:tcBorders>
              <w:top w:val="nil"/>
              <w:bottom w:val="nil"/>
            </w:tcBorders>
          </w:tcPr>
          <w:p w14:paraId="11A2B827" w14:textId="77777777" w:rsidR="006E40C9" w:rsidRPr="00F32057" w:rsidRDefault="006E40C9">
            <w:pPr>
              <w:pStyle w:val="MeasureTableTextItalic"/>
            </w:pPr>
            <w:r>
              <w:t>Expiry date:</w:t>
            </w:r>
          </w:p>
        </w:tc>
        <w:tc>
          <w:tcPr>
            <w:tcW w:w="1124" w:type="dxa"/>
            <w:gridSpan w:val="2"/>
            <w:tcBorders>
              <w:top w:val="nil"/>
              <w:bottom w:val="nil"/>
            </w:tcBorders>
          </w:tcPr>
          <w:p w14:paraId="2A7F6691" w14:textId="77777777" w:rsidR="006E40C9" w:rsidRPr="00F32057" w:rsidRDefault="006E40C9">
            <w:pPr>
              <w:pStyle w:val="MeasureTableTextLeftAligned"/>
            </w:pPr>
          </w:p>
        </w:tc>
      </w:tr>
      <w:tr w:rsidR="006E40C9" w14:paraId="550CDACB" w14:textId="77777777">
        <w:trPr>
          <w:cantSplit/>
          <w:jc w:val="center"/>
        </w:trPr>
        <w:tc>
          <w:tcPr>
            <w:tcW w:w="1934" w:type="dxa"/>
            <w:gridSpan w:val="2"/>
            <w:tcBorders>
              <w:top w:val="nil"/>
            </w:tcBorders>
          </w:tcPr>
          <w:p w14:paraId="1E3FBC2A" w14:textId="77777777" w:rsidR="006E40C9" w:rsidRDefault="006E40C9">
            <w:pPr>
              <w:pStyle w:val="MeasureTableTextItalic"/>
            </w:pPr>
            <w:r>
              <w:t>Legislative reference:</w:t>
            </w:r>
          </w:p>
        </w:tc>
        <w:tc>
          <w:tcPr>
            <w:tcW w:w="5803" w:type="dxa"/>
            <w:gridSpan w:val="8"/>
            <w:tcBorders>
              <w:top w:val="nil"/>
            </w:tcBorders>
          </w:tcPr>
          <w:p w14:paraId="0E224DB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23(2) of the </w:t>
            </w:r>
            <w:r>
              <w:rPr>
                <w:rFonts w:ascii="Arial" w:hAnsi="Arial" w:cs="Arial"/>
                <w:i/>
                <w:iCs/>
                <w:color w:val="000000"/>
                <w:sz w:val="16"/>
                <w:szCs w:val="16"/>
              </w:rPr>
              <w:t>Income Tax Rates Act 1986</w:t>
            </w:r>
          </w:p>
        </w:tc>
      </w:tr>
    </w:tbl>
    <w:p w14:paraId="6932921C" w14:textId="77777777" w:rsidR="006E40C9" w:rsidRPr="00540040" w:rsidRDefault="006E40C9" w:rsidP="006E40C9">
      <w:pPr>
        <w:pStyle w:val="MeasureTableHeading"/>
      </w:pPr>
    </w:p>
    <w:p w14:paraId="541C1962" w14:textId="28F05962" w:rsidR="006E40C9" w:rsidRDefault="006E40C9" w:rsidP="006E40C9">
      <w:r>
        <w:t xml:space="preserve">Under the benchmark treatment company income tax is paid at the headline corporate tax rate of 30 per cent. However, companies with aggregated annual turnover below $50 million and with 80 per cent or less of assessable income that is passive in nature face a </w:t>
      </w:r>
      <w:r w:rsidR="00BE0BE9">
        <w:t xml:space="preserve">reduced </w:t>
      </w:r>
      <w:r>
        <w:t>company tax rate.</w:t>
      </w:r>
      <w:r>
        <w:fldChar w:fldCharType="begin"/>
      </w:r>
      <w:r>
        <w:instrText xml:space="preserve"> XE "</w:instrText>
      </w:r>
      <w:r w:rsidRPr="00AB4151">
        <w:instrText>Lower company tax rate</w:instrText>
      </w:r>
      <w:r>
        <w:instrText xml:space="preserve">" </w:instrText>
      </w:r>
      <w:r>
        <w:fldChar w:fldCharType="end"/>
      </w:r>
      <w:r w:rsidRPr="00D32B7C">
        <w:t xml:space="preserve"> </w:t>
      </w:r>
      <w:r w:rsidR="00E534A0">
        <w:t>For the 2020-21 income year small companies had a 26 per cent tax rate, and for the 2021-22 and later income years this tax rate was 25 per cent.</w:t>
      </w:r>
      <w:r w:rsidR="00E534A0">
        <w:fldChar w:fldCharType="begin"/>
      </w:r>
      <w:r w:rsidR="00E534A0">
        <w:instrText xml:space="preserve"> XE "</w:instrText>
      </w:r>
      <w:r w:rsidR="00E534A0" w:rsidRPr="00AB4151">
        <w:instrText>Lower company tax rate</w:instrText>
      </w:r>
      <w:r w:rsidR="00E534A0">
        <w:instrText xml:space="preserve">" </w:instrText>
      </w:r>
      <w:r w:rsidR="00E534A0">
        <w:fldChar w:fldCharType="end"/>
      </w:r>
      <w:r w:rsidR="00E534A0" w:rsidRPr="00D32B7C">
        <w:t xml:space="preserve"> </w:t>
      </w:r>
      <w:r>
        <w:t xml:space="preserve"> </w:t>
      </w:r>
    </w:p>
    <w:p w14:paraId="1C969E66" w14:textId="746D9879" w:rsidR="006E40C9" w:rsidRDefault="006E40C9" w:rsidP="00432D19">
      <w:pPr>
        <w:pStyle w:val="Heading4"/>
      </w:pPr>
      <w:r>
        <w:t>B64</w:t>
      </w:r>
      <w:r>
        <w:tab/>
        <w:t xml:space="preserve">Managed investment trusts </w:t>
      </w:r>
      <w:r w:rsidR="000A4999">
        <w:t>–</w:t>
      </w:r>
      <w:r>
        <w:t xml:space="preserve"> election to allow capital gains tax to be the primary code for disposals of certain assets</w:t>
      </w:r>
    </w:p>
    <w:p w14:paraId="59476095" w14:textId="777D3C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E052C76" w14:textId="77777777">
        <w:trPr>
          <w:cantSplit/>
          <w:jc w:val="center"/>
        </w:trPr>
        <w:tc>
          <w:tcPr>
            <w:tcW w:w="967" w:type="dxa"/>
            <w:tcBorders>
              <w:top w:val="single" w:sz="2" w:space="0" w:color="auto"/>
              <w:bottom w:val="single" w:sz="2" w:space="0" w:color="auto"/>
            </w:tcBorders>
          </w:tcPr>
          <w:p w14:paraId="225110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F090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9E442F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EA98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6DB41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66A38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09BAA9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EEB255D" w14:textId="77777777" w:rsidR="006E40C9" w:rsidRDefault="006E40C9">
            <w:pPr>
              <w:pStyle w:val="MeasureTableTextRightAligned"/>
            </w:pPr>
            <w:r>
              <w:t>2027-28</w:t>
            </w:r>
          </w:p>
        </w:tc>
      </w:tr>
      <w:tr w:rsidR="006E40C9" w14:paraId="76C5833D" w14:textId="77777777">
        <w:trPr>
          <w:cantSplit/>
          <w:jc w:val="center"/>
        </w:trPr>
        <w:tc>
          <w:tcPr>
            <w:tcW w:w="967" w:type="dxa"/>
            <w:tcBorders>
              <w:top w:val="single" w:sz="2" w:space="0" w:color="auto"/>
              <w:bottom w:val="single" w:sz="2" w:space="0" w:color="auto"/>
            </w:tcBorders>
          </w:tcPr>
          <w:p w14:paraId="5787963D" w14:textId="77777777" w:rsidR="006E40C9" w:rsidRDefault="006E40C9">
            <w:pPr>
              <w:pStyle w:val="MeasureTableTextRightAligned"/>
            </w:pPr>
            <w:r>
              <w:t>*</w:t>
            </w:r>
          </w:p>
        </w:tc>
        <w:tc>
          <w:tcPr>
            <w:tcW w:w="967" w:type="dxa"/>
            <w:tcBorders>
              <w:top w:val="single" w:sz="2" w:space="0" w:color="auto"/>
              <w:bottom w:val="single" w:sz="2" w:space="0" w:color="auto"/>
            </w:tcBorders>
          </w:tcPr>
          <w:p w14:paraId="079B87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A00A4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B6F4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CDA61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699BE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8F5E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370B9E" w14:textId="77777777" w:rsidR="006E40C9" w:rsidRDefault="006E40C9">
            <w:pPr>
              <w:pStyle w:val="MeasureTableTextRightAligned"/>
            </w:pPr>
            <w:r>
              <w:t>*</w:t>
            </w:r>
          </w:p>
        </w:tc>
      </w:tr>
      <w:tr w:rsidR="006E40C9" w14:paraId="51E233B3" w14:textId="77777777">
        <w:trPr>
          <w:cantSplit/>
          <w:jc w:val="center"/>
        </w:trPr>
        <w:tc>
          <w:tcPr>
            <w:tcW w:w="1934" w:type="dxa"/>
            <w:gridSpan w:val="2"/>
            <w:tcBorders>
              <w:top w:val="single" w:sz="2" w:space="0" w:color="auto"/>
              <w:bottom w:val="nil"/>
            </w:tcBorders>
          </w:tcPr>
          <w:p w14:paraId="1248A9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888704C"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7548BA6B" w14:textId="3ED61C5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249E86" w14:textId="77777777" w:rsidR="006E40C9" w:rsidRDefault="006E40C9">
            <w:pPr>
              <w:pStyle w:val="MeasureTableTextLeftAligned"/>
            </w:pPr>
            <w:r>
              <w:t>B63</w:t>
            </w:r>
          </w:p>
        </w:tc>
      </w:tr>
      <w:tr w:rsidR="006E40C9" w14:paraId="0B766926" w14:textId="77777777">
        <w:trPr>
          <w:cantSplit/>
          <w:jc w:val="center"/>
        </w:trPr>
        <w:tc>
          <w:tcPr>
            <w:tcW w:w="1934" w:type="dxa"/>
            <w:gridSpan w:val="2"/>
            <w:tcBorders>
              <w:top w:val="nil"/>
              <w:bottom w:val="nil"/>
            </w:tcBorders>
          </w:tcPr>
          <w:p w14:paraId="6DE63C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4B10531" w14:textId="77777777" w:rsidR="006E40C9" w:rsidRPr="00584CA7" w:rsidRDefault="006E40C9">
            <w:pPr>
              <w:pStyle w:val="MeasureTableTextLeftAligned"/>
            </w:pPr>
            <w:r>
              <w:t>Not Applicable</w:t>
            </w:r>
          </w:p>
        </w:tc>
        <w:tc>
          <w:tcPr>
            <w:tcW w:w="1500" w:type="dxa"/>
            <w:gridSpan w:val="2"/>
            <w:tcBorders>
              <w:top w:val="nil"/>
              <w:bottom w:val="nil"/>
            </w:tcBorders>
          </w:tcPr>
          <w:p w14:paraId="062109D6" w14:textId="77777777" w:rsidR="006E40C9" w:rsidRDefault="006E40C9">
            <w:pPr>
              <w:pStyle w:val="MeasureTableTextItalic"/>
            </w:pPr>
            <w:r>
              <w:t>* Category</w:t>
            </w:r>
          </w:p>
        </w:tc>
        <w:tc>
          <w:tcPr>
            <w:tcW w:w="1124" w:type="dxa"/>
            <w:gridSpan w:val="2"/>
            <w:tcBorders>
              <w:top w:val="nil"/>
              <w:bottom w:val="nil"/>
            </w:tcBorders>
          </w:tcPr>
          <w:p w14:paraId="3C8312D6" w14:textId="77777777" w:rsidR="006E40C9" w:rsidRDefault="006E40C9">
            <w:pPr>
              <w:pStyle w:val="MeasureTableTextLeftAligned"/>
            </w:pPr>
            <w:r>
              <w:t>4+</w:t>
            </w:r>
          </w:p>
        </w:tc>
      </w:tr>
      <w:tr w:rsidR="006E40C9" w14:paraId="465C9938" w14:textId="77777777">
        <w:trPr>
          <w:cantSplit/>
          <w:jc w:val="center"/>
        </w:trPr>
        <w:tc>
          <w:tcPr>
            <w:tcW w:w="1934" w:type="dxa"/>
            <w:gridSpan w:val="2"/>
            <w:tcBorders>
              <w:top w:val="nil"/>
              <w:bottom w:val="nil"/>
            </w:tcBorders>
          </w:tcPr>
          <w:p w14:paraId="58AC7C45" w14:textId="77777777" w:rsidR="006E40C9" w:rsidRDefault="006E40C9">
            <w:pPr>
              <w:pStyle w:val="MeasureTableTextItalic"/>
            </w:pPr>
            <w:r>
              <w:t>Commencement date:</w:t>
            </w:r>
          </w:p>
        </w:tc>
        <w:tc>
          <w:tcPr>
            <w:tcW w:w="3179" w:type="dxa"/>
            <w:gridSpan w:val="4"/>
            <w:tcBorders>
              <w:top w:val="nil"/>
              <w:bottom w:val="nil"/>
            </w:tcBorders>
          </w:tcPr>
          <w:p w14:paraId="6C283602" w14:textId="77777777" w:rsidR="006E40C9" w:rsidRDefault="006E40C9">
            <w:pPr>
              <w:pStyle w:val="MeasureTableTextLeftAligned"/>
            </w:pPr>
            <w:r>
              <w:t>1 July 2008</w:t>
            </w:r>
          </w:p>
        </w:tc>
        <w:tc>
          <w:tcPr>
            <w:tcW w:w="1500" w:type="dxa"/>
            <w:gridSpan w:val="2"/>
            <w:tcBorders>
              <w:top w:val="nil"/>
              <w:bottom w:val="nil"/>
            </w:tcBorders>
          </w:tcPr>
          <w:p w14:paraId="5DACEDD9" w14:textId="77777777" w:rsidR="006E40C9" w:rsidRPr="00F32057" w:rsidRDefault="006E40C9">
            <w:pPr>
              <w:pStyle w:val="MeasureTableTextItalic"/>
            </w:pPr>
            <w:r>
              <w:t>Expiry date:</w:t>
            </w:r>
          </w:p>
        </w:tc>
        <w:tc>
          <w:tcPr>
            <w:tcW w:w="1124" w:type="dxa"/>
            <w:gridSpan w:val="2"/>
            <w:tcBorders>
              <w:top w:val="nil"/>
              <w:bottom w:val="nil"/>
            </w:tcBorders>
          </w:tcPr>
          <w:p w14:paraId="4E2D993D" w14:textId="77777777" w:rsidR="006E40C9" w:rsidRPr="00F32057" w:rsidRDefault="006E40C9">
            <w:pPr>
              <w:pStyle w:val="MeasureTableTextLeftAligned"/>
            </w:pPr>
          </w:p>
        </w:tc>
      </w:tr>
      <w:tr w:rsidR="006E40C9" w14:paraId="43921B6E" w14:textId="77777777">
        <w:trPr>
          <w:cantSplit/>
          <w:jc w:val="center"/>
        </w:trPr>
        <w:tc>
          <w:tcPr>
            <w:tcW w:w="1934" w:type="dxa"/>
            <w:gridSpan w:val="2"/>
            <w:tcBorders>
              <w:top w:val="nil"/>
            </w:tcBorders>
          </w:tcPr>
          <w:p w14:paraId="696ECDF0" w14:textId="77777777" w:rsidR="006E40C9" w:rsidRDefault="006E40C9">
            <w:pPr>
              <w:pStyle w:val="MeasureTableTextItalic"/>
            </w:pPr>
            <w:r>
              <w:t>Legislative reference:</w:t>
            </w:r>
          </w:p>
        </w:tc>
        <w:tc>
          <w:tcPr>
            <w:tcW w:w="5803" w:type="dxa"/>
            <w:gridSpan w:val="8"/>
            <w:tcBorders>
              <w:top w:val="nil"/>
            </w:tcBorders>
          </w:tcPr>
          <w:p w14:paraId="5ADF4CCC"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Division 275 of the</w:t>
            </w:r>
            <w:r w:rsidRPr="00F91AAF">
              <w:rPr>
                <w:rFonts w:ascii="Arial" w:hAnsi="Arial" w:cs="Arial"/>
                <w:i/>
                <w:iCs/>
                <w:color w:val="000000"/>
                <w:sz w:val="16"/>
                <w:szCs w:val="16"/>
              </w:rPr>
              <w:t xml:space="preserve"> Income Tax Assessment Act 1997</w:t>
            </w:r>
          </w:p>
        </w:tc>
      </w:tr>
    </w:tbl>
    <w:p w14:paraId="57332553" w14:textId="77777777" w:rsidR="006E40C9" w:rsidRPr="00540040" w:rsidRDefault="006E40C9" w:rsidP="006E40C9">
      <w:pPr>
        <w:pStyle w:val="MeasureTableHeading"/>
      </w:pPr>
    </w:p>
    <w:p w14:paraId="602BBD3D" w14:textId="77777777" w:rsidR="006E40C9" w:rsidRDefault="006E40C9" w:rsidP="006E40C9">
      <w:r w:rsidRPr="00AF3906">
        <w:t xml:space="preserve">Gains and losses on disposals of assets by </w:t>
      </w:r>
      <w:r>
        <w:t>managed investment trusts (</w:t>
      </w:r>
      <w:r w:rsidRPr="00AF3906">
        <w:t>MITs</w:t>
      </w:r>
      <w:r>
        <w:t>)</w:t>
      </w:r>
      <w:r w:rsidRPr="00AF3906">
        <w:t xml:space="preserve"> may be on revenue or capital account. Gains and losses that are treated on capital account a</w:t>
      </w:r>
      <w:r>
        <w:t>re taxed under the CGT regime. </w:t>
      </w:r>
      <w:r w:rsidRPr="00AF3906">
        <w:t>Beneficiaries who are individuals or superannuation funds are entitled to the CGT tax concessions on d</w:t>
      </w:r>
      <w:r>
        <w:t>istributions of capital gains. </w:t>
      </w:r>
      <w:r w:rsidRPr="00AF3906">
        <w:t xml:space="preserve">Foreign resident beneficiaries of a MIT </w:t>
      </w:r>
      <w:r>
        <w:t xml:space="preserve">are </w:t>
      </w:r>
      <w:r w:rsidRPr="00AF3906">
        <w:t>generally not subject to tax on a MIT distribution attributable to a CGT gain unless the gain relates to taxable Australian property. </w:t>
      </w:r>
    </w:p>
    <w:p w14:paraId="0907B012" w14:textId="77777777" w:rsidR="006E40C9" w:rsidRDefault="006E40C9" w:rsidP="006E40C9">
      <w:r>
        <w:t>However, from the 2008</w:t>
      </w:r>
      <w:r>
        <w:noBreakHyphen/>
        <w:t xml:space="preserve">09 income year, eligible </w:t>
      </w:r>
      <w:r>
        <w:fldChar w:fldCharType="begin"/>
      </w:r>
      <w:r>
        <w:instrText xml:space="preserve"> XE "</w:instrText>
      </w:r>
      <w:r w:rsidRPr="00AA4B83">
        <w:instrText>Managed investment trusts</w:instrText>
      </w:r>
      <w:r>
        <w:instrText xml:space="preserve">:Capital account treatment" </w:instrText>
      </w:r>
      <w:r>
        <w:fldChar w:fldCharType="end"/>
      </w:r>
      <w:r>
        <w:t>MITs can make an irrevocable election to treat gains and losses on disposals of certain assets (primarily shares, units and real property) on capital account, and subject to the capital gains tax regime. If an eligible MIT does not make an irrevocable election to have capital account treatment, then gains and losses on disposals of shares and units may be treated as ordinary income.</w:t>
      </w:r>
    </w:p>
    <w:p w14:paraId="06FA4D07" w14:textId="77777777" w:rsidR="006E40C9" w:rsidRDefault="006E40C9" w:rsidP="00432D19">
      <w:pPr>
        <w:pStyle w:val="Heading4"/>
      </w:pPr>
      <w:r>
        <w:t>B65</w:t>
      </w:r>
      <w:r>
        <w:tab/>
        <w:t>Philanthropy – income tax exemption for not-for-profit companies</w:t>
      </w:r>
    </w:p>
    <w:p w14:paraId="4B69B8A5" w14:textId="50348B5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744A5BE" w14:textId="77777777">
        <w:trPr>
          <w:cantSplit/>
          <w:jc w:val="center"/>
        </w:trPr>
        <w:tc>
          <w:tcPr>
            <w:tcW w:w="967" w:type="dxa"/>
            <w:tcBorders>
              <w:top w:val="single" w:sz="2" w:space="0" w:color="auto"/>
              <w:bottom w:val="single" w:sz="2" w:space="0" w:color="auto"/>
            </w:tcBorders>
          </w:tcPr>
          <w:p w14:paraId="31DD67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5CA715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6B2FB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1129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E829C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AB68F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1E6853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90DB95" w14:textId="77777777" w:rsidR="006E40C9" w:rsidRDefault="006E40C9">
            <w:pPr>
              <w:pStyle w:val="MeasureTableTextRightAligned"/>
            </w:pPr>
            <w:r>
              <w:t>2027-28</w:t>
            </w:r>
          </w:p>
        </w:tc>
      </w:tr>
      <w:tr w:rsidR="006E40C9" w14:paraId="7FFC97A8" w14:textId="77777777">
        <w:trPr>
          <w:cantSplit/>
          <w:jc w:val="center"/>
        </w:trPr>
        <w:tc>
          <w:tcPr>
            <w:tcW w:w="967" w:type="dxa"/>
            <w:tcBorders>
              <w:top w:val="single" w:sz="2" w:space="0" w:color="auto"/>
              <w:bottom w:val="single" w:sz="2" w:space="0" w:color="auto"/>
            </w:tcBorders>
          </w:tcPr>
          <w:p w14:paraId="4F9746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7985E5C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0CCA8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75CD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546E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29D9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A8E9E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C541028" w14:textId="77777777" w:rsidR="006E40C9" w:rsidRDefault="006E40C9">
            <w:pPr>
              <w:pStyle w:val="MeasureTableTextRightAligned"/>
            </w:pPr>
            <w:r>
              <w:t>..</w:t>
            </w:r>
          </w:p>
        </w:tc>
      </w:tr>
      <w:tr w:rsidR="006E40C9" w14:paraId="67B3A105" w14:textId="77777777">
        <w:trPr>
          <w:cantSplit/>
          <w:jc w:val="center"/>
        </w:trPr>
        <w:tc>
          <w:tcPr>
            <w:tcW w:w="1934" w:type="dxa"/>
            <w:gridSpan w:val="2"/>
            <w:tcBorders>
              <w:top w:val="single" w:sz="2" w:space="0" w:color="auto"/>
              <w:bottom w:val="nil"/>
            </w:tcBorders>
          </w:tcPr>
          <w:p w14:paraId="1853130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0DA4EC" w14:textId="77777777" w:rsidR="006E40C9" w:rsidRDefault="006E40C9">
            <w:pPr>
              <w:pStyle w:val="MeasureTableTextLeftAligned"/>
            </w:pPr>
            <w:r>
              <w:t>Exemption</w:t>
            </w:r>
          </w:p>
        </w:tc>
        <w:tc>
          <w:tcPr>
            <w:tcW w:w="1500" w:type="dxa"/>
            <w:gridSpan w:val="2"/>
            <w:tcBorders>
              <w:top w:val="single" w:sz="2" w:space="0" w:color="auto"/>
              <w:bottom w:val="nil"/>
            </w:tcBorders>
          </w:tcPr>
          <w:p w14:paraId="147CC01D" w14:textId="32DE04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E2CBDD" w14:textId="77777777" w:rsidR="006E40C9" w:rsidRDefault="006E40C9">
            <w:pPr>
              <w:pStyle w:val="MeasureTableTextLeftAligned"/>
            </w:pPr>
            <w:r>
              <w:t>B64</w:t>
            </w:r>
          </w:p>
        </w:tc>
      </w:tr>
      <w:tr w:rsidR="006E40C9" w14:paraId="5FADB802" w14:textId="77777777">
        <w:trPr>
          <w:cantSplit/>
          <w:jc w:val="center"/>
        </w:trPr>
        <w:tc>
          <w:tcPr>
            <w:tcW w:w="1934" w:type="dxa"/>
            <w:gridSpan w:val="2"/>
            <w:tcBorders>
              <w:top w:val="nil"/>
              <w:bottom w:val="nil"/>
            </w:tcBorders>
          </w:tcPr>
          <w:p w14:paraId="71351E7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DDEF41" w14:textId="46030AF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630638F" w14:textId="77777777" w:rsidR="006E40C9" w:rsidRDefault="006E40C9">
            <w:pPr>
              <w:pStyle w:val="MeasureTableTextItalic"/>
            </w:pPr>
          </w:p>
        </w:tc>
        <w:tc>
          <w:tcPr>
            <w:tcW w:w="1124" w:type="dxa"/>
            <w:gridSpan w:val="2"/>
            <w:tcBorders>
              <w:top w:val="nil"/>
              <w:bottom w:val="nil"/>
            </w:tcBorders>
          </w:tcPr>
          <w:p w14:paraId="696841B5" w14:textId="77777777" w:rsidR="006E40C9" w:rsidRDefault="006E40C9">
            <w:pPr>
              <w:pStyle w:val="MeasureTableTextLeftAligned"/>
            </w:pPr>
          </w:p>
        </w:tc>
      </w:tr>
      <w:tr w:rsidR="006E40C9" w14:paraId="01209000" w14:textId="77777777">
        <w:trPr>
          <w:cantSplit/>
          <w:jc w:val="center"/>
        </w:trPr>
        <w:tc>
          <w:tcPr>
            <w:tcW w:w="1934" w:type="dxa"/>
            <w:gridSpan w:val="2"/>
            <w:tcBorders>
              <w:top w:val="nil"/>
              <w:bottom w:val="nil"/>
            </w:tcBorders>
          </w:tcPr>
          <w:p w14:paraId="26791D37" w14:textId="77777777" w:rsidR="006E40C9" w:rsidRDefault="006E40C9">
            <w:pPr>
              <w:pStyle w:val="MeasureTableTextItalic"/>
            </w:pPr>
            <w:r>
              <w:t>Commencement date:</w:t>
            </w:r>
          </w:p>
        </w:tc>
        <w:tc>
          <w:tcPr>
            <w:tcW w:w="3179" w:type="dxa"/>
            <w:gridSpan w:val="4"/>
            <w:tcBorders>
              <w:top w:val="nil"/>
              <w:bottom w:val="nil"/>
            </w:tcBorders>
          </w:tcPr>
          <w:p w14:paraId="0F627D75" w14:textId="77777777" w:rsidR="006E40C9" w:rsidRDefault="006E40C9">
            <w:pPr>
              <w:pStyle w:val="MeasureTableTextLeftAligned"/>
            </w:pPr>
            <w:r>
              <w:t>Introduced before 1985</w:t>
            </w:r>
          </w:p>
        </w:tc>
        <w:tc>
          <w:tcPr>
            <w:tcW w:w="1500" w:type="dxa"/>
            <w:gridSpan w:val="2"/>
            <w:tcBorders>
              <w:top w:val="nil"/>
              <w:bottom w:val="nil"/>
            </w:tcBorders>
          </w:tcPr>
          <w:p w14:paraId="5073A701" w14:textId="77777777" w:rsidR="006E40C9" w:rsidRPr="00F32057" w:rsidRDefault="006E40C9">
            <w:pPr>
              <w:pStyle w:val="MeasureTableTextItalic"/>
            </w:pPr>
            <w:r>
              <w:t>Expiry date:</w:t>
            </w:r>
          </w:p>
        </w:tc>
        <w:tc>
          <w:tcPr>
            <w:tcW w:w="1124" w:type="dxa"/>
            <w:gridSpan w:val="2"/>
            <w:tcBorders>
              <w:top w:val="nil"/>
              <w:bottom w:val="nil"/>
            </w:tcBorders>
          </w:tcPr>
          <w:p w14:paraId="7FDA9F5C" w14:textId="77777777" w:rsidR="006E40C9" w:rsidRPr="00F32057" w:rsidRDefault="006E40C9">
            <w:pPr>
              <w:pStyle w:val="MeasureTableTextLeftAligned"/>
            </w:pPr>
          </w:p>
        </w:tc>
      </w:tr>
      <w:tr w:rsidR="006E40C9" w14:paraId="45F71F50" w14:textId="77777777">
        <w:trPr>
          <w:cantSplit/>
          <w:jc w:val="center"/>
        </w:trPr>
        <w:tc>
          <w:tcPr>
            <w:tcW w:w="1934" w:type="dxa"/>
            <w:gridSpan w:val="2"/>
            <w:tcBorders>
              <w:top w:val="nil"/>
            </w:tcBorders>
          </w:tcPr>
          <w:p w14:paraId="594101FA" w14:textId="77777777" w:rsidR="006E40C9" w:rsidRDefault="006E40C9">
            <w:pPr>
              <w:pStyle w:val="MeasureTableTextItalic"/>
            </w:pPr>
            <w:r>
              <w:t>Legislative reference:</w:t>
            </w:r>
          </w:p>
        </w:tc>
        <w:tc>
          <w:tcPr>
            <w:tcW w:w="5803" w:type="dxa"/>
            <w:gridSpan w:val="8"/>
            <w:tcBorders>
              <w:top w:val="nil"/>
            </w:tcBorders>
          </w:tcPr>
          <w:p w14:paraId="2DF5B395" w14:textId="77777777" w:rsidR="006E40C9" w:rsidRPr="00F91AAF" w:rsidRDefault="006E40C9">
            <w:pPr>
              <w:widowControl w:val="0"/>
              <w:autoSpaceDE w:val="0"/>
              <w:autoSpaceDN w:val="0"/>
              <w:adjustRightInd w:val="0"/>
              <w:spacing w:after="0" w:line="240" w:lineRule="auto"/>
              <w:rPr>
                <w:sz w:val="16"/>
                <w:szCs w:val="16"/>
              </w:rPr>
            </w:pPr>
            <w:r w:rsidRPr="00F91AAF">
              <w:rPr>
                <w:rFonts w:ascii="Arial" w:hAnsi="Arial" w:cs="Arial"/>
                <w:sz w:val="16"/>
                <w:szCs w:val="16"/>
              </w:rPr>
              <w:t xml:space="preserve">Subsection 23(6) of the </w:t>
            </w:r>
            <w:r w:rsidRPr="00F91AAF">
              <w:rPr>
                <w:rFonts w:ascii="Arial" w:hAnsi="Arial" w:cs="Arial"/>
                <w:i/>
                <w:iCs/>
                <w:color w:val="000000"/>
                <w:sz w:val="16"/>
                <w:szCs w:val="16"/>
              </w:rPr>
              <w:t>Income Tax Rates Act 1986</w:t>
            </w:r>
          </w:p>
        </w:tc>
      </w:tr>
    </w:tbl>
    <w:p w14:paraId="34792524" w14:textId="77777777" w:rsidR="006E40C9" w:rsidRPr="00540040" w:rsidRDefault="006E40C9" w:rsidP="006E40C9">
      <w:pPr>
        <w:pStyle w:val="MeasureTableHeading"/>
      </w:pPr>
    </w:p>
    <w:p w14:paraId="2692B131" w14:textId="37A98C5E" w:rsidR="006E40C9" w:rsidRDefault="006E40C9" w:rsidP="006E40C9">
      <w:r w:rsidRPr="00192473">
        <w:t xml:space="preserve">The benchmark tax treatment is that income tax is paid on the taxable income of a </w:t>
      </w:r>
      <w:r>
        <w:t>company</w:t>
      </w:r>
      <w:r w:rsidRPr="00192473">
        <w:t xml:space="preserve"> for an income year at </w:t>
      </w:r>
      <w:r>
        <w:t>the</w:t>
      </w:r>
      <w:r w:rsidRPr="00192473">
        <w:t xml:space="preserve"> applicable </w:t>
      </w:r>
      <w:r>
        <w:t>company</w:t>
      </w:r>
      <w:r w:rsidRPr="00192473">
        <w:t xml:space="preserve"> tax</w:t>
      </w:r>
      <w:r>
        <w:t xml:space="preserve"> rate</w:t>
      </w:r>
      <w:r w:rsidRPr="00192473">
        <w:t>.</w:t>
      </w:r>
      <w:r>
        <w:t xml:space="preserve"> However, the rate of income tax payable by a not</w:t>
      </w:r>
      <w:r>
        <w:noBreakHyphen/>
        <w:t>for</w:t>
      </w:r>
      <w:r>
        <w:noBreakHyphen/>
        <w:t>profit company</w:t>
      </w:r>
      <w:bookmarkStart w:id="88" w:name="_Hlk93418262"/>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bookmarkEnd w:id="88"/>
      <w:r>
        <w:t xml:space="preserve"> that has a taxable income not exceeding $416 in a given income year is nil. </w:t>
      </w:r>
      <w:r w:rsidRPr="00757C9C">
        <w:t xml:space="preserve">Income tax is payable at a rate of 55 per cent on </w:t>
      </w:r>
      <w:r>
        <w:t xml:space="preserve">taxable </w:t>
      </w:r>
      <w:r w:rsidRPr="00757C9C">
        <w:t>income</w:t>
      </w:r>
      <w:r>
        <w:t xml:space="preserve"> greater than</w:t>
      </w:r>
      <w:r w:rsidRPr="00757C9C">
        <w:t xml:space="preserve"> $416</w:t>
      </w:r>
      <w:r>
        <w:t xml:space="preserve"> until the not</w:t>
      </w:r>
      <w:r>
        <w:noBreakHyphen/>
        <w:t>for</w:t>
      </w:r>
      <w:r>
        <w:noBreakHyphen/>
        <w:t>profit company’s effective company tax rate reaches its applicable company tax rate</w:t>
      </w:r>
      <w:r w:rsidRPr="00757C9C">
        <w:t>. When</w:t>
      </w:r>
      <w:r>
        <w:t xml:space="preserve"> its taxable income has exceeded that level (for example, in 2021-22 and later years, the threshold is $762 for base rate entities or $915 for other companies), the applicable company tax rate is applied on the</w:t>
      </w:r>
      <w:r w:rsidRPr="00757C9C">
        <w:t xml:space="preserve"> not</w:t>
      </w:r>
      <w:r>
        <w:noBreakHyphen/>
      </w:r>
      <w:r w:rsidRPr="00757C9C">
        <w:t>for</w:t>
      </w:r>
      <w:r>
        <w:noBreakHyphen/>
      </w:r>
      <w:r w:rsidRPr="00757C9C">
        <w:t>profit company</w:t>
      </w:r>
      <w:r>
        <w:t>’s</w:t>
      </w:r>
      <w:r w:rsidRPr="00757C9C">
        <w:t xml:space="preserve"> </w:t>
      </w:r>
      <w:r>
        <w:t xml:space="preserve">entire taxable </w:t>
      </w:r>
      <w:r w:rsidRPr="00757C9C">
        <w:t>income.</w:t>
      </w:r>
    </w:p>
    <w:p w14:paraId="64A479D8" w14:textId="77777777" w:rsidR="006E40C9" w:rsidRDefault="006E40C9" w:rsidP="00432D19">
      <w:pPr>
        <w:pStyle w:val="Heading4"/>
      </w:pPr>
      <w:r>
        <w:t>B66</w:t>
      </w:r>
      <w:r>
        <w:tab/>
        <w:t>Philanthropy – refund of franking credits for certain income tax exempt philanthropic entities</w:t>
      </w:r>
    </w:p>
    <w:p w14:paraId="14E33388" w14:textId="1921CA8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26F7E9" w14:textId="77777777">
        <w:trPr>
          <w:cantSplit/>
          <w:jc w:val="center"/>
        </w:trPr>
        <w:tc>
          <w:tcPr>
            <w:tcW w:w="967" w:type="dxa"/>
            <w:tcBorders>
              <w:top w:val="single" w:sz="2" w:space="0" w:color="auto"/>
              <w:bottom w:val="single" w:sz="2" w:space="0" w:color="auto"/>
            </w:tcBorders>
          </w:tcPr>
          <w:p w14:paraId="6B3C96A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6BC7D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7DDD6F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8CE8D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CC9C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97F1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26366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00D637" w14:textId="77777777" w:rsidR="006E40C9" w:rsidRDefault="006E40C9">
            <w:pPr>
              <w:pStyle w:val="MeasureTableTextRightAligned"/>
            </w:pPr>
            <w:r>
              <w:t>2027-28</w:t>
            </w:r>
          </w:p>
        </w:tc>
      </w:tr>
      <w:tr w:rsidR="006E40C9" w14:paraId="62478586" w14:textId="77777777">
        <w:trPr>
          <w:cantSplit/>
          <w:jc w:val="center"/>
        </w:trPr>
        <w:tc>
          <w:tcPr>
            <w:tcW w:w="967" w:type="dxa"/>
            <w:tcBorders>
              <w:top w:val="single" w:sz="2" w:space="0" w:color="auto"/>
              <w:bottom w:val="single" w:sz="2" w:space="0" w:color="auto"/>
            </w:tcBorders>
          </w:tcPr>
          <w:p w14:paraId="2E01901E" w14:textId="77777777" w:rsidR="006E40C9" w:rsidRDefault="006E40C9">
            <w:pPr>
              <w:pStyle w:val="MeasureTableTextRightAligned"/>
            </w:pPr>
            <w:r>
              <w:t>1,040</w:t>
            </w:r>
          </w:p>
        </w:tc>
        <w:tc>
          <w:tcPr>
            <w:tcW w:w="967" w:type="dxa"/>
            <w:tcBorders>
              <w:top w:val="single" w:sz="2" w:space="0" w:color="auto"/>
              <w:bottom w:val="single" w:sz="2" w:space="0" w:color="auto"/>
            </w:tcBorders>
          </w:tcPr>
          <w:p w14:paraId="0D02AD16" w14:textId="77777777" w:rsidR="006E40C9" w:rsidRDefault="006E40C9">
            <w:pPr>
              <w:pStyle w:val="MeasureTableTextRightAligned"/>
            </w:pPr>
            <w:r>
              <w:t>900</w:t>
            </w:r>
          </w:p>
        </w:tc>
        <w:tc>
          <w:tcPr>
            <w:tcW w:w="967" w:type="dxa"/>
            <w:tcBorders>
              <w:top w:val="single" w:sz="2" w:space="0" w:color="auto"/>
              <w:bottom w:val="single" w:sz="2" w:space="0" w:color="auto"/>
            </w:tcBorders>
            <w:vAlign w:val="bottom"/>
          </w:tcPr>
          <w:p w14:paraId="3AB6E4D5" w14:textId="77777777" w:rsidR="006E40C9" w:rsidRDefault="006E40C9">
            <w:pPr>
              <w:pStyle w:val="MeasureTableTextRightAligned"/>
            </w:pPr>
            <w:r>
              <w:t>2,840</w:t>
            </w:r>
          </w:p>
        </w:tc>
        <w:tc>
          <w:tcPr>
            <w:tcW w:w="967" w:type="dxa"/>
            <w:tcBorders>
              <w:top w:val="single" w:sz="2" w:space="0" w:color="auto"/>
              <w:bottom w:val="single" w:sz="2" w:space="0" w:color="auto"/>
            </w:tcBorders>
            <w:vAlign w:val="bottom"/>
          </w:tcPr>
          <w:p w14:paraId="15758F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A1F5B0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FF4E76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5E208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139BA9" w14:textId="77777777" w:rsidR="006E40C9" w:rsidRDefault="006E40C9">
            <w:pPr>
              <w:pStyle w:val="MeasureTableTextRightAligned"/>
            </w:pPr>
            <w:r>
              <w:t>*</w:t>
            </w:r>
          </w:p>
        </w:tc>
      </w:tr>
      <w:tr w:rsidR="006E40C9" w14:paraId="055CDAD8" w14:textId="77777777">
        <w:trPr>
          <w:cantSplit/>
          <w:jc w:val="center"/>
        </w:trPr>
        <w:tc>
          <w:tcPr>
            <w:tcW w:w="1934" w:type="dxa"/>
            <w:gridSpan w:val="2"/>
            <w:tcBorders>
              <w:top w:val="single" w:sz="2" w:space="0" w:color="auto"/>
              <w:bottom w:val="nil"/>
            </w:tcBorders>
          </w:tcPr>
          <w:p w14:paraId="6CDA4B6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8CAE6E" w14:textId="77777777" w:rsidR="006E40C9" w:rsidRDefault="006E40C9">
            <w:pPr>
              <w:pStyle w:val="MeasureTableTextLeftAligned"/>
            </w:pPr>
            <w:r>
              <w:t>Rebate</w:t>
            </w:r>
          </w:p>
        </w:tc>
        <w:tc>
          <w:tcPr>
            <w:tcW w:w="1500" w:type="dxa"/>
            <w:gridSpan w:val="2"/>
            <w:tcBorders>
              <w:top w:val="single" w:sz="2" w:space="0" w:color="auto"/>
              <w:bottom w:val="nil"/>
            </w:tcBorders>
          </w:tcPr>
          <w:p w14:paraId="690C61FD" w14:textId="2CC04E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181150" w14:textId="77777777" w:rsidR="006E40C9" w:rsidRDefault="006E40C9">
            <w:pPr>
              <w:pStyle w:val="MeasureTableTextLeftAligned"/>
            </w:pPr>
            <w:r>
              <w:t>B65</w:t>
            </w:r>
          </w:p>
        </w:tc>
      </w:tr>
      <w:tr w:rsidR="006E40C9" w14:paraId="7670FD21" w14:textId="77777777">
        <w:trPr>
          <w:cantSplit/>
          <w:jc w:val="center"/>
        </w:trPr>
        <w:tc>
          <w:tcPr>
            <w:tcW w:w="1934" w:type="dxa"/>
            <w:gridSpan w:val="2"/>
            <w:tcBorders>
              <w:top w:val="nil"/>
              <w:bottom w:val="nil"/>
            </w:tcBorders>
          </w:tcPr>
          <w:p w14:paraId="56444D7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55C7C2A" w14:textId="77777777" w:rsidR="006E40C9" w:rsidRPr="00584CA7" w:rsidRDefault="006E40C9">
            <w:pPr>
              <w:pStyle w:val="MeasureTableTextLeftAligned"/>
            </w:pPr>
            <w:r>
              <w:t>Not Applicable</w:t>
            </w:r>
          </w:p>
        </w:tc>
        <w:tc>
          <w:tcPr>
            <w:tcW w:w="1500" w:type="dxa"/>
            <w:gridSpan w:val="2"/>
            <w:tcBorders>
              <w:top w:val="nil"/>
              <w:bottom w:val="nil"/>
            </w:tcBorders>
          </w:tcPr>
          <w:p w14:paraId="18141800" w14:textId="77777777" w:rsidR="006E40C9" w:rsidRDefault="006E40C9">
            <w:pPr>
              <w:pStyle w:val="MeasureTableTextItalic"/>
            </w:pPr>
            <w:r>
              <w:t>* Category</w:t>
            </w:r>
          </w:p>
        </w:tc>
        <w:tc>
          <w:tcPr>
            <w:tcW w:w="1124" w:type="dxa"/>
            <w:gridSpan w:val="2"/>
            <w:tcBorders>
              <w:top w:val="nil"/>
              <w:bottom w:val="nil"/>
            </w:tcBorders>
          </w:tcPr>
          <w:p w14:paraId="55E96914" w14:textId="77777777" w:rsidR="006E40C9" w:rsidRDefault="006E40C9">
            <w:pPr>
              <w:pStyle w:val="MeasureTableTextLeftAligned"/>
            </w:pPr>
            <w:r>
              <w:t>4+</w:t>
            </w:r>
          </w:p>
        </w:tc>
      </w:tr>
      <w:tr w:rsidR="006E40C9" w14:paraId="6607F27E" w14:textId="77777777">
        <w:trPr>
          <w:cantSplit/>
          <w:jc w:val="center"/>
        </w:trPr>
        <w:tc>
          <w:tcPr>
            <w:tcW w:w="1934" w:type="dxa"/>
            <w:gridSpan w:val="2"/>
            <w:tcBorders>
              <w:top w:val="nil"/>
              <w:bottom w:val="nil"/>
            </w:tcBorders>
          </w:tcPr>
          <w:p w14:paraId="67ABC529" w14:textId="77777777" w:rsidR="006E40C9" w:rsidRDefault="006E40C9">
            <w:pPr>
              <w:pStyle w:val="MeasureTableTextItalic"/>
            </w:pPr>
            <w:r>
              <w:t>Commencement date:</w:t>
            </w:r>
          </w:p>
        </w:tc>
        <w:tc>
          <w:tcPr>
            <w:tcW w:w="3179" w:type="dxa"/>
            <w:gridSpan w:val="4"/>
            <w:tcBorders>
              <w:top w:val="nil"/>
              <w:bottom w:val="nil"/>
            </w:tcBorders>
          </w:tcPr>
          <w:p w14:paraId="43B79E92" w14:textId="77777777" w:rsidR="006E40C9" w:rsidRDefault="006E40C9">
            <w:pPr>
              <w:pStyle w:val="MeasureTableTextLeftAligned"/>
            </w:pPr>
            <w:r>
              <w:t>1 July 2000</w:t>
            </w:r>
          </w:p>
        </w:tc>
        <w:tc>
          <w:tcPr>
            <w:tcW w:w="1500" w:type="dxa"/>
            <w:gridSpan w:val="2"/>
            <w:tcBorders>
              <w:top w:val="nil"/>
              <w:bottom w:val="nil"/>
            </w:tcBorders>
          </w:tcPr>
          <w:p w14:paraId="764B175C" w14:textId="77777777" w:rsidR="006E40C9" w:rsidRPr="00F32057" w:rsidRDefault="006E40C9">
            <w:pPr>
              <w:pStyle w:val="MeasureTableTextItalic"/>
            </w:pPr>
            <w:r>
              <w:t>Expiry date:</w:t>
            </w:r>
          </w:p>
        </w:tc>
        <w:tc>
          <w:tcPr>
            <w:tcW w:w="1124" w:type="dxa"/>
            <w:gridSpan w:val="2"/>
            <w:tcBorders>
              <w:top w:val="nil"/>
              <w:bottom w:val="nil"/>
            </w:tcBorders>
          </w:tcPr>
          <w:p w14:paraId="39CC19D6" w14:textId="77777777" w:rsidR="006E40C9" w:rsidRPr="00F32057" w:rsidRDefault="006E40C9">
            <w:pPr>
              <w:pStyle w:val="MeasureTableTextLeftAligned"/>
            </w:pPr>
          </w:p>
        </w:tc>
      </w:tr>
      <w:tr w:rsidR="006E40C9" w14:paraId="1F8DC064" w14:textId="77777777">
        <w:trPr>
          <w:cantSplit/>
          <w:jc w:val="center"/>
        </w:trPr>
        <w:tc>
          <w:tcPr>
            <w:tcW w:w="1934" w:type="dxa"/>
            <w:gridSpan w:val="2"/>
            <w:tcBorders>
              <w:top w:val="nil"/>
            </w:tcBorders>
          </w:tcPr>
          <w:p w14:paraId="59EEBE1D" w14:textId="77777777" w:rsidR="006E40C9" w:rsidRDefault="006E40C9">
            <w:pPr>
              <w:pStyle w:val="MeasureTableTextItalic"/>
            </w:pPr>
            <w:r>
              <w:t>Legislative reference:</w:t>
            </w:r>
          </w:p>
        </w:tc>
        <w:tc>
          <w:tcPr>
            <w:tcW w:w="5803" w:type="dxa"/>
            <w:gridSpan w:val="8"/>
            <w:tcBorders>
              <w:top w:val="nil"/>
            </w:tcBorders>
          </w:tcPr>
          <w:p w14:paraId="37003F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207-E of the </w:t>
            </w:r>
            <w:r>
              <w:rPr>
                <w:rFonts w:ascii="Arial" w:hAnsi="Arial" w:cs="Arial"/>
                <w:i/>
                <w:iCs/>
                <w:color w:val="000000"/>
                <w:sz w:val="16"/>
                <w:szCs w:val="16"/>
              </w:rPr>
              <w:t>Income Tax Assessment Act 1997</w:t>
            </w:r>
          </w:p>
        </w:tc>
      </w:tr>
    </w:tbl>
    <w:p w14:paraId="1C1A91F9" w14:textId="77777777" w:rsidR="006E40C9" w:rsidRPr="00540040" w:rsidRDefault="006E40C9" w:rsidP="006E40C9">
      <w:pPr>
        <w:pStyle w:val="MeasureTableHeading"/>
      </w:pPr>
    </w:p>
    <w:p w14:paraId="425EC889" w14:textId="77777777" w:rsidR="006E40C9" w:rsidRDefault="006E40C9" w:rsidP="006E40C9">
      <w:r>
        <w:t>Entities that are not subject to Australian tax generally cannot benefit from franking credits on distributions from Australian companies. However, entities that are endorsed as income tax exempt charities</w:t>
      </w:r>
      <w:r>
        <w:fldChar w:fldCharType="begin"/>
      </w:r>
      <w:r>
        <w:instrText xml:space="preserve"> XE "</w:instrText>
      </w:r>
      <w:r w:rsidRPr="009A77A9">
        <w:instrText>Charitable institutions</w:instrText>
      </w:r>
      <w:r>
        <w:instrText>"</w:instrText>
      </w:r>
      <w:r>
        <w:fldChar w:fldCharType="end"/>
      </w:r>
      <w:r>
        <w:t xml:space="preserve"> or income tax exempt deductible gift recipients</w:t>
      </w:r>
      <w:r>
        <w:fldChar w:fldCharType="begin"/>
      </w:r>
      <w:r>
        <w:instrText xml:space="preserve"> XE "</w:instrText>
      </w:r>
      <w:r w:rsidRPr="00B64698">
        <w:instrText>Deductible gift recipients</w:instrText>
      </w:r>
      <w:r>
        <w:instrText>"</w:instrText>
      </w:r>
      <w:r>
        <w:fldChar w:fldCharType="end"/>
      </w:r>
      <w:r>
        <w:t xml:space="preserve"> are able to claim a refund of franking credits</w:t>
      </w:r>
      <w:r>
        <w:fldChar w:fldCharType="begin"/>
      </w:r>
      <w:r>
        <w:instrText xml:space="preserve"> XE "F</w:instrText>
      </w:r>
      <w:r w:rsidRPr="00991CD8">
        <w:instrText>ranking credits</w:instrText>
      </w:r>
      <w:r>
        <w:instrText xml:space="preserve">" </w:instrText>
      </w:r>
      <w:r>
        <w:fldChar w:fldCharType="end"/>
      </w:r>
      <w:r>
        <w:t xml:space="preserve"> on distributions from Australian companies.</w:t>
      </w:r>
    </w:p>
    <w:p w14:paraId="494009C2" w14:textId="77777777" w:rsidR="006E40C9" w:rsidRDefault="006E40C9" w:rsidP="00432D19">
      <w:pPr>
        <w:pStyle w:val="Heading4"/>
      </w:pPr>
      <w:r>
        <w:t>B67</w:t>
      </w:r>
      <w:r>
        <w:tab/>
        <w:t>Tax exemption for small and medium credit unions</w:t>
      </w:r>
    </w:p>
    <w:p w14:paraId="38C33716" w14:textId="1A3A616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0FE1C8" w14:textId="77777777">
        <w:trPr>
          <w:cantSplit/>
          <w:jc w:val="center"/>
        </w:trPr>
        <w:tc>
          <w:tcPr>
            <w:tcW w:w="967" w:type="dxa"/>
            <w:tcBorders>
              <w:top w:val="single" w:sz="2" w:space="0" w:color="auto"/>
              <w:bottom w:val="single" w:sz="2" w:space="0" w:color="auto"/>
            </w:tcBorders>
          </w:tcPr>
          <w:p w14:paraId="3425182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1BEC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3B99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987F03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1838C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47750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623B2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A833EE0" w14:textId="77777777" w:rsidR="006E40C9" w:rsidRDefault="006E40C9">
            <w:pPr>
              <w:pStyle w:val="MeasureTableTextRightAligned"/>
            </w:pPr>
            <w:r>
              <w:t>2027-28</w:t>
            </w:r>
          </w:p>
        </w:tc>
      </w:tr>
      <w:tr w:rsidR="006E40C9" w14:paraId="40AAC069" w14:textId="77777777">
        <w:trPr>
          <w:cantSplit/>
          <w:jc w:val="center"/>
        </w:trPr>
        <w:tc>
          <w:tcPr>
            <w:tcW w:w="967" w:type="dxa"/>
            <w:tcBorders>
              <w:top w:val="single" w:sz="2" w:space="0" w:color="auto"/>
              <w:bottom w:val="single" w:sz="2" w:space="0" w:color="auto"/>
            </w:tcBorders>
          </w:tcPr>
          <w:p w14:paraId="545577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DCE56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DC5FE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580F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16091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CB7A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92A6A2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B37A467" w14:textId="77777777" w:rsidR="006E40C9" w:rsidRDefault="006E40C9">
            <w:pPr>
              <w:pStyle w:val="MeasureTableTextRightAligned"/>
            </w:pPr>
            <w:r>
              <w:t>..</w:t>
            </w:r>
          </w:p>
        </w:tc>
      </w:tr>
      <w:tr w:rsidR="006E40C9" w14:paraId="7918A420" w14:textId="77777777">
        <w:trPr>
          <w:cantSplit/>
          <w:jc w:val="center"/>
        </w:trPr>
        <w:tc>
          <w:tcPr>
            <w:tcW w:w="1934" w:type="dxa"/>
            <w:gridSpan w:val="2"/>
            <w:tcBorders>
              <w:top w:val="single" w:sz="2" w:space="0" w:color="auto"/>
              <w:bottom w:val="nil"/>
            </w:tcBorders>
          </w:tcPr>
          <w:p w14:paraId="71A450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7AEBFCA" w14:textId="77777777" w:rsidR="006E40C9" w:rsidRDefault="006E40C9">
            <w:pPr>
              <w:pStyle w:val="MeasureTableTextLeftAligned"/>
            </w:pPr>
            <w:r>
              <w:t>Exemption</w:t>
            </w:r>
          </w:p>
        </w:tc>
        <w:tc>
          <w:tcPr>
            <w:tcW w:w="1500" w:type="dxa"/>
            <w:gridSpan w:val="2"/>
            <w:tcBorders>
              <w:top w:val="single" w:sz="2" w:space="0" w:color="auto"/>
              <w:bottom w:val="nil"/>
            </w:tcBorders>
          </w:tcPr>
          <w:p w14:paraId="16007FD4" w14:textId="6A6764A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349A85" w14:textId="77777777" w:rsidR="006E40C9" w:rsidRDefault="006E40C9">
            <w:pPr>
              <w:pStyle w:val="MeasureTableTextLeftAligned"/>
            </w:pPr>
            <w:r>
              <w:t>B66</w:t>
            </w:r>
          </w:p>
        </w:tc>
      </w:tr>
      <w:tr w:rsidR="006E40C9" w14:paraId="2BB4D58B" w14:textId="77777777">
        <w:trPr>
          <w:cantSplit/>
          <w:jc w:val="center"/>
        </w:trPr>
        <w:tc>
          <w:tcPr>
            <w:tcW w:w="1934" w:type="dxa"/>
            <w:gridSpan w:val="2"/>
            <w:tcBorders>
              <w:top w:val="nil"/>
              <w:bottom w:val="nil"/>
            </w:tcBorders>
          </w:tcPr>
          <w:p w14:paraId="415D483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A8A26D" w14:textId="77777777" w:rsidR="006E40C9" w:rsidRPr="00584CA7" w:rsidRDefault="006E40C9">
            <w:pPr>
              <w:pStyle w:val="MeasureTableTextLeftAligned"/>
            </w:pPr>
            <w:r>
              <w:t>Medium</w:t>
            </w:r>
          </w:p>
        </w:tc>
        <w:tc>
          <w:tcPr>
            <w:tcW w:w="1500" w:type="dxa"/>
            <w:gridSpan w:val="2"/>
            <w:tcBorders>
              <w:top w:val="nil"/>
              <w:bottom w:val="nil"/>
            </w:tcBorders>
          </w:tcPr>
          <w:p w14:paraId="0A6C02C6" w14:textId="77777777" w:rsidR="006E40C9" w:rsidRDefault="006E40C9">
            <w:pPr>
              <w:pStyle w:val="MeasureTableTextItalic"/>
            </w:pPr>
          </w:p>
        </w:tc>
        <w:tc>
          <w:tcPr>
            <w:tcW w:w="1124" w:type="dxa"/>
            <w:gridSpan w:val="2"/>
            <w:tcBorders>
              <w:top w:val="nil"/>
              <w:bottom w:val="nil"/>
            </w:tcBorders>
          </w:tcPr>
          <w:p w14:paraId="6CB30ADE" w14:textId="77777777" w:rsidR="006E40C9" w:rsidRDefault="006E40C9">
            <w:pPr>
              <w:pStyle w:val="MeasureTableTextLeftAligned"/>
            </w:pPr>
          </w:p>
        </w:tc>
      </w:tr>
      <w:tr w:rsidR="006E40C9" w14:paraId="1B436571" w14:textId="77777777">
        <w:trPr>
          <w:cantSplit/>
          <w:jc w:val="center"/>
        </w:trPr>
        <w:tc>
          <w:tcPr>
            <w:tcW w:w="1934" w:type="dxa"/>
            <w:gridSpan w:val="2"/>
            <w:tcBorders>
              <w:top w:val="nil"/>
              <w:bottom w:val="nil"/>
            </w:tcBorders>
          </w:tcPr>
          <w:p w14:paraId="537108BE" w14:textId="77777777" w:rsidR="006E40C9" w:rsidRDefault="006E40C9">
            <w:pPr>
              <w:pStyle w:val="MeasureTableTextItalic"/>
            </w:pPr>
            <w:r>
              <w:t>Commencement date:</w:t>
            </w:r>
          </w:p>
        </w:tc>
        <w:tc>
          <w:tcPr>
            <w:tcW w:w="3179" w:type="dxa"/>
            <w:gridSpan w:val="4"/>
            <w:tcBorders>
              <w:top w:val="nil"/>
              <w:bottom w:val="nil"/>
            </w:tcBorders>
          </w:tcPr>
          <w:p w14:paraId="3269334C" w14:textId="77777777" w:rsidR="006E40C9" w:rsidRDefault="006E40C9">
            <w:pPr>
              <w:pStyle w:val="MeasureTableTextLeftAligned"/>
            </w:pPr>
            <w:r>
              <w:t>Introduced before 1985</w:t>
            </w:r>
          </w:p>
        </w:tc>
        <w:tc>
          <w:tcPr>
            <w:tcW w:w="1500" w:type="dxa"/>
            <w:gridSpan w:val="2"/>
            <w:tcBorders>
              <w:top w:val="nil"/>
              <w:bottom w:val="nil"/>
            </w:tcBorders>
          </w:tcPr>
          <w:p w14:paraId="08E1AF06" w14:textId="77777777" w:rsidR="006E40C9" w:rsidRPr="00F32057" w:rsidRDefault="006E40C9">
            <w:pPr>
              <w:pStyle w:val="MeasureTableTextItalic"/>
            </w:pPr>
            <w:r>
              <w:t>Expiry date:</w:t>
            </w:r>
          </w:p>
        </w:tc>
        <w:tc>
          <w:tcPr>
            <w:tcW w:w="1124" w:type="dxa"/>
            <w:gridSpan w:val="2"/>
            <w:tcBorders>
              <w:top w:val="nil"/>
              <w:bottom w:val="nil"/>
            </w:tcBorders>
          </w:tcPr>
          <w:p w14:paraId="5504266F" w14:textId="77777777" w:rsidR="006E40C9" w:rsidRPr="00F32057" w:rsidRDefault="006E40C9">
            <w:pPr>
              <w:pStyle w:val="MeasureTableTextLeftAligned"/>
            </w:pPr>
          </w:p>
        </w:tc>
      </w:tr>
      <w:tr w:rsidR="006E40C9" w14:paraId="398E883A" w14:textId="77777777">
        <w:trPr>
          <w:cantSplit/>
          <w:jc w:val="center"/>
        </w:trPr>
        <w:tc>
          <w:tcPr>
            <w:tcW w:w="1934" w:type="dxa"/>
            <w:gridSpan w:val="2"/>
            <w:tcBorders>
              <w:top w:val="nil"/>
            </w:tcBorders>
          </w:tcPr>
          <w:p w14:paraId="03974FDC" w14:textId="77777777" w:rsidR="006E40C9" w:rsidRDefault="006E40C9">
            <w:pPr>
              <w:pStyle w:val="MeasureTableTextItalic"/>
            </w:pPr>
            <w:r>
              <w:t>Legislative reference:</w:t>
            </w:r>
          </w:p>
        </w:tc>
        <w:tc>
          <w:tcPr>
            <w:tcW w:w="5803" w:type="dxa"/>
            <w:gridSpan w:val="8"/>
            <w:tcBorders>
              <w:top w:val="nil"/>
            </w:tcBorders>
          </w:tcPr>
          <w:p w14:paraId="5EDF5A0D"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6H and 23G of the </w:t>
            </w:r>
            <w:r>
              <w:rPr>
                <w:rFonts w:ascii="Arial" w:hAnsi="Arial" w:cs="Arial"/>
                <w:i/>
                <w:iCs/>
                <w:color w:val="000000"/>
                <w:sz w:val="16"/>
                <w:szCs w:val="16"/>
              </w:rPr>
              <w:t>Income Tax Assessment Act 1936</w:t>
            </w:r>
            <w:r>
              <w:rPr>
                <w:rFonts w:ascii="Arial" w:hAnsi="Arial" w:cs="Arial"/>
                <w:i/>
                <w:iCs/>
                <w:color w:val="000000"/>
                <w:sz w:val="16"/>
                <w:szCs w:val="16"/>
              </w:rPr>
              <w:br/>
            </w:r>
            <w:r w:rsidRPr="00FC7B3F">
              <w:rPr>
                <w:rFonts w:ascii="Arial" w:hAnsi="Arial" w:cs="Microsoft Sans Serif"/>
                <w:sz w:val="16"/>
                <w:szCs w:val="17"/>
              </w:rPr>
              <w:t xml:space="preserve">Subsection 23(7) of the </w:t>
            </w:r>
            <w:r>
              <w:rPr>
                <w:rFonts w:ascii="Arial" w:hAnsi="Arial" w:cs="Arial"/>
                <w:i/>
                <w:iCs/>
                <w:color w:val="000000"/>
                <w:sz w:val="16"/>
                <w:szCs w:val="16"/>
              </w:rPr>
              <w:t>Income Tax Rates Act 1986</w:t>
            </w:r>
          </w:p>
        </w:tc>
      </w:tr>
    </w:tbl>
    <w:p w14:paraId="2C0CFB4E" w14:textId="77777777" w:rsidR="006E40C9" w:rsidRPr="00540040" w:rsidRDefault="006E40C9" w:rsidP="006E40C9">
      <w:pPr>
        <w:pStyle w:val="MeasureTableHeading"/>
      </w:pPr>
    </w:p>
    <w:p w14:paraId="091197D6" w14:textId="77777777" w:rsidR="006E40C9" w:rsidRDefault="006E40C9" w:rsidP="006E40C9">
      <w:r>
        <w:t xml:space="preserve">The benchmark tax treatment is that interest derived from loans is assessable and taxed at the applicable tax rate for the entity. However, recognised small credit unions </w:t>
      </w:r>
      <w:r>
        <w:fldChar w:fldCharType="begin"/>
      </w:r>
      <w:r>
        <w:instrText xml:space="preserve"> XE "C</w:instrText>
      </w:r>
      <w:r w:rsidRPr="006D0A9C">
        <w:instrText>redit unions</w:instrText>
      </w:r>
      <w:r>
        <w:instrText xml:space="preserve">" </w:instrText>
      </w:r>
      <w:r>
        <w:fldChar w:fldCharType="end"/>
      </w:r>
      <w:r>
        <w:t>are exempt from tax on i</w:t>
      </w:r>
      <w:r w:rsidRPr="005F6071">
        <w:t>nterest derived from loans to members</w:t>
      </w:r>
      <w:r>
        <w:t xml:space="preserve">. </w:t>
      </w:r>
    </w:p>
    <w:p w14:paraId="02FA9E93" w14:textId="77777777" w:rsidR="006E40C9" w:rsidRDefault="006E40C9" w:rsidP="006E40C9">
      <w:r>
        <w:t>Recognised medium credit unions are subject to an effective tax rate based on a sliding scale according to their level of taxable income.</w:t>
      </w:r>
    </w:p>
    <w:p w14:paraId="63A218DC" w14:textId="77777777" w:rsidR="006E40C9" w:rsidRDefault="006E40C9" w:rsidP="00432D19">
      <w:pPr>
        <w:pStyle w:val="Heading4"/>
      </w:pPr>
      <w:r>
        <w:t>B68</w:t>
      </w:r>
      <w:r>
        <w:tab/>
        <w:t>Tax incentives for Venture Capital Limited Partnerships and Early Stage Venture Capital Limited Partnerships</w:t>
      </w:r>
    </w:p>
    <w:p w14:paraId="5CA09740" w14:textId="4B5840C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E49A58" w14:textId="77777777">
        <w:trPr>
          <w:cantSplit/>
          <w:jc w:val="center"/>
        </w:trPr>
        <w:tc>
          <w:tcPr>
            <w:tcW w:w="967" w:type="dxa"/>
            <w:tcBorders>
              <w:top w:val="single" w:sz="2" w:space="0" w:color="auto"/>
              <w:bottom w:val="single" w:sz="2" w:space="0" w:color="auto"/>
            </w:tcBorders>
          </w:tcPr>
          <w:p w14:paraId="17D74F3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079A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0C2A55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64DD8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37A03F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F7445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B06ACF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26E323" w14:textId="77777777" w:rsidR="006E40C9" w:rsidRDefault="006E40C9">
            <w:pPr>
              <w:pStyle w:val="MeasureTableTextRightAligned"/>
            </w:pPr>
            <w:r>
              <w:t>2027-28</w:t>
            </w:r>
          </w:p>
        </w:tc>
      </w:tr>
      <w:tr w:rsidR="006E40C9" w14:paraId="45ACC488" w14:textId="77777777">
        <w:trPr>
          <w:cantSplit/>
          <w:jc w:val="center"/>
        </w:trPr>
        <w:tc>
          <w:tcPr>
            <w:tcW w:w="967" w:type="dxa"/>
            <w:tcBorders>
              <w:top w:val="single" w:sz="2" w:space="0" w:color="auto"/>
              <w:bottom w:val="single" w:sz="2" w:space="0" w:color="auto"/>
            </w:tcBorders>
          </w:tcPr>
          <w:p w14:paraId="6D01F9A2" w14:textId="77777777" w:rsidR="006E40C9" w:rsidRDefault="006E40C9">
            <w:pPr>
              <w:pStyle w:val="MeasureTableTextRightAligned"/>
            </w:pPr>
            <w:r>
              <w:t>*</w:t>
            </w:r>
          </w:p>
        </w:tc>
        <w:tc>
          <w:tcPr>
            <w:tcW w:w="967" w:type="dxa"/>
            <w:tcBorders>
              <w:top w:val="single" w:sz="2" w:space="0" w:color="auto"/>
              <w:bottom w:val="single" w:sz="2" w:space="0" w:color="auto"/>
            </w:tcBorders>
          </w:tcPr>
          <w:p w14:paraId="7FD2A9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C216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EBA8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B40FC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0CD3D7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CBB328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8F39E4" w14:textId="77777777" w:rsidR="006E40C9" w:rsidRDefault="006E40C9">
            <w:pPr>
              <w:pStyle w:val="MeasureTableTextRightAligned"/>
            </w:pPr>
            <w:r>
              <w:t>*</w:t>
            </w:r>
          </w:p>
        </w:tc>
      </w:tr>
      <w:tr w:rsidR="006E40C9" w14:paraId="55C351BF" w14:textId="77777777">
        <w:trPr>
          <w:cantSplit/>
          <w:jc w:val="center"/>
        </w:trPr>
        <w:tc>
          <w:tcPr>
            <w:tcW w:w="1934" w:type="dxa"/>
            <w:gridSpan w:val="2"/>
            <w:tcBorders>
              <w:top w:val="single" w:sz="2" w:space="0" w:color="auto"/>
              <w:bottom w:val="nil"/>
            </w:tcBorders>
          </w:tcPr>
          <w:p w14:paraId="0FFC740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FC8D48" w14:textId="77777777" w:rsidR="006E40C9" w:rsidRDefault="006E40C9">
            <w:pPr>
              <w:pStyle w:val="MeasureTableTextLeftAligned"/>
            </w:pPr>
            <w:r>
              <w:t>Exemption, Offset</w:t>
            </w:r>
          </w:p>
        </w:tc>
        <w:tc>
          <w:tcPr>
            <w:tcW w:w="1500" w:type="dxa"/>
            <w:gridSpan w:val="2"/>
            <w:tcBorders>
              <w:top w:val="single" w:sz="2" w:space="0" w:color="auto"/>
              <w:bottom w:val="nil"/>
            </w:tcBorders>
          </w:tcPr>
          <w:p w14:paraId="0DC4E158" w14:textId="190F0C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505ACCF" w14:textId="77777777" w:rsidR="006E40C9" w:rsidRDefault="006E40C9">
            <w:pPr>
              <w:pStyle w:val="MeasureTableTextLeftAligned"/>
            </w:pPr>
            <w:r>
              <w:t>B67</w:t>
            </w:r>
          </w:p>
        </w:tc>
      </w:tr>
      <w:tr w:rsidR="006E40C9" w14:paraId="13562CDE" w14:textId="77777777">
        <w:trPr>
          <w:cantSplit/>
          <w:jc w:val="center"/>
        </w:trPr>
        <w:tc>
          <w:tcPr>
            <w:tcW w:w="1934" w:type="dxa"/>
            <w:gridSpan w:val="2"/>
            <w:tcBorders>
              <w:top w:val="nil"/>
              <w:bottom w:val="nil"/>
            </w:tcBorders>
          </w:tcPr>
          <w:p w14:paraId="4123F05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AC81F49" w14:textId="77777777" w:rsidR="006E40C9" w:rsidRPr="00584CA7" w:rsidRDefault="006E40C9">
            <w:pPr>
              <w:pStyle w:val="MeasureTableTextLeftAligned"/>
            </w:pPr>
            <w:r>
              <w:t>Not Applicable</w:t>
            </w:r>
          </w:p>
        </w:tc>
        <w:tc>
          <w:tcPr>
            <w:tcW w:w="1500" w:type="dxa"/>
            <w:gridSpan w:val="2"/>
            <w:tcBorders>
              <w:top w:val="nil"/>
              <w:bottom w:val="nil"/>
            </w:tcBorders>
          </w:tcPr>
          <w:p w14:paraId="0A64F9A8" w14:textId="77777777" w:rsidR="006E40C9" w:rsidRDefault="006E40C9">
            <w:pPr>
              <w:pStyle w:val="MeasureTableTextItalic"/>
            </w:pPr>
            <w:r>
              <w:t>* Category</w:t>
            </w:r>
          </w:p>
        </w:tc>
        <w:tc>
          <w:tcPr>
            <w:tcW w:w="1124" w:type="dxa"/>
            <w:gridSpan w:val="2"/>
            <w:tcBorders>
              <w:top w:val="nil"/>
              <w:bottom w:val="nil"/>
            </w:tcBorders>
          </w:tcPr>
          <w:p w14:paraId="5ECA561B" w14:textId="77777777" w:rsidR="006E40C9" w:rsidRDefault="006E40C9">
            <w:pPr>
              <w:pStyle w:val="MeasureTableTextLeftAligned"/>
            </w:pPr>
            <w:r>
              <w:t>NA</w:t>
            </w:r>
          </w:p>
        </w:tc>
      </w:tr>
      <w:tr w:rsidR="006E40C9" w14:paraId="3041E30C" w14:textId="77777777">
        <w:trPr>
          <w:cantSplit/>
          <w:jc w:val="center"/>
        </w:trPr>
        <w:tc>
          <w:tcPr>
            <w:tcW w:w="1934" w:type="dxa"/>
            <w:gridSpan w:val="2"/>
            <w:tcBorders>
              <w:top w:val="nil"/>
              <w:bottom w:val="nil"/>
            </w:tcBorders>
          </w:tcPr>
          <w:p w14:paraId="6C03F911" w14:textId="77777777" w:rsidR="006E40C9" w:rsidRDefault="006E40C9">
            <w:pPr>
              <w:pStyle w:val="MeasureTableTextItalic"/>
            </w:pPr>
            <w:r>
              <w:t>Commencement date:</w:t>
            </w:r>
          </w:p>
        </w:tc>
        <w:tc>
          <w:tcPr>
            <w:tcW w:w="3179" w:type="dxa"/>
            <w:gridSpan w:val="4"/>
            <w:tcBorders>
              <w:top w:val="nil"/>
              <w:bottom w:val="nil"/>
            </w:tcBorders>
          </w:tcPr>
          <w:p w14:paraId="6F76F8C2" w14:textId="77777777" w:rsidR="006E40C9" w:rsidRDefault="006E40C9">
            <w:pPr>
              <w:pStyle w:val="MeasureTableTextLeftAligned"/>
            </w:pPr>
            <w:r>
              <w:t>2002 and 2006</w:t>
            </w:r>
          </w:p>
        </w:tc>
        <w:tc>
          <w:tcPr>
            <w:tcW w:w="1500" w:type="dxa"/>
            <w:gridSpan w:val="2"/>
            <w:tcBorders>
              <w:top w:val="nil"/>
              <w:bottom w:val="nil"/>
            </w:tcBorders>
          </w:tcPr>
          <w:p w14:paraId="423226C8" w14:textId="77777777" w:rsidR="006E40C9" w:rsidRPr="00F32057" w:rsidRDefault="006E40C9">
            <w:pPr>
              <w:pStyle w:val="MeasureTableTextItalic"/>
            </w:pPr>
            <w:r>
              <w:t>Expiry date:</w:t>
            </w:r>
          </w:p>
        </w:tc>
        <w:tc>
          <w:tcPr>
            <w:tcW w:w="1124" w:type="dxa"/>
            <w:gridSpan w:val="2"/>
            <w:tcBorders>
              <w:top w:val="nil"/>
              <w:bottom w:val="nil"/>
            </w:tcBorders>
          </w:tcPr>
          <w:p w14:paraId="1906ADAF" w14:textId="77777777" w:rsidR="006E40C9" w:rsidRPr="00F32057" w:rsidRDefault="006E40C9">
            <w:pPr>
              <w:pStyle w:val="MeasureTableTextLeftAligned"/>
            </w:pPr>
          </w:p>
        </w:tc>
      </w:tr>
      <w:tr w:rsidR="006E40C9" w14:paraId="341F16E9" w14:textId="77777777">
        <w:trPr>
          <w:cantSplit/>
          <w:jc w:val="center"/>
        </w:trPr>
        <w:tc>
          <w:tcPr>
            <w:tcW w:w="1934" w:type="dxa"/>
            <w:gridSpan w:val="2"/>
            <w:tcBorders>
              <w:top w:val="nil"/>
            </w:tcBorders>
          </w:tcPr>
          <w:p w14:paraId="6AB02058" w14:textId="77777777" w:rsidR="006E40C9" w:rsidRDefault="006E40C9">
            <w:pPr>
              <w:pStyle w:val="MeasureTableTextItalic"/>
            </w:pPr>
            <w:r>
              <w:t>Legislative reference:</w:t>
            </w:r>
          </w:p>
        </w:tc>
        <w:tc>
          <w:tcPr>
            <w:tcW w:w="5803" w:type="dxa"/>
            <w:gridSpan w:val="8"/>
            <w:tcBorders>
              <w:top w:val="nil"/>
            </w:tcBorders>
          </w:tcPr>
          <w:p w14:paraId="01D5B9C6"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Venture Capital Act 2002</w:t>
            </w:r>
          </w:p>
          <w:p w14:paraId="7F448052"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Sections 26-68, 51-52 and 51-54 and Subdivisions 118-F and</w:t>
            </w:r>
          </w:p>
          <w:p w14:paraId="01FBCE1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118-G (ESVCLPs and VCLPs) of the </w:t>
            </w:r>
            <w:r>
              <w:rPr>
                <w:rFonts w:ascii="Arial" w:hAnsi="Arial" w:cs="Arial"/>
                <w:i/>
                <w:iCs/>
                <w:color w:val="000000"/>
                <w:sz w:val="16"/>
                <w:szCs w:val="16"/>
              </w:rPr>
              <w:t>Income Tax Assessment Act 1997</w:t>
            </w:r>
          </w:p>
        </w:tc>
      </w:tr>
    </w:tbl>
    <w:p w14:paraId="27BEC376" w14:textId="77777777" w:rsidR="006E40C9" w:rsidRPr="00540040" w:rsidRDefault="006E40C9" w:rsidP="006E40C9">
      <w:pPr>
        <w:pStyle w:val="MeasureTableHeading"/>
      </w:pPr>
    </w:p>
    <w:p w14:paraId="5C5D560A" w14:textId="77777777" w:rsidR="006E40C9" w:rsidRDefault="006E40C9" w:rsidP="006E40C9">
      <w:pPr>
        <w:autoSpaceDE w:val="0"/>
        <w:autoSpaceDN w:val="0"/>
      </w:pPr>
      <w:r w:rsidRPr="00171BAE">
        <w:t>The benchmark tax treatment is that gains and income from investments are generally assessable.</w:t>
      </w:r>
    </w:p>
    <w:p w14:paraId="03BAA51D" w14:textId="7E7ACA7C" w:rsidR="006E40C9" w:rsidRPr="00171BAE" w:rsidRDefault="006E40C9" w:rsidP="006E40C9">
      <w:pPr>
        <w:autoSpaceDE w:val="0"/>
        <w:autoSpaceDN w:val="0"/>
      </w:pPr>
      <w:r>
        <w:t xml:space="preserve">A tax expenditure arises because </w:t>
      </w:r>
      <w:r w:rsidRPr="00171BAE">
        <w:t>foreign investors are generally exempt from tax on capital gains derived in respect of their investments in Venture Capital</w:t>
      </w:r>
      <w:r>
        <w:fldChar w:fldCharType="begin"/>
      </w:r>
      <w:r>
        <w:instrText xml:space="preserve"> XE "</w:instrText>
      </w:r>
      <w:r w:rsidRPr="0025253E">
        <w:instrText xml:space="preserve">Venture </w:instrText>
      </w:r>
      <w:r>
        <w:instrText>c</w:instrText>
      </w:r>
      <w:r w:rsidRPr="0025253E">
        <w:instrText>apital</w:instrText>
      </w:r>
      <w:r>
        <w:instrText xml:space="preserve"> limited partnership" </w:instrText>
      </w:r>
      <w:r>
        <w:fldChar w:fldCharType="end"/>
      </w:r>
      <w:r w:rsidRPr="0025253E">
        <w:t xml:space="preserve"> </w:t>
      </w:r>
      <w:r w:rsidRPr="00171BAE">
        <w:t>Limited Partnerships. Similarly, eligible Australian and foreign investors in Early Stage Venture Capital Limited Partnerships (ESVCLP)</w:t>
      </w:r>
      <w:r>
        <w:fldChar w:fldCharType="begin"/>
      </w:r>
      <w:r>
        <w:instrText xml:space="preserve"> XE "</w:instrText>
      </w:r>
      <w:r w:rsidRPr="0025253E">
        <w:instrText xml:space="preserve">Early </w:instrText>
      </w:r>
      <w:r>
        <w:instrText>stage venture c</w:instrText>
      </w:r>
      <w:r w:rsidRPr="0025253E">
        <w:instrText>apital</w:instrText>
      </w:r>
      <w:r>
        <w:instrText xml:space="preserve"> limited partnership" </w:instrText>
      </w:r>
      <w:r>
        <w:fldChar w:fldCharType="end"/>
      </w:r>
      <w:r w:rsidRPr="00171BAE">
        <w:t xml:space="preserve"> are generally exempt from tax on income, revenue and capital gains derived by the ESVCLP.</w:t>
      </w:r>
    </w:p>
    <w:p w14:paraId="2A5CF718" w14:textId="77777777" w:rsidR="006E40C9" w:rsidRDefault="006E40C9" w:rsidP="006E40C9">
      <w:pPr>
        <w:autoSpaceDE w:val="0"/>
        <w:autoSpaceDN w:val="0"/>
      </w:pPr>
      <w:r>
        <w:t>Since</w:t>
      </w:r>
      <w:r w:rsidRPr="00171BAE">
        <w:t xml:space="preserve"> 1 July 2016, additional tax incentives </w:t>
      </w:r>
      <w:r>
        <w:t>have been</w:t>
      </w:r>
      <w:r w:rsidRPr="00171BAE">
        <w:t xml:space="preserve"> available to ESVCLPs and their investors including a non</w:t>
      </w:r>
      <w:r>
        <w:noBreakHyphen/>
      </w:r>
      <w:r w:rsidRPr="00171BAE">
        <w:t>refundable carry</w:t>
      </w:r>
      <w:r>
        <w:noBreakHyphen/>
      </w:r>
      <w:r w:rsidRPr="00171BAE">
        <w:t>forward tax offset of up to 10 per cent for capital invested in new ESVCLPs</w:t>
      </w:r>
      <w:r>
        <w:t>, which reduces the amount of tax that would otherwise be payable</w:t>
      </w:r>
      <w:r w:rsidRPr="00171BAE">
        <w:t>.</w:t>
      </w:r>
    </w:p>
    <w:p w14:paraId="4B8017FA" w14:textId="77777777" w:rsidR="006E40C9" w:rsidRDefault="006E40C9" w:rsidP="00432D19">
      <w:pPr>
        <w:pStyle w:val="Heading4"/>
      </w:pPr>
      <w:r>
        <w:t>B69</w:t>
      </w:r>
      <w:r>
        <w:tab/>
        <w:t>Treatment of distributions on certain term subordinated notes</w:t>
      </w:r>
    </w:p>
    <w:p w14:paraId="0C24BDDF" w14:textId="0FE9EE8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3FED8A0" w14:textId="77777777">
        <w:trPr>
          <w:cantSplit/>
          <w:jc w:val="center"/>
        </w:trPr>
        <w:tc>
          <w:tcPr>
            <w:tcW w:w="967" w:type="dxa"/>
            <w:tcBorders>
              <w:top w:val="single" w:sz="2" w:space="0" w:color="auto"/>
              <w:bottom w:val="single" w:sz="2" w:space="0" w:color="auto"/>
            </w:tcBorders>
          </w:tcPr>
          <w:p w14:paraId="7894C4A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489CF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2BBBF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7A1E1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515E9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A6EB2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298DDC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8149F3" w14:textId="77777777" w:rsidR="006E40C9" w:rsidRDefault="006E40C9">
            <w:pPr>
              <w:pStyle w:val="MeasureTableTextRightAligned"/>
            </w:pPr>
            <w:r>
              <w:t>2027-28</w:t>
            </w:r>
          </w:p>
        </w:tc>
      </w:tr>
      <w:tr w:rsidR="006E40C9" w14:paraId="122812E6" w14:textId="77777777">
        <w:trPr>
          <w:cantSplit/>
          <w:jc w:val="center"/>
        </w:trPr>
        <w:tc>
          <w:tcPr>
            <w:tcW w:w="967" w:type="dxa"/>
            <w:tcBorders>
              <w:top w:val="single" w:sz="2" w:space="0" w:color="auto"/>
              <w:bottom w:val="single" w:sz="2" w:space="0" w:color="auto"/>
            </w:tcBorders>
          </w:tcPr>
          <w:p w14:paraId="12C95A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51AD3A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B8530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35621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4E97B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1E236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406EB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9E570E0" w14:textId="77777777" w:rsidR="006E40C9" w:rsidRDefault="006E40C9">
            <w:pPr>
              <w:pStyle w:val="MeasureTableTextRightAligned"/>
            </w:pPr>
            <w:r>
              <w:t>*</w:t>
            </w:r>
          </w:p>
        </w:tc>
      </w:tr>
      <w:tr w:rsidR="006E40C9" w14:paraId="3284884F" w14:textId="77777777">
        <w:trPr>
          <w:cantSplit/>
          <w:jc w:val="center"/>
        </w:trPr>
        <w:tc>
          <w:tcPr>
            <w:tcW w:w="1934" w:type="dxa"/>
            <w:gridSpan w:val="2"/>
            <w:tcBorders>
              <w:top w:val="single" w:sz="2" w:space="0" w:color="auto"/>
              <w:bottom w:val="nil"/>
            </w:tcBorders>
          </w:tcPr>
          <w:p w14:paraId="2669CD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3EA9C32" w14:textId="77777777" w:rsidR="006E40C9" w:rsidRDefault="006E40C9">
            <w:pPr>
              <w:pStyle w:val="MeasureTableTextLeftAligned"/>
            </w:pPr>
            <w:r>
              <w:t>Deduction</w:t>
            </w:r>
          </w:p>
        </w:tc>
        <w:tc>
          <w:tcPr>
            <w:tcW w:w="1500" w:type="dxa"/>
            <w:gridSpan w:val="2"/>
            <w:tcBorders>
              <w:top w:val="single" w:sz="2" w:space="0" w:color="auto"/>
              <w:bottom w:val="nil"/>
            </w:tcBorders>
          </w:tcPr>
          <w:p w14:paraId="1A76F52B" w14:textId="5A33EC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0A845A4" w14:textId="77777777" w:rsidR="006E40C9" w:rsidRDefault="006E40C9">
            <w:pPr>
              <w:pStyle w:val="MeasureTableTextLeftAligned"/>
            </w:pPr>
            <w:r>
              <w:t>B68</w:t>
            </w:r>
          </w:p>
        </w:tc>
      </w:tr>
      <w:tr w:rsidR="006E40C9" w14:paraId="5B5011B6" w14:textId="77777777">
        <w:trPr>
          <w:cantSplit/>
          <w:jc w:val="center"/>
        </w:trPr>
        <w:tc>
          <w:tcPr>
            <w:tcW w:w="1934" w:type="dxa"/>
            <w:gridSpan w:val="2"/>
            <w:tcBorders>
              <w:top w:val="nil"/>
              <w:bottom w:val="nil"/>
            </w:tcBorders>
          </w:tcPr>
          <w:p w14:paraId="216E0F7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546775" w14:textId="77777777" w:rsidR="006E40C9" w:rsidRPr="00584CA7" w:rsidRDefault="006E40C9">
            <w:pPr>
              <w:pStyle w:val="MeasureTableTextLeftAligned"/>
            </w:pPr>
            <w:r>
              <w:t>Not Applicable</w:t>
            </w:r>
          </w:p>
        </w:tc>
        <w:tc>
          <w:tcPr>
            <w:tcW w:w="1500" w:type="dxa"/>
            <w:gridSpan w:val="2"/>
            <w:tcBorders>
              <w:top w:val="nil"/>
              <w:bottom w:val="nil"/>
            </w:tcBorders>
          </w:tcPr>
          <w:p w14:paraId="3F11A675" w14:textId="77777777" w:rsidR="006E40C9" w:rsidRDefault="006E40C9">
            <w:pPr>
              <w:pStyle w:val="MeasureTableTextItalic"/>
            </w:pPr>
            <w:r>
              <w:t>* Category</w:t>
            </w:r>
          </w:p>
        </w:tc>
        <w:tc>
          <w:tcPr>
            <w:tcW w:w="1124" w:type="dxa"/>
            <w:gridSpan w:val="2"/>
            <w:tcBorders>
              <w:top w:val="nil"/>
              <w:bottom w:val="nil"/>
            </w:tcBorders>
          </w:tcPr>
          <w:p w14:paraId="232B9DC3" w14:textId="77777777" w:rsidR="006E40C9" w:rsidRDefault="006E40C9">
            <w:pPr>
              <w:pStyle w:val="MeasureTableTextLeftAligned"/>
            </w:pPr>
            <w:r>
              <w:t>2+</w:t>
            </w:r>
          </w:p>
        </w:tc>
      </w:tr>
      <w:tr w:rsidR="006E40C9" w14:paraId="1BFF7A7B" w14:textId="77777777">
        <w:trPr>
          <w:cantSplit/>
          <w:jc w:val="center"/>
        </w:trPr>
        <w:tc>
          <w:tcPr>
            <w:tcW w:w="1934" w:type="dxa"/>
            <w:gridSpan w:val="2"/>
            <w:tcBorders>
              <w:top w:val="nil"/>
              <w:bottom w:val="nil"/>
            </w:tcBorders>
          </w:tcPr>
          <w:p w14:paraId="29C46516" w14:textId="77777777" w:rsidR="006E40C9" w:rsidRDefault="006E40C9">
            <w:pPr>
              <w:pStyle w:val="MeasureTableTextItalic"/>
            </w:pPr>
            <w:r>
              <w:t>Commencement date:</w:t>
            </w:r>
          </w:p>
        </w:tc>
        <w:tc>
          <w:tcPr>
            <w:tcW w:w="3179" w:type="dxa"/>
            <w:gridSpan w:val="4"/>
            <w:tcBorders>
              <w:top w:val="nil"/>
              <w:bottom w:val="nil"/>
            </w:tcBorders>
          </w:tcPr>
          <w:p w14:paraId="6E66BB08" w14:textId="77777777" w:rsidR="006E40C9" w:rsidRDefault="006E40C9">
            <w:pPr>
              <w:pStyle w:val="MeasureTableTextLeftAligned"/>
            </w:pPr>
            <w:r>
              <w:t>1 July 2001</w:t>
            </w:r>
          </w:p>
        </w:tc>
        <w:tc>
          <w:tcPr>
            <w:tcW w:w="1500" w:type="dxa"/>
            <w:gridSpan w:val="2"/>
            <w:tcBorders>
              <w:top w:val="nil"/>
              <w:bottom w:val="nil"/>
            </w:tcBorders>
          </w:tcPr>
          <w:p w14:paraId="76220B07" w14:textId="77777777" w:rsidR="006E40C9" w:rsidRPr="00F32057" w:rsidRDefault="006E40C9">
            <w:pPr>
              <w:pStyle w:val="MeasureTableTextItalic"/>
            </w:pPr>
            <w:r>
              <w:t>Expiry date:</w:t>
            </w:r>
          </w:p>
        </w:tc>
        <w:tc>
          <w:tcPr>
            <w:tcW w:w="1124" w:type="dxa"/>
            <w:gridSpan w:val="2"/>
            <w:tcBorders>
              <w:top w:val="nil"/>
              <w:bottom w:val="nil"/>
            </w:tcBorders>
          </w:tcPr>
          <w:p w14:paraId="130E05C1" w14:textId="77777777" w:rsidR="006E40C9" w:rsidRPr="00F32057" w:rsidRDefault="006E40C9">
            <w:pPr>
              <w:pStyle w:val="MeasureTableTextLeftAligned"/>
            </w:pPr>
          </w:p>
        </w:tc>
      </w:tr>
      <w:tr w:rsidR="006E40C9" w14:paraId="05EEC152" w14:textId="77777777">
        <w:trPr>
          <w:cantSplit/>
          <w:jc w:val="center"/>
        </w:trPr>
        <w:tc>
          <w:tcPr>
            <w:tcW w:w="1934" w:type="dxa"/>
            <w:gridSpan w:val="2"/>
            <w:tcBorders>
              <w:top w:val="nil"/>
            </w:tcBorders>
          </w:tcPr>
          <w:p w14:paraId="330A9175" w14:textId="77777777" w:rsidR="006E40C9" w:rsidRDefault="006E40C9">
            <w:pPr>
              <w:pStyle w:val="MeasureTableTextItalic"/>
            </w:pPr>
            <w:r>
              <w:t>Legislative reference:</w:t>
            </w:r>
          </w:p>
        </w:tc>
        <w:tc>
          <w:tcPr>
            <w:tcW w:w="5803" w:type="dxa"/>
            <w:gridSpan w:val="8"/>
            <w:tcBorders>
              <w:top w:val="nil"/>
            </w:tcBorders>
          </w:tcPr>
          <w:p w14:paraId="377B080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974 </w:t>
            </w:r>
            <w:r>
              <w:rPr>
                <w:rFonts w:ascii="Arial" w:hAnsi="Arial" w:cs="Arial"/>
                <w:color w:val="000000"/>
                <w:sz w:val="16"/>
                <w:szCs w:val="16"/>
              </w:rPr>
              <w:t xml:space="preserve">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Division 974 of the </w:t>
            </w:r>
            <w:r>
              <w:rPr>
                <w:rFonts w:ascii="Arial" w:hAnsi="Arial" w:cs="Arial"/>
                <w:i/>
                <w:iCs/>
                <w:color w:val="000000"/>
                <w:sz w:val="16"/>
                <w:szCs w:val="16"/>
              </w:rPr>
              <w:t>Income Tax Assessment Regulations 1997</w:t>
            </w:r>
          </w:p>
        </w:tc>
      </w:tr>
    </w:tbl>
    <w:p w14:paraId="337B07AF" w14:textId="77777777" w:rsidR="006E40C9" w:rsidRPr="00540040" w:rsidRDefault="006E40C9" w:rsidP="006E40C9">
      <w:pPr>
        <w:pStyle w:val="MeasureTableHeading"/>
      </w:pPr>
    </w:p>
    <w:p w14:paraId="11E29473" w14:textId="00F7B0B8" w:rsidR="006E40C9" w:rsidRDefault="006E40C9" w:rsidP="006E40C9">
      <w:r w:rsidRPr="00D429D8">
        <w:t xml:space="preserve">Issuers can </w:t>
      </w:r>
      <w:r w:rsidRPr="00C675A2">
        <w:t>defer</w:t>
      </w:r>
      <w:r w:rsidRPr="00D429D8">
        <w:t xml:space="preserve"> </w:t>
      </w:r>
      <w:r w:rsidRPr="00C675A2">
        <w:t>payment</w:t>
      </w:r>
      <w:r w:rsidRPr="00D429D8">
        <w:t xml:space="preserve"> on certain Tier 2 regulatory capital (subordinated notes</w:t>
      </w:r>
      <w:r>
        <w:rPr>
          <w:rFonts w:eastAsia="Calibri"/>
          <w:lang w:eastAsia="en-US"/>
        </w:rPr>
        <w:fldChar w:fldCharType="begin"/>
      </w:r>
      <w:r>
        <w:instrText xml:space="preserve"> XE "Subordinated notes" </w:instrText>
      </w:r>
      <w:r>
        <w:rPr>
          <w:rFonts w:eastAsia="Calibri"/>
          <w:lang w:eastAsia="en-US"/>
        </w:rPr>
        <w:fldChar w:fldCharType="end"/>
      </w:r>
      <w:r w:rsidRPr="00D429D8">
        <w:t xml:space="preserve">) because of </w:t>
      </w:r>
      <w:r>
        <w:t>‘</w:t>
      </w:r>
      <w:r w:rsidRPr="00D429D8">
        <w:t>insolvency or capital adequacy conditions</w:t>
      </w:r>
      <w:r>
        <w:t>’</w:t>
      </w:r>
      <w:r w:rsidRPr="00D429D8">
        <w:t xml:space="preserve">. In these circumstances, the notes can be classified as debt interests for tax purposes. As such, </w:t>
      </w:r>
      <w:r w:rsidRPr="00C675A2">
        <w:t xml:space="preserve">distributions on </w:t>
      </w:r>
      <w:r w:rsidRPr="00D429D8">
        <w:t xml:space="preserve">the </w:t>
      </w:r>
      <w:r w:rsidRPr="00C675A2">
        <w:t>notes may be tax deductible.</w:t>
      </w:r>
      <w:r w:rsidRPr="00D429D8">
        <w:t xml:space="preserve"> </w:t>
      </w:r>
      <w:r w:rsidRPr="00C675A2">
        <w:t>Under the benchmark debt</w:t>
      </w:r>
      <w:r>
        <w:noBreakHyphen/>
      </w:r>
      <w:r w:rsidRPr="00C675A2">
        <w:t>equity rules</w:t>
      </w:r>
      <w:r>
        <w:rPr>
          <w:rFonts w:eastAsia="Calibri"/>
          <w:lang w:eastAsia="en-US"/>
        </w:rPr>
        <w:fldChar w:fldCharType="begin"/>
      </w:r>
      <w:r>
        <w:instrText xml:space="preserve"> XE "Debt-equity rules" </w:instrText>
      </w:r>
      <w:r>
        <w:rPr>
          <w:rFonts w:eastAsia="Calibri"/>
          <w:lang w:eastAsia="en-US"/>
        </w:rPr>
        <w:fldChar w:fldCharType="end"/>
      </w:r>
      <w:r w:rsidRPr="00D429D8">
        <w:t xml:space="preserve">, the notes </w:t>
      </w:r>
      <w:r w:rsidRPr="00C675A2">
        <w:t xml:space="preserve">would be equity </w:t>
      </w:r>
      <w:r w:rsidRPr="00D429D8">
        <w:t>interests and distributions</w:t>
      </w:r>
      <w:r w:rsidR="003348BE">
        <w:t xml:space="preserve"> would</w:t>
      </w:r>
      <w:r w:rsidRPr="00D429D8">
        <w:t xml:space="preserve"> not be tax </w:t>
      </w:r>
      <w:r w:rsidRPr="00C675A2">
        <w:t>deductible.</w:t>
      </w:r>
    </w:p>
    <w:p w14:paraId="3C65CB61" w14:textId="77777777" w:rsidR="006E40C9" w:rsidRDefault="006E40C9" w:rsidP="00432D19">
      <w:pPr>
        <w:pStyle w:val="Heading4"/>
      </w:pPr>
      <w:r>
        <w:t>B70</w:t>
      </w:r>
      <w:r>
        <w:tab/>
        <w:t>Treatment of finance leases</w:t>
      </w:r>
    </w:p>
    <w:p w14:paraId="28382CA5" w14:textId="395E220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3B4B42" w14:textId="77777777">
        <w:trPr>
          <w:cantSplit/>
          <w:jc w:val="center"/>
        </w:trPr>
        <w:tc>
          <w:tcPr>
            <w:tcW w:w="967" w:type="dxa"/>
            <w:tcBorders>
              <w:top w:val="single" w:sz="2" w:space="0" w:color="auto"/>
              <w:bottom w:val="single" w:sz="2" w:space="0" w:color="auto"/>
            </w:tcBorders>
          </w:tcPr>
          <w:p w14:paraId="0E1578B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C465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169B29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F4CC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450B5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D071F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B163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3D643D" w14:textId="77777777" w:rsidR="006E40C9" w:rsidRDefault="006E40C9">
            <w:pPr>
              <w:pStyle w:val="MeasureTableTextRightAligned"/>
            </w:pPr>
            <w:r>
              <w:t>2027-28</w:t>
            </w:r>
          </w:p>
        </w:tc>
      </w:tr>
      <w:tr w:rsidR="006E40C9" w14:paraId="28C5E5C8" w14:textId="77777777">
        <w:trPr>
          <w:cantSplit/>
          <w:jc w:val="center"/>
        </w:trPr>
        <w:tc>
          <w:tcPr>
            <w:tcW w:w="967" w:type="dxa"/>
            <w:tcBorders>
              <w:top w:val="single" w:sz="2" w:space="0" w:color="auto"/>
              <w:bottom w:val="single" w:sz="2" w:space="0" w:color="auto"/>
            </w:tcBorders>
          </w:tcPr>
          <w:p w14:paraId="49C2E75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530B4B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91A35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34897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8B59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F27C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991C6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E36C7D" w14:textId="77777777" w:rsidR="006E40C9" w:rsidRDefault="006E40C9">
            <w:pPr>
              <w:pStyle w:val="MeasureTableTextRightAligned"/>
            </w:pPr>
            <w:r>
              <w:t>*</w:t>
            </w:r>
          </w:p>
        </w:tc>
      </w:tr>
      <w:tr w:rsidR="006E40C9" w14:paraId="591D499E" w14:textId="77777777">
        <w:trPr>
          <w:cantSplit/>
          <w:jc w:val="center"/>
        </w:trPr>
        <w:tc>
          <w:tcPr>
            <w:tcW w:w="1934" w:type="dxa"/>
            <w:gridSpan w:val="2"/>
            <w:tcBorders>
              <w:top w:val="single" w:sz="2" w:space="0" w:color="auto"/>
              <w:bottom w:val="nil"/>
            </w:tcBorders>
          </w:tcPr>
          <w:p w14:paraId="4B0CF2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BF6E2A" w14:textId="77777777" w:rsidR="006E40C9" w:rsidRDefault="006E40C9">
            <w:pPr>
              <w:pStyle w:val="MeasureTableTextLeftAligned"/>
            </w:pPr>
            <w:r>
              <w:t>Deduction</w:t>
            </w:r>
          </w:p>
        </w:tc>
        <w:tc>
          <w:tcPr>
            <w:tcW w:w="1500" w:type="dxa"/>
            <w:gridSpan w:val="2"/>
            <w:tcBorders>
              <w:top w:val="single" w:sz="2" w:space="0" w:color="auto"/>
              <w:bottom w:val="nil"/>
            </w:tcBorders>
          </w:tcPr>
          <w:p w14:paraId="2CF22969" w14:textId="4E87A4E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12B670D" w14:textId="77777777" w:rsidR="006E40C9" w:rsidRDefault="006E40C9">
            <w:pPr>
              <w:pStyle w:val="MeasureTableTextLeftAligned"/>
            </w:pPr>
            <w:r>
              <w:t>B69</w:t>
            </w:r>
          </w:p>
        </w:tc>
      </w:tr>
      <w:tr w:rsidR="006E40C9" w14:paraId="4E5E01A4" w14:textId="77777777">
        <w:trPr>
          <w:cantSplit/>
          <w:jc w:val="center"/>
        </w:trPr>
        <w:tc>
          <w:tcPr>
            <w:tcW w:w="1934" w:type="dxa"/>
            <w:gridSpan w:val="2"/>
            <w:tcBorders>
              <w:top w:val="nil"/>
              <w:bottom w:val="nil"/>
            </w:tcBorders>
          </w:tcPr>
          <w:p w14:paraId="539E21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842C95" w14:textId="77777777" w:rsidR="006E40C9" w:rsidRPr="00584CA7" w:rsidRDefault="006E40C9">
            <w:pPr>
              <w:pStyle w:val="MeasureTableTextLeftAligned"/>
            </w:pPr>
            <w:r>
              <w:t>Not Applicable</w:t>
            </w:r>
          </w:p>
        </w:tc>
        <w:tc>
          <w:tcPr>
            <w:tcW w:w="1500" w:type="dxa"/>
            <w:gridSpan w:val="2"/>
            <w:tcBorders>
              <w:top w:val="nil"/>
              <w:bottom w:val="nil"/>
            </w:tcBorders>
          </w:tcPr>
          <w:p w14:paraId="0DAF5248" w14:textId="77777777" w:rsidR="006E40C9" w:rsidRDefault="006E40C9">
            <w:pPr>
              <w:pStyle w:val="MeasureTableTextItalic"/>
            </w:pPr>
            <w:r>
              <w:t>* Category</w:t>
            </w:r>
          </w:p>
        </w:tc>
        <w:tc>
          <w:tcPr>
            <w:tcW w:w="1124" w:type="dxa"/>
            <w:gridSpan w:val="2"/>
            <w:tcBorders>
              <w:top w:val="nil"/>
              <w:bottom w:val="nil"/>
            </w:tcBorders>
          </w:tcPr>
          <w:p w14:paraId="19F45B44" w14:textId="77777777" w:rsidR="006E40C9" w:rsidRDefault="006E40C9">
            <w:pPr>
              <w:pStyle w:val="MeasureTableTextLeftAligned"/>
            </w:pPr>
            <w:r>
              <w:t>NA</w:t>
            </w:r>
          </w:p>
        </w:tc>
      </w:tr>
      <w:tr w:rsidR="006E40C9" w14:paraId="75484F88" w14:textId="77777777">
        <w:trPr>
          <w:cantSplit/>
          <w:jc w:val="center"/>
        </w:trPr>
        <w:tc>
          <w:tcPr>
            <w:tcW w:w="1934" w:type="dxa"/>
            <w:gridSpan w:val="2"/>
            <w:tcBorders>
              <w:top w:val="nil"/>
              <w:bottom w:val="nil"/>
            </w:tcBorders>
          </w:tcPr>
          <w:p w14:paraId="0771C46D" w14:textId="77777777" w:rsidR="006E40C9" w:rsidRDefault="006E40C9">
            <w:pPr>
              <w:pStyle w:val="MeasureTableTextItalic"/>
            </w:pPr>
            <w:r>
              <w:t>Commencement date:</w:t>
            </w:r>
          </w:p>
        </w:tc>
        <w:tc>
          <w:tcPr>
            <w:tcW w:w="3179" w:type="dxa"/>
            <w:gridSpan w:val="4"/>
            <w:tcBorders>
              <w:top w:val="nil"/>
              <w:bottom w:val="nil"/>
            </w:tcBorders>
          </w:tcPr>
          <w:p w14:paraId="328946E4" w14:textId="77777777" w:rsidR="006E40C9" w:rsidRDefault="006E40C9">
            <w:pPr>
              <w:pStyle w:val="MeasureTableTextLeftAligned"/>
            </w:pPr>
            <w:r>
              <w:t>1936</w:t>
            </w:r>
          </w:p>
        </w:tc>
        <w:tc>
          <w:tcPr>
            <w:tcW w:w="1500" w:type="dxa"/>
            <w:gridSpan w:val="2"/>
            <w:tcBorders>
              <w:top w:val="nil"/>
              <w:bottom w:val="nil"/>
            </w:tcBorders>
          </w:tcPr>
          <w:p w14:paraId="577162A2" w14:textId="77777777" w:rsidR="006E40C9" w:rsidRPr="00F32057" w:rsidRDefault="006E40C9">
            <w:pPr>
              <w:pStyle w:val="MeasureTableTextItalic"/>
            </w:pPr>
            <w:r>
              <w:t>Expiry date:</w:t>
            </w:r>
          </w:p>
        </w:tc>
        <w:tc>
          <w:tcPr>
            <w:tcW w:w="1124" w:type="dxa"/>
            <w:gridSpan w:val="2"/>
            <w:tcBorders>
              <w:top w:val="nil"/>
              <w:bottom w:val="nil"/>
            </w:tcBorders>
          </w:tcPr>
          <w:p w14:paraId="33E1B778" w14:textId="77777777" w:rsidR="006E40C9" w:rsidRPr="00F32057" w:rsidRDefault="006E40C9">
            <w:pPr>
              <w:pStyle w:val="MeasureTableTextLeftAligned"/>
            </w:pPr>
          </w:p>
        </w:tc>
      </w:tr>
      <w:tr w:rsidR="006E40C9" w14:paraId="33203D8B" w14:textId="77777777">
        <w:trPr>
          <w:cantSplit/>
          <w:jc w:val="center"/>
        </w:trPr>
        <w:tc>
          <w:tcPr>
            <w:tcW w:w="1934" w:type="dxa"/>
            <w:gridSpan w:val="2"/>
            <w:tcBorders>
              <w:top w:val="nil"/>
            </w:tcBorders>
          </w:tcPr>
          <w:p w14:paraId="7220058C" w14:textId="77777777" w:rsidR="006E40C9" w:rsidRDefault="006E40C9">
            <w:pPr>
              <w:pStyle w:val="MeasureTableTextItalic"/>
            </w:pPr>
            <w:r>
              <w:t>Legislative reference:</w:t>
            </w:r>
          </w:p>
        </w:tc>
        <w:tc>
          <w:tcPr>
            <w:tcW w:w="5803" w:type="dxa"/>
            <w:gridSpan w:val="8"/>
            <w:tcBorders>
              <w:top w:val="nil"/>
            </w:tcBorders>
          </w:tcPr>
          <w:p w14:paraId="775C8326" w14:textId="61042005" w:rsidR="006E40C9" w:rsidRPr="00F32057" w:rsidRDefault="006E40C9" w:rsidP="00796C9D">
            <w:pPr>
              <w:widowControl w:val="0"/>
              <w:autoSpaceDE w:val="0"/>
              <w:autoSpaceDN w:val="0"/>
              <w:adjustRightInd w:val="0"/>
              <w:spacing w:after="0" w:line="240" w:lineRule="auto"/>
            </w:pPr>
            <w:r>
              <w:rPr>
                <w:rFonts w:ascii="Arial" w:hAnsi="Arial" w:cs="Arial"/>
                <w:sz w:val="17"/>
                <w:szCs w:val="17"/>
              </w:rPr>
              <w:t xml:space="preserve">Divisions 240, 242 and 250 of the </w:t>
            </w:r>
            <w:r>
              <w:rPr>
                <w:rFonts w:ascii="Arial" w:hAnsi="Arial" w:cs="Arial"/>
                <w:i/>
                <w:iCs/>
                <w:color w:val="000000"/>
                <w:sz w:val="16"/>
                <w:szCs w:val="16"/>
              </w:rPr>
              <w:t>Income Tax Assessment Act 1997</w:t>
            </w:r>
          </w:p>
        </w:tc>
      </w:tr>
    </w:tbl>
    <w:p w14:paraId="76E5D755" w14:textId="77777777" w:rsidR="006E40C9" w:rsidRPr="00540040" w:rsidRDefault="006E40C9" w:rsidP="006E40C9">
      <w:pPr>
        <w:pStyle w:val="MeasureTableHeading"/>
      </w:pPr>
    </w:p>
    <w:p w14:paraId="6A82CFE9" w14:textId="77777777" w:rsidR="006E40C9" w:rsidRDefault="006E40C9" w:rsidP="006E40C9">
      <w:r>
        <w:t>Under the tax benchmark</w:t>
      </w:r>
      <w:r w:rsidRPr="00CC77D6">
        <w:t xml:space="preserve">, finance leases </w:t>
      </w:r>
      <w:r>
        <w:t>are</w:t>
      </w:r>
      <w:r w:rsidRPr="00CC77D6">
        <w:t xml:space="preserve"> taxed as a loan from the lessor to the lessee to acquire the leased asset. That is, the </w:t>
      </w:r>
      <w:r>
        <w:t xml:space="preserve">related </w:t>
      </w:r>
      <w:r w:rsidRPr="00CC77D6">
        <w:t xml:space="preserve">interest payments </w:t>
      </w:r>
      <w:r>
        <w:t>would</w:t>
      </w:r>
      <w:r w:rsidRPr="00CC77D6">
        <w:t xml:space="preserve"> be deductible to the lessee and assessable to the lessor, and the lessee </w:t>
      </w:r>
      <w:r>
        <w:t xml:space="preserve">would </w:t>
      </w:r>
      <w:r w:rsidRPr="00CC77D6">
        <w:t>be able to claim depreciation deductions for the user cost of the leased asset</w:t>
      </w:r>
      <w:r>
        <w:t>. This is because a</w:t>
      </w:r>
      <w:r w:rsidRPr="00CC77D6">
        <w:t xml:space="preserve"> finance lease is, in substance, equivalent to a loan from the lessor to the lessee to finance the purchase of the leased asset. The lessor (financier) acquires the leased asset at the request of the lessee (borrower) and leases the asset to the lessee. On expiry of the lease, legal ownership of the asset is transferred to the lessee at minimal or no cost. During the term of the lease, while the lessor is the legal owner of the leased asset, the lessee has effective economic ownership through having control, use and enjoyment of the asset. </w:t>
      </w:r>
      <w:r w:rsidRPr="00046F85">
        <w:fldChar w:fldCharType="begin"/>
      </w:r>
      <w:r w:rsidRPr="00046F85">
        <w:instrText xml:space="preserve"> XE "Finance Leases" </w:instrText>
      </w:r>
      <w:r w:rsidRPr="00046F85">
        <w:fldChar w:fldCharType="end"/>
      </w:r>
    </w:p>
    <w:p w14:paraId="376F1D8C" w14:textId="27FBB13D" w:rsidR="006E40C9" w:rsidRDefault="006E40C9" w:rsidP="006E40C9">
      <w:r>
        <w:t xml:space="preserve">A tax </w:t>
      </w:r>
      <w:r w:rsidR="0052518E">
        <w:t>expenditure</w:t>
      </w:r>
      <w:r>
        <w:t xml:space="preserve"> arises because except where specific provisions apply, for example, Divisions 240 and 250 of the </w:t>
      </w:r>
      <w:r>
        <w:rPr>
          <w:i/>
          <w:iCs/>
        </w:rPr>
        <w:t>Income Tax Assessment Act 1997</w:t>
      </w:r>
      <w:r>
        <w:t>, finance leases are taxed as leases rather than as loans.</w:t>
      </w:r>
    </w:p>
    <w:p w14:paraId="3CCD6006" w14:textId="77777777" w:rsidR="006E40C9" w:rsidRDefault="006E40C9" w:rsidP="00432D19">
      <w:pPr>
        <w:pStyle w:val="Heading4"/>
      </w:pPr>
      <w:r>
        <w:t>B71</w:t>
      </w:r>
      <w:r>
        <w:tab/>
        <w:t>Unincorporated small business tax discount</w:t>
      </w:r>
    </w:p>
    <w:p w14:paraId="2DE989B1" w14:textId="43D359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CA6C81" w14:textId="77777777">
        <w:trPr>
          <w:cantSplit/>
          <w:jc w:val="center"/>
        </w:trPr>
        <w:tc>
          <w:tcPr>
            <w:tcW w:w="967" w:type="dxa"/>
            <w:tcBorders>
              <w:top w:val="single" w:sz="2" w:space="0" w:color="auto"/>
              <w:bottom w:val="single" w:sz="2" w:space="0" w:color="auto"/>
            </w:tcBorders>
          </w:tcPr>
          <w:p w14:paraId="7354180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2A9E6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A0AE75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F5A21C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CE2D4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3ABC4C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A9B54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9D3A18" w14:textId="77777777" w:rsidR="006E40C9" w:rsidRDefault="006E40C9">
            <w:pPr>
              <w:pStyle w:val="MeasureTableTextRightAligned"/>
            </w:pPr>
            <w:r>
              <w:t>2027-28</w:t>
            </w:r>
          </w:p>
        </w:tc>
      </w:tr>
      <w:tr w:rsidR="006E40C9" w14:paraId="4B7F91E5" w14:textId="77777777">
        <w:trPr>
          <w:cantSplit/>
          <w:jc w:val="center"/>
        </w:trPr>
        <w:tc>
          <w:tcPr>
            <w:tcW w:w="967" w:type="dxa"/>
            <w:tcBorders>
              <w:top w:val="single" w:sz="2" w:space="0" w:color="auto"/>
              <w:bottom w:val="single" w:sz="2" w:space="0" w:color="auto"/>
            </w:tcBorders>
          </w:tcPr>
          <w:p w14:paraId="2EB17D23" w14:textId="77777777" w:rsidR="006E40C9" w:rsidRDefault="006E40C9">
            <w:pPr>
              <w:pStyle w:val="MeasureTableTextRightAligned"/>
            </w:pPr>
            <w:r>
              <w:t>490</w:t>
            </w:r>
          </w:p>
        </w:tc>
        <w:tc>
          <w:tcPr>
            <w:tcW w:w="967" w:type="dxa"/>
            <w:tcBorders>
              <w:top w:val="single" w:sz="2" w:space="0" w:color="auto"/>
              <w:bottom w:val="single" w:sz="2" w:space="0" w:color="auto"/>
            </w:tcBorders>
          </w:tcPr>
          <w:p w14:paraId="6A1A6D3F" w14:textId="77777777" w:rsidR="006E40C9" w:rsidRDefault="006E40C9">
            <w:pPr>
              <w:pStyle w:val="MeasureTableTextRightAligned"/>
            </w:pPr>
            <w:r>
              <w:t>690</w:t>
            </w:r>
          </w:p>
        </w:tc>
        <w:tc>
          <w:tcPr>
            <w:tcW w:w="967" w:type="dxa"/>
            <w:tcBorders>
              <w:top w:val="single" w:sz="2" w:space="0" w:color="auto"/>
              <w:bottom w:val="single" w:sz="2" w:space="0" w:color="auto"/>
            </w:tcBorders>
            <w:vAlign w:val="bottom"/>
          </w:tcPr>
          <w:p w14:paraId="12DDF94F" w14:textId="77777777" w:rsidR="006E40C9" w:rsidRDefault="006E40C9">
            <w:pPr>
              <w:pStyle w:val="MeasureTableTextRightAligned"/>
            </w:pPr>
            <w:r>
              <w:t>770</w:t>
            </w:r>
          </w:p>
        </w:tc>
        <w:tc>
          <w:tcPr>
            <w:tcW w:w="967" w:type="dxa"/>
            <w:tcBorders>
              <w:top w:val="single" w:sz="2" w:space="0" w:color="auto"/>
              <w:bottom w:val="single" w:sz="2" w:space="0" w:color="auto"/>
            </w:tcBorders>
            <w:vAlign w:val="bottom"/>
          </w:tcPr>
          <w:p w14:paraId="68B202FF" w14:textId="77777777" w:rsidR="006E40C9" w:rsidRDefault="006E40C9">
            <w:pPr>
              <w:pStyle w:val="MeasureTableTextRightAligned"/>
            </w:pPr>
            <w:r>
              <w:t>830</w:t>
            </w:r>
          </w:p>
        </w:tc>
        <w:tc>
          <w:tcPr>
            <w:tcW w:w="967" w:type="dxa"/>
            <w:tcBorders>
              <w:top w:val="single" w:sz="2" w:space="0" w:color="auto"/>
              <w:bottom w:val="single" w:sz="2" w:space="0" w:color="auto"/>
            </w:tcBorders>
            <w:vAlign w:val="bottom"/>
          </w:tcPr>
          <w:p w14:paraId="1029CC6D" w14:textId="77777777" w:rsidR="006E40C9" w:rsidRDefault="006E40C9">
            <w:pPr>
              <w:pStyle w:val="MeasureTableTextRightAligned"/>
            </w:pPr>
            <w:r>
              <w:t>850</w:t>
            </w:r>
          </w:p>
        </w:tc>
        <w:tc>
          <w:tcPr>
            <w:tcW w:w="967" w:type="dxa"/>
            <w:gridSpan w:val="2"/>
            <w:tcBorders>
              <w:top w:val="single" w:sz="2" w:space="0" w:color="auto"/>
              <w:bottom w:val="single" w:sz="2" w:space="0" w:color="auto"/>
            </w:tcBorders>
            <w:vAlign w:val="bottom"/>
          </w:tcPr>
          <w:p w14:paraId="2E9438A2" w14:textId="77777777" w:rsidR="006E40C9" w:rsidRDefault="006E40C9">
            <w:pPr>
              <w:pStyle w:val="MeasureTableTextRightAligned"/>
            </w:pPr>
            <w:r>
              <w:t>860</w:t>
            </w:r>
          </w:p>
        </w:tc>
        <w:tc>
          <w:tcPr>
            <w:tcW w:w="967" w:type="dxa"/>
            <w:gridSpan w:val="2"/>
            <w:tcBorders>
              <w:top w:val="single" w:sz="2" w:space="0" w:color="auto"/>
              <w:bottom w:val="single" w:sz="2" w:space="0" w:color="auto"/>
            </w:tcBorders>
            <w:vAlign w:val="bottom"/>
          </w:tcPr>
          <w:p w14:paraId="074D59D3" w14:textId="77777777" w:rsidR="006E40C9" w:rsidRDefault="006E40C9">
            <w:pPr>
              <w:pStyle w:val="MeasureTableTextRightAligned"/>
            </w:pPr>
            <w:r>
              <w:t>910</w:t>
            </w:r>
          </w:p>
        </w:tc>
        <w:tc>
          <w:tcPr>
            <w:tcW w:w="968" w:type="dxa"/>
            <w:tcBorders>
              <w:top w:val="single" w:sz="2" w:space="0" w:color="auto"/>
              <w:bottom w:val="single" w:sz="2" w:space="0" w:color="auto"/>
            </w:tcBorders>
            <w:vAlign w:val="bottom"/>
          </w:tcPr>
          <w:p w14:paraId="3D7BA541" w14:textId="77777777" w:rsidR="006E40C9" w:rsidRDefault="006E40C9">
            <w:pPr>
              <w:pStyle w:val="MeasureTableTextRightAligned"/>
            </w:pPr>
            <w:r>
              <w:t>950</w:t>
            </w:r>
          </w:p>
        </w:tc>
      </w:tr>
      <w:tr w:rsidR="006E40C9" w14:paraId="2E15D0A6" w14:textId="77777777">
        <w:trPr>
          <w:cantSplit/>
          <w:jc w:val="center"/>
        </w:trPr>
        <w:tc>
          <w:tcPr>
            <w:tcW w:w="1934" w:type="dxa"/>
            <w:gridSpan w:val="2"/>
            <w:tcBorders>
              <w:top w:val="single" w:sz="2" w:space="0" w:color="auto"/>
              <w:bottom w:val="nil"/>
            </w:tcBorders>
          </w:tcPr>
          <w:p w14:paraId="780CCB8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DE8722E" w14:textId="77777777" w:rsidR="006E40C9" w:rsidRDefault="006E40C9">
            <w:pPr>
              <w:pStyle w:val="MeasureTableTextLeftAligned"/>
            </w:pPr>
            <w:r>
              <w:t>Offset</w:t>
            </w:r>
          </w:p>
        </w:tc>
        <w:tc>
          <w:tcPr>
            <w:tcW w:w="1500" w:type="dxa"/>
            <w:gridSpan w:val="2"/>
            <w:tcBorders>
              <w:top w:val="single" w:sz="2" w:space="0" w:color="auto"/>
              <w:bottom w:val="nil"/>
            </w:tcBorders>
          </w:tcPr>
          <w:p w14:paraId="7970FF7C" w14:textId="4B4AE4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0641C3" w14:textId="77777777" w:rsidR="006E40C9" w:rsidRDefault="006E40C9">
            <w:pPr>
              <w:pStyle w:val="MeasureTableTextLeftAligned"/>
            </w:pPr>
            <w:r>
              <w:t>B70</w:t>
            </w:r>
          </w:p>
        </w:tc>
      </w:tr>
      <w:tr w:rsidR="006E40C9" w14:paraId="011B374C" w14:textId="77777777">
        <w:trPr>
          <w:cantSplit/>
          <w:jc w:val="center"/>
        </w:trPr>
        <w:tc>
          <w:tcPr>
            <w:tcW w:w="1934" w:type="dxa"/>
            <w:gridSpan w:val="2"/>
            <w:tcBorders>
              <w:top w:val="nil"/>
              <w:bottom w:val="nil"/>
            </w:tcBorders>
          </w:tcPr>
          <w:p w14:paraId="15F23F0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69D242" w14:textId="73C4CC83"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BB3DD1B" w14:textId="77777777" w:rsidR="006E40C9" w:rsidRDefault="006E40C9">
            <w:pPr>
              <w:pStyle w:val="MeasureTableTextItalic"/>
            </w:pPr>
          </w:p>
        </w:tc>
        <w:tc>
          <w:tcPr>
            <w:tcW w:w="1124" w:type="dxa"/>
            <w:gridSpan w:val="2"/>
            <w:tcBorders>
              <w:top w:val="nil"/>
              <w:bottom w:val="nil"/>
            </w:tcBorders>
          </w:tcPr>
          <w:p w14:paraId="7E36384F" w14:textId="77777777" w:rsidR="006E40C9" w:rsidRDefault="006E40C9">
            <w:pPr>
              <w:pStyle w:val="MeasureTableTextLeftAligned"/>
            </w:pPr>
          </w:p>
        </w:tc>
      </w:tr>
      <w:tr w:rsidR="006E40C9" w14:paraId="3490A001" w14:textId="77777777">
        <w:trPr>
          <w:cantSplit/>
          <w:jc w:val="center"/>
        </w:trPr>
        <w:tc>
          <w:tcPr>
            <w:tcW w:w="1934" w:type="dxa"/>
            <w:gridSpan w:val="2"/>
            <w:tcBorders>
              <w:top w:val="nil"/>
              <w:bottom w:val="nil"/>
            </w:tcBorders>
          </w:tcPr>
          <w:p w14:paraId="0C25172F" w14:textId="77777777" w:rsidR="006E40C9" w:rsidRDefault="006E40C9">
            <w:pPr>
              <w:pStyle w:val="MeasureTableTextItalic"/>
            </w:pPr>
            <w:r>
              <w:t>Commencement date:</w:t>
            </w:r>
          </w:p>
        </w:tc>
        <w:tc>
          <w:tcPr>
            <w:tcW w:w="3179" w:type="dxa"/>
            <w:gridSpan w:val="4"/>
            <w:tcBorders>
              <w:top w:val="nil"/>
              <w:bottom w:val="nil"/>
            </w:tcBorders>
          </w:tcPr>
          <w:p w14:paraId="05F71EE0" w14:textId="77777777" w:rsidR="006E40C9" w:rsidRDefault="006E40C9">
            <w:pPr>
              <w:pStyle w:val="MeasureTableTextLeftAligned"/>
            </w:pPr>
            <w:r>
              <w:t>1 July 2015</w:t>
            </w:r>
          </w:p>
        </w:tc>
        <w:tc>
          <w:tcPr>
            <w:tcW w:w="1500" w:type="dxa"/>
            <w:gridSpan w:val="2"/>
            <w:tcBorders>
              <w:top w:val="nil"/>
              <w:bottom w:val="nil"/>
            </w:tcBorders>
          </w:tcPr>
          <w:p w14:paraId="74682A36" w14:textId="77777777" w:rsidR="006E40C9" w:rsidRPr="00F32057" w:rsidRDefault="006E40C9">
            <w:pPr>
              <w:pStyle w:val="MeasureTableTextItalic"/>
            </w:pPr>
            <w:r>
              <w:t>Expiry date:</w:t>
            </w:r>
          </w:p>
        </w:tc>
        <w:tc>
          <w:tcPr>
            <w:tcW w:w="1124" w:type="dxa"/>
            <w:gridSpan w:val="2"/>
            <w:tcBorders>
              <w:top w:val="nil"/>
              <w:bottom w:val="nil"/>
            </w:tcBorders>
          </w:tcPr>
          <w:p w14:paraId="5B284FF7" w14:textId="77777777" w:rsidR="006E40C9" w:rsidRPr="00F32057" w:rsidRDefault="006E40C9">
            <w:pPr>
              <w:pStyle w:val="MeasureTableTextLeftAligned"/>
            </w:pPr>
          </w:p>
        </w:tc>
      </w:tr>
      <w:tr w:rsidR="006E40C9" w14:paraId="75B0A838" w14:textId="77777777">
        <w:trPr>
          <w:cantSplit/>
          <w:jc w:val="center"/>
        </w:trPr>
        <w:tc>
          <w:tcPr>
            <w:tcW w:w="1934" w:type="dxa"/>
            <w:gridSpan w:val="2"/>
            <w:tcBorders>
              <w:top w:val="nil"/>
            </w:tcBorders>
          </w:tcPr>
          <w:p w14:paraId="2B572812" w14:textId="77777777" w:rsidR="006E40C9" w:rsidRDefault="006E40C9">
            <w:pPr>
              <w:pStyle w:val="MeasureTableTextItalic"/>
            </w:pPr>
            <w:r>
              <w:t>Legislative reference:</w:t>
            </w:r>
          </w:p>
        </w:tc>
        <w:tc>
          <w:tcPr>
            <w:tcW w:w="5803" w:type="dxa"/>
            <w:gridSpan w:val="8"/>
            <w:tcBorders>
              <w:top w:val="nil"/>
            </w:tcBorders>
          </w:tcPr>
          <w:p w14:paraId="49A90EF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328-F of the </w:t>
            </w:r>
            <w:r>
              <w:rPr>
                <w:rFonts w:ascii="Arial" w:hAnsi="Arial" w:cs="Arial"/>
                <w:i/>
                <w:iCs/>
                <w:color w:val="000000"/>
                <w:sz w:val="16"/>
                <w:szCs w:val="16"/>
              </w:rPr>
              <w:t>Income Tax Assessment Act 1997</w:t>
            </w:r>
          </w:p>
        </w:tc>
      </w:tr>
    </w:tbl>
    <w:p w14:paraId="153261E9" w14:textId="77777777" w:rsidR="006E40C9" w:rsidRPr="00540040" w:rsidRDefault="006E40C9" w:rsidP="006E40C9">
      <w:pPr>
        <w:pStyle w:val="MeasureTableHeading"/>
      </w:pPr>
    </w:p>
    <w:p w14:paraId="48E2DAF8" w14:textId="77777777" w:rsidR="006E40C9" w:rsidRDefault="006E40C9" w:rsidP="006E40C9">
      <w:pPr>
        <w:rPr>
          <w:rFonts w:eastAsia="Calibri"/>
          <w:lang w:eastAsia="en-US"/>
        </w:rPr>
      </w:pPr>
      <w:r>
        <w:t>Under the benchmark, business income is generally fully assessable to the taxpayer. However, individual taxpayers with business income from an unincorporated small business that had aggregated annual turnover of less than $5 million were eligible for an 8 per cent tax discount on the income tax payable on that business income from 1 July 2016. This discount rate increased to 13 per cent in 2020</w:t>
      </w:r>
      <w:r>
        <w:noBreakHyphen/>
        <w:t>21 and increased to 16 per cent in 2021</w:t>
      </w:r>
      <w:r>
        <w:noBreakHyphen/>
        <w:t>22 and later income years. The discount is capped at $1,000 per individual for each income year and is delivered as a non</w:t>
      </w:r>
      <w:r>
        <w:noBreakHyphen/>
        <w:t>refundable tax offset.</w:t>
      </w:r>
      <w:r w:rsidRPr="00622A4C">
        <w:rPr>
          <w:rFonts w:eastAsia="Calibri"/>
          <w:lang w:eastAsia="en-US"/>
        </w:rPr>
        <w:t xml:space="preserve"> </w:t>
      </w:r>
      <w:r>
        <w:rPr>
          <w:rFonts w:eastAsia="Calibri"/>
          <w:lang w:eastAsia="en-US"/>
        </w:rPr>
        <w:fldChar w:fldCharType="begin"/>
      </w:r>
      <w:r>
        <w:instrText xml:space="preserve"> XE "Small business" </w:instrText>
      </w:r>
      <w:r>
        <w:rPr>
          <w:rFonts w:eastAsia="Calibri"/>
          <w:lang w:eastAsia="en-US"/>
        </w:rPr>
        <w:fldChar w:fldCharType="end"/>
      </w:r>
    </w:p>
    <w:p w14:paraId="41F74631" w14:textId="77777777" w:rsidR="006E40C9" w:rsidRDefault="006E40C9" w:rsidP="00432D19">
      <w:pPr>
        <w:pStyle w:val="Heading3"/>
      </w:pPr>
      <w:r>
        <w:t>Tax expenditures relating to capital expenditure, effective life and depreciation</w:t>
      </w:r>
    </w:p>
    <w:p w14:paraId="464CA76F" w14:textId="77777777" w:rsidR="006E40C9" w:rsidRDefault="006E40C9" w:rsidP="00432D19">
      <w:pPr>
        <w:pStyle w:val="Heading4"/>
      </w:pPr>
      <w:r>
        <w:t>B72</w:t>
      </w:r>
      <w:r>
        <w:tab/>
        <w:t>Accelerated depreciation of fencing and fodder storage assets for primary producers</w:t>
      </w:r>
    </w:p>
    <w:p w14:paraId="05C01ACE"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D599BD" w14:textId="77777777">
        <w:trPr>
          <w:cantSplit/>
          <w:jc w:val="center"/>
        </w:trPr>
        <w:tc>
          <w:tcPr>
            <w:tcW w:w="967" w:type="dxa"/>
            <w:tcBorders>
              <w:top w:val="single" w:sz="2" w:space="0" w:color="auto"/>
              <w:bottom w:val="single" w:sz="2" w:space="0" w:color="auto"/>
            </w:tcBorders>
          </w:tcPr>
          <w:p w14:paraId="35D0FD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910EE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F51D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8B5E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A5EF5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DB21D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CAEE58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A8B933" w14:textId="77777777" w:rsidR="006E40C9" w:rsidRDefault="006E40C9">
            <w:pPr>
              <w:pStyle w:val="MeasureTableTextRightAligned"/>
            </w:pPr>
            <w:r>
              <w:t>2027-28</w:t>
            </w:r>
          </w:p>
        </w:tc>
      </w:tr>
      <w:tr w:rsidR="006E40C9" w14:paraId="00038480" w14:textId="77777777">
        <w:trPr>
          <w:cantSplit/>
          <w:jc w:val="center"/>
        </w:trPr>
        <w:tc>
          <w:tcPr>
            <w:tcW w:w="967" w:type="dxa"/>
            <w:tcBorders>
              <w:top w:val="single" w:sz="2" w:space="0" w:color="auto"/>
              <w:bottom w:val="single" w:sz="2" w:space="0" w:color="auto"/>
            </w:tcBorders>
          </w:tcPr>
          <w:p w14:paraId="2077DB0D" w14:textId="77777777" w:rsidR="006E40C9" w:rsidRDefault="006E40C9">
            <w:pPr>
              <w:pStyle w:val="MeasureTableTextRightAligned"/>
            </w:pPr>
            <w:r>
              <w:t>45</w:t>
            </w:r>
          </w:p>
        </w:tc>
        <w:tc>
          <w:tcPr>
            <w:tcW w:w="967" w:type="dxa"/>
            <w:tcBorders>
              <w:top w:val="single" w:sz="2" w:space="0" w:color="auto"/>
              <w:bottom w:val="single" w:sz="2" w:space="0" w:color="auto"/>
            </w:tcBorders>
          </w:tcPr>
          <w:p w14:paraId="311B5113"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00020718"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68D6D83E"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532A908"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538B4576" w14:textId="77777777" w:rsidR="006E40C9" w:rsidRDefault="006E40C9">
            <w:pPr>
              <w:pStyle w:val="MeasureTableTextRightAligned"/>
            </w:pPr>
            <w:r>
              <w:t>15</w:t>
            </w:r>
          </w:p>
        </w:tc>
        <w:tc>
          <w:tcPr>
            <w:tcW w:w="967" w:type="dxa"/>
            <w:gridSpan w:val="2"/>
            <w:tcBorders>
              <w:top w:val="single" w:sz="2" w:space="0" w:color="auto"/>
              <w:bottom w:val="single" w:sz="2" w:space="0" w:color="auto"/>
            </w:tcBorders>
            <w:vAlign w:val="bottom"/>
          </w:tcPr>
          <w:p w14:paraId="20F4AA7E" w14:textId="77777777" w:rsidR="006E40C9" w:rsidRDefault="006E40C9">
            <w:pPr>
              <w:pStyle w:val="MeasureTableTextRightAligned"/>
            </w:pPr>
            <w:r>
              <w:t>15</w:t>
            </w:r>
          </w:p>
        </w:tc>
        <w:tc>
          <w:tcPr>
            <w:tcW w:w="968" w:type="dxa"/>
            <w:tcBorders>
              <w:top w:val="single" w:sz="2" w:space="0" w:color="auto"/>
              <w:bottom w:val="single" w:sz="2" w:space="0" w:color="auto"/>
            </w:tcBorders>
            <w:vAlign w:val="bottom"/>
          </w:tcPr>
          <w:p w14:paraId="653D6974" w14:textId="77777777" w:rsidR="006E40C9" w:rsidRDefault="006E40C9">
            <w:pPr>
              <w:pStyle w:val="MeasureTableTextRightAligned"/>
            </w:pPr>
            <w:r>
              <w:t>15</w:t>
            </w:r>
          </w:p>
        </w:tc>
      </w:tr>
      <w:tr w:rsidR="006E40C9" w14:paraId="0867B3CC" w14:textId="77777777">
        <w:trPr>
          <w:cantSplit/>
          <w:jc w:val="center"/>
        </w:trPr>
        <w:tc>
          <w:tcPr>
            <w:tcW w:w="1934" w:type="dxa"/>
            <w:gridSpan w:val="2"/>
            <w:tcBorders>
              <w:top w:val="single" w:sz="2" w:space="0" w:color="auto"/>
              <w:bottom w:val="nil"/>
            </w:tcBorders>
          </w:tcPr>
          <w:p w14:paraId="21FED18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7BA112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82FC670" w14:textId="283459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BDC95B2" w14:textId="77777777" w:rsidR="006E40C9" w:rsidRDefault="006E40C9">
            <w:pPr>
              <w:pStyle w:val="MeasureTableTextLeftAligned"/>
            </w:pPr>
            <w:r>
              <w:t>B71</w:t>
            </w:r>
          </w:p>
        </w:tc>
      </w:tr>
      <w:tr w:rsidR="006E40C9" w14:paraId="47267775" w14:textId="77777777">
        <w:trPr>
          <w:cantSplit/>
          <w:jc w:val="center"/>
        </w:trPr>
        <w:tc>
          <w:tcPr>
            <w:tcW w:w="1934" w:type="dxa"/>
            <w:gridSpan w:val="2"/>
            <w:tcBorders>
              <w:top w:val="nil"/>
              <w:bottom w:val="nil"/>
            </w:tcBorders>
          </w:tcPr>
          <w:p w14:paraId="0D693C6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3F041A" w14:textId="2F2647D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18D1444" w14:textId="77777777" w:rsidR="006E40C9" w:rsidRDefault="006E40C9">
            <w:pPr>
              <w:pStyle w:val="MeasureTableTextItalic"/>
            </w:pPr>
          </w:p>
        </w:tc>
        <w:tc>
          <w:tcPr>
            <w:tcW w:w="1124" w:type="dxa"/>
            <w:gridSpan w:val="2"/>
            <w:tcBorders>
              <w:top w:val="nil"/>
              <w:bottom w:val="nil"/>
            </w:tcBorders>
          </w:tcPr>
          <w:p w14:paraId="3C4F3EBC" w14:textId="77777777" w:rsidR="006E40C9" w:rsidRDefault="006E40C9">
            <w:pPr>
              <w:pStyle w:val="MeasureTableTextLeftAligned"/>
            </w:pPr>
          </w:p>
        </w:tc>
      </w:tr>
      <w:tr w:rsidR="006E40C9" w14:paraId="1F7F5A3C" w14:textId="77777777">
        <w:trPr>
          <w:cantSplit/>
          <w:jc w:val="center"/>
        </w:trPr>
        <w:tc>
          <w:tcPr>
            <w:tcW w:w="1934" w:type="dxa"/>
            <w:gridSpan w:val="2"/>
            <w:tcBorders>
              <w:top w:val="nil"/>
              <w:bottom w:val="nil"/>
            </w:tcBorders>
          </w:tcPr>
          <w:p w14:paraId="29C19015" w14:textId="77777777" w:rsidR="006E40C9" w:rsidRDefault="006E40C9">
            <w:pPr>
              <w:pStyle w:val="MeasureTableTextItalic"/>
            </w:pPr>
            <w:r>
              <w:t>Commencement date:</w:t>
            </w:r>
          </w:p>
        </w:tc>
        <w:tc>
          <w:tcPr>
            <w:tcW w:w="3179" w:type="dxa"/>
            <w:gridSpan w:val="4"/>
            <w:tcBorders>
              <w:top w:val="nil"/>
              <w:bottom w:val="nil"/>
            </w:tcBorders>
          </w:tcPr>
          <w:p w14:paraId="01C14189" w14:textId="77777777" w:rsidR="006E40C9" w:rsidRDefault="006E40C9">
            <w:pPr>
              <w:pStyle w:val="MeasureTableTextLeftAligned"/>
            </w:pPr>
            <w:r>
              <w:t>12 May 2015</w:t>
            </w:r>
          </w:p>
        </w:tc>
        <w:tc>
          <w:tcPr>
            <w:tcW w:w="1500" w:type="dxa"/>
            <w:gridSpan w:val="2"/>
            <w:tcBorders>
              <w:top w:val="nil"/>
              <w:bottom w:val="nil"/>
            </w:tcBorders>
          </w:tcPr>
          <w:p w14:paraId="6DFBD851" w14:textId="77777777" w:rsidR="006E40C9" w:rsidRPr="00F32057" w:rsidRDefault="006E40C9">
            <w:pPr>
              <w:pStyle w:val="MeasureTableTextItalic"/>
            </w:pPr>
            <w:r>
              <w:t>Expiry date:</w:t>
            </w:r>
          </w:p>
        </w:tc>
        <w:tc>
          <w:tcPr>
            <w:tcW w:w="1124" w:type="dxa"/>
            <w:gridSpan w:val="2"/>
            <w:tcBorders>
              <w:top w:val="nil"/>
              <w:bottom w:val="nil"/>
            </w:tcBorders>
          </w:tcPr>
          <w:p w14:paraId="71A69A6E" w14:textId="77777777" w:rsidR="006E40C9" w:rsidRPr="00F32057" w:rsidRDefault="006E40C9">
            <w:pPr>
              <w:pStyle w:val="MeasureTableTextLeftAligned"/>
            </w:pPr>
          </w:p>
        </w:tc>
      </w:tr>
      <w:tr w:rsidR="006E40C9" w14:paraId="47544660" w14:textId="77777777">
        <w:trPr>
          <w:cantSplit/>
          <w:jc w:val="center"/>
        </w:trPr>
        <w:tc>
          <w:tcPr>
            <w:tcW w:w="1934" w:type="dxa"/>
            <w:gridSpan w:val="2"/>
            <w:tcBorders>
              <w:top w:val="nil"/>
            </w:tcBorders>
          </w:tcPr>
          <w:p w14:paraId="73B57567" w14:textId="77777777" w:rsidR="006E40C9" w:rsidRDefault="006E40C9">
            <w:pPr>
              <w:pStyle w:val="MeasureTableTextItalic"/>
            </w:pPr>
            <w:r>
              <w:t>Legislative reference:</w:t>
            </w:r>
          </w:p>
        </w:tc>
        <w:tc>
          <w:tcPr>
            <w:tcW w:w="5803" w:type="dxa"/>
            <w:gridSpan w:val="8"/>
            <w:tcBorders>
              <w:top w:val="nil"/>
            </w:tcBorders>
          </w:tcPr>
          <w:p w14:paraId="1365E6CF"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 40-10 and Subdivision 40-F of the </w:t>
            </w:r>
            <w:r>
              <w:rPr>
                <w:rFonts w:ascii="Arial" w:hAnsi="Arial" w:cs="Arial"/>
                <w:i/>
                <w:iCs/>
                <w:color w:val="000000"/>
                <w:sz w:val="16"/>
                <w:szCs w:val="16"/>
              </w:rPr>
              <w:t>Income Tax Assessment Act 1997</w:t>
            </w:r>
          </w:p>
        </w:tc>
      </w:tr>
    </w:tbl>
    <w:p w14:paraId="071CAD0A" w14:textId="0E887DF7" w:rsidR="006E40C9" w:rsidRDefault="006E40C9" w:rsidP="006E40C9">
      <w:pPr>
        <w:pStyle w:val="Source"/>
      </w:pPr>
      <w:r>
        <w:t>Note: estimates include tax expenditures B72, B73, B7</w:t>
      </w:r>
      <w:r w:rsidR="003A3756">
        <w:t>5</w:t>
      </w:r>
      <w:r>
        <w:t xml:space="preserve"> and B7</w:t>
      </w:r>
      <w:r w:rsidR="003A3756">
        <w:t>6</w:t>
      </w:r>
    </w:p>
    <w:p w14:paraId="72271C24" w14:textId="77777777" w:rsidR="006E40C9" w:rsidRPr="00540040" w:rsidRDefault="006E40C9" w:rsidP="006E40C9">
      <w:pPr>
        <w:pStyle w:val="MeasureTableHeading"/>
      </w:pPr>
    </w:p>
    <w:p w14:paraId="616F842B" w14:textId="77777777" w:rsidR="006E40C9" w:rsidRDefault="006E40C9" w:rsidP="006E40C9">
      <w:pPr>
        <w:rPr>
          <w:lang w:val="en"/>
        </w:rPr>
      </w:pPr>
      <w:r>
        <w:rPr>
          <w:lang w:val="en"/>
        </w:rPr>
        <w:t>Under the benchmark,</w:t>
      </w:r>
      <w:r w:rsidRPr="00FD24CB">
        <w:rPr>
          <w:lang w:val="en"/>
        </w:rPr>
        <w:t xml:space="preserve"> fences and fodder storage assets </w:t>
      </w:r>
      <w:r>
        <w:rPr>
          <w:lang w:val="en"/>
        </w:rPr>
        <w:t>are depreciated over their effective lives</w:t>
      </w:r>
      <w:r w:rsidRPr="00FD24CB">
        <w:rPr>
          <w:lang w:val="en"/>
        </w:rPr>
        <w:t>.</w:t>
      </w:r>
      <w:r>
        <w:rPr>
          <w:lang w:val="en"/>
        </w:rPr>
        <w:t xml:space="preserve"> However, </w:t>
      </w:r>
      <w:r>
        <w:t>primary producers can immediately deduct capital expenditure on fencing assets, and from 19 August 2018, they can immediately deduct</w:t>
      </w:r>
      <w:r w:rsidRPr="00FD24CB">
        <w:rPr>
          <w:lang w:val="en"/>
        </w:rPr>
        <w:t xml:space="preserve"> capital expenditure on fodder storage assets such as silos and </w:t>
      </w:r>
      <w:r>
        <w:rPr>
          <w:lang w:val="en"/>
        </w:rPr>
        <w:t>hay sheds,</w:t>
      </w:r>
      <w:r w:rsidRPr="00FD24CB">
        <w:rPr>
          <w:lang w:val="en"/>
        </w:rPr>
        <w:t xml:space="preserve"> used to store grain and other animal feed</w:t>
      </w:r>
      <w:r>
        <w:rPr>
          <w:lang w:val="en"/>
        </w:rPr>
        <w:fldChar w:fldCharType="begin"/>
      </w:r>
      <w:r>
        <w:instrText xml:space="preserve"> XE "</w:instrText>
      </w:r>
      <w:r w:rsidRPr="00E55CDE">
        <w:instrText>Accel</w:instrText>
      </w:r>
      <w:r>
        <w:instrText>e</w:instrText>
      </w:r>
      <w:r w:rsidRPr="00E55CDE">
        <w:instrText>rated depreciation:Fodder storage assets</w:instrText>
      </w:r>
      <w:r>
        <w:instrText xml:space="preserve">" </w:instrText>
      </w:r>
      <w:r>
        <w:rPr>
          <w:lang w:val="en"/>
        </w:rPr>
        <w:fldChar w:fldCharType="end"/>
      </w:r>
      <w:r w:rsidRPr="00FD24CB">
        <w:rPr>
          <w:lang w:val="en"/>
        </w:rPr>
        <w:t>.</w:t>
      </w:r>
    </w:p>
    <w:p w14:paraId="0E2E3F77" w14:textId="47B6FD2B" w:rsidR="006E40C9" w:rsidRDefault="006E40C9" w:rsidP="006E40C9">
      <w:pPr>
        <w:rPr>
          <w:lang w:val="en"/>
        </w:rPr>
      </w:pPr>
      <w:r>
        <w:rPr>
          <w:lang w:val="en"/>
        </w:rPr>
        <w:t>Prior to 19 August 2018, primary producers could depreciate the cost of fodder storage assets over 3 years.</w:t>
      </w:r>
    </w:p>
    <w:p w14:paraId="1F45638B" w14:textId="77777777" w:rsidR="006E40C9" w:rsidRDefault="006E40C9" w:rsidP="00432D19">
      <w:pPr>
        <w:pStyle w:val="Heading4"/>
      </w:pPr>
      <w:r>
        <w:t>B73</w:t>
      </w:r>
      <w:r>
        <w:tab/>
        <w:t>Accelerated write-off for expenditure on water facilities for primary producers</w:t>
      </w:r>
    </w:p>
    <w:p w14:paraId="44087E86"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F46168" w14:textId="77777777">
        <w:trPr>
          <w:cantSplit/>
          <w:jc w:val="center"/>
        </w:trPr>
        <w:tc>
          <w:tcPr>
            <w:tcW w:w="967" w:type="dxa"/>
            <w:tcBorders>
              <w:top w:val="single" w:sz="2" w:space="0" w:color="auto"/>
              <w:bottom w:val="single" w:sz="2" w:space="0" w:color="auto"/>
            </w:tcBorders>
          </w:tcPr>
          <w:p w14:paraId="14EAA8E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95E980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CFB5D4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2351AC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50CC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8B23DA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F3614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E8543D" w14:textId="77777777" w:rsidR="006E40C9" w:rsidRDefault="006E40C9">
            <w:pPr>
              <w:pStyle w:val="MeasureTableTextRightAligned"/>
            </w:pPr>
            <w:r>
              <w:t>2027-28</w:t>
            </w:r>
          </w:p>
        </w:tc>
      </w:tr>
      <w:tr w:rsidR="006E40C9" w14:paraId="4022B070" w14:textId="77777777">
        <w:trPr>
          <w:cantSplit/>
          <w:jc w:val="center"/>
        </w:trPr>
        <w:tc>
          <w:tcPr>
            <w:tcW w:w="7737" w:type="dxa"/>
            <w:gridSpan w:val="10"/>
            <w:tcBorders>
              <w:top w:val="single" w:sz="2" w:space="0" w:color="auto"/>
              <w:bottom w:val="single" w:sz="2" w:space="0" w:color="auto"/>
            </w:tcBorders>
          </w:tcPr>
          <w:p w14:paraId="4C49A3EE" w14:textId="77777777" w:rsidR="006E40C9" w:rsidRDefault="006E40C9">
            <w:pPr>
              <w:pStyle w:val="MeasureTableTextRightAligned"/>
              <w:jc w:val="center"/>
            </w:pPr>
            <w:r>
              <w:t>Included in B72</w:t>
            </w:r>
          </w:p>
        </w:tc>
      </w:tr>
      <w:tr w:rsidR="006E40C9" w14:paraId="187A01DC" w14:textId="77777777">
        <w:trPr>
          <w:cantSplit/>
          <w:jc w:val="center"/>
        </w:trPr>
        <w:tc>
          <w:tcPr>
            <w:tcW w:w="1934" w:type="dxa"/>
            <w:gridSpan w:val="2"/>
            <w:tcBorders>
              <w:top w:val="single" w:sz="2" w:space="0" w:color="auto"/>
              <w:bottom w:val="nil"/>
            </w:tcBorders>
          </w:tcPr>
          <w:p w14:paraId="0DD77D6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EF27B3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76C9EB4" w14:textId="6812C34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D11370E" w14:textId="77777777" w:rsidR="006E40C9" w:rsidRDefault="006E40C9">
            <w:pPr>
              <w:pStyle w:val="MeasureTableTextLeftAligned"/>
            </w:pPr>
            <w:r>
              <w:t>B72</w:t>
            </w:r>
          </w:p>
        </w:tc>
      </w:tr>
      <w:tr w:rsidR="006E40C9" w14:paraId="35EFA1E6" w14:textId="77777777">
        <w:trPr>
          <w:cantSplit/>
          <w:jc w:val="center"/>
        </w:trPr>
        <w:tc>
          <w:tcPr>
            <w:tcW w:w="1934" w:type="dxa"/>
            <w:gridSpan w:val="2"/>
            <w:tcBorders>
              <w:top w:val="nil"/>
              <w:bottom w:val="nil"/>
            </w:tcBorders>
          </w:tcPr>
          <w:p w14:paraId="1BA60C7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C383BBE" w14:textId="77777777" w:rsidR="006E40C9" w:rsidRPr="00584CA7" w:rsidRDefault="006E40C9">
            <w:pPr>
              <w:pStyle w:val="MeasureTableTextLeftAligned"/>
            </w:pPr>
          </w:p>
        </w:tc>
        <w:tc>
          <w:tcPr>
            <w:tcW w:w="1500" w:type="dxa"/>
            <w:gridSpan w:val="2"/>
            <w:tcBorders>
              <w:top w:val="nil"/>
              <w:bottom w:val="nil"/>
            </w:tcBorders>
          </w:tcPr>
          <w:p w14:paraId="2458C90F" w14:textId="77777777" w:rsidR="006E40C9" w:rsidRDefault="006E40C9">
            <w:pPr>
              <w:pStyle w:val="MeasureTableTextItalic"/>
            </w:pPr>
          </w:p>
        </w:tc>
        <w:tc>
          <w:tcPr>
            <w:tcW w:w="1124" w:type="dxa"/>
            <w:gridSpan w:val="2"/>
            <w:tcBorders>
              <w:top w:val="nil"/>
              <w:bottom w:val="nil"/>
            </w:tcBorders>
          </w:tcPr>
          <w:p w14:paraId="7D26008A" w14:textId="77777777" w:rsidR="006E40C9" w:rsidRDefault="006E40C9">
            <w:pPr>
              <w:pStyle w:val="MeasureTableTextLeftAligned"/>
            </w:pPr>
          </w:p>
        </w:tc>
      </w:tr>
      <w:tr w:rsidR="006E40C9" w14:paraId="390CF786" w14:textId="77777777">
        <w:trPr>
          <w:cantSplit/>
          <w:jc w:val="center"/>
        </w:trPr>
        <w:tc>
          <w:tcPr>
            <w:tcW w:w="1934" w:type="dxa"/>
            <w:gridSpan w:val="2"/>
            <w:tcBorders>
              <w:top w:val="nil"/>
              <w:bottom w:val="nil"/>
            </w:tcBorders>
          </w:tcPr>
          <w:p w14:paraId="4522C075" w14:textId="77777777" w:rsidR="006E40C9" w:rsidRDefault="006E40C9">
            <w:pPr>
              <w:pStyle w:val="MeasureTableTextItalic"/>
            </w:pPr>
            <w:r>
              <w:t>Commencement date:</w:t>
            </w:r>
          </w:p>
        </w:tc>
        <w:tc>
          <w:tcPr>
            <w:tcW w:w="3179" w:type="dxa"/>
            <w:gridSpan w:val="4"/>
            <w:tcBorders>
              <w:top w:val="nil"/>
              <w:bottom w:val="nil"/>
            </w:tcBorders>
          </w:tcPr>
          <w:p w14:paraId="613E226B" w14:textId="77777777" w:rsidR="006E40C9" w:rsidRDefault="006E40C9">
            <w:pPr>
              <w:pStyle w:val="MeasureTableTextLeftAligned"/>
            </w:pPr>
            <w:r>
              <w:t>Introduced before 1985</w:t>
            </w:r>
          </w:p>
        </w:tc>
        <w:tc>
          <w:tcPr>
            <w:tcW w:w="1500" w:type="dxa"/>
            <w:gridSpan w:val="2"/>
            <w:tcBorders>
              <w:top w:val="nil"/>
              <w:bottom w:val="nil"/>
            </w:tcBorders>
          </w:tcPr>
          <w:p w14:paraId="27BB3B83" w14:textId="77777777" w:rsidR="006E40C9" w:rsidRPr="00F32057" w:rsidRDefault="006E40C9">
            <w:pPr>
              <w:pStyle w:val="MeasureTableTextItalic"/>
            </w:pPr>
            <w:r>
              <w:t>Expiry date:</w:t>
            </w:r>
          </w:p>
        </w:tc>
        <w:tc>
          <w:tcPr>
            <w:tcW w:w="1124" w:type="dxa"/>
            <w:gridSpan w:val="2"/>
            <w:tcBorders>
              <w:top w:val="nil"/>
              <w:bottom w:val="nil"/>
            </w:tcBorders>
          </w:tcPr>
          <w:p w14:paraId="54E6E5DB" w14:textId="77777777" w:rsidR="006E40C9" w:rsidRPr="00F32057" w:rsidRDefault="006E40C9">
            <w:pPr>
              <w:pStyle w:val="MeasureTableTextLeftAligned"/>
            </w:pPr>
          </w:p>
        </w:tc>
      </w:tr>
      <w:tr w:rsidR="006E40C9" w14:paraId="1998A2FF" w14:textId="77777777">
        <w:trPr>
          <w:cantSplit/>
          <w:jc w:val="center"/>
        </w:trPr>
        <w:tc>
          <w:tcPr>
            <w:tcW w:w="1934" w:type="dxa"/>
            <w:gridSpan w:val="2"/>
            <w:tcBorders>
              <w:top w:val="nil"/>
            </w:tcBorders>
          </w:tcPr>
          <w:p w14:paraId="418097E9" w14:textId="77777777" w:rsidR="006E40C9" w:rsidRDefault="006E40C9">
            <w:pPr>
              <w:pStyle w:val="MeasureTableTextItalic"/>
            </w:pPr>
            <w:r>
              <w:t>Legislative reference:</w:t>
            </w:r>
          </w:p>
        </w:tc>
        <w:tc>
          <w:tcPr>
            <w:tcW w:w="5803" w:type="dxa"/>
            <w:gridSpan w:val="8"/>
            <w:tcBorders>
              <w:top w:val="nil"/>
            </w:tcBorders>
          </w:tcPr>
          <w:p w14:paraId="7D50A360"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FB1D3B3" w14:textId="77777777" w:rsidR="006E40C9" w:rsidRPr="00540040" w:rsidRDefault="006E40C9" w:rsidP="006E40C9">
      <w:pPr>
        <w:pStyle w:val="MeasureTableHeading"/>
      </w:pPr>
    </w:p>
    <w:p w14:paraId="3413434F" w14:textId="521B39DB" w:rsidR="006E40C9" w:rsidRDefault="006E40C9" w:rsidP="006E40C9">
      <w:r>
        <w:t>Under the benchmark, expenditure on water facilities is generally deductible over the effective life of the asset. However, primary</w:t>
      </w:r>
      <w:r w:rsidRPr="00804000">
        <w:t xml:space="preserve"> producers</w:t>
      </w:r>
      <w:r>
        <w:fldChar w:fldCharType="begin"/>
      </w:r>
      <w:r>
        <w:instrText xml:space="preserve"> XE "</w:instrText>
      </w:r>
      <w:r w:rsidRPr="00FE36E1">
        <w:instrText>Primary producers</w:instrText>
      </w:r>
      <w:r>
        <w:instrText xml:space="preserve">" </w:instrText>
      </w:r>
      <w:r>
        <w:fldChar w:fldCharType="end"/>
      </w:r>
      <w:r w:rsidRPr="00804000">
        <w:t xml:space="preserve"> </w:t>
      </w:r>
      <w:r>
        <w:t>can immediately deduct</w:t>
      </w:r>
      <w:r w:rsidRPr="00804000">
        <w:t xml:space="preserve"> capital expenditure on water facilities</w:t>
      </w:r>
      <w:r>
        <w:t>, such as dams, tanks and pumps, from 12 May 2015</w:t>
      </w:r>
      <w:r>
        <w:fldChar w:fldCharType="begin"/>
      </w:r>
      <w:r>
        <w:instrText xml:space="preserve"> XE "Accelerated depreciation:W</w:instrText>
      </w:r>
      <w:r w:rsidRPr="00D2567C">
        <w:instrText>ater facilities</w:instrText>
      </w:r>
      <w:r>
        <w:instrText xml:space="preserve">" </w:instrText>
      </w:r>
      <w:r>
        <w:fldChar w:fldCharType="end"/>
      </w:r>
      <w:r w:rsidRPr="00804000">
        <w:t>.</w:t>
      </w:r>
      <w:r>
        <w:t xml:space="preserve"> Previously this expenditure was deductible over 3 years.</w:t>
      </w:r>
      <w:r w:rsidRPr="00804000">
        <w:t xml:space="preserve"> The expenditure must be incurred primarily for conserving </w:t>
      </w:r>
      <w:r>
        <w:t>or</w:t>
      </w:r>
      <w:r w:rsidRPr="00804000">
        <w:t xml:space="preserve"> conveying water for use in primary production.</w:t>
      </w:r>
    </w:p>
    <w:p w14:paraId="6209F9E6" w14:textId="77777777" w:rsidR="006E40C9" w:rsidRDefault="006E40C9" w:rsidP="00432D19">
      <w:pPr>
        <w:pStyle w:val="Heading4"/>
      </w:pPr>
      <w:r>
        <w:t>B74</w:t>
      </w:r>
      <w:r>
        <w:tab/>
        <w:t>Accelerated write-off for horticultural plants</w:t>
      </w:r>
    </w:p>
    <w:p w14:paraId="33C4E25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C31BF8" w14:textId="77777777">
        <w:trPr>
          <w:cantSplit/>
          <w:jc w:val="center"/>
        </w:trPr>
        <w:tc>
          <w:tcPr>
            <w:tcW w:w="967" w:type="dxa"/>
            <w:tcBorders>
              <w:top w:val="single" w:sz="2" w:space="0" w:color="auto"/>
              <w:bottom w:val="single" w:sz="2" w:space="0" w:color="auto"/>
            </w:tcBorders>
          </w:tcPr>
          <w:p w14:paraId="232C122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C02C6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73DF3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46B6D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6E2287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D37DB9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F0E33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496C0E" w14:textId="77777777" w:rsidR="006E40C9" w:rsidRDefault="006E40C9">
            <w:pPr>
              <w:pStyle w:val="MeasureTableTextRightAligned"/>
            </w:pPr>
            <w:r>
              <w:t>2027-28</w:t>
            </w:r>
          </w:p>
        </w:tc>
      </w:tr>
      <w:tr w:rsidR="006E40C9" w14:paraId="7BC97A42" w14:textId="77777777">
        <w:trPr>
          <w:cantSplit/>
          <w:jc w:val="center"/>
        </w:trPr>
        <w:tc>
          <w:tcPr>
            <w:tcW w:w="967" w:type="dxa"/>
            <w:tcBorders>
              <w:top w:val="single" w:sz="2" w:space="0" w:color="auto"/>
              <w:bottom w:val="single" w:sz="2" w:space="0" w:color="auto"/>
            </w:tcBorders>
          </w:tcPr>
          <w:p w14:paraId="5514CC7D" w14:textId="77777777" w:rsidR="006E40C9" w:rsidRDefault="006E40C9">
            <w:pPr>
              <w:pStyle w:val="MeasureTableTextRightAligned"/>
            </w:pPr>
            <w:r>
              <w:t>*</w:t>
            </w:r>
          </w:p>
        </w:tc>
        <w:tc>
          <w:tcPr>
            <w:tcW w:w="967" w:type="dxa"/>
            <w:tcBorders>
              <w:top w:val="single" w:sz="2" w:space="0" w:color="auto"/>
              <w:bottom w:val="single" w:sz="2" w:space="0" w:color="auto"/>
            </w:tcBorders>
          </w:tcPr>
          <w:p w14:paraId="19F5B79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920AE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BA20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8A53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A25D5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AE2BCA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76D00EF" w14:textId="77777777" w:rsidR="006E40C9" w:rsidRDefault="006E40C9">
            <w:pPr>
              <w:pStyle w:val="MeasureTableTextRightAligned"/>
            </w:pPr>
            <w:r>
              <w:t>*</w:t>
            </w:r>
          </w:p>
        </w:tc>
      </w:tr>
      <w:tr w:rsidR="006E40C9" w14:paraId="762960B7" w14:textId="77777777">
        <w:trPr>
          <w:cantSplit/>
          <w:jc w:val="center"/>
        </w:trPr>
        <w:tc>
          <w:tcPr>
            <w:tcW w:w="1934" w:type="dxa"/>
            <w:gridSpan w:val="2"/>
            <w:tcBorders>
              <w:top w:val="single" w:sz="2" w:space="0" w:color="auto"/>
              <w:bottom w:val="nil"/>
            </w:tcBorders>
          </w:tcPr>
          <w:p w14:paraId="7B6420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B51D8FB"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1DFDFE03" w14:textId="68390B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0670FD" w14:textId="77777777" w:rsidR="006E40C9" w:rsidRDefault="006E40C9">
            <w:pPr>
              <w:pStyle w:val="MeasureTableTextLeftAligned"/>
            </w:pPr>
            <w:r>
              <w:t>B73</w:t>
            </w:r>
          </w:p>
        </w:tc>
      </w:tr>
      <w:tr w:rsidR="006E40C9" w14:paraId="49C6BB85" w14:textId="77777777">
        <w:trPr>
          <w:cantSplit/>
          <w:jc w:val="center"/>
        </w:trPr>
        <w:tc>
          <w:tcPr>
            <w:tcW w:w="1934" w:type="dxa"/>
            <w:gridSpan w:val="2"/>
            <w:tcBorders>
              <w:top w:val="nil"/>
              <w:bottom w:val="nil"/>
            </w:tcBorders>
          </w:tcPr>
          <w:p w14:paraId="2C703F4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381E65" w14:textId="77777777" w:rsidR="006E40C9" w:rsidRPr="00584CA7" w:rsidRDefault="006E40C9">
            <w:pPr>
              <w:pStyle w:val="MeasureTableTextLeftAligned"/>
            </w:pPr>
            <w:r>
              <w:t>Not Applicable</w:t>
            </w:r>
          </w:p>
        </w:tc>
        <w:tc>
          <w:tcPr>
            <w:tcW w:w="1500" w:type="dxa"/>
            <w:gridSpan w:val="2"/>
            <w:tcBorders>
              <w:top w:val="nil"/>
              <w:bottom w:val="nil"/>
            </w:tcBorders>
          </w:tcPr>
          <w:p w14:paraId="28F2EAD9" w14:textId="77777777" w:rsidR="006E40C9" w:rsidRDefault="006E40C9">
            <w:pPr>
              <w:pStyle w:val="MeasureTableTextItalic"/>
            </w:pPr>
            <w:r>
              <w:t>* Category</w:t>
            </w:r>
          </w:p>
        </w:tc>
        <w:tc>
          <w:tcPr>
            <w:tcW w:w="1124" w:type="dxa"/>
            <w:gridSpan w:val="2"/>
            <w:tcBorders>
              <w:top w:val="nil"/>
              <w:bottom w:val="nil"/>
            </w:tcBorders>
          </w:tcPr>
          <w:p w14:paraId="0A285EBA" w14:textId="77777777" w:rsidR="006E40C9" w:rsidRDefault="006E40C9">
            <w:pPr>
              <w:pStyle w:val="MeasureTableTextLeftAligned"/>
            </w:pPr>
            <w:r>
              <w:t>2+</w:t>
            </w:r>
          </w:p>
        </w:tc>
      </w:tr>
      <w:tr w:rsidR="006E40C9" w14:paraId="419394E6" w14:textId="77777777">
        <w:trPr>
          <w:cantSplit/>
          <w:jc w:val="center"/>
        </w:trPr>
        <w:tc>
          <w:tcPr>
            <w:tcW w:w="1934" w:type="dxa"/>
            <w:gridSpan w:val="2"/>
            <w:tcBorders>
              <w:top w:val="nil"/>
              <w:bottom w:val="nil"/>
            </w:tcBorders>
          </w:tcPr>
          <w:p w14:paraId="6814AEC3" w14:textId="77777777" w:rsidR="006E40C9" w:rsidRDefault="006E40C9">
            <w:pPr>
              <w:pStyle w:val="MeasureTableTextItalic"/>
            </w:pPr>
            <w:r>
              <w:t>Commencement date:</w:t>
            </w:r>
          </w:p>
        </w:tc>
        <w:tc>
          <w:tcPr>
            <w:tcW w:w="3179" w:type="dxa"/>
            <w:gridSpan w:val="4"/>
            <w:tcBorders>
              <w:top w:val="nil"/>
              <w:bottom w:val="nil"/>
            </w:tcBorders>
          </w:tcPr>
          <w:p w14:paraId="7C8159AF" w14:textId="77777777" w:rsidR="006E40C9" w:rsidRDefault="006E40C9">
            <w:pPr>
              <w:pStyle w:val="MeasureTableTextLeftAligned"/>
            </w:pPr>
            <w:r>
              <w:t>1995</w:t>
            </w:r>
          </w:p>
        </w:tc>
        <w:tc>
          <w:tcPr>
            <w:tcW w:w="1500" w:type="dxa"/>
            <w:gridSpan w:val="2"/>
            <w:tcBorders>
              <w:top w:val="nil"/>
              <w:bottom w:val="nil"/>
            </w:tcBorders>
          </w:tcPr>
          <w:p w14:paraId="095A8F88" w14:textId="77777777" w:rsidR="006E40C9" w:rsidRPr="00F32057" w:rsidRDefault="006E40C9">
            <w:pPr>
              <w:pStyle w:val="MeasureTableTextItalic"/>
            </w:pPr>
            <w:r>
              <w:t>Expiry date:</w:t>
            </w:r>
          </w:p>
        </w:tc>
        <w:tc>
          <w:tcPr>
            <w:tcW w:w="1124" w:type="dxa"/>
            <w:gridSpan w:val="2"/>
            <w:tcBorders>
              <w:top w:val="nil"/>
              <w:bottom w:val="nil"/>
            </w:tcBorders>
          </w:tcPr>
          <w:p w14:paraId="7240F8BE" w14:textId="77777777" w:rsidR="006E40C9" w:rsidRPr="00F32057" w:rsidRDefault="006E40C9">
            <w:pPr>
              <w:pStyle w:val="MeasureTableTextLeftAligned"/>
            </w:pPr>
          </w:p>
        </w:tc>
      </w:tr>
      <w:tr w:rsidR="006E40C9" w14:paraId="73EDBBAA" w14:textId="77777777">
        <w:trPr>
          <w:cantSplit/>
          <w:jc w:val="center"/>
        </w:trPr>
        <w:tc>
          <w:tcPr>
            <w:tcW w:w="1934" w:type="dxa"/>
            <w:gridSpan w:val="2"/>
            <w:tcBorders>
              <w:top w:val="nil"/>
            </w:tcBorders>
          </w:tcPr>
          <w:p w14:paraId="55C40967" w14:textId="77777777" w:rsidR="006E40C9" w:rsidRDefault="006E40C9">
            <w:pPr>
              <w:pStyle w:val="MeasureTableTextItalic"/>
            </w:pPr>
            <w:r>
              <w:t>Legislative reference:</w:t>
            </w:r>
          </w:p>
        </w:tc>
        <w:tc>
          <w:tcPr>
            <w:tcW w:w="5803" w:type="dxa"/>
            <w:gridSpan w:val="8"/>
            <w:tcBorders>
              <w:top w:val="nil"/>
            </w:tcBorders>
          </w:tcPr>
          <w:p w14:paraId="5CA9AA0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02456E22" w14:textId="77777777" w:rsidR="006E40C9" w:rsidRPr="00540040" w:rsidRDefault="006E40C9" w:rsidP="006E40C9">
      <w:pPr>
        <w:pStyle w:val="MeasureTableHeading"/>
      </w:pPr>
    </w:p>
    <w:p w14:paraId="3C9ECE1E" w14:textId="58C3A3A6" w:rsidR="006E40C9" w:rsidRDefault="006E40C9" w:rsidP="006E40C9">
      <w:r>
        <w:t>Under the benchmark, capital expenditure on assets generally forms part of the cost of the asset or is deductible over the effective life of the asset. However, c</w:t>
      </w:r>
      <w:r w:rsidRPr="00E76216">
        <w:t>apital expenditure incurred in establishing horticultural plants</w:t>
      </w:r>
      <w:r>
        <w:fldChar w:fldCharType="begin"/>
      </w:r>
      <w:r>
        <w:instrText xml:space="preserve"> XE "Accelerated depreciation:H</w:instrText>
      </w:r>
      <w:r w:rsidRPr="00AE2E28">
        <w:instrText>orticultural plants</w:instrText>
      </w:r>
      <w:r>
        <w:instrText xml:space="preserve">" </w:instrText>
      </w:r>
      <w:r>
        <w:fldChar w:fldCharType="end"/>
      </w:r>
      <w:r w:rsidRPr="00E76216">
        <w:t xml:space="preserve"> can be written off using an accelerated depreciation regime, with deductions available from the first commercial season. The cost of establishing plants with an effective life of less than </w:t>
      </w:r>
      <w:r>
        <w:t>3</w:t>
      </w:r>
      <w:r w:rsidRPr="00E76216">
        <w:t xml:space="preserve"> years can be written off in the first commercial year. Plants with an effective life of </w:t>
      </w:r>
      <w:r>
        <w:t xml:space="preserve">3 or more years </w:t>
      </w:r>
      <w:r w:rsidRPr="00E76216">
        <w:t>can be depreciated over a shorter period than their effective life using the maximum write</w:t>
      </w:r>
      <w:r>
        <w:noBreakHyphen/>
      </w:r>
      <w:r w:rsidRPr="00E76216">
        <w:t>off periods set out in the legislation.</w:t>
      </w:r>
    </w:p>
    <w:p w14:paraId="33561E7B" w14:textId="77777777" w:rsidR="006E40C9" w:rsidRDefault="006E40C9" w:rsidP="00432D19">
      <w:pPr>
        <w:pStyle w:val="Heading4"/>
      </w:pPr>
      <w:r>
        <w:t>B75</w:t>
      </w:r>
      <w:r>
        <w:tab/>
        <w:t>Accelerated write-off for irrigation water providers</w:t>
      </w:r>
    </w:p>
    <w:p w14:paraId="09DC2D67"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A8BB40" w14:textId="77777777">
        <w:trPr>
          <w:cantSplit/>
          <w:jc w:val="center"/>
        </w:trPr>
        <w:tc>
          <w:tcPr>
            <w:tcW w:w="967" w:type="dxa"/>
            <w:tcBorders>
              <w:top w:val="single" w:sz="2" w:space="0" w:color="auto"/>
              <w:bottom w:val="single" w:sz="2" w:space="0" w:color="auto"/>
            </w:tcBorders>
          </w:tcPr>
          <w:p w14:paraId="5EC67E4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FE7CDB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CC212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2195A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76636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D07AC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002F0A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D6C74D" w14:textId="77777777" w:rsidR="006E40C9" w:rsidRDefault="006E40C9">
            <w:pPr>
              <w:pStyle w:val="MeasureTableTextRightAligned"/>
            </w:pPr>
            <w:r>
              <w:t>2027-28</w:t>
            </w:r>
          </w:p>
        </w:tc>
      </w:tr>
      <w:tr w:rsidR="006E40C9" w14:paraId="1330E7E9" w14:textId="77777777">
        <w:trPr>
          <w:cantSplit/>
          <w:jc w:val="center"/>
        </w:trPr>
        <w:tc>
          <w:tcPr>
            <w:tcW w:w="7737" w:type="dxa"/>
            <w:gridSpan w:val="10"/>
            <w:tcBorders>
              <w:top w:val="single" w:sz="2" w:space="0" w:color="auto"/>
              <w:bottom w:val="single" w:sz="2" w:space="0" w:color="auto"/>
            </w:tcBorders>
          </w:tcPr>
          <w:p w14:paraId="49245DD7" w14:textId="77777777" w:rsidR="006E40C9" w:rsidRDefault="006E40C9">
            <w:pPr>
              <w:pStyle w:val="MeasureTableTextRightAligned"/>
              <w:jc w:val="center"/>
            </w:pPr>
            <w:r>
              <w:t>Included in B72</w:t>
            </w:r>
          </w:p>
        </w:tc>
      </w:tr>
      <w:tr w:rsidR="006E40C9" w14:paraId="31F795DC" w14:textId="77777777">
        <w:trPr>
          <w:cantSplit/>
          <w:jc w:val="center"/>
        </w:trPr>
        <w:tc>
          <w:tcPr>
            <w:tcW w:w="1934" w:type="dxa"/>
            <w:gridSpan w:val="2"/>
            <w:tcBorders>
              <w:top w:val="single" w:sz="2" w:space="0" w:color="auto"/>
              <w:bottom w:val="nil"/>
            </w:tcBorders>
          </w:tcPr>
          <w:p w14:paraId="563D913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2F8ADF8"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6936C567" w14:textId="7E63BCD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3FF71A" w14:textId="77777777" w:rsidR="006E40C9" w:rsidRDefault="006E40C9">
            <w:pPr>
              <w:pStyle w:val="MeasureTableTextLeftAligned"/>
            </w:pPr>
            <w:r>
              <w:t>B74</w:t>
            </w:r>
          </w:p>
        </w:tc>
      </w:tr>
      <w:tr w:rsidR="006E40C9" w14:paraId="20F743D3" w14:textId="77777777">
        <w:trPr>
          <w:cantSplit/>
          <w:jc w:val="center"/>
        </w:trPr>
        <w:tc>
          <w:tcPr>
            <w:tcW w:w="1934" w:type="dxa"/>
            <w:gridSpan w:val="2"/>
            <w:tcBorders>
              <w:top w:val="nil"/>
              <w:bottom w:val="nil"/>
            </w:tcBorders>
          </w:tcPr>
          <w:p w14:paraId="023CE4A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1D8CD2" w14:textId="77777777" w:rsidR="006E40C9" w:rsidRPr="00584CA7" w:rsidRDefault="006E40C9">
            <w:pPr>
              <w:pStyle w:val="MeasureTableTextLeftAligned"/>
            </w:pPr>
          </w:p>
        </w:tc>
        <w:tc>
          <w:tcPr>
            <w:tcW w:w="1500" w:type="dxa"/>
            <w:gridSpan w:val="2"/>
            <w:tcBorders>
              <w:top w:val="nil"/>
              <w:bottom w:val="nil"/>
            </w:tcBorders>
          </w:tcPr>
          <w:p w14:paraId="09B05B8A" w14:textId="77777777" w:rsidR="006E40C9" w:rsidRDefault="006E40C9">
            <w:pPr>
              <w:pStyle w:val="MeasureTableTextItalic"/>
            </w:pPr>
          </w:p>
        </w:tc>
        <w:tc>
          <w:tcPr>
            <w:tcW w:w="1124" w:type="dxa"/>
            <w:gridSpan w:val="2"/>
            <w:tcBorders>
              <w:top w:val="nil"/>
              <w:bottom w:val="nil"/>
            </w:tcBorders>
          </w:tcPr>
          <w:p w14:paraId="4DB4824B" w14:textId="77777777" w:rsidR="006E40C9" w:rsidRDefault="006E40C9">
            <w:pPr>
              <w:pStyle w:val="MeasureTableTextLeftAligned"/>
            </w:pPr>
          </w:p>
        </w:tc>
      </w:tr>
      <w:tr w:rsidR="006E40C9" w14:paraId="2620CBCE" w14:textId="77777777">
        <w:trPr>
          <w:cantSplit/>
          <w:jc w:val="center"/>
        </w:trPr>
        <w:tc>
          <w:tcPr>
            <w:tcW w:w="1934" w:type="dxa"/>
            <w:gridSpan w:val="2"/>
            <w:tcBorders>
              <w:top w:val="nil"/>
              <w:bottom w:val="nil"/>
            </w:tcBorders>
          </w:tcPr>
          <w:p w14:paraId="48F1C18E" w14:textId="77777777" w:rsidR="006E40C9" w:rsidRDefault="006E40C9">
            <w:pPr>
              <w:pStyle w:val="MeasureTableTextItalic"/>
            </w:pPr>
            <w:r>
              <w:t>Commencement date:</w:t>
            </w:r>
          </w:p>
        </w:tc>
        <w:tc>
          <w:tcPr>
            <w:tcW w:w="3179" w:type="dxa"/>
            <w:gridSpan w:val="4"/>
            <w:tcBorders>
              <w:top w:val="nil"/>
              <w:bottom w:val="nil"/>
            </w:tcBorders>
          </w:tcPr>
          <w:p w14:paraId="7D9B3E7F" w14:textId="77777777" w:rsidR="006E40C9" w:rsidRDefault="006E40C9">
            <w:pPr>
              <w:pStyle w:val="MeasureTableTextLeftAligned"/>
            </w:pPr>
            <w:r>
              <w:t>1 July 2004</w:t>
            </w:r>
          </w:p>
        </w:tc>
        <w:tc>
          <w:tcPr>
            <w:tcW w:w="1500" w:type="dxa"/>
            <w:gridSpan w:val="2"/>
            <w:tcBorders>
              <w:top w:val="nil"/>
              <w:bottom w:val="nil"/>
            </w:tcBorders>
          </w:tcPr>
          <w:p w14:paraId="47B98D24" w14:textId="77777777" w:rsidR="006E40C9" w:rsidRPr="00F32057" w:rsidRDefault="006E40C9">
            <w:pPr>
              <w:pStyle w:val="MeasureTableTextItalic"/>
            </w:pPr>
            <w:r>
              <w:t>Expiry date:</w:t>
            </w:r>
          </w:p>
        </w:tc>
        <w:tc>
          <w:tcPr>
            <w:tcW w:w="1124" w:type="dxa"/>
            <w:gridSpan w:val="2"/>
            <w:tcBorders>
              <w:top w:val="nil"/>
              <w:bottom w:val="nil"/>
            </w:tcBorders>
          </w:tcPr>
          <w:p w14:paraId="3468736C" w14:textId="77777777" w:rsidR="006E40C9" w:rsidRPr="00F32057" w:rsidRDefault="006E40C9">
            <w:pPr>
              <w:pStyle w:val="MeasureTableTextLeftAligned"/>
            </w:pPr>
          </w:p>
        </w:tc>
      </w:tr>
      <w:tr w:rsidR="006E40C9" w14:paraId="4EE5DF2D" w14:textId="77777777">
        <w:trPr>
          <w:cantSplit/>
          <w:jc w:val="center"/>
        </w:trPr>
        <w:tc>
          <w:tcPr>
            <w:tcW w:w="1934" w:type="dxa"/>
            <w:gridSpan w:val="2"/>
            <w:tcBorders>
              <w:top w:val="nil"/>
            </w:tcBorders>
          </w:tcPr>
          <w:p w14:paraId="533761F2" w14:textId="77777777" w:rsidR="006E40C9" w:rsidRDefault="006E40C9">
            <w:pPr>
              <w:pStyle w:val="MeasureTableTextItalic"/>
            </w:pPr>
            <w:r>
              <w:t>Legislative reference:</w:t>
            </w:r>
          </w:p>
        </w:tc>
        <w:tc>
          <w:tcPr>
            <w:tcW w:w="5803" w:type="dxa"/>
            <w:gridSpan w:val="8"/>
            <w:tcBorders>
              <w:top w:val="nil"/>
            </w:tcBorders>
          </w:tcPr>
          <w:p w14:paraId="0EB55F0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sz w:val="16"/>
                <w:szCs w:val="16"/>
              </w:rPr>
              <w:t xml:space="preserve">Subdivision 40-F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p w14:paraId="5F0B4869" w14:textId="77777777" w:rsidR="006E40C9" w:rsidRPr="00F32057" w:rsidRDefault="006E40C9" w:rsidP="00796C9D">
            <w:pPr>
              <w:widowControl w:val="0"/>
              <w:autoSpaceDE w:val="0"/>
              <w:autoSpaceDN w:val="0"/>
              <w:adjustRightInd w:val="0"/>
              <w:spacing w:after="0"/>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63AFA4ED" w14:textId="77777777" w:rsidR="006E40C9" w:rsidRPr="00540040" w:rsidRDefault="006E40C9" w:rsidP="006E40C9">
      <w:pPr>
        <w:pStyle w:val="MeasureTableHeading"/>
      </w:pPr>
    </w:p>
    <w:p w14:paraId="6457014C" w14:textId="77777777" w:rsidR="006E40C9" w:rsidRDefault="006E40C9" w:rsidP="006E40C9">
      <w:r>
        <w:t>Under the benchmark, expenditure on landcare and water facilities is generally deductible over the effective life of the asset. However, c</w:t>
      </w:r>
      <w:r w:rsidRPr="00B658D8">
        <w:t xml:space="preserve">ertain irrigation water providers can claim an immediate deduction for capital expenditure on </w:t>
      </w:r>
      <w:r>
        <w:t>l</w:t>
      </w:r>
      <w:r w:rsidRPr="00B658D8">
        <w:t>andcare</w:t>
      </w:r>
      <w:r>
        <w:fldChar w:fldCharType="begin"/>
      </w:r>
      <w:r>
        <w:instrText xml:space="preserve"> XE "L</w:instrText>
      </w:r>
      <w:r w:rsidRPr="00B95444">
        <w:instrText>andcare</w:instrText>
      </w:r>
      <w:r>
        <w:instrText xml:space="preserve">" </w:instrText>
      </w:r>
      <w:r>
        <w:fldChar w:fldCharType="end"/>
      </w:r>
      <w:r w:rsidRPr="00B658D8">
        <w:t xml:space="preserve"> activities and water facilities</w:t>
      </w:r>
      <w:r>
        <w:fldChar w:fldCharType="begin"/>
      </w:r>
      <w:r>
        <w:instrText xml:space="preserve"> XE "W</w:instrText>
      </w:r>
      <w:r w:rsidRPr="00E70BAC">
        <w:instrText>ater facilities</w:instrText>
      </w:r>
      <w:r>
        <w:instrText xml:space="preserve">" </w:instrText>
      </w:r>
      <w:r>
        <w:fldChar w:fldCharType="end"/>
      </w:r>
      <w:r w:rsidRPr="00B658D8">
        <w:t>.</w:t>
      </w:r>
    </w:p>
    <w:p w14:paraId="78D99B58" w14:textId="77777777" w:rsidR="006E40C9" w:rsidRDefault="006E40C9" w:rsidP="00432D19">
      <w:pPr>
        <w:pStyle w:val="Heading4"/>
      </w:pPr>
      <w:r>
        <w:t>B76</w:t>
      </w:r>
      <w:r>
        <w:tab/>
        <w:t>Accelerated write-off for landcare operations</w:t>
      </w:r>
    </w:p>
    <w:p w14:paraId="4F297DE6" w14:textId="77777777" w:rsidR="006E40C9" w:rsidRDefault="006E40C9" w:rsidP="006E40C9">
      <w:pPr>
        <w:pStyle w:val="MeasureTableHeading"/>
      </w:pPr>
      <w:r>
        <w:t>Agriculture, forestry and fishing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8759874" w14:textId="77777777">
        <w:trPr>
          <w:cantSplit/>
          <w:jc w:val="center"/>
        </w:trPr>
        <w:tc>
          <w:tcPr>
            <w:tcW w:w="967" w:type="dxa"/>
            <w:tcBorders>
              <w:top w:val="single" w:sz="2" w:space="0" w:color="auto"/>
              <w:bottom w:val="single" w:sz="2" w:space="0" w:color="auto"/>
            </w:tcBorders>
          </w:tcPr>
          <w:p w14:paraId="05CFAF0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799A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1697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CA28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A8A3E1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47BF6B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2B534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B6B61F" w14:textId="77777777" w:rsidR="006E40C9" w:rsidRDefault="006E40C9">
            <w:pPr>
              <w:pStyle w:val="MeasureTableTextRightAligned"/>
            </w:pPr>
            <w:r>
              <w:t>2027-28</w:t>
            </w:r>
          </w:p>
        </w:tc>
      </w:tr>
      <w:tr w:rsidR="006E40C9" w14:paraId="12817312" w14:textId="77777777">
        <w:trPr>
          <w:cantSplit/>
          <w:jc w:val="center"/>
        </w:trPr>
        <w:tc>
          <w:tcPr>
            <w:tcW w:w="7737" w:type="dxa"/>
            <w:gridSpan w:val="10"/>
            <w:tcBorders>
              <w:top w:val="single" w:sz="2" w:space="0" w:color="auto"/>
              <w:bottom w:val="single" w:sz="2" w:space="0" w:color="auto"/>
            </w:tcBorders>
          </w:tcPr>
          <w:p w14:paraId="62668822" w14:textId="77777777" w:rsidR="006E40C9" w:rsidRDefault="006E40C9">
            <w:pPr>
              <w:pStyle w:val="MeasureTableTextRightAligned"/>
              <w:jc w:val="center"/>
            </w:pPr>
            <w:r>
              <w:t>Included in B72</w:t>
            </w:r>
          </w:p>
        </w:tc>
      </w:tr>
      <w:tr w:rsidR="006E40C9" w14:paraId="2045354F" w14:textId="77777777">
        <w:trPr>
          <w:cantSplit/>
          <w:jc w:val="center"/>
        </w:trPr>
        <w:tc>
          <w:tcPr>
            <w:tcW w:w="1934" w:type="dxa"/>
            <w:gridSpan w:val="2"/>
            <w:tcBorders>
              <w:top w:val="single" w:sz="2" w:space="0" w:color="auto"/>
              <w:bottom w:val="nil"/>
            </w:tcBorders>
          </w:tcPr>
          <w:p w14:paraId="0B28308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DADE0D"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2A8549E1" w14:textId="6F25579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6FF635" w14:textId="77777777" w:rsidR="006E40C9" w:rsidRDefault="006E40C9">
            <w:pPr>
              <w:pStyle w:val="MeasureTableTextLeftAligned"/>
            </w:pPr>
            <w:r>
              <w:t>B75</w:t>
            </w:r>
          </w:p>
        </w:tc>
      </w:tr>
      <w:tr w:rsidR="006E40C9" w14:paraId="26FD39FA" w14:textId="77777777">
        <w:trPr>
          <w:cantSplit/>
          <w:jc w:val="center"/>
        </w:trPr>
        <w:tc>
          <w:tcPr>
            <w:tcW w:w="1934" w:type="dxa"/>
            <w:gridSpan w:val="2"/>
            <w:tcBorders>
              <w:top w:val="nil"/>
              <w:bottom w:val="nil"/>
            </w:tcBorders>
          </w:tcPr>
          <w:p w14:paraId="1A1ADA5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335F4E6" w14:textId="77777777" w:rsidR="006E40C9" w:rsidRPr="00584CA7" w:rsidRDefault="006E40C9">
            <w:pPr>
              <w:pStyle w:val="MeasureTableTextLeftAligned"/>
            </w:pPr>
          </w:p>
        </w:tc>
        <w:tc>
          <w:tcPr>
            <w:tcW w:w="1500" w:type="dxa"/>
            <w:gridSpan w:val="2"/>
            <w:tcBorders>
              <w:top w:val="nil"/>
              <w:bottom w:val="nil"/>
            </w:tcBorders>
          </w:tcPr>
          <w:p w14:paraId="1800DA1F" w14:textId="77777777" w:rsidR="006E40C9" w:rsidRDefault="006E40C9">
            <w:pPr>
              <w:pStyle w:val="MeasureTableTextItalic"/>
            </w:pPr>
          </w:p>
        </w:tc>
        <w:tc>
          <w:tcPr>
            <w:tcW w:w="1124" w:type="dxa"/>
            <w:gridSpan w:val="2"/>
            <w:tcBorders>
              <w:top w:val="nil"/>
              <w:bottom w:val="nil"/>
            </w:tcBorders>
          </w:tcPr>
          <w:p w14:paraId="73BCA46F" w14:textId="77777777" w:rsidR="006E40C9" w:rsidRDefault="006E40C9">
            <w:pPr>
              <w:pStyle w:val="MeasureTableTextLeftAligned"/>
            </w:pPr>
          </w:p>
        </w:tc>
      </w:tr>
      <w:tr w:rsidR="006E40C9" w14:paraId="4995710D" w14:textId="77777777">
        <w:trPr>
          <w:cantSplit/>
          <w:jc w:val="center"/>
        </w:trPr>
        <w:tc>
          <w:tcPr>
            <w:tcW w:w="1934" w:type="dxa"/>
            <w:gridSpan w:val="2"/>
            <w:tcBorders>
              <w:top w:val="nil"/>
              <w:bottom w:val="nil"/>
            </w:tcBorders>
          </w:tcPr>
          <w:p w14:paraId="5BA5E4D7" w14:textId="77777777" w:rsidR="006E40C9" w:rsidRDefault="006E40C9">
            <w:pPr>
              <w:pStyle w:val="MeasureTableTextItalic"/>
            </w:pPr>
            <w:r>
              <w:t>Commencement date:</w:t>
            </w:r>
          </w:p>
        </w:tc>
        <w:tc>
          <w:tcPr>
            <w:tcW w:w="3179" w:type="dxa"/>
            <w:gridSpan w:val="4"/>
            <w:tcBorders>
              <w:top w:val="nil"/>
              <w:bottom w:val="nil"/>
            </w:tcBorders>
          </w:tcPr>
          <w:p w14:paraId="0648EEB7" w14:textId="77777777" w:rsidR="006E40C9" w:rsidRDefault="006E40C9">
            <w:pPr>
              <w:pStyle w:val="MeasureTableTextLeftAligned"/>
            </w:pPr>
            <w:r>
              <w:t>Introduced before 1985</w:t>
            </w:r>
          </w:p>
        </w:tc>
        <w:tc>
          <w:tcPr>
            <w:tcW w:w="1500" w:type="dxa"/>
            <w:gridSpan w:val="2"/>
            <w:tcBorders>
              <w:top w:val="nil"/>
              <w:bottom w:val="nil"/>
            </w:tcBorders>
          </w:tcPr>
          <w:p w14:paraId="36FA9775" w14:textId="77777777" w:rsidR="006E40C9" w:rsidRPr="00F32057" w:rsidRDefault="006E40C9">
            <w:pPr>
              <w:pStyle w:val="MeasureTableTextItalic"/>
            </w:pPr>
            <w:r>
              <w:t>Expiry date:</w:t>
            </w:r>
          </w:p>
        </w:tc>
        <w:tc>
          <w:tcPr>
            <w:tcW w:w="1124" w:type="dxa"/>
            <w:gridSpan w:val="2"/>
            <w:tcBorders>
              <w:top w:val="nil"/>
              <w:bottom w:val="nil"/>
            </w:tcBorders>
          </w:tcPr>
          <w:p w14:paraId="46912717" w14:textId="77777777" w:rsidR="006E40C9" w:rsidRPr="00F32057" w:rsidRDefault="006E40C9">
            <w:pPr>
              <w:pStyle w:val="MeasureTableTextLeftAligned"/>
            </w:pPr>
          </w:p>
        </w:tc>
      </w:tr>
      <w:tr w:rsidR="006E40C9" w14:paraId="12FBEEF4" w14:textId="77777777">
        <w:trPr>
          <w:cantSplit/>
          <w:jc w:val="center"/>
        </w:trPr>
        <w:tc>
          <w:tcPr>
            <w:tcW w:w="1934" w:type="dxa"/>
            <w:gridSpan w:val="2"/>
            <w:tcBorders>
              <w:top w:val="nil"/>
            </w:tcBorders>
          </w:tcPr>
          <w:p w14:paraId="051ED572" w14:textId="77777777" w:rsidR="006E40C9" w:rsidRDefault="006E40C9">
            <w:pPr>
              <w:pStyle w:val="MeasureTableTextItalic"/>
            </w:pPr>
            <w:r>
              <w:t>Legislative reference:</w:t>
            </w:r>
          </w:p>
        </w:tc>
        <w:tc>
          <w:tcPr>
            <w:tcW w:w="5803" w:type="dxa"/>
            <w:gridSpan w:val="8"/>
            <w:tcBorders>
              <w:top w:val="nil"/>
            </w:tcBorders>
          </w:tcPr>
          <w:p w14:paraId="0AEF221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40-G of the </w:t>
            </w:r>
            <w:r>
              <w:rPr>
                <w:rFonts w:ascii="Arial" w:hAnsi="Arial" w:cs="Arial"/>
                <w:i/>
                <w:iCs/>
                <w:color w:val="000000"/>
                <w:sz w:val="16"/>
                <w:szCs w:val="16"/>
              </w:rPr>
              <w:t>Income Tax Assessment Act 1997</w:t>
            </w:r>
          </w:p>
        </w:tc>
      </w:tr>
    </w:tbl>
    <w:p w14:paraId="660AC042" w14:textId="77777777" w:rsidR="006E40C9" w:rsidRPr="00540040" w:rsidRDefault="006E40C9" w:rsidP="006E40C9">
      <w:pPr>
        <w:pStyle w:val="MeasureTableHeading"/>
      </w:pPr>
    </w:p>
    <w:p w14:paraId="457E97F7" w14:textId="77777777" w:rsidR="006E40C9" w:rsidRDefault="006E40C9" w:rsidP="006E40C9">
      <w:pPr>
        <w:tabs>
          <w:tab w:val="left" w:pos="6237"/>
        </w:tabs>
      </w:pPr>
      <w:r>
        <w:t>Under the benchmark, capital expenditure on landcare operations is generally deductible over the effective life of the asset. However, p</w:t>
      </w:r>
      <w:r w:rsidRPr="008E358B">
        <w:t>rimary producers</w:t>
      </w:r>
      <w:r>
        <w:fldChar w:fldCharType="begin"/>
      </w:r>
      <w:r>
        <w:instrText xml:space="preserve"> XE "</w:instrText>
      </w:r>
      <w:r w:rsidRPr="000678F0">
        <w:instrText>Primary producers</w:instrText>
      </w:r>
      <w:r>
        <w:instrText xml:space="preserve">" </w:instrText>
      </w:r>
      <w:r>
        <w:fldChar w:fldCharType="end"/>
      </w:r>
      <w:r w:rsidRPr="008E358B">
        <w:t xml:space="preserve"> and </w:t>
      </w:r>
      <w:r>
        <w:t xml:space="preserve">business </w:t>
      </w:r>
      <w:r w:rsidRPr="008E358B">
        <w:t>users of rural land can claim a</w:t>
      </w:r>
      <w:r>
        <w:t>n immediate</w:t>
      </w:r>
      <w:r w:rsidRPr="008E358B">
        <w:t xml:space="preserve"> deduction for capital expenditure on </w:t>
      </w:r>
      <w:r>
        <w:t>l</w:t>
      </w:r>
      <w:r w:rsidRPr="008E358B">
        <w:t>andcare operation</w:t>
      </w:r>
      <w:r>
        <w:t>s,</w:t>
      </w:r>
      <w:r w:rsidRPr="008E358B">
        <w:t xml:space="preserve"> </w:t>
      </w:r>
      <w:r>
        <w:t>such as constructing a levee or</w:t>
      </w:r>
      <w:r w:rsidRPr="008E358B">
        <w:t xml:space="preserve"> prevention of land degradation.</w:t>
      </w:r>
      <w:r>
        <w:t xml:space="preserve"> </w:t>
      </w:r>
      <w:r>
        <w:fldChar w:fldCharType="begin"/>
      </w:r>
      <w:r>
        <w:instrText xml:space="preserve"> XE "</w:instrText>
      </w:r>
      <w:r w:rsidRPr="004E2A66">
        <w:instrText>Landcare</w:instrText>
      </w:r>
      <w:r>
        <w:instrText xml:space="preserve">" </w:instrText>
      </w:r>
      <w:r>
        <w:fldChar w:fldCharType="end"/>
      </w:r>
    </w:p>
    <w:p w14:paraId="2498BF77" w14:textId="77777777" w:rsidR="006E40C9" w:rsidRDefault="006E40C9" w:rsidP="00432D19">
      <w:pPr>
        <w:pStyle w:val="Heading4"/>
      </w:pPr>
      <w:r>
        <w:t>B77</w:t>
      </w:r>
      <w:r>
        <w:tab/>
        <w:t>Accelerated write-off for telephone lines and electricity connections</w:t>
      </w:r>
    </w:p>
    <w:p w14:paraId="12F5FED1"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8B6B46F" w14:textId="77777777">
        <w:trPr>
          <w:cantSplit/>
          <w:jc w:val="center"/>
        </w:trPr>
        <w:tc>
          <w:tcPr>
            <w:tcW w:w="967" w:type="dxa"/>
            <w:tcBorders>
              <w:top w:val="single" w:sz="2" w:space="0" w:color="auto"/>
              <w:bottom w:val="single" w:sz="2" w:space="0" w:color="auto"/>
            </w:tcBorders>
          </w:tcPr>
          <w:p w14:paraId="023D4F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1DB91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5321D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462E8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F74D8F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B59F8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2B6DA2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DC2CFD" w14:textId="77777777" w:rsidR="006E40C9" w:rsidRDefault="006E40C9">
            <w:pPr>
              <w:pStyle w:val="MeasureTableTextRightAligned"/>
            </w:pPr>
            <w:r>
              <w:t>2027-28</w:t>
            </w:r>
          </w:p>
        </w:tc>
      </w:tr>
      <w:tr w:rsidR="006E40C9" w14:paraId="77CE59A3" w14:textId="77777777">
        <w:trPr>
          <w:cantSplit/>
          <w:jc w:val="center"/>
        </w:trPr>
        <w:tc>
          <w:tcPr>
            <w:tcW w:w="967" w:type="dxa"/>
            <w:tcBorders>
              <w:top w:val="single" w:sz="2" w:space="0" w:color="auto"/>
              <w:bottom w:val="single" w:sz="2" w:space="0" w:color="auto"/>
            </w:tcBorders>
          </w:tcPr>
          <w:p w14:paraId="4434EDF3" w14:textId="77777777" w:rsidR="006E40C9" w:rsidRDefault="006E40C9">
            <w:pPr>
              <w:pStyle w:val="MeasureTableTextRightAligned"/>
            </w:pPr>
            <w:r>
              <w:t>*</w:t>
            </w:r>
          </w:p>
        </w:tc>
        <w:tc>
          <w:tcPr>
            <w:tcW w:w="967" w:type="dxa"/>
            <w:tcBorders>
              <w:top w:val="single" w:sz="2" w:space="0" w:color="auto"/>
              <w:bottom w:val="single" w:sz="2" w:space="0" w:color="auto"/>
            </w:tcBorders>
          </w:tcPr>
          <w:p w14:paraId="3D9965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C9AB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CE11B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8B02E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FA6AA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DB28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B7D0B5" w14:textId="77777777" w:rsidR="006E40C9" w:rsidRDefault="006E40C9">
            <w:pPr>
              <w:pStyle w:val="MeasureTableTextRightAligned"/>
            </w:pPr>
            <w:r>
              <w:t>*</w:t>
            </w:r>
          </w:p>
        </w:tc>
      </w:tr>
      <w:tr w:rsidR="006E40C9" w14:paraId="18DE5302" w14:textId="77777777">
        <w:trPr>
          <w:cantSplit/>
          <w:jc w:val="center"/>
        </w:trPr>
        <w:tc>
          <w:tcPr>
            <w:tcW w:w="1934" w:type="dxa"/>
            <w:gridSpan w:val="2"/>
            <w:tcBorders>
              <w:top w:val="single" w:sz="2" w:space="0" w:color="auto"/>
              <w:bottom w:val="nil"/>
            </w:tcBorders>
          </w:tcPr>
          <w:p w14:paraId="4251B0A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2F31358"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239E98A" w14:textId="6A53F08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C1336B" w14:textId="77777777" w:rsidR="006E40C9" w:rsidRDefault="006E40C9">
            <w:pPr>
              <w:pStyle w:val="MeasureTableTextLeftAligned"/>
            </w:pPr>
            <w:r>
              <w:t>B76</w:t>
            </w:r>
          </w:p>
        </w:tc>
      </w:tr>
      <w:tr w:rsidR="006E40C9" w14:paraId="179329B8" w14:textId="77777777">
        <w:trPr>
          <w:cantSplit/>
          <w:jc w:val="center"/>
        </w:trPr>
        <w:tc>
          <w:tcPr>
            <w:tcW w:w="1934" w:type="dxa"/>
            <w:gridSpan w:val="2"/>
            <w:tcBorders>
              <w:top w:val="nil"/>
              <w:bottom w:val="nil"/>
            </w:tcBorders>
          </w:tcPr>
          <w:p w14:paraId="242343F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7F395E6" w14:textId="77777777" w:rsidR="006E40C9" w:rsidRPr="00584CA7" w:rsidRDefault="006E40C9">
            <w:pPr>
              <w:pStyle w:val="MeasureTableTextLeftAligned"/>
            </w:pPr>
            <w:r>
              <w:t>Not Applicable</w:t>
            </w:r>
          </w:p>
        </w:tc>
        <w:tc>
          <w:tcPr>
            <w:tcW w:w="1500" w:type="dxa"/>
            <w:gridSpan w:val="2"/>
            <w:tcBorders>
              <w:top w:val="nil"/>
              <w:bottom w:val="nil"/>
            </w:tcBorders>
          </w:tcPr>
          <w:p w14:paraId="56CA8EB7" w14:textId="77777777" w:rsidR="006E40C9" w:rsidRDefault="006E40C9">
            <w:pPr>
              <w:pStyle w:val="MeasureTableTextItalic"/>
            </w:pPr>
            <w:r>
              <w:t>* Category</w:t>
            </w:r>
          </w:p>
        </w:tc>
        <w:tc>
          <w:tcPr>
            <w:tcW w:w="1124" w:type="dxa"/>
            <w:gridSpan w:val="2"/>
            <w:tcBorders>
              <w:top w:val="nil"/>
              <w:bottom w:val="nil"/>
            </w:tcBorders>
          </w:tcPr>
          <w:p w14:paraId="33D1ED8E" w14:textId="77777777" w:rsidR="006E40C9" w:rsidRDefault="006E40C9">
            <w:pPr>
              <w:pStyle w:val="MeasureTableTextLeftAligned"/>
            </w:pPr>
            <w:r>
              <w:t>1+</w:t>
            </w:r>
          </w:p>
        </w:tc>
      </w:tr>
      <w:tr w:rsidR="006E40C9" w14:paraId="2192CFC8" w14:textId="77777777">
        <w:trPr>
          <w:cantSplit/>
          <w:jc w:val="center"/>
        </w:trPr>
        <w:tc>
          <w:tcPr>
            <w:tcW w:w="1934" w:type="dxa"/>
            <w:gridSpan w:val="2"/>
            <w:tcBorders>
              <w:top w:val="nil"/>
              <w:bottom w:val="nil"/>
            </w:tcBorders>
          </w:tcPr>
          <w:p w14:paraId="03B4361D" w14:textId="77777777" w:rsidR="006E40C9" w:rsidRDefault="006E40C9">
            <w:pPr>
              <w:pStyle w:val="MeasureTableTextItalic"/>
            </w:pPr>
            <w:r>
              <w:t>Commencement date:</w:t>
            </w:r>
          </w:p>
        </w:tc>
        <w:tc>
          <w:tcPr>
            <w:tcW w:w="3179" w:type="dxa"/>
            <w:gridSpan w:val="4"/>
            <w:tcBorders>
              <w:top w:val="nil"/>
              <w:bottom w:val="nil"/>
            </w:tcBorders>
          </w:tcPr>
          <w:p w14:paraId="338CA7D7" w14:textId="77777777" w:rsidR="006E40C9" w:rsidRDefault="006E40C9">
            <w:pPr>
              <w:pStyle w:val="MeasureTableTextLeftAligned"/>
            </w:pPr>
            <w:r>
              <w:t>Introduced before 1985</w:t>
            </w:r>
          </w:p>
        </w:tc>
        <w:tc>
          <w:tcPr>
            <w:tcW w:w="1500" w:type="dxa"/>
            <w:gridSpan w:val="2"/>
            <w:tcBorders>
              <w:top w:val="nil"/>
              <w:bottom w:val="nil"/>
            </w:tcBorders>
          </w:tcPr>
          <w:p w14:paraId="360FAA83" w14:textId="77777777" w:rsidR="006E40C9" w:rsidRPr="00F32057" w:rsidRDefault="006E40C9">
            <w:pPr>
              <w:pStyle w:val="MeasureTableTextItalic"/>
            </w:pPr>
            <w:r>
              <w:t>Expiry date:</w:t>
            </w:r>
          </w:p>
        </w:tc>
        <w:tc>
          <w:tcPr>
            <w:tcW w:w="1124" w:type="dxa"/>
            <w:gridSpan w:val="2"/>
            <w:tcBorders>
              <w:top w:val="nil"/>
              <w:bottom w:val="nil"/>
            </w:tcBorders>
          </w:tcPr>
          <w:p w14:paraId="120D4167" w14:textId="77777777" w:rsidR="006E40C9" w:rsidRPr="00F32057" w:rsidRDefault="006E40C9">
            <w:pPr>
              <w:pStyle w:val="MeasureTableTextLeftAligned"/>
            </w:pPr>
          </w:p>
        </w:tc>
      </w:tr>
      <w:tr w:rsidR="006E40C9" w14:paraId="44E74E0F" w14:textId="77777777">
        <w:trPr>
          <w:cantSplit/>
          <w:jc w:val="center"/>
        </w:trPr>
        <w:tc>
          <w:tcPr>
            <w:tcW w:w="1934" w:type="dxa"/>
            <w:gridSpan w:val="2"/>
            <w:tcBorders>
              <w:top w:val="nil"/>
            </w:tcBorders>
          </w:tcPr>
          <w:p w14:paraId="1839EA73" w14:textId="77777777" w:rsidR="006E40C9" w:rsidRDefault="006E40C9">
            <w:pPr>
              <w:pStyle w:val="MeasureTableTextItalic"/>
            </w:pPr>
            <w:r>
              <w:t>Legislative reference:</w:t>
            </w:r>
          </w:p>
        </w:tc>
        <w:tc>
          <w:tcPr>
            <w:tcW w:w="5803" w:type="dxa"/>
            <w:gridSpan w:val="8"/>
            <w:tcBorders>
              <w:top w:val="nil"/>
            </w:tcBorders>
          </w:tcPr>
          <w:p w14:paraId="00E3F98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40-G and Section 40-645 of the </w:t>
            </w:r>
            <w:r>
              <w:rPr>
                <w:rFonts w:ascii="Arial" w:hAnsi="Arial" w:cs="Arial"/>
                <w:i/>
                <w:iCs/>
                <w:color w:val="000000"/>
                <w:sz w:val="16"/>
                <w:szCs w:val="16"/>
              </w:rPr>
              <w:t>Income Tax Assessment Act 1997</w:t>
            </w:r>
          </w:p>
        </w:tc>
      </w:tr>
    </w:tbl>
    <w:p w14:paraId="78AA75E1" w14:textId="77777777" w:rsidR="006E40C9" w:rsidRPr="00540040" w:rsidRDefault="006E40C9" w:rsidP="006E40C9">
      <w:pPr>
        <w:pStyle w:val="MeasureTableHeading"/>
      </w:pPr>
    </w:p>
    <w:p w14:paraId="3E793BA3" w14:textId="77777777" w:rsidR="006E40C9" w:rsidRDefault="006E40C9" w:rsidP="006E40C9">
      <w:r w:rsidRPr="00754D5D">
        <w:t xml:space="preserve">Under the benchmark, assets are generally depreciated over their effective lives. A tax </w:t>
      </w:r>
      <w:r>
        <w:t>expenditure</w:t>
      </w:r>
      <w:r w:rsidRPr="00754D5D">
        <w:t xml:space="preserve"> arises because capital expenditure incurred in connecting a telephone line to a primary production property and capital expenditure incurred in connecting or upgrading mains electricity to a property on which a business is conducted can be deducted in equal instalments over 10 years.</w:t>
      </w:r>
    </w:p>
    <w:p w14:paraId="4BF1C2A4" w14:textId="77777777" w:rsidR="006E40C9" w:rsidRDefault="006E40C9" w:rsidP="00432D19">
      <w:pPr>
        <w:pStyle w:val="Heading4"/>
      </w:pPr>
      <w:r>
        <w:t>B78</w:t>
      </w:r>
      <w:r>
        <w:tab/>
        <w:t>Closing stock valuation options for horse breeding stock</w:t>
      </w:r>
    </w:p>
    <w:p w14:paraId="14C4F309"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2B63B4" w14:textId="77777777">
        <w:trPr>
          <w:cantSplit/>
          <w:jc w:val="center"/>
        </w:trPr>
        <w:tc>
          <w:tcPr>
            <w:tcW w:w="967" w:type="dxa"/>
            <w:tcBorders>
              <w:top w:val="single" w:sz="2" w:space="0" w:color="auto"/>
              <w:bottom w:val="single" w:sz="2" w:space="0" w:color="auto"/>
            </w:tcBorders>
          </w:tcPr>
          <w:p w14:paraId="62AC517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BF5B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36E8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C73B03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D3D49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33BE9B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C81C13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8DE0325" w14:textId="77777777" w:rsidR="006E40C9" w:rsidRDefault="006E40C9">
            <w:pPr>
              <w:pStyle w:val="MeasureTableTextRightAligned"/>
            </w:pPr>
            <w:r>
              <w:t>2027-28</w:t>
            </w:r>
          </w:p>
        </w:tc>
      </w:tr>
      <w:tr w:rsidR="006E40C9" w14:paraId="0BB3880E" w14:textId="77777777">
        <w:trPr>
          <w:cantSplit/>
          <w:jc w:val="center"/>
        </w:trPr>
        <w:tc>
          <w:tcPr>
            <w:tcW w:w="967" w:type="dxa"/>
            <w:tcBorders>
              <w:top w:val="single" w:sz="2" w:space="0" w:color="auto"/>
              <w:bottom w:val="single" w:sz="2" w:space="0" w:color="auto"/>
            </w:tcBorders>
          </w:tcPr>
          <w:p w14:paraId="739CD23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3A9D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B0269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9C4AC5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13943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F2AC8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66DFE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A882EC" w14:textId="77777777" w:rsidR="006E40C9" w:rsidRDefault="006E40C9">
            <w:pPr>
              <w:pStyle w:val="MeasureTableTextRightAligned"/>
            </w:pPr>
            <w:r>
              <w:t>*</w:t>
            </w:r>
          </w:p>
        </w:tc>
      </w:tr>
      <w:tr w:rsidR="006E40C9" w14:paraId="5EFD199B" w14:textId="77777777">
        <w:trPr>
          <w:cantSplit/>
          <w:jc w:val="center"/>
        </w:trPr>
        <w:tc>
          <w:tcPr>
            <w:tcW w:w="1934" w:type="dxa"/>
            <w:gridSpan w:val="2"/>
            <w:tcBorders>
              <w:top w:val="single" w:sz="2" w:space="0" w:color="auto"/>
              <w:bottom w:val="nil"/>
            </w:tcBorders>
          </w:tcPr>
          <w:p w14:paraId="01773F5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C6375C" w14:textId="77777777" w:rsidR="006E40C9" w:rsidRDefault="006E40C9">
            <w:pPr>
              <w:pStyle w:val="MeasureTableTextLeftAligned"/>
            </w:pPr>
            <w:r>
              <w:t>Deduction, Discounted valuation</w:t>
            </w:r>
          </w:p>
        </w:tc>
        <w:tc>
          <w:tcPr>
            <w:tcW w:w="1500" w:type="dxa"/>
            <w:gridSpan w:val="2"/>
            <w:tcBorders>
              <w:top w:val="single" w:sz="2" w:space="0" w:color="auto"/>
              <w:bottom w:val="nil"/>
            </w:tcBorders>
          </w:tcPr>
          <w:p w14:paraId="0D46B232" w14:textId="6B60A64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C2EEB13" w14:textId="77777777" w:rsidR="006E40C9" w:rsidRDefault="006E40C9">
            <w:pPr>
              <w:pStyle w:val="MeasureTableTextLeftAligned"/>
            </w:pPr>
            <w:r>
              <w:t>B77</w:t>
            </w:r>
          </w:p>
        </w:tc>
      </w:tr>
      <w:tr w:rsidR="006E40C9" w14:paraId="25C53AF4" w14:textId="77777777">
        <w:trPr>
          <w:cantSplit/>
          <w:jc w:val="center"/>
        </w:trPr>
        <w:tc>
          <w:tcPr>
            <w:tcW w:w="1934" w:type="dxa"/>
            <w:gridSpan w:val="2"/>
            <w:tcBorders>
              <w:top w:val="nil"/>
              <w:bottom w:val="nil"/>
            </w:tcBorders>
          </w:tcPr>
          <w:p w14:paraId="2ECC4A1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E442F92" w14:textId="77777777" w:rsidR="006E40C9" w:rsidRPr="00584CA7" w:rsidRDefault="006E40C9">
            <w:pPr>
              <w:pStyle w:val="MeasureTableTextLeftAligned"/>
            </w:pPr>
            <w:r>
              <w:t>Not Applicable</w:t>
            </w:r>
          </w:p>
        </w:tc>
        <w:tc>
          <w:tcPr>
            <w:tcW w:w="1500" w:type="dxa"/>
            <w:gridSpan w:val="2"/>
            <w:tcBorders>
              <w:top w:val="nil"/>
              <w:bottom w:val="nil"/>
            </w:tcBorders>
          </w:tcPr>
          <w:p w14:paraId="48E1E99A" w14:textId="77777777" w:rsidR="006E40C9" w:rsidRDefault="006E40C9">
            <w:pPr>
              <w:pStyle w:val="MeasureTableTextItalic"/>
            </w:pPr>
            <w:r>
              <w:t>* Category</w:t>
            </w:r>
          </w:p>
        </w:tc>
        <w:tc>
          <w:tcPr>
            <w:tcW w:w="1124" w:type="dxa"/>
            <w:gridSpan w:val="2"/>
            <w:tcBorders>
              <w:top w:val="nil"/>
              <w:bottom w:val="nil"/>
            </w:tcBorders>
          </w:tcPr>
          <w:p w14:paraId="1DCB92A3" w14:textId="77777777" w:rsidR="006E40C9" w:rsidRDefault="006E40C9">
            <w:pPr>
              <w:pStyle w:val="MeasureTableTextLeftAligned"/>
            </w:pPr>
            <w:r>
              <w:t>2+</w:t>
            </w:r>
          </w:p>
        </w:tc>
      </w:tr>
      <w:tr w:rsidR="006E40C9" w14:paraId="743B2D90" w14:textId="77777777">
        <w:trPr>
          <w:cantSplit/>
          <w:jc w:val="center"/>
        </w:trPr>
        <w:tc>
          <w:tcPr>
            <w:tcW w:w="1934" w:type="dxa"/>
            <w:gridSpan w:val="2"/>
            <w:tcBorders>
              <w:top w:val="nil"/>
              <w:bottom w:val="nil"/>
            </w:tcBorders>
          </w:tcPr>
          <w:p w14:paraId="1A735DE9" w14:textId="77777777" w:rsidR="006E40C9" w:rsidRDefault="006E40C9">
            <w:pPr>
              <w:pStyle w:val="MeasureTableTextItalic"/>
            </w:pPr>
            <w:r>
              <w:t>Commencement date:</w:t>
            </w:r>
          </w:p>
        </w:tc>
        <w:tc>
          <w:tcPr>
            <w:tcW w:w="3179" w:type="dxa"/>
            <w:gridSpan w:val="4"/>
            <w:tcBorders>
              <w:top w:val="nil"/>
              <w:bottom w:val="nil"/>
            </w:tcBorders>
          </w:tcPr>
          <w:p w14:paraId="56E6811F" w14:textId="77777777" w:rsidR="006E40C9" w:rsidRDefault="006E40C9">
            <w:pPr>
              <w:pStyle w:val="MeasureTableTextLeftAligned"/>
            </w:pPr>
            <w:r>
              <w:t>1992</w:t>
            </w:r>
          </w:p>
        </w:tc>
        <w:tc>
          <w:tcPr>
            <w:tcW w:w="1500" w:type="dxa"/>
            <w:gridSpan w:val="2"/>
            <w:tcBorders>
              <w:top w:val="nil"/>
              <w:bottom w:val="nil"/>
            </w:tcBorders>
          </w:tcPr>
          <w:p w14:paraId="63F4550E" w14:textId="77777777" w:rsidR="006E40C9" w:rsidRPr="00F32057" w:rsidRDefault="006E40C9">
            <w:pPr>
              <w:pStyle w:val="MeasureTableTextItalic"/>
            </w:pPr>
            <w:r>
              <w:t>Expiry date:</w:t>
            </w:r>
          </w:p>
        </w:tc>
        <w:tc>
          <w:tcPr>
            <w:tcW w:w="1124" w:type="dxa"/>
            <w:gridSpan w:val="2"/>
            <w:tcBorders>
              <w:top w:val="nil"/>
              <w:bottom w:val="nil"/>
            </w:tcBorders>
          </w:tcPr>
          <w:p w14:paraId="2F6FEF46" w14:textId="77777777" w:rsidR="006E40C9" w:rsidRPr="00F32057" w:rsidRDefault="006E40C9">
            <w:pPr>
              <w:pStyle w:val="MeasureTableTextLeftAligned"/>
            </w:pPr>
          </w:p>
        </w:tc>
      </w:tr>
      <w:tr w:rsidR="006E40C9" w14:paraId="785D7F9C" w14:textId="77777777">
        <w:trPr>
          <w:cantSplit/>
          <w:jc w:val="center"/>
        </w:trPr>
        <w:tc>
          <w:tcPr>
            <w:tcW w:w="1934" w:type="dxa"/>
            <w:gridSpan w:val="2"/>
            <w:tcBorders>
              <w:top w:val="nil"/>
            </w:tcBorders>
          </w:tcPr>
          <w:p w14:paraId="1D4FE50D" w14:textId="77777777" w:rsidR="006E40C9" w:rsidRDefault="006E40C9">
            <w:pPr>
              <w:pStyle w:val="MeasureTableTextItalic"/>
            </w:pPr>
            <w:r>
              <w:t>Legislative reference:</w:t>
            </w:r>
          </w:p>
        </w:tc>
        <w:tc>
          <w:tcPr>
            <w:tcW w:w="5803" w:type="dxa"/>
            <w:gridSpan w:val="8"/>
            <w:tcBorders>
              <w:top w:val="nil"/>
            </w:tcBorders>
          </w:tcPr>
          <w:p w14:paraId="1D12E164"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70-60 and 70-65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35F56C0C" w14:textId="77777777" w:rsidR="006E40C9" w:rsidRPr="00540040" w:rsidRDefault="006E40C9" w:rsidP="006E40C9">
      <w:pPr>
        <w:pStyle w:val="MeasureTableHeading"/>
      </w:pPr>
    </w:p>
    <w:p w14:paraId="233EE340" w14:textId="77777777" w:rsidR="006E40C9" w:rsidRDefault="006E40C9" w:rsidP="006E40C9">
      <w:r>
        <w:t>Under the benchmark, horse breeding trading stock would be allocated a closing stock value of either cost, market value or replacement value. However, t</w:t>
      </w:r>
      <w:r w:rsidRPr="004D0B89">
        <w:t>axpayers can elect to write</w:t>
      </w:r>
      <w:r>
        <w:t xml:space="preserve"> down the closing value of</w:t>
      </w:r>
      <w:r w:rsidRPr="004D0B89">
        <w:t xml:space="preserve"> horse breeding stock</w:t>
      </w:r>
      <w:r>
        <w:fldChar w:fldCharType="begin"/>
      </w:r>
      <w:r>
        <w:instrText xml:space="preserve"> XE "Accelerated depreciation:H</w:instrText>
      </w:r>
      <w:r w:rsidRPr="00445B64">
        <w:instrText>orse breeding stock</w:instrText>
      </w:r>
      <w:r>
        <w:instrText xml:space="preserve">" </w:instrText>
      </w:r>
      <w:r>
        <w:fldChar w:fldCharType="end"/>
      </w:r>
      <w:r>
        <w:t xml:space="preserve"> that is at least 3 years old, at up to 25 per cent </w:t>
      </w:r>
      <w:r w:rsidRPr="004D0B89">
        <w:t xml:space="preserve">of the cost of sires </w:t>
      </w:r>
      <w:r>
        <w:t xml:space="preserve">per annum </w:t>
      </w:r>
      <w:r w:rsidRPr="004D0B89">
        <w:t>and up to 33</w:t>
      </w:r>
      <w:r>
        <w:rPr>
          <w:rFonts w:ascii="Times New Roman" w:hAnsi="Times New Roman"/>
        </w:rPr>
        <w:t>⅓</w:t>
      </w:r>
      <w:r>
        <w:t> </w:t>
      </w:r>
      <w:r w:rsidRPr="004D0B89">
        <w:t>per</w:t>
      </w:r>
      <w:r>
        <w:t> </w:t>
      </w:r>
      <w:r w:rsidRPr="004D0B89">
        <w:t>cent of the cost of mares</w:t>
      </w:r>
      <w:r>
        <w:t xml:space="preserve"> (under 12 years old) per annum,</w:t>
      </w:r>
      <w:r w:rsidRPr="004D0B89">
        <w:t xml:space="preserve"> on a prime cost basis. </w:t>
      </w:r>
      <w:r>
        <w:t>Mares that are 12 years old or older can be valued at $1.</w:t>
      </w:r>
    </w:p>
    <w:p w14:paraId="3EA0CE64" w14:textId="77777777" w:rsidR="006E40C9" w:rsidRDefault="006E40C9" w:rsidP="00432D19">
      <w:pPr>
        <w:pStyle w:val="Heading4"/>
      </w:pPr>
      <w:r>
        <w:t>B79</w:t>
      </w:r>
      <w:r>
        <w:tab/>
        <w:t>Exploration and prospecting deduction</w:t>
      </w:r>
    </w:p>
    <w:p w14:paraId="3A1A9863"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CC102B" w14:textId="77777777">
        <w:trPr>
          <w:cantSplit/>
          <w:jc w:val="center"/>
        </w:trPr>
        <w:tc>
          <w:tcPr>
            <w:tcW w:w="967" w:type="dxa"/>
            <w:tcBorders>
              <w:top w:val="single" w:sz="2" w:space="0" w:color="auto"/>
              <w:bottom w:val="single" w:sz="2" w:space="0" w:color="auto"/>
            </w:tcBorders>
          </w:tcPr>
          <w:p w14:paraId="2954E17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859468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F27AE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62116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41ED8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D419FA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9973E3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A3B58D7" w14:textId="77777777" w:rsidR="006E40C9" w:rsidRDefault="006E40C9">
            <w:pPr>
              <w:pStyle w:val="MeasureTableTextRightAligned"/>
            </w:pPr>
            <w:r>
              <w:t>2027-28</w:t>
            </w:r>
          </w:p>
        </w:tc>
      </w:tr>
      <w:tr w:rsidR="006E40C9" w14:paraId="6929A99B" w14:textId="77777777">
        <w:trPr>
          <w:cantSplit/>
          <w:jc w:val="center"/>
        </w:trPr>
        <w:tc>
          <w:tcPr>
            <w:tcW w:w="967" w:type="dxa"/>
            <w:tcBorders>
              <w:top w:val="single" w:sz="2" w:space="0" w:color="auto"/>
              <w:bottom w:val="single" w:sz="2" w:space="0" w:color="auto"/>
            </w:tcBorders>
          </w:tcPr>
          <w:p w14:paraId="0C94EFDB" w14:textId="77777777" w:rsidR="006E40C9" w:rsidRDefault="006E40C9">
            <w:pPr>
              <w:pStyle w:val="MeasureTableTextRightAligned"/>
            </w:pPr>
            <w:r>
              <w:t>60</w:t>
            </w:r>
          </w:p>
        </w:tc>
        <w:tc>
          <w:tcPr>
            <w:tcW w:w="967" w:type="dxa"/>
            <w:tcBorders>
              <w:top w:val="single" w:sz="2" w:space="0" w:color="auto"/>
              <w:bottom w:val="single" w:sz="2" w:space="0" w:color="auto"/>
            </w:tcBorders>
          </w:tcPr>
          <w:p w14:paraId="48C25ACF"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63229526" w14:textId="77777777" w:rsidR="006E40C9" w:rsidRDefault="006E40C9">
            <w:pPr>
              <w:pStyle w:val="MeasureTableTextRightAligned"/>
            </w:pPr>
            <w:r>
              <w:t>100</w:t>
            </w:r>
          </w:p>
        </w:tc>
        <w:tc>
          <w:tcPr>
            <w:tcW w:w="967" w:type="dxa"/>
            <w:tcBorders>
              <w:top w:val="single" w:sz="2" w:space="0" w:color="auto"/>
              <w:bottom w:val="single" w:sz="2" w:space="0" w:color="auto"/>
            </w:tcBorders>
            <w:vAlign w:val="bottom"/>
          </w:tcPr>
          <w:p w14:paraId="40C0BB2E"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3CD9AE86" w14:textId="77777777" w:rsidR="006E40C9" w:rsidRDefault="006E40C9">
            <w:pPr>
              <w:pStyle w:val="MeasureTableTextRightAligned"/>
            </w:pPr>
            <w:r>
              <w:t>-110</w:t>
            </w:r>
          </w:p>
        </w:tc>
        <w:tc>
          <w:tcPr>
            <w:tcW w:w="967" w:type="dxa"/>
            <w:gridSpan w:val="2"/>
            <w:tcBorders>
              <w:top w:val="single" w:sz="2" w:space="0" w:color="auto"/>
              <w:bottom w:val="single" w:sz="2" w:space="0" w:color="auto"/>
            </w:tcBorders>
            <w:vAlign w:val="bottom"/>
          </w:tcPr>
          <w:p w14:paraId="06092A38"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28A54A29" w14:textId="77777777" w:rsidR="006E40C9" w:rsidRDefault="006E40C9">
            <w:pPr>
              <w:pStyle w:val="MeasureTableTextRightAligned"/>
            </w:pPr>
            <w:r>
              <w:t>-10</w:t>
            </w:r>
          </w:p>
        </w:tc>
        <w:tc>
          <w:tcPr>
            <w:tcW w:w="968" w:type="dxa"/>
            <w:tcBorders>
              <w:top w:val="single" w:sz="2" w:space="0" w:color="auto"/>
              <w:bottom w:val="single" w:sz="2" w:space="0" w:color="auto"/>
            </w:tcBorders>
            <w:vAlign w:val="bottom"/>
          </w:tcPr>
          <w:p w14:paraId="681AD9FD" w14:textId="77777777" w:rsidR="006E40C9" w:rsidRDefault="006E40C9">
            <w:pPr>
              <w:pStyle w:val="MeasureTableTextRightAligned"/>
            </w:pPr>
            <w:r>
              <w:t>100</w:t>
            </w:r>
          </w:p>
        </w:tc>
      </w:tr>
      <w:tr w:rsidR="006E40C9" w14:paraId="55F9007C" w14:textId="77777777">
        <w:trPr>
          <w:cantSplit/>
          <w:jc w:val="center"/>
        </w:trPr>
        <w:tc>
          <w:tcPr>
            <w:tcW w:w="1934" w:type="dxa"/>
            <w:gridSpan w:val="2"/>
            <w:tcBorders>
              <w:top w:val="single" w:sz="2" w:space="0" w:color="auto"/>
              <w:bottom w:val="nil"/>
            </w:tcBorders>
          </w:tcPr>
          <w:p w14:paraId="7E5C92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664D06" w14:textId="77777777" w:rsidR="006E40C9" w:rsidRDefault="006E40C9">
            <w:pPr>
              <w:pStyle w:val="MeasureTableTextLeftAligned"/>
            </w:pPr>
            <w:r>
              <w:t>Deduction</w:t>
            </w:r>
          </w:p>
        </w:tc>
        <w:tc>
          <w:tcPr>
            <w:tcW w:w="1500" w:type="dxa"/>
            <w:gridSpan w:val="2"/>
            <w:tcBorders>
              <w:top w:val="single" w:sz="2" w:space="0" w:color="auto"/>
              <w:bottom w:val="nil"/>
            </w:tcBorders>
          </w:tcPr>
          <w:p w14:paraId="2FA5B520" w14:textId="6906A69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224D38" w14:textId="77777777" w:rsidR="006E40C9" w:rsidRDefault="006E40C9">
            <w:pPr>
              <w:pStyle w:val="MeasureTableTextLeftAligned"/>
            </w:pPr>
            <w:r>
              <w:t>B78</w:t>
            </w:r>
          </w:p>
        </w:tc>
      </w:tr>
      <w:tr w:rsidR="006E40C9" w14:paraId="6B78D3EF" w14:textId="77777777">
        <w:trPr>
          <w:cantSplit/>
          <w:jc w:val="center"/>
        </w:trPr>
        <w:tc>
          <w:tcPr>
            <w:tcW w:w="1934" w:type="dxa"/>
            <w:gridSpan w:val="2"/>
            <w:tcBorders>
              <w:top w:val="nil"/>
              <w:bottom w:val="nil"/>
            </w:tcBorders>
          </w:tcPr>
          <w:p w14:paraId="4C94762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85B698" w14:textId="77777777" w:rsidR="006E40C9" w:rsidRPr="00584CA7" w:rsidRDefault="006E40C9">
            <w:pPr>
              <w:pStyle w:val="MeasureTableTextLeftAligned"/>
            </w:pPr>
            <w:r>
              <w:t>Medium</w:t>
            </w:r>
          </w:p>
        </w:tc>
        <w:tc>
          <w:tcPr>
            <w:tcW w:w="1500" w:type="dxa"/>
            <w:gridSpan w:val="2"/>
            <w:tcBorders>
              <w:top w:val="nil"/>
              <w:bottom w:val="nil"/>
            </w:tcBorders>
          </w:tcPr>
          <w:p w14:paraId="02BACBCD" w14:textId="77777777" w:rsidR="006E40C9" w:rsidRDefault="006E40C9">
            <w:pPr>
              <w:pStyle w:val="MeasureTableTextItalic"/>
            </w:pPr>
          </w:p>
        </w:tc>
        <w:tc>
          <w:tcPr>
            <w:tcW w:w="1124" w:type="dxa"/>
            <w:gridSpan w:val="2"/>
            <w:tcBorders>
              <w:top w:val="nil"/>
              <w:bottom w:val="nil"/>
            </w:tcBorders>
          </w:tcPr>
          <w:p w14:paraId="53291E36" w14:textId="77777777" w:rsidR="006E40C9" w:rsidRDefault="006E40C9">
            <w:pPr>
              <w:pStyle w:val="MeasureTableTextLeftAligned"/>
            </w:pPr>
          </w:p>
        </w:tc>
      </w:tr>
      <w:tr w:rsidR="006E40C9" w14:paraId="6FAFF667" w14:textId="77777777">
        <w:trPr>
          <w:cantSplit/>
          <w:jc w:val="center"/>
        </w:trPr>
        <w:tc>
          <w:tcPr>
            <w:tcW w:w="1934" w:type="dxa"/>
            <w:gridSpan w:val="2"/>
            <w:tcBorders>
              <w:top w:val="nil"/>
              <w:bottom w:val="nil"/>
            </w:tcBorders>
          </w:tcPr>
          <w:p w14:paraId="15677243" w14:textId="77777777" w:rsidR="006E40C9" w:rsidRDefault="006E40C9">
            <w:pPr>
              <w:pStyle w:val="MeasureTableTextItalic"/>
            </w:pPr>
            <w:r>
              <w:t>Commencement date:</w:t>
            </w:r>
          </w:p>
        </w:tc>
        <w:tc>
          <w:tcPr>
            <w:tcW w:w="3179" w:type="dxa"/>
            <w:gridSpan w:val="4"/>
            <w:tcBorders>
              <w:top w:val="nil"/>
              <w:bottom w:val="nil"/>
            </w:tcBorders>
          </w:tcPr>
          <w:p w14:paraId="3C972053" w14:textId="77777777" w:rsidR="006E40C9" w:rsidRDefault="006E40C9">
            <w:pPr>
              <w:pStyle w:val="MeasureTableTextLeftAligned"/>
            </w:pPr>
            <w:r>
              <w:t>Introduced before 1985</w:t>
            </w:r>
          </w:p>
        </w:tc>
        <w:tc>
          <w:tcPr>
            <w:tcW w:w="1500" w:type="dxa"/>
            <w:gridSpan w:val="2"/>
            <w:tcBorders>
              <w:top w:val="nil"/>
              <w:bottom w:val="nil"/>
            </w:tcBorders>
          </w:tcPr>
          <w:p w14:paraId="0CBFDB89" w14:textId="77777777" w:rsidR="006E40C9" w:rsidRPr="00F32057" w:rsidRDefault="006E40C9">
            <w:pPr>
              <w:pStyle w:val="MeasureTableTextItalic"/>
            </w:pPr>
            <w:r>
              <w:t>Expiry date:</w:t>
            </w:r>
          </w:p>
        </w:tc>
        <w:tc>
          <w:tcPr>
            <w:tcW w:w="1124" w:type="dxa"/>
            <w:gridSpan w:val="2"/>
            <w:tcBorders>
              <w:top w:val="nil"/>
              <w:bottom w:val="nil"/>
            </w:tcBorders>
          </w:tcPr>
          <w:p w14:paraId="3755BFE8" w14:textId="77777777" w:rsidR="006E40C9" w:rsidRPr="00F32057" w:rsidRDefault="006E40C9">
            <w:pPr>
              <w:pStyle w:val="MeasureTableTextLeftAligned"/>
            </w:pPr>
          </w:p>
        </w:tc>
      </w:tr>
      <w:tr w:rsidR="006E40C9" w14:paraId="0E6C8C16" w14:textId="77777777">
        <w:trPr>
          <w:cantSplit/>
          <w:jc w:val="center"/>
        </w:trPr>
        <w:tc>
          <w:tcPr>
            <w:tcW w:w="1934" w:type="dxa"/>
            <w:gridSpan w:val="2"/>
            <w:tcBorders>
              <w:top w:val="nil"/>
            </w:tcBorders>
          </w:tcPr>
          <w:p w14:paraId="4C8CC66D" w14:textId="77777777" w:rsidR="006E40C9" w:rsidRDefault="006E40C9">
            <w:pPr>
              <w:pStyle w:val="MeasureTableTextItalic"/>
            </w:pPr>
            <w:r>
              <w:t>Legislative reference:</w:t>
            </w:r>
          </w:p>
        </w:tc>
        <w:tc>
          <w:tcPr>
            <w:tcW w:w="5803" w:type="dxa"/>
            <w:gridSpan w:val="8"/>
            <w:tcBorders>
              <w:top w:val="nil"/>
            </w:tcBorders>
          </w:tcPr>
          <w:p w14:paraId="4FA52A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40-25 and 40-730, and Subsections 40-80(1) and 40-95(12) of the </w:t>
            </w:r>
            <w:r>
              <w:rPr>
                <w:rFonts w:ascii="Arial" w:hAnsi="Arial" w:cs="Arial"/>
                <w:i/>
                <w:iCs/>
                <w:color w:val="000000"/>
                <w:sz w:val="16"/>
                <w:szCs w:val="16"/>
              </w:rPr>
              <w:t>Income Tax Assessment Act 1997</w:t>
            </w:r>
          </w:p>
        </w:tc>
      </w:tr>
    </w:tbl>
    <w:p w14:paraId="7546CE21" w14:textId="77777777" w:rsidR="006E40C9" w:rsidRPr="00540040" w:rsidRDefault="006E40C9" w:rsidP="006E40C9">
      <w:pPr>
        <w:pStyle w:val="MeasureTableHeading"/>
      </w:pPr>
    </w:p>
    <w:p w14:paraId="385EB349" w14:textId="77777777" w:rsidR="006E40C9" w:rsidRDefault="006E40C9" w:rsidP="00B41C02">
      <w:r>
        <w:t>Under the benchmark, b</w:t>
      </w:r>
      <w:r w:rsidRPr="00AD29A0">
        <w:t xml:space="preserve">usiness capital expenditures not elsewhere recognised within the taxation laws are deductible over five years. </w:t>
      </w:r>
      <w:r>
        <w:t>However, e</w:t>
      </w:r>
      <w:r w:rsidRPr="00D53EB4">
        <w:t>xpenditure on exploration</w:t>
      </w:r>
      <w:r>
        <w:fldChar w:fldCharType="begin"/>
      </w:r>
      <w:r>
        <w:instrText xml:space="preserve"> XE "</w:instrText>
      </w:r>
      <w:r w:rsidRPr="00127B5B">
        <w:instrText>Exploration</w:instrText>
      </w:r>
      <w:r>
        <w:instrText xml:space="preserve">" </w:instrText>
      </w:r>
      <w:r>
        <w:fldChar w:fldCharType="end"/>
      </w:r>
      <w:r w:rsidRPr="00D53EB4">
        <w:t xml:space="preserve"> or prospecting</w:t>
      </w:r>
      <w:r>
        <w:fldChar w:fldCharType="begin"/>
      </w:r>
      <w:r>
        <w:instrText xml:space="preserve"> XE "</w:instrText>
      </w:r>
      <w:r w:rsidRPr="000C6867">
        <w:instrText>Prospecting</w:instrText>
      </w:r>
      <w:r>
        <w:instrText xml:space="preserve">" </w:instrText>
      </w:r>
      <w:r>
        <w:fldChar w:fldCharType="end"/>
      </w:r>
      <w:r w:rsidRPr="00D53EB4">
        <w:t xml:space="preserve"> for the purpose of mining </w:t>
      </w:r>
      <w:r>
        <w:t xml:space="preserve">(including for petroleum) </w:t>
      </w:r>
      <w:r w:rsidRPr="00D53EB4">
        <w:t>and quarrying</w:t>
      </w:r>
      <w:r>
        <w:fldChar w:fldCharType="begin"/>
      </w:r>
      <w:r>
        <w:instrText xml:space="preserve"> XE "</w:instrText>
      </w:r>
      <w:r w:rsidRPr="003A298F">
        <w:instrText>Mining and quarrying</w:instrText>
      </w:r>
      <w:r>
        <w:instrText xml:space="preserve">" </w:instrText>
      </w:r>
      <w:r>
        <w:fldChar w:fldCharType="end"/>
      </w:r>
      <w:r w:rsidRPr="00D53EB4">
        <w:t xml:space="preserve"> is immediately deductible. </w:t>
      </w:r>
    </w:p>
    <w:p w14:paraId="2410D58E" w14:textId="77777777" w:rsidR="006E40C9" w:rsidRDefault="006E40C9" w:rsidP="00B41C02">
      <w:r>
        <w:t>U</w:t>
      </w:r>
      <w:r w:rsidRPr="005252EA">
        <w:t>nder the benchmark, expenditure on a depreciating asset is deductible over the effective life of the asset</w:t>
      </w:r>
      <w:r>
        <w:t>. However,</w:t>
      </w:r>
      <w:r w:rsidRPr="009641C3">
        <w:t xml:space="preserve"> the </w:t>
      </w:r>
      <w:r>
        <w:t xml:space="preserve">cost </w:t>
      </w:r>
      <w:r w:rsidRPr="009641C3">
        <w:t xml:space="preserve">of a depreciating asset is </w:t>
      </w:r>
      <w:r>
        <w:t xml:space="preserve">immediately deductible </w:t>
      </w:r>
      <w:r w:rsidRPr="009641C3">
        <w:t xml:space="preserve">if the taxpayer first uses the asset for exploration or prospecting for minerals </w:t>
      </w:r>
      <w:r>
        <w:t xml:space="preserve">(including petroleum) </w:t>
      </w:r>
      <w:r w:rsidRPr="009641C3">
        <w:t xml:space="preserve">or quarry materials obtainable by mining operations, </w:t>
      </w:r>
      <w:r>
        <w:t xml:space="preserve">subject to certain conditions. </w:t>
      </w:r>
    </w:p>
    <w:p w14:paraId="34DD80DA" w14:textId="77777777" w:rsidR="006E40C9" w:rsidRDefault="006E40C9" w:rsidP="00B41C02">
      <w:r>
        <w:t>From 14 May 2013</w:t>
      </w:r>
      <w:r w:rsidRPr="00A346DB">
        <w:t>, the cost of a mining, quarrying or prospecting right or information first used for exploration is generally deductible over its effective life or 15 years, whichever is shorter.</w:t>
      </w:r>
      <w:r>
        <w:t xml:space="preserve"> However, realignment and farm</w:t>
      </w:r>
      <w:r>
        <w:noBreakHyphen/>
        <w:t>in, farm</w:t>
      </w:r>
      <w:r>
        <w:noBreakHyphen/>
        <w:t>out arrangements remain immediately deductible.</w:t>
      </w:r>
    </w:p>
    <w:p w14:paraId="30A503FD" w14:textId="77777777" w:rsidR="006E40C9" w:rsidRDefault="006E40C9" w:rsidP="00432D19">
      <w:pPr>
        <w:pStyle w:val="Heading4"/>
      </w:pPr>
      <w:r>
        <w:t>B80</w:t>
      </w:r>
      <w:r>
        <w:tab/>
        <w:t>Statutory effective life caps</w:t>
      </w:r>
    </w:p>
    <w:p w14:paraId="4596BDC0"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BA30871" w14:textId="77777777">
        <w:trPr>
          <w:cantSplit/>
          <w:jc w:val="center"/>
        </w:trPr>
        <w:tc>
          <w:tcPr>
            <w:tcW w:w="967" w:type="dxa"/>
            <w:tcBorders>
              <w:top w:val="single" w:sz="2" w:space="0" w:color="auto"/>
              <w:bottom w:val="single" w:sz="2" w:space="0" w:color="auto"/>
            </w:tcBorders>
          </w:tcPr>
          <w:p w14:paraId="42FA5B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993F9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E842E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5A91A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E9253F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ABE93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1EF5E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2CCF369" w14:textId="77777777" w:rsidR="006E40C9" w:rsidRDefault="006E40C9">
            <w:pPr>
              <w:pStyle w:val="MeasureTableTextRightAligned"/>
            </w:pPr>
            <w:r>
              <w:t>2027-28</w:t>
            </w:r>
          </w:p>
        </w:tc>
      </w:tr>
      <w:tr w:rsidR="006E40C9" w14:paraId="242F85B8" w14:textId="77777777">
        <w:trPr>
          <w:cantSplit/>
          <w:jc w:val="center"/>
        </w:trPr>
        <w:tc>
          <w:tcPr>
            <w:tcW w:w="967" w:type="dxa"/>
            <w:tcBorders>
              <w:top w:val="single" w:sz="2" w:space="0" w:color="auto"/>
              <w:bottom w:val="single" w:sz="2" w:space="0" w:color="auto"/>
            </w:tcBorders>
          </w:tcPr>
          <w:p w14:paraId="7887B648" w14:textId="77777777" w:rsidR="006E40C9" w:rsidRDefault="006E40C9">
            <w:pPr>
              <w:pStyle w:val="MeasureTableTextRightAligned"/>
            </w:pPr>
            <w:r>
              <w:t>*</w:t>
            </w:r>
          </w:p>
        </w:tc>
        <w:tc>
          <w:tcPr>
            <w:tcW w:w="967" w:type="dxa"/>
            <w:tcBorders>
              <w:top w:val="single" w:sz="2" w:space="0" w:color="auto"/>
              <w:bottom w:val="single" w:sz="2" w:space="0" w:color="auto"/>
            </w:tcBorders>
          </w:tcPr>
          <w:p w14:paraId="0968E3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E08C2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6E1E6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90DB3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B3599C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58485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FDD3463" w14:textId="77777777" w:rsidR="006E40C9" w:rsidRDefault="006E40C9">
            <w:pPr>
              <w:pStyle w:val="MeasureTableTextRightAligned"/>
            </w:pPr>
            <w:r>
              <w:t>*</w:t>
            </w:r>
          </w:p>
        </w:tc>
      </w:tr>
      <w:tr w:rsidR="006E40C9" w14:paraId="66DDF04D" w14:textId="77777777">
        <w:trPr>
          <w:cantSplit/>
          <w:jc w:val="center"/>
        </w:trPr>
        <w:tc>
          <w:tcPr>
            <w:tcW w:w="1934" w:type="dxa"/>
            <w:gridSpan w:val="2"/>
            <w:tcBorders>
              <w:top w:val="single" w:sz="2" w:space="0" w:color="auto"/>
              <w:bottom w:val="nil"/>
            </w:tcBorders>
          </w:tcPr>
          <w:p w14:paraId="4E29AF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04AEC2C"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45532881" w14:textId="17F2877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45B282" w14:textId="77777777" w:rsidR="006E40C9" w:rsidRDefault="006E40C9">
            <w:pPr>
              <w:pStyle w:val="MeasureTableTextLeftAligned"/>
            </w:pPr>
            <w:r>
              <w:t>B79</w:t>
            </w:r>
          </w:p>
        </w:tc>
      </w:tr>
      <w:tr w:rsidR="006E40C9" w14:paraId="180E172D" w14:textId="77777777">
        <w:trPr>
          <w:cantSplit/>
          <w:jc w:val="center"/>
        </w:trPr>
        <w:tc>
          <w:tcPr>
            <w:tcW w:w="1934" w:type="dxa"/>
            <w:gridSpan w:val="2"/>
            <w:tcBorders>
              <w:top w:val="nil"/>
              <w:bottom w:val="nil"/>
            </w:tcBorders>
          </w:tcPr>
          <w:p w14:paraId="6B58BA5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5F0E1C3" w14:textId="77777777" w:rsidR="006E40C9" w:rsidRPr="00584CA7" w:rsidRDefault="006E40C9">
            <w:pPr>
              <w:pStyle w:val="MeasureTableTextLeftAligned"/>
            </w:pPr>
            <w:r>
              <w:t>Not Applicable</w:t>
            </w:r>
          </w:p>
        </w:tc>
        <w:tc>
          <w:tcPr>
            <w:tcW w:w="1500" w:type="dxa"/>
            <w:gridSpan w:val="2"/>
            <w:tcBorders>
              <w:top w:val="nil"/>
              <w:bottom w:val="nil"/>
            </w:tcBorders>
          </w:tcPr>
          <w:p w14:paraId="4511C6FD" w14:textId="77777777" w:rsidR="006E40C9" w:rsidRDefault="006E40C9">
            <w:pPr>
              <w:pStyle w:val="MeasureTableTextItalic"/>
            </w:pPr>
            <w:r>
              <w:t>* Category</w:t>
            </w:r>
          </w:p>
        </w:tc>
        <w:tc>
          <w:tcPr>
            <w:tcW w:w="1124" w:type="dxa"/>
            <w:gridSpan w:val="2"/>
            <w:tcBorders>
              <w:top w:val="nil"/>
              <w:bottom w:val="nil"/>
            </w:tcBorders>
          </w:tcPr>
          <w:p w14:paraId="560BA6E2" w14:textId="77777777" w:rsidR="006E40C9" w:rsidRDefault="006E40C9">
            <w:pPr>
              <w:pStyle w:val="MeasureTableTextLeftAligned"/>
            </w:pPr>
            <w:r>
              <w:t>4+</w:t>
            </w:r>
          </w:p>
        </w:tc>
      </w:tr>
      <w:tr w:rsidR="006E40C9" w14:paraId="23A8F7A4" w14:textId="77777777">
        <w:trPr>
          <w:cantSplit/>
          <w:jc w:val="center"/>
        </w:trPr>
        <w:tc>
          <w:tcPr>
            <w:tcW w:w="1934" w:type="dxa"/>
            <w:gridSpan w:val="2"/>
            <w:tcBorders>
              <w:top w:val="nil"/>
              <w:bottom w:val="nil"/>
            </w:tcBorders>
          </w:tcPr>
          <w:p w14:paraId="6F9BE27A" w14:textId="77777777" w:rsidR="006E40C9" w:rsidRDefault="006E40C9">
            <w:pPr>
              <w:pStyle w:val="MeasureTableTextItalic"/>
            </w:pPr>
            <w:r>
              <w:t>Commencement date:</w:t>
            </w:r>
          </w:p>
        </w:tc>
        <w:tc>
          <w:tcPr>
            <w:tcW w:w="3179" w:type="dxa"/>
            <w:gridSpan w:val="4"/>
            <w:tcBorders>
              <w:top w:val="nil"/>
              <w:bottom w:val="nil"/>
            </w:tcBorders>
          </w:tcPr>
          <w:p w14:paraId="4A4C46F3" w14:textId="77777777" w:rsidR="006E40C9" w:rsidRDefault="006E40C9">
            <w:pPr>
              <w:pStyle w:val="MeasureTableTextLeftAligned"/>
            </w:pPr>
            <w:r>
              <w:t>2002</w:t>
            </w:r>
          </w:p>
        </w:tc>
        <w:tc>
          <w:tcPr>
            <w:tcW w:w="1500" w:type="dxa"/>
            <w:gridSpan w:val="2"/>
            <w:tcBorders>
              <w:top w:val="nil"/>
              <w:bottom w:val="nil"/>
            </w:tcBorders>
          </w:tcPr>
          <w:p w14:paraId="6B4AB004" w14:textId="77777777" w:rsidR="006E40C9" w:rsidRPr="00F32057" w:rsidRDefault="006E40C9">
            <w:pPr>
              <w:pStyle w:val="MeasureTableTextItalic"/>
            </w:pPr>
            <w:r>
              <w:t>Expiry date:</w:t>
            </w:r>
          </w:p>
        </w:tc>
        <w:tc>
          <w:tcPr>
            <w:tcW w:w="1124" w:type="dxa"/>
            <w:gridSpan w:val="2"/>
            <w:tcBorders>
              <w:top w:val="nil"/>
              <w:bottom w:val="nil"/>
            </w:tcBorders>
          </w:tcPr>
          <w:p w14:paraId="2B4F7E31" w14:textId="77777777" w:rsidR="006E40C9" w:rsidRPr="00F32057" w:rsidRDefault="006E40C9">
            <w:pPr>
              <w:pStyle w:val="MeasureTableTextLeftAligned"/>
            </w:pPr>
          </w:p>
        </w:tc>
      </w:tr>
      <w:tr w:rsidR="006E40C9" w14:paraId="561E31CD" w14:textId="77777777">
        <w:trPr>
          <w:cantSplit/>
          <w:jc w:val="center"/>
        </w:trPr>
        <w:tc>
          <w:tcPr>
            <w:tcW w:w="1934" w:type="dxa"/>
            <w:gridSpan w:val="2"/>
            <w:tcBorders>
              <w:top w:val="nil"/>
            </w:tcBorders>
          </w:tcPr>
          <w:p w14:paraId="24312041" w14:textId="77777777" w:rsidR="006E40C9" w:rsidRDefault="006E40C9">
            <w:pPr>
              <w:pStyle w:val="MeasureTableTextItalic"/>
            </w:pPr>
            <w:r>
              <w:t>Legislative reference:</w:t>
            </w:r>
          </w:p>
        </w:tc>
        <w:tc>
          <w:tcPr>
            <w:tcW w:w="5803" w:type="dxa"/>
            <w:gridSpan w:val="8"/>
            <w:tcBorders>
              <w:top w:val="nil"/>
            </w:tcBorders>
          </w:tcPr>
          <w:p w14:paraId="0BAF10A5"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40-102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F697796" w14:textId="77777777" w:rsidR="006E40C9" w:rsidRPr="00540040" w:rsidRDefault="006E40C9" w:rsidP="006E40C9">
      <w:pPr>
        <w:pStyle w:val="MeasureTableHeading"/>
      </w:pPr>
    </w:p>
    <w:p w14:paraId="6C1DA7D5" w14:textId="77777777" w:rsidR="006E40C9" w:rsidRDefault="006E40C9" w:rsidP="006E40C9">
      <w:r w:rsidRPr="00C50660">
        <w:t>Under the tax benchmark deductions for depreciation are made over the effective life of an asset. Statutory effective life caps provide a write</w:t>
      </w:r>
      <w:r w:rsidRPr="00C50660">
        <w:noBreakHyphen/>
        <w:t>off period for some assets, shorter than the effective life determined by the Commissioner of Taxation.</w:t>
      </w:r>
      <w:r w:rsidRPr="00452C63">
        <w:fldChar w:fldCharType="begin"/>
      </w:r>
      <w:r w:rsidRPr="00452C63">
        <w:instrText xml:space="preserve"> XE "Accelerated depreciation:Statutory effective life caps" </w:instrText>
      </w:r>
      <w:r w:rsidRPr="00452C63">
        <w:fldChar w:fldCharType="end"/>
      </w:r>
      <w:r w:rsidRPr="00452C63">
        <w:t xml:space="preserve"> Statutory caps exist for assets such as aircraft, trucks, truck trailers, buses, tractors and harvesters. </w:t>
      </w:r>
    </w:p>
    <w:p w14:paraId="48BC7743" w14:textId="77777777" w:rsidR="006E40C9" w:rsidRDefault="006E40C9" w:rsidP="00432D19">
      <w:pPr>
        <w:pStyle w:val="Heading4"/>
      </w:pPr>
      <w:r>
        <w:t>B81</w:t>
      </w:r>
      <w:r>
        <w:tab/>
        <w:t>Absence of depreciation recapture for certain assets</w:t>
      </w:r>
    </w:p>
    <w:p w14:paraId="013819F0" w14:textId="07A41E2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CFCC7D" w14:textId="77777777">
        <w:trPr>
          <w:cantSplit/>
          <w:jc w:val="center"/>
        </w:trPr>
        <w:tc>
          <w:tcPr>
            <w:tcW w:w="967" w:type="dxa"/>
            <w:tcBorders>
              <w:top w:val="single" w:sz="2" w:space="0" w:color="auto"/>
              <w:bottom w:val="single" w:sz="2" w:space="0" w:color="auto"/>
            </w:tcBorders>
          </w:tcPr>
          <w:p w14:paraId="6047C26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FB09A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ADE4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2E2DA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99986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78D7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A015D0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5A5732" w14:textId="77777777" w:rsidR="006E40C9" w:rsidRDefault="006E40C9">
            <w:pPr>
              <w:pStyle w:val="MeasureTableTextRightAligned"/>
            </w:pPr>
            <w:r>
              <w:t>2027-28</w:t>
            </w:r>
          </w:p>
        </w:tc>
      </w:tr>
      <w:tr w:rsidR="006E40C9" w14:paraId="774D4E15" w14:textId="77777777">
        <w:trPr>
          <w:cantSplit/>
          <w:jc w:val="center"/>
        </w:trPr>
        <w:tc>
          <w:tcPr>
            <w:tcW w:w="967" w:type="dxa"/>
            <w:tcBorders>
              <w:top w:val="single" w:sz="2" w:space="0" w:color="auto"/>
              <w:bottom w:val="single" w:sz="2" w:space="0" w:color="auto"/>
            </w:tcBorders>
          </w:tcPr>
          <w:p w14:paraId="2BE4C183" w14:textId="77777777" w:rsidR="006E40C9" w:rsidRDefault="006E40C9">
            <w:pPr>
              <w:pStyle w:val="MeasureTableTextRightAligned"/>
            </w:pPr>
            <w:r>
              <w:t>*</w:t>
            </w:r>
          </w:p>
        </w:tc>
        <w:tc>
          <w:tcPr>
            <w:tcW w:w="967" w:type="dxa"/>
            <w:tcBorders>
              <w:top w:val="single" w:sz="2" w:space="0" w:color="auto"/>
              <w:bottom w:val="single" w:sz="2" w:space="0" w:color="auto"/>
            </w:tcBorders>
          </w:tcPr>
          <w:p w14:paraId="01E079D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BAFBA6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8EAD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B06A0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DE03C4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74357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B333A37" w14:textId="77777777" w:rsidR="006E40C9" w:rsidRDefault="006E40C9">
            <w:pPr>
              <w:pStyle w:val="MeasureTableTextRightAligned"/>
            </w:pPr>
            <w:r>
              <w:t>*</w:t>
            </w:r>
          </w:p>
        </w:tc>
      </w:tr>
      <w:tr w:rsidR="006E40C9" w14:paraId="12C7F4C0" w14:textId="77777777">
        <w:trPr>
          <w:cantSplit/>
          <w:jc w:val="center"/>
        </w:trPr>
        <w:tc>
          <w:tcPr>
            <w:tcW w:w="1934" w:type="dxa"/>
            <w:gridSpan w:val="2"/>
            <w:tcBorders>
              <w:top w:val="single" w:sz="2" w:space="0" w:color="auto"/>
              <w:bottom w:val="nil"/>
            </w:tcBorders>
          </w:tcPr>
          <w:p w14:paraId="6BB9707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41B7FC9" w14:textId="77777777" w:rsidR="006E40C9" w:rsidRDefault="006E40C9">
            <w:pPr>
              <w:pStyle w:val="MeasureTableTextLeftAligned"/>
            </w:pPr>
            <w:r>
              <w:t>Deduction</w:t>
            </w:r>
          </w:p>
        </w:tc>
        <w:tc>
          <w:tcPr>
            <w:tcW w:w="1500" w:type="dxa"/>
            <w:gridSpan w:val="2"/>
            <w:tcBorders>
              <w:top w:val="single" w:sz="2" w:space="0" w:color="auto"/>
              <w:bottom w:val="nil"/>
            </w:tcBorders>
          </w:tcPr>
          <w:p w14:paraId="6E0208AD" w14:textId="0DF441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13B9B3" w14:textId="77777777" w:rsidR="006E40C9" w:rsidRDefault="006E40C9">
            <w:pPr>
              <w:pStyle w:val="MeasureTableTextLeftAligned"/>
            </w:pPr>
            <w:r>
              <w:t>B80</w:t>
            </w:r>
          </w:p>
        </w:tc>
      </w:tr>
      <w:tr w:rsidR="006E40C9" w14:paraId="31D4F3F4" w14:textId="77777777">
        <w:trPr>
          <w:cantSplit/>
          <w:jc w:val="center"/>
        </w:trPr>
        <w:tc>
          <w:tcPr>
            <w:tcW w:w="1934" w:type="dxa"/>
            <w:gridSpan w:val="2"/>
            <w:tcBorders>
              <w:top w:val="nil"/>
              <w:bottom w:val="nil"/>
            </w:tcBorders>
          </w:tcPr>
          <w:p w14:paraId="1C0532B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E7806A1" w14:textId="77777777" w:rsidR="006E40C9" w:rsidRPr="00584CA7" w:rsidRDefault="006E40C9">
            <w:pPr>
              <w:pStyle w:val="MeasureTableTextLeftAligned"/>
            </w:pPr>
            <w:r>
              <w:t>Not Applicable</w:t>
            </w:r>
          </w:p>
        </w:tc>
        <w:tc>
          <w:tcPr>
            <w:tcW w:w="1500" w:type="dxa"/>
            <w:gridSpan w:val="2"/>
            <w:tcBorders>
              <w:top w:val="nil"/>
              <w:bottom w:val="nil"/>
            </w:tcBorders>
          </w:tcPr>
          <w:p w14:paraId="2DA30809" w14:textId="77777777" w:rsidR="006E40C9" w:rsidRDefault="006E40C9">
            <w:pPr>
              <w:pStyle w:val="MeasureTableTextItalic"/>
            </w:pPr>
            <w:r>
              <w:t>* Category</w:t>
            </w:r>
          </w:p>
        </w:tc>
        <w:tc>
          <w:tcPr>
            <w:tcW w:w="1124" w:type="dxa"/>
            <w:gridSpan w:val="2"/>
            <w:tcBorders>
              <w:top w:val="nil"/>
              <w:bottom w:val="nil"/>
            </w:tcBorders>
          </w:tcPr>
          <w:p w14:paraId="627807ED" w14:textId="77777777" w:rsidR="006E40C9" w:rsidRDefault="006E40C9">
            <w:pPr>
              <w:pStyle w:val="MeasureTableTextLeftAligned"/>
            </w:pPr>
            <w:r>
              <w:t>2+</w:t>
            </w:r>
          </w:p>
        </w:tc>
      </w:tr>
      <w:tr w:rsidR="006E40C9" w14:paraId="30632650" w14:textId="77777777">
        <w:trPr>
          <w:cantSplit/>
          <w:jc w:val="center"/>
        </w:trPr>
        <w:tc>
          <w:tcPr>
            <w:tcW w:w="1934" w:type="dxa"/>
            <w:gridSpan w:val="2"/>
            <w:tcBorders>
              <w:top w:val="nil"/>
              <w:bottom w:val="nil"/>
            </w:tcBorders>
          </w:tcPr>
          <w:p w14:paraId="519F9DD9" w14:textId="77777777" w:rsidR="006E40C9" w:rsidRDefault="006E40C9">
            <w:pPr>
              <w:pStyle w:val="MeasureTableTextItalic"/>
            </w:pPr>
            <w:r>
              <w:t>Commencement date:</w:t>
            </w:r>
          </w:p>
        </w:tc>
        <w:tc>
          <w:tcPr>
            <w:tcW w:w="3179" w:type="dxa"/>
            <w:gridSpan w:val="4"/>
            <w:tcBorders>
              <w:top w:val="nil"/>
              <w:bottom w:val="nil"/>
            </w:tcBorders>
          </w:tcPr>
          <w:p w14:paraId="73776F3C" w14:textId="77777777" w:rsidR="006E40C9" w:rsidRDefault="006E40C9">
            <w:pPr>
              <w:pStyle w:val="MeasureTableTextLeftAligned"/>
            </w:pPr>
            <w:r>
              <w:t>1982</w:t>
            </w:r>
          </w:p>
        </w:tc>
        <w:tc>
          <w:tcPr>
            <w:tcW w:w="1500" w:type="dxa"/>
            <w:gridSpan w:val="2"/>
            <w:tcBorders>
              <w:top w:val="nil"/>
              <w:bottom w:val="nil"/>
            </w:tcBorders>
          </w:tcPr>
          <w:p w14:paraId="47F35618" w14:textId="77777777" w:rsidR="006E40C9" w:rsidRPr="00F32057" w:rsidRDefault="006E40C9">
            <w:pPr>
              <w:pStyle w:val="MeasureTableTextItalic"/>
            </w:pPr>
            <w:r>
              <w:t>Expiry date:</w:t>
            </w:r>
          </w:p>
        </w:tc>
        <w:tc>
          <w:tcPr>
            <w:tcW w:w="1124" w:type="dxa"/>
            <w:gridSpan w:val="2"/>
            <w:tcBorders>
              <w:top w:val="nil"/>
              <w:bottom w:val="nil"/>
            </w:tcBorders>
          </w:tcPr>
          <w:p w14:paraId="5D3AB5F3" w14:textId="77777777" w:rsidR="006E40C9" w:rsidRPr="00F32057" w:rsidRDefault="006E40C9">
            <w:pPr>
              <w:pStyle w:val="MeasureTableTextLeftAligned"/>
            </w:pPr>
          </w:p>
        </w:tc>
      </w:tr>
      <w:tr w:rsidR="006E40C9" w14:paraId="78E48F02" w14:textId="77777777">
        <w:trPr>
          <w:cantSplit/>
          <w:jc w:val="center"/>
        </w:trPr>
        <w:tc>
          <w:tcPr>
            <w:tcW w:w="1934" w:type="dxa"/>
            <w:gridSpan w:val="2"/>
            <w:tcBorders>
              <w:top w:val="nil"/>
            </w:tcBorders>
          </w:tcPr>
          <w:p w14:paraId="66C18847" w14:textId="77777777" w:rsidR="006E40C9" w:rsidRDefault="006E40C9">
            <w:pPr>
              <w:pStyle w:val="MeasureTableTextItalic"/>
            </w:pPr>
            <w:r>
              <w:t>Legislative reference:</w:t>
            </w:r>
          </w:p>
        </w:tc>
        <w:tc>
          <w:tcPr>
            <w:tcW w:w="5803" w:type="dxa"/>
            <w:gridSpan w:val="8"/>
            <w:tcBorders>
              <w:top w:val="nil"/>
            </w:tcBorders>
          </w:tcPr>
          <w:p w14:paraId="2995F4FE"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43 and Section 110-45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734F3EA7" w14:textId="77777777" w:rsidR="006E40C9" w:rsidRPr="00540040" w:rsidRDefault="006E40C9" w:rsidP="006E40C9">
      <w:pPr>
        <w:pStyle w:val="MeasureTableHeading"/>
      </w:pPr>
    </w:p>
    <w:p w14:paraId="4223817B" w14:textId="2492DC76" w:rsidR="006E40C9" w:rsidRDefault="006E40C9" w:rsidP="006E40C9">
      <w:r>
        <w:t>Under the benchmark, deductions for expenses related to economic benefits that are spread over time are spread over the period of the benefit. For deprecating assets this outcome is usually ensured through balancing adjustments that modify tax outcomes when assets are sold or disposed. A</w:t>
      </w:r>
      <w:r w:rsidR="0052518E">
        <w:t>n</w:t>
      </w:r>
      <w:r>
        <w:t xml:space="preserve"> </w:t>
      </w:r>
      <w:r w:rsidR="0052518E">
        <w:t>expenditure</w:t>
      </w:r>
      <w:r>
        <w:t xml:space="preserve"> occurs because c</w:t>
      </w:r>
      <w:r w:rsidRPr="009D2A56">
        <w:t>ertain buildings and structures</w:t>
      </w:r>
      <w:r>
        <w:fldChar w:fldCharType="begin"/>
      </w:r>
      <w:r>
        <w:instrText xml:space="preserve"> XE "B</w:instrText>
      </w:r>
      <w:r w:rsidRPr="000D3FB6">
        <w:instrText>uildings and structures</w:instrText>
      </w:r>
      <w:r>
        <w:instrText xml:space="preserve">" </w:instrText>
      </w:r>
      <w:r>
        <w:fldChar w:fldCharType="end"/>
      </w:r>
      <w:r w:rsidRPr="009D2A56">
        <w:t xml:space="preserve"> receive deductions that are not recaptured by balancing adjustment on disposal of the asset. This tax </w:t>
      </w:r>
      <w:r w:rsidR="0052518E">
        <w:t>expenditure</w:t>
      </w:r>
      <w:r w:rsidRPr="009D2A56">
        <w:t xml:space="preserve"> is offset by reductions in the capital gains tax cost base of the assets concerned.</w:t>
      </w:r>
    </w:p>
    <w:p w14:paraId="672B2C6A" w14:textId="77777777" w:rsidR="006E40C9" w:rsidRDefault="006E40C9" w:rsidP="00432D19">
      <w:pPr>
        <w:pStyle w:val="Heading4"/>
      </w:pPr>
      <w:r>
        <w:t>B82</w:t>
      </w:r>
      <w:r>
        <w:tab/>
        <w:t>Accelerated depreciation for business entities</w:t>
      </w:r>
    </w:p>
    <w:p w14:paraId="7E53CB73" w14:textId="33E6277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828D58" w14:textId="77777777">
        <w:trPr>
          <w:cantSplit/>
          <w:jc w:val="center"/>
        </w:trPr>
        <w:tc>
          <w:tcPr>
            <w:tcW w:w="967" w:type="dxa"/>
            <w:tcBorders>
              <w:top w:val="single" w:sz="2" w:space="0" w:color="auto"/>
              <w:bottom w:val="single" w:sz="2" w:space="0" w:color="auto"/>
            </w:tcBorders>
          </w:tcPr>
          <w:p w14:paraId="6FB0FF0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3479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C3720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F96F4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2F3A8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BE451C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226D9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0D28D45" w14:textId="77777777" w:rsidR="006E40C9" w:rsidRDefault="006E40C9">
            <w:pPr>
              <w:pStyle w:val="MeasureTableTextRightAligned"/>
            </w:pPr>
            <w:r>
              <w:t>2027-28</w:t>
            </w:r>
          </w:p>
        </w:tc>
      </w:tr>
      <w:tr w:rsidR="006E40C9" w14:paraId="38C297D4" w14:textId="77777777">
        <w:trPr>
          <w:cantSplit/>
          <w:jc w:val="center"/>
        </w:trPr>
        <w:tc>
          <w:tcPr>
            <w:tcW w:w="967" w:type="dxa"/>
            <w:tcBorders>
              <w:top w:val="single" w:sz="2" w:space="0" w:color="auto"/>
              <w:bottom w:val="single" w:sz="2" w:space="0" w:color="auto"/>
            </w:tcBorders>
          </w:tcPr>
          <w:p w14:paraId="23755DC9" w14:textId="77777777" w:rsidR="006E40C9" w:rsidRDefault="006E40C9">
            <w:pPr>
              <w:pStyle w:val="MeasureTableTextRightAligned"/>
            </w:pPr>
            <w:r>
              <w:t>400</w:t>
            </w:r>
          </w:p>
        </w:tc>
        <w:tc>
          <w:tcPr>
            <w:tcW w:w="967" w:type="dxa"/>
            <w:tcBorders>
              <w:top w:val="single" w:sz="2" w:space="0" w:color="auto"/>
              <w:bottom w:val="single" w:sz="2" w:space="0" w:color="auto"/>
            </w:tcBorders>
          </w:tcPr>
          <w:p w14:paraId="689BA250" w14:textId="77777777" w:rsidR="006E40C9" w:rsidRDefault="006E40C9">
            <w:pPr>
              <w:pStyle w:val="MeasureTableTextRightAligned"/>
            </w:pPr>
            <w:r>
              <w:t>4,200</w:t>
            </w:r>
          </w:p>
        </w:tc>
        <w:tc>
          <w:tcPr>
            <w:tcW w:w="967" w:type="dxa"/>
            <w:tcBorders>
              <w:top w:val="single" w:sz="2" w:space="0" w:color="auto"/>
              <w:bottom w:val="single" w:sz="2" w:space="0" w:color="auto"/>
            </w:tcBorders>
            <w:vAlign w:val="bottom"/>
          </w:tcPr>
          <w:p w14:paraId="35AEBD0A" w14:textId="77777777" w:rsidR="006E40C9" w:rsidRDefault="006E40C9">
            <w:pPr>
              <w:pStyle w:val="MeasureTableTextRightAligned"/>
            </w:pPr>
            <w:r>
              <w:t>8,900</w:t>
            </w:r>
          </w:p>
        </w:tc>
        <w:tc>
          <w:tcPr>
            <w:tcW w:w="967" w:type="dxa"/>
            <w:tcBorders>
              <w:top w:val="single" w:sz="2" w:space="0" w:color="auto"/>
              <w:bottom w:val="single" w:sz="2" w:space="0" w:color="auto"/>
            </w:tcBorders>
            <w:vAlign w:val="bottom"/>
          </w:tcPr>
          <w:p w14:paraId="0B970AA4" w14:textId="77777777" w:rsidR="006E40C9" w:rsidRDefault="006E40C9">
            <w:pPr>
              <w:pStyle w:val="MeasureTableTextRightAligned"/>
            </w:pPr>
            <w:r>
              <w:t>7,700</w:t>
            </w:r>
          </w:p>
        </w:tc>
        <w:tc>
          <w:tcPr>
            <w:tcW w:w="967" w:type="dxa"/>
            <w:tcBorders>
              <w:top w:val="single" w:sz="2" w:space="0" w:color="auto"/>
              <w:bottom w:val="single" w:sz="2" w:space="0" w:color="auto"/>
            </w:tcBorders>
            <w:vAlign w:val="bottom"/>
          </w:tcPr>
          <w:p w14:paraId="3C7FFF88" w14:textId="77777777" w:rsidR="006E40C9" w:rsidRDefault="006E40C9">
            <w:pPr>
              <w:pStyle w:val="MeasureTableTextRightAligned"/>
            </w:pPr>
            <w:r>
              <w:t>-3,900</w:t>
            </w:r>
          </w:p>
        </w:tc>
        <w:tc>
          <w:tcPr>
            <w:tcW w:w="967" w:type="dxa"/>
            <w:gridSpan w:val="2"/>
            <w:tcBorders>
              <w:top w:val="single" w:sz="2" w:space="0" w:color="auto"/>
              <w:bottom w:val="single" w:sz="2" w:space="0" w:color="auto"/>
            </w:tcBorders>
            <w:vAlign w:val="bottom"/>
          </w:tcPr>
          <w:p w14:paraId="157AE8F7" w14:textId="77777777" w:rsidR="006E40C9" w:rsidRDefault="006E40C9">
            <w:pPr>
              <w:pStyle w:val="MeasureTableTextRightAligned"/>
            </w:pPr>
            <w:r>
              <w:t>-6,600</w:t>
            </w:r>
          </w:p>
        </w:tc>
        <w:tc>
          <w:tcPr>
            <w:tcW w:w="967" w:type="dxa"/>
            <w:gridSpan w:val="2"/>
            <w:tcBorders>
              <w:top w:val="single" w:sz="2" w:space="0" w:color="auto"/>
              <w:bottom w:val="single" w:sz="2" w:space="0" w:color="auto"/>
            </w:tcBorders>
            <w:vAlign w:val="bottom"/>
          </w:tcPr>
          <w:p w14:paraId="2747F611" w14:textId="77777777" w:rsidR="006E40C9" w:rsidRDefault="006E40C9">
            <w:pPr>
              <w:pStyle w:val="MeasureTableTextRightAligned"/>
            </w:pPr>
            <w:r>
              <w:t>-2,500</w:t>
            </w:r>
          </w:p>
        </w:tc>
        <w:tc>
          <w:tcPr>
            <w:tcW w:w="968" w:type="dxa"/>
            <w:tcBorders>
              <w:top w:val="single" w:sz="2" w:space="0" w:color="auto"/>
              <w:bottom w:val="single" w:sz="2" w:space="0" w:color="auto"/>
            </w:tcBorders>
            <w:vAlign w:val="bottom"/>
          </w:tcPr>
          <w:p w14:paraId="0EB7B5B5" w14:textId="77777777" w:rsidR="006E40C9" w:rsidRDefault="006E40C9">
            <w:pPr>
              <w:pStyle w:val="MeasureTableTextRightAligned"/>
            </w:pPr>
            <w:r>
              <w:t>-1,400</w:t>
            </w:r>
          </w:p>
        </w:tc>
      </w:tr>
      <w:tr w:rsidR="006E40C9" w14:paraId="1CA10F23" w14:textId="77777777">
        <w:trPr>
          <w:cantSplit/>
          <w:jc w:val="center"/>
        </w:trPr>
        <w:tc>
          <w:tcPr>
            <w:tcW w:w="1934" w:type="dxa"/>
            <w:gridSpan w:val="2"/>
            <w:tcBorders>
              <w:top w:val="single" w:sz="2" w:space="0" w:color="auto"/>
              <w:bottom w:val="nil"/>
            </w:tcBorders>
          </w:tcPr>
          <w:p w14:paraId="1C4766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4358F2"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04B8427D" w14:textId="4A47E5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BDB7194" w14:textId="77777777" w:rsidR="006E40C9" w:rsidRDefault="006E40C9">
            <w:pPr>
              <w:pStyle w:val="MeasureTableTextLeftAligned"/>
            </w:pPr>
            <w:r>
              <w:t>B81</w:t>
            </w:r>
          </w:p>
        </w:tc>
      </w:tr>
      <w:tr w:rsidR="006E40C9" w14:paraId="60CEC854" w14:textId="77777777">
        <w:trPr>
          <w:cantSplit/>
          <w:jc w:val="center"/>
        </w:trPr>
        <w:tc>
          <w:tcPr>
            <w:tcW w:w="1934" w:type="dxa"/>
            <w:gridSpan w:val="2"/>
            <w:tcBorders>
              <w:top w:val="nil"/>
              <w:bottom w:val="nil"/>
            </w:tcBorders>
          </w:tcPr>
          <w:p w14:paraId="69CE79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14F78E" w14:textId="2A37DE0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C69DBD4" w14:textId="77777777" w:rsidR="006E40C9" w:rsidRDefault="006E40C9">
            <w:pPr>
              <w:pStyle w:val="MeasureTableTextItalic"/>
            </w:pPr>
          </w:p>
        </w:tc>
        <w:tc>
          <w:tcPr>
            <w:tcW w:w="1124" w:type="dxa"/>
            <w:gridSpan w:val="2"/>
            <w:tcBorders>
              <w:top w:val="nil"/>
              <w:bottom w:val="nil"/>
            </w:tcBorders>
          </w:tcPr>
          <w:p w14:paraId="5423144E" w14:textId="77777777" w:rsidR="006E40C9" w:rsidRDefault="006E40C9">
            <w:pPr>
              <w:pStyle w:val="MeasureTableTextLeftAligned"/>
            </w:pPr>
          </w:p>
        </w:tc>
      </w:tr>
      <w:tr w:rsidR="006E40C9" w14:paraId="4AEDE7DA" w14:textId="77777777">
        <w:trPr>
          <w:cantSplit/>
          <w:jc w:val="center"/>
        </w:trPr>
        <w:tc>
          <w:tcPr>
            <w:tcW w:w="1934" w:type="dxa"/>
            <w:gridSpan w:val="2"/>
            <w:tcBorders>
              <w:top w:val="nil"/>
              <w:bottom w:val="nil"/>
            </w:tcBorders>
          </w:tcPr>
          <w:p w14:paraId="77E8301B" w14:textId="77777777" w:rsidR="006E40C9" w:rsidRDefault="006E40C9">
            <w:pPr>
              <w:pStyle w:val="MeasureTableTextItalic"/>
            </w:pPr>
            <w:r>
              <w:t>Commencement date:</w:t>
            </w:r>
          </w:p>
        </w:tc>
        <w:tc>
          <w:tcPr>
            <w:tcW w:w="3179" w:type="dxa"/>
            <w:gridSpan w:val="4"/>
            <w:tcBorders>
              <w:top w:val="nil"/>
              <w:bottom w:val="nil"/>
            </w:tcBorders>
          </w:tcPr>
          <w:p w14:paraId="218A63BC" w14:textId="77777777" w:rsidR="006E40C9" w:rsidRDefault="006E40C9">
            <w:pPr>
              <w:pStyle w:val="MeasureTableTextLeftAligned"/>
            </w:pPr>
            <w:r>
              <w:t>2 April 2019</w:t>
            </w:r>
          </w:p>
        </w:tc>
        <w:tc>
          <w:tcPr>
            <w:tcW w:w="1500" w:type="dxa"/>
            <w:gridSpan w:val="2"/>
            <w:tcBorders>
              <w:top w:val="nil"/>
              <w:bottom w:val="nil"/>
            </w:tcBorders>
          </w:tcPr>
          <w:p w14:paraId="5520FABD" w14:textId="77777777" w:rsidR="006E40C9" w:rsidRPr="00F32057" w:rsidRDefault="006E40C9">
            <w:pPr>
              <w:pStyle w:val="MeasureTableTextItalic"/>
            </w:pPr>
            <w:r>
              <w:t>Expiry date:</w:t>
            </w:r>
          </w:p>
        </w:tc>
        <w:tc>
          <w:tcPr>
            <w:tcW w:w="1124" w:type="dxa"/>
            <w:gridSpan w:val="2"/>
            <w:tcBorders>
              <w:top w:val="nil"/>
              <w:bottom w:val="nil"/>
            </w:tcBorders>
          </w:tcPr>
          <w:p w14:paraId="6D3FFD86" w14:textId="77777777" w:rsidR="006E40C9" w:rsidRPr="00F32057" w:rsidRDefault="006E40C9">
            <w:pPr>
              <w:pStyle w:val="MeasureTableTextLeftAligned"/>
            </w:pPr>
            <w:r>
              <w:t>30 June 2023</w:t>
            </w:r>
          </w:p>
        </w:tc>
      </w:tr>
      <w:tr w:rsidR="006E40C9" w14:paraId="54EDF81B" w14:textId="77777777">
        <w:trPr>
          <w:cantSplit/>
          <w:jc w:val="center"/>
        </w:trPr>
        <w:tc>
          <w:tcPr>
            <w:tcW w:w="1934" w:type="dxa"/>
            <w:gridSpan w:val="2"/>
            <w:tcBorders>
              <w:top w:val="nil"/>
            </w:tcBorders>
          </w:tcPr>
          <w:p w14:paraId="23E47EDF" w14:textId="77777777" w:rsidR="006E40C9" w:rsidRDefault="006E40C9">
            <w:pPr>
              <w:pStyle w:val="MeasureTableTextItalic"/>
            </w:pPr>
            <w:r>
              <w:t>Legislative reference:</w:t>
            </w:r>
          </w:p>
        </w:tc>
        <w:tc>
          <w:tcPr>
            <w:tcW w:w="5803" w:type="dxa"/>
            <w:gridSpan w:val="8"/>
            <w:tcBorders>
              <w:top w:val="nil"/>
            </w:tcBorders>
          </w:tcPr>
          <w:p w14:paraId="0FE4015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40-82 of the </w:t>
            </w:r>
            <w:r>
              <w:rPr>
                <w:rFonts w:ascii="Arial" w:hAnsi="Arial" w:cs="Arial"/>
                <w:i/>
                <w:iCs/>
                <w:color w:val="000000"/>
                <w:sz w:val="16"/>
                <w:szCs w:val="16"/>
              </w:rPr>
              <w:t>Income Tax Assessment Act 1997</w:t>
            </w:r>
          </w:p>
          <w:p w14:paraId="39140F4B"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Subdivision 40-BA of the</w:t>
            </w:r>
            <w:r>
              <w:rPr>
                <w:rFonts w:ascii="Arial" w:hAnsi="Arial" w:cs="Arial"/>
                <w:i/>
                <w:iCs/>
                <w:color w:val="000000"/>
                <w:sz w:val="16"/>
                <w:szCs w:val="16"/>
              </w:rPr>
              <w:t xml:space="preserve"> Income Tax (Transitional Provisions) Act 1997</w:t>
            </w:r>
          </w:p>
          <w:p w14:paraId="519B7B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40-BB of the </w:t>
            </w:r>
            <w:r>
              <w:rPr>
                <w:rFonts w:ascii="Arial" w:hAnsi="Arial" w:cs="Arial"/>
                <w:i/>
                <w:iCs/>
                <w:color w:val="000000"/>
                <w:sz w:val="16"/>
                <w:szCs w:val="16"/>
              </w:rPr>
              <w:t>Income Tax (Transitional Provisions) Act 1997</w:t>
            </w:r>
          </w:p>
        </w:tc>
      </w:tr>
    </w:tbl>
    <w:p w14:paraId="485408D0" w14:textId="77777777" w:rsidR="006E40C9" w:rsidRPr="00540040" w:rsidRDefault="006E40C9" w:rsidP="006E40C9">
      <w:pPr>
        <w:pStyle w:val="MeasureTableHeading"/>
      </w:pPr>
    </w:p>
    <w:p w14:paraId="5AE2E7B5" w14:textId="77777777" w:rsidR="006E40C9" w:rsidRPr="00BF3C4B" w:rsidRDefault="006E40C9" w:rsidP="003034AA">
      <w:r w:rsidRPr="00BF3C4B">
        <w:t xml:space="preserve">Under the benchmark, depreciating assets are generally written off over their effective lives. </w:t>
      </w:r>
    </w:p>
    <w:p w14:paraId="4DDFE3EB" w14:textId="51A50F79" w:rsidR="006E40C9" w:rsidRPr="00BF3C4B" w:rsidRDefault="006E40C9" w:rsidP="003034AA">
      <w:r w:rsidRPr="00BF3C4B">
        <w:t xml:space="preserve">A tax </w:t>
      </w:r>
      <w:r>
        <w:t>expenditure</w:t>
      </w:r>
      <w:r w:rsidRPr="00BF3C4B">
        <w:t xml:space="preserve"> ar</w:t>
      </w:r>
      <w:r>
        <w:t>o</w:t>
      </w:r>
      <w:r w:rsidRPr="00BF3C4B">
        <w:t xml:space="preserve">se because business entities with an aggregated annual turnover below a threshold </w:t>
      </w:r>
      <w:r>
        <w:t xml:space="preserve">could </w:t>
      </w:r>
      <w:r w:rsidRPr="00BF3C4B">
        <w:t xml:space="preserve">access accelerated depreciation arrangements for eligible assets. Where a business entity </w:t>
      </w:r>
      <w:r>
        <w:t>was</w:t>
      </w:r>
      <w:r w:rsidRPr="00BF3C4B">
        <w:t xml:space="preserve"> eligible for multiple concessions for a particular asset, only one </w:t>
      </w:r>
      <w:r>
        <w:t>could</w:t>
      </w:r>
      <w:r w:rsidRPr="00BF3C4B">
        <w:t xml:space="preserve"> apply. </w:t>
      </w:r>
    </w:p>
    <w:p w14:paraId="21378E0F" w14:textId="77777777" w:rsidR="006E40C9" w:rsidRPr="00BF3C4B" w:rsidRDefault="006E40C9" w:rsidP="003034AA">
      <w:r w:rsidRPr="00BF3C4B">
        <w:t>From 12 March 2020 to 31 December 2020, businesses with an aggregated annual turnover between $10 million and $500 million could fully deduct eligible new and second</w:t>
      </w:r>
      <w:r>
        <w:t>-</w:t>
      </w:r>
      <w:r w:rsidRPr="00BF3C4B">
        <w:t>hand assets costing less than $150,000. Eligible assets had to be purchased by 31</w:t>
      </w:r>
      <w:r>
        <w:t> </w:t>
      </w:r>
      <w:r w:rsidRPr="00BF3C4B">
        <w:t xml:space="preserve">December 2020 and then first used or installed by 30 June 2021. </w:t>
      </w:r>
    </w:p>
    <w:p w14:paraId="6B518733" w14:textId="77777777" w:rsidR="006E40C9" w:rsidRPr="00BF3C4B" w:rsidRDefault="006E40C9" w:rsidP="003034AA">
      <w:r w:rsidRPr="00BF3C4B">
        <w:t>For assets purchased from 12 March 2020 and first used or installed by 30 June 2021, businesses with an aggregated annual turnover of less than $500 million could deduct 50 per cent of the cost of new eligible assets, of any value, in the year of first use or installation, with ordinary depreciation rules applying to the balance of an asset’s cost. This initiative is known as the Backing Business Investment incentive.</w:t>
      </w:r>
    </w:p>
    <w:p w14:paraId="31BCA0BF" w14:textId="77777777" w:rsidR="006E40C9" w:rsidRDefault="006E40C9" w:rsidP="003034AA">
      <w:r w:rsidRPr="00BF3C4B">
        <w:t>Eligible businesses, including those with an aggregated annual turnover of less than $5</w:t>
      </w:r>
      <w:r>
        <w:t> </w:t>
      </w:r>
      <w:r w:rsidRPr="00BF3C4B">
        <w:t>billion c</w:t>
      </w:r>
      <w:r>
        <w:t>ould</w:t>
      </w:r>
      <w:r w:rsidRPr="00BF3C4B">
        <w:t xml:space="preserve"> fully deduct the cost of eligible assets acquired from 7:30pm (AEDT) on 6</w:t>
      </w:r>
      <w:r>
        <w:t> </w:t>
      </w:r>
      <w:r w:rsidRPr="00BF3C4B">
        <w:t>October 2020 and first used or installed by 30 June 202</w:t>
      </w:r>
      <w:r>
        <w:t>3</w:t>
      </w:r>
      <w:r w:rsidRPr="00BF3C4B">
        <w:t>. This initiative is known as temporary full expensing. Eligible assets include</w:t>
      </w:r>
      <w:r>
        <w:t>d</w:t>
      </w:r>
      <w:r w:rsidRPr="00BF3C4B">
        <w:t xml:space="preserve"> new depreciating assets and the cost of improvements to existing eligible assets. Small and medium businesses with an aggregated annual turnover of less than $50 million c</w:t>
      </w:r>
      <w:r>
        <w:t xml:space="preserve">ould </w:t>
      </w:r>
      <w:r w:rsidRPr="00BF3C4B">
        <w:t>also fully deduct the cost of second</w:t>
      </w:r>
      <w:r>
        <w:t>-</w:t>
      </w:r>
      <w:r w:rsidRPr="00BF3C4B">
        <w:t>hand assets.</w:t>
      </w:r>
    </w:p>
    <w:p w14:paraId="2C6F848C" w14:textId="77777777" w:rsidR="006E40C9" w:rsidRDefault="006E40C9" w:rsidP="003034AA">
      <w:r w:rsidRPr="00242AD2">
        <w:t>Small business entities with an aggregated annual turnover of less than $10 million can instead choose to access accelerated depreciation through the simplified depreciation rules.</w:t>
      </w:r>
    </w:p>
    <w:p w14:paraId="4D3CBB70" w14:textId="77777777" w:rsidR="006E40C9" w:rsidRDefault="006E40C9" w:rsidP="00432D19">
      <w:pPr>
        <w:pStyle w:val="Heading4"/>
      </w:pPr>
      <w:r>
        <w:t>B83</w:t>
      </w:r>
      <w:r>
        <w:tab/>
        <w:t>Capital works expenditure deduction</w:t>
      </w:r>
    </w:p>
    <w:p w14:paraId="2DEF8397" w14:textId="2A4B5BF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1DAFB2B" w14:textId="77777777">
        <w:trPr>
          <w:cantSplit/>
          <w:jc w:val="center"/>
        </w:trPr>
        <w:tc>
          <w:tcPr>
            <w:tcW w:w="967" w:type="dxa"/>
            <w:tcBorders>
              <w:top w:val="single" w:sz="2" w:space="0" w:color="auto"/>
              <w:bottom w:val="single" w:sz="2" w:space="0" w:color="auto"/>
            </w:tcBorders>
          </w:tcPr>
          <w:p w14:paraId="589811C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EE8B3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5F458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FFAF44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97A366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08551B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59C22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EF3BEF" w14:textId="77777777" w:rsidR="006E40C9" w:rsidRDefault="006E40C9">
            <w:pPr>
              <w:pStyle w:val="MeasureTableTextRightAligned"/>
            </w:pPr>
            <w:r>
              <w:t>2027-28</w:t>
            </w:r>
          </w:p>
        </w:tc>
      </w:tr>
      <w:tr w:rsidR="006E40C9" w14:paraId="6718FA19" w14:textId="77777777">
        <w:trPr>
          <w:cantSplit/>
          <w:jc w:val="center"/>
        </w:trPr>
        <w:tc>
          <w:tcPr>
            <w:tcW w:w="967" w:type="dxa"/>
            <w:tcBorders>
              <w:top w:val="single" w:sz="2" w:space="0" w:color="auto"/>
              <w:bottom w:val="single" w:sz="2" w:space="0" w:color="auto"/>
            </w:tcBorders>
          </w:tcPr>
          <w:p w14:paraId="08E27512" w14:textId="77777777" w:rsidR="006E40C9" w:rsidRDefault="006E40C9">
            <w:pPr>
              <w:pStyle w:val="MeasureTableTextRightAligned"/>
            </w:pPr>
            <w:r>
              <w:t>1,240</w:t>
            </w:r>
          </w:p>
        </w:tc>
        <w:tc>
          <w:tcPr>
            <w:tcW w:w="967" w:type="dxa"/>
            <w:tcBorders>
              <w:top w:val="single" w:sz="2" w:space="0" w:color="auto"/>
              <w:bottom w:val="single" w:sz="2" w:space="0" w:color="auto"/>
            </w:tcBorders>
          </w:tcPr>
          <w:p w14:paraId="72B1DBD9" w14:textId="77777777" w:rsidR="006E40C9" w:rsidRDefault="006E40C9">
            <w:pPr>
              <w:pStyle w:val="MeasureTableTextRightAligned"/>
            </w:pPr>
            <w:r>
              <w:t>1,270</w:t>
            </w:r>
          </w:p>
        </w:tc>
        <w:tc>
          <w:tcPr>
            <w:tcW w:w="967" w:type="dxa"/>
            <w:tcBorders>
              <w:top w:val="single" w:sz="2" w:space="0" w:color="auto"/>
              <w:bottom w:val="single" w:sz="2" w:space="0" w:color="auto"/>
            </w:tcBorders>
            <w:vAlign w:val="bottom"/>
          </w:tcPr>
          <w:p w14:paraId="2C4C0965" w14:textId="77777777" w:rsidR="006E40C9" w:rsidRDefault="006E40C9">
            <w:pPr>
              <w:pStyle w:val="MeasureTableTextRightAligned"/>
            </w:pPr>
            <w:r>
              <w:t>1,310</w:t>
            </w:r>
          </w:p>
        </w:tc>
        <w:tc>
          <w:tcPr>
            <w:tcW w:w="967" w:type="dxa"/>
            <w:tcBorders>
              <w:top w:val="single" w:sz="2" w:space="0" w:color="auto"/>
              <w:bottom w:val="single" w:sz="2" w:space="0" w:color="auto"/>
            </w:tcBorders>
            <w:vAlign w:val="bottom"/>
          </w:tcPr>
          <w:p w14:paraId="7C114161" w14:textId="77777777" w:rsidR="006E40C9" w:rsidRDefault="006E40C9">
            <w:pPr>
              <w:pStyle w:val="MeasureTableTextRightAligned"/>
            </w:pPr>
            <w:r>
              <w:t>1,370</w:t>
            </w:r>
          </w:p>
        </w:tc>
        <w:tc>
          <w:tcPr>
            <w:tcW w:w="967" w:type="dxa"/>
            <w:tcBorders>
              <w:top w:val="single" w:sz="2" w:space="0" w:color="auto"/>
              <w:bottom w:val="single" w:sz="2" w:space="0" w:color="auto"/>
            </w:tcBorders>
            <w:vAlign w:val="bottom"/>
          </w:tcPr>
          <w:p w14:paraId="3D061056" w14:textId="77777777" w:rsidR="006E40C9" w:rsidRDefault="006E40C9">
            <w:pPr>
              <w:pStyle w:val="MeasureTableTextRightAligned"/>
            </w:pPr>
            <w:r>
              <w:t>1,430</w:t>
            </w:r>
          </w:p>
        </w:tc>
        <w:tc>
          <w:tcPr>
            <w:tcW w:w="967" w:type="dxa"/>
            <w:gridSpan w:val="2"/>
            <w:tcBorders>
              <w:top w:val="single" w:sz="2" w:space="0" w:color="auto"/>
              <w:bottom w:val="single" w:sz="2" w:space="0" w:color="auto"/>
            </w:tcBorders>
            <w:vAlign w:val="bottom"/>
          </w:tcPr>
          <w:p w14:paraId="2CAD94E0" w14:textId="77777777" w:rsidR="006E40C9" w:rsidRDefault="006E40C9">
            <w:pPr>
              <w:pStyle w:val="MeasureTableTextRightAligned"/>
            </w:pPr>
            <w:r>
              <w:t>1,430</w:t>
            </w:r>
          </w:p>
        </w:tc>
        <w:tc>
          <w:tcPr>
            <w:tcW w:w="967" w:type="dxa"/>
            <w:gridSpan w:val="2"/>
            <w:tcBorders>
              <w:top w:val="single" w:sz="2" w:space="0" w:color="auto"/>
              <w:bottom w:val="single" w:sz="2" w:space="0" w:color="auto"/>
            </w:tcBorders>
            <w:vAlign w:val="bottom"/>
          </w:tcPr>
          <w:p w14:paraId="1A3522DA" w14:textId="77777777" w:rsidR="006E40C9" w:rsidRDefault="006E40C9">
            <w:pPr>
              <w:pStyle w:val="MeasureTableTextRightAligned"/>
            </w:pPr>
            <w:r>
              <w:t>1,500</w:t>
            </w:r>
          </w:p>
        </w:tc>
        <w:tc>
          <w:tcPr>
            <w:tcW w:w="968" w:type="dxa"/>
            <w:tcBorders>
              <w:top w:val="single" w:sz="2" w:space="0" w:color="auto"/>
              <w:bottom w:val="single" w:sz="2" w:space="0" w:color="auto"/>
            </w:tcBorders>
            <w:vAlign w:val="bottom"/>
          </w:tcPr>
          <w:p w14:paraId="0386D7FF" w14:textId="77777777" w:rsidR="006E40C9" w:rsidRDefault="006E40C9">
            <w:pPr>
              <w:pStyle w:val="MeasureTableTextRightAligned"/>
            </w:pPr>
            <w:r>
              <w:t>1,580</w:t>
            </w:r>
          </w:p>
        </w:tc>
      </w:tr>
      <w:tr w:rsidR="006E40C9" w14:paraId="7344919A" w14:textId="77777777">
        <w:trPr>
          <w:cantSplit/>
          <w:jc w:val="center"/>
        </w:trPr>
        <w:tc>
          <w:tcPr>
            <w:tcW w:w="1934" w:type="dxa"/>
            <w:gridSpan w:val="2"/>
            <w:tcBorders>
              <w:top w:val="single" w:sz="2" w:space="0" w:color="auto"/>
              <w:bottom w:val="nil"/>
            </w:tcBorders>
          </w:tcPr>
          <w:p w14:paraId="443F6E3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0742BB7"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13BDEF5D" w14:textId="5D69431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8947B21" w14:textId="77777777" w:rsidR="006E40C9" w:rsidRDefault="006E40C9">
            <w:pPr>
              <w:pStyle w:val="MeasureTableTextLeftAligned"/>
            </w:pPr>
            <w:r>
              <w:t>B82</w:t>
            </w:r>
          </w:p>
        </w:tc>
      </w:tr>
      <w:tr w:rsidR="006E40C9" w14:paraId="3169F667" w14:textId="77777777">
        <w:trPr>
          <w:cantSplit/>
          <w:jc w:val="center"/>
        </w:trPr>
        <w:tc>
          <w:tcPr>
            <w:tcW w:w="1934" w:type="dxa"/>
            <w:gridSpan w:val="2"/>
            <w:tcBorders>
              <w:top w:val="nil"/>
              <w:bottom w:val="nil"/>
            </w:tcBorders>
          </w:tcPr>
          <w:p w14:paraId="2892C17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142009" w14:textId="791A87D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C1DC925" w14:textId="77777777" w:rsidR="006E40C9" w:rsidRDefault="006E40C9">
            <w:pPr>
              <w:pStyle w:val="MeasureTableTextItalic"/>
            </w:pPr>
          </w:p>
        </w:tc>
        <w:tc>
          <w:tcPr>
            <w:tcW w:w="1124" w:type="dxa"/>
            <w:gridSpan w:val="2"/>
            <w:tcBorders>
              <w:top w:val="nil"/>
              <w:bottom w:val="nil"/>
            </w:tcBorders>
          </w:tcPr>
          <w:p w14:paraId="3DBA5C0B" w14:textId="77777777" w:rsidR="006E40C9" w:rsidRDefault="006E40C9">
            <w:pPr>
              <w:pStyle w:val="MeasureTableTextLeftAligned"/>
            </w:pPr>
          </w:p>
        </w:tc>
      </w:tr>
      <w:tr w:rsidR="006E40C9" w14:paraId="67634BEE" w14:textId="77777777">
        <w:trPr>
          <w:cantSplit/>
          <w:jc w:val="center"/>
        </w:trPr>
        <w:tc>
          <w:tcPr>
            <w:tcW w:w="1934" w:type="dxa"/>
            <w:gridSpan w:val="2"/>
            <w:tcBorders>
              <w:top w:val="nil"/>
              <w:bottom w:val="nil"/>
            </w:tcBorders>
          </w:tcPr>
          <w:p w14:paraId="491E902E" w14:textId="77777777" w:rsidR="006E40C9" w:rsidRDefault="006E40C9">
            <w:pPr>
              <w:pStyle w:val="MeasureTableTextItalic"/>
            </w:pPr>
            <w:r>
              <w:t>Commencement date:</w:t>
            </w:r>
          </w:p>
        </w:tc>
        <w:tc>
          <w:tcPr>
            <w:tcW w:w="3179" w:type="dxa"/>
            <w:gridSpan w:val="4"/>
            <w:tcBorders>
              <w:top w:val="nil"/>
              <w:bottom w:val="nil"/>
            </w:tcBorders>
          </w:tcPr>
          <w:p w14:paraId="348E087B" w14:textId="77777777" w:rsidR="006E40C9" w:rsidRDefault="006E40C9">
            <w:pPr>
              <w:pStyle w:val="MeasureTableTextLeftAligned"/>
            </w:pPr>
            <w:r>
              <w:t>21 August 1979</w:t>
            </w:r>
          </w:p>
        </w:tc>
        <w:tc>
          <w:tcPr>
            <w:tcW w:w="1500" w:type="dxa"/>
            <w:gridSpan w:val="2"/>
            <w:tcBorders>
              <w:top w:val="nil"/>
              <w:bottom w:val="nil"/>
            </w:tcBorders>
          </w:tcPr>
          <w:p w14:paraId="47E8335F" w14:textId="77777777" w:rsidR="006E40C9" w:rsidRPr="00F32057" w:rsidRDefault="006E40C9">
            <w:pPr>
              <w:pStyle w:val="MeasureTableTextItalic"/>
            </w:pPr>
            <w:r>
              <w:t>Expiry date:</w:t>
            </w:r>
          </w:p>
        </w:tc>
        <w:tc>
          <w:tcPr>
            <w:tcW w:w="1124" w:type="dxa"/>
            <w:gridSpan w:val="2"/>
            <w:tcBorders>
              <w:top w:val="nil"/>
              <w:bottom w:val="nil"/>
            </w:tcBorders>
          </w:tcPr>
          <w:p w14:paraId="32079170" w14:textId="77777777" w:rsidR="006E40C9" w:rsidRPr="00F32057" w:rsidRDefault="006E40C9">
            <w:pPr>
              <w:pStyle w:val="MeasureTableTextLeftAligned"/>
            </w:pPr>
          </w:p>
        </w:tc>
      </w:tr>
      <w:tr w:rsidR="006E40C9" w14:paraId="33353781" w14:textId="77777777">
        <w:trPr>
          <w:cantSplit/>
          <w:jc w:val="center"/>
        </w:trPr>
        <w:tc>
          <w:tcPr>
            <w:tcW w:w="1934" w:type="dxa"/>
            <w:gridSpan w:val="2"/>
            <w:tcBorders>
              <w:top w:val="nil"/>
            </w:tcBorders>
          </w:tcPr>
          <w:p w14:paraId="6764C5EC" w14:textId="77777777" w:rsidR="006E40C9" w:rsidRDefault="006E40C9">
            <w:pPr>
              <w:pStyle w:val="MeasureTableTextItalic"/>
            </w:pPr>
            <w:r>
              <w:t>Legislative reference:</w:t>
            </w:r>
          </w:p>
        </w:tc>
        <w:tc>
          <w:tcPr>
            <w:tcW w:w="5803" w:type="dxa"/>
            <w:gridSpan w:val="8"/>
            <w:tcBorders>
              <w:top w:val="nil"/>
            </w:tcBorders>
          </w:tcPr>
          <w:p w14:paraId="2009CE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 43 of the</w:t>
            </w:r>
            <w:r>
              <w:rPr>
                <w:rFonts w:ascii="Arial" w:hAnsi="Arial" w:cs="Arial"/>
                <w:i/>
                <w:iCs/>
                <w:color w:val="000000"/>
                <w:sz w:val="16"/>
                <w:szCs w:val="16"/>
              </w:rPr>
              <w:t xml:space="preserve"> Income Tax Assessment Act 1997</w:t>
            </w:r>
          </w:p>
        </w:tc>
      </w:tr>
    </w:tbl>
    <w:p w14:paraId="1B9F2B34" w14:textId="77777777" w:rsidR="006E40C9" w:rsidRPr="00540040" w:rsidRDefault="006E40C9" w:rsidP="006E40C9">
      <w:pPr>
        <w:pStyle w:val="MeasureTableHeading"/>
      </w:pPr>
    </w:p>
    <w:p w14:paraId="44492D7A" w14:textId="1E714EBC" w:rsidR="006E40C9" w:rsidRDefault="006E40C9" w:rsidP="006E40C9">
      <w:pPr>
        <w:autoSpaceDE w:val="0"/>
        <w:autoSpaceDN w:val="0"/>
        <w:adjustRightInd w:val="0"/>
        <w:rPr>
          <w:rFonts w:cs="Book Antiqua"/>
        </w:rPr>
      </w:pPr>
      <w:r>
        <w:rPr>
          <w:rFonts w:cs="Book Antiqua"/>
        </w:rPr>
        <w:t>Under the benchmark assets are depreciated over their effective lives. A taxpayer can claim a deduction for capital works expenditure</w:t>
      </w:r>
      <w:r>
        <w:rPr>
          <w:rFonts w:cs="Book Antiqua"/>
        </w:rPr>
        <w:fldChar w:fldCharType="begin"/>
      </w:r>
      <w:r>
        <w:instrText xml:space="preserve"> XE "Accelerated depreciation:</w:instrText>
      </w:r>
      <w:r>
        <w:rPr>
          <w:rFonts w:cs="Book Antiqua"/>
        </w:rPr>
        <w:instrText>C</w:instrText>
      </w:r>
      <w:r w:rsidRPr="00192120">
        <w:rPr>
          <w:rFonts w:cs="Book Antiqua"/>
        </w:rPr>
        <w:instrText>apital works expenditure</w:instrText>
      </w:r>
      <w:r>
        <w:instrText xml:space="preserve">" </w:instrText>
      </w:r>
      <w:r>
        <w:rPr>
          <w:rFonts w:cs="Book Antiqua"/>
        </w:rPr>
        <w:fldChar w:fldCharType="end"/>
      </w:r>
      <w:r>
        <w:rPr>
          <w:rFonts w:cs="Book Antiqua"/>
        </w:rPr>
        <w:t xml:space="preserve"> </w:t>
      </w:r>
      <w:r w:rsidRPr="00B0210A">
        <w:t>over a period that is generally shorter than the effective life of the asset</w:t>
      </w:r>
      <w:r>
        <w:t xml:space="preserve">. </w:t>
      </w:r>
      <w:r>
        <w:rPr>
          <w:rFonts w:cs="Book Antiqua"/>
        </w:rPr>
        <w:t>Capital works can be deducted at either 2.5 per cent (over 40 years) or 4 per cent (over 25 years) of the construction expenditure, depending on when construction started and how the capital works are used.</w:t>
      </w:r>
    </w:p>
    <w:p w14:paraId="46627504" w14:textId="77777777" w:rsidR="006E40C9" w:rsidRDefault="006E40C9" w:rsidP="00432D19">
      <w:pPr>
        <w:pStyle w:val="Heading4"/>
      </w:pPr>
      <w:r>
        <w:t>B84</w:t>
      </w:r>
      <w:r>
        <w:tab/>
        <w:t>Depreciation balancing adjustment roll-over relief</w:t>
      </w:r>
    </w:p>
    <w:p w14:paraId="4A2FF02C" w14:textId="11E846F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6D53727" w14:textId="77777777">
        <w:trPr>
          <w:cantSplit/>
          <w:jc w:val="center"/>
        </w:trPr>
        <w:tc>
          <w:tcPr>
            <w:tcW w:w="967" w:type="dxa"/>
            <w:tcBorders>
              <w:top w:val="single" w:sz="2" w:space="0" w:color="auto"/>
              <w:bottom w:val="single" w:sz="2" w:space="0" w:color="auto"/>
            </w:tcBorders>
          </w:tcPr>
          <w:p w14:paraId="2C1D9A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6AAFAC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635DE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716A7A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B29D29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808B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6435C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37050B6" w14:textId="77777777" w:rsidR="006E40C9" w:rsidRDefault="006E40C9">
            <w:pPr>
              <w:pStyle w:val="MeasureTableTextRightAligned"/>
            </w:pPr>
            <w:r>
              <w:t>2027-28</w:t>
            </w:r>
          </w:p>
        </w:tc>
      </w:tr>
      <w:tr w:rsidR="006E40C9" w14:paraId="76024517" w14:textId="77777777">
        <w:trPr>
          <w:cantSplit/>
          <w:jc w:val="center"/>
        </w:trPr>
        <w:tc>
          <w:tcPr>
            <w:tcW w:w="967" w:type="dxa"/>
            <w:tcBorders>
              <w:top w:val="single" w:sz="2" w:space="0" w:color="auto"/>
              <w:bottom w:val="single" w:sz="2" w:space="0" w:color="auto"/>
            </w:tcBorders>
          </w:tcPr>
          <w:p w14:paraId="0CB18F44" w14:textId="77777777" w:rsidR="006E40C9" w:rsidRDefault="006E40C9">
            <w:pPr>
              <w:pStyle w:val="MeasureTableTextRightAligned"/>
            </w:pPr>
            <w:r>
              <w:t>*</w:t>
            </w:r>
          </w:p>
        </w:tc>
        <w:tc>
          <w:tcPr>
            <w:tcW w:w="967" w:type="dxa"/>
            <w:tcBorders>
              <w:top w:val="single" w:sz="2" w:space="0" w:color="auto"/>
              <w:bottom w:val="single" w:sz="2" w:space="0" w:color="auto"/>
            </w:tcBorders>
          </w:tcPr>
          <w:p w14:paraId="12D1CAB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5BA6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1CCC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D05DD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BACD62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A04FD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124A609" w14:textId="77777777" w:rsidR="006E40C9" w:rsidRDefault="006E40C9">
            <w:pPr>
              <w:pStyle w:val="MeasureTableTextRightAligned"/>
            </w:pPr>
            <w:r>
              <w:t>*</w:t>
            </w:r>
          </w:p>
        </w:tc>
      </w:tr>
      <w:tr w:rsidR="006E40C9" w14:paraId="48C3434C" w14:textId="77777777">
        <w:trPr>
          <w:cantSplit/>
          <w:jc w:val="center"/>
        </w:trPr>
        <w:tc>
          <w:tcPr>
            <w:tcW w:w="1934" w:type="dxa"/>
            <w:gridSpan w:val="2"/>
            <w:tcBorders>
              <w:top w:val="single" w:sz="2" w:space="0" w:color="auto"/>
              <w:bottom w:val="nil"/>
            </w:tcBorders>
          </w:tcPr>
          <w:p w14:paraId="502168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CB0510D" w14:textId="77777777" w:rsidR="006E40C9" w:rsidRDefault="006E40C9">
            <w:pPr>
              <w:pStyle w:val="MeasureTableTextLeftAligned"/>
            </w:pPr>
            <w:r>
              <w:t>Deferral</w:t>
            </w:r>
          </w:p>
        </w:tc>
        <w:tc>
          <w:tcPr>
            <w:tcW w:w="1500" w:type="dxa"/>
            <w:gridSpan w:val="2"/>
            <w:tcBorders>
              <w:top w:val="single" w:sz="2" w:space="0" w:color="auto"/>
              <w:bottom w:val="nil"/>
            </w:tcBorders>
          </w:tcPr>
          <w:p w14:paraId="03223AB1" w14:textId="40AFF9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32390B" w14:textId="77777777" w:rsidR="006E40C9" w:rsidRDefault="006E40C9">
            <w:pPr>
              <w:pStyle w:val="MeasureTableTextLeftAligned"/>
            </w:pPr>
            <w:r>
              <w:t>B83</w:t>
            </w:r>
          </w:p>
        </w:tc>
      </w:tr>
      <w:tr w:rsidR="006E40C9" w14:paraId="5C4FBE58" w14:textId="77777777">
        <w:trPr>
          <w:cantSplit/>
          <w:jc w:val="center"/>
        </w:trPr>
        <w:tc>
          <w:tcPr>
            <w:tcW w:w="1934" w:type="dxa"/>
            <w:gridSpan w:val="2"/>
            <w:tcBorders>
              <w:top w:val="nil"/>
              <w:bottom w:val="nil"/>
            </w:tcBorders>
          </w:tcPr>
          <w:p w14:paraId="05F9A57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D5417" w14:textId="77777777" w:rsidR="006E40C9" w:rsidRPr="00584CA7" w:rsidRDefault="006E40C9">
            <w:pPr>
              <w:pStyle w:val="MeasureTableTextLeftAligned"/>
            </w:pPr>
            <w:r>
              <w:t>Not Applicable</w:t>
            </w:r>
          </w:p>
        </w:tc>
        <w:tc>
          <w:tcPr>
            <w:tcW w:w="1500" w:type="dxa"/>
            <w:gridSpan w:val="2"/>
            <w:tcBorders>
              <w:top w:val="nil"/>
              <w:bottom w:val="nil"/>
            </w:tcBorders>
          </w:tcPr>
          <w:p w14:paraId="129FE75A" w14:textId="77777777" w:rsidR="006E40C9" w:rsidRDefault="006E40C9">
            <w:pPr>
              <w:pStyle w:val="MeasureTableTextItalic"/>
            </w:pPr>
            <w:r>
              <w:t>* Category</w:t>
            </w:r>
          </w:p>
        </w:tc>
        <w:tc>
          <w:tcPr>
            <w:tcW w:w="1124" w:type="dxa"/>
            <w:gridSpan w:val="2"/>
            <w:tcBorders>
              <w:top w:val="nil"/>
              <w:bottom w:val="nil"/>
            </w:tcBorders>
          </w:tcPr>
          <w:p w14:paraId="1B7B17E0" w14:textId="77777777" w:rsidR="006E40C9" w:rsidRDefault="006E40C9">
            <w:pPr>
              <w:pStyle w:val="MeasureTableTextLeftAligned"/>
            </w:pPr>
            <w:r>
              <w:t>1+</w:t>
            </w:r>
          </w:p>
        </w:tc>
      </w:tr>
      <w:tr w:rsidR="006E40C9" w14:paraId="673A489D" w14:textId="77777777">
        <w:trPr>
          <w:cantSplit/>
          <w:jc w:val="center"/>
        </w:trPr>
        <w:tc>
          <w:tcPr>
            <w:tcW w:w="1934" w:type="dxa"/>
            <w:gridSpan w:val="2"/>
            <w:tcBorders>
              <w:top w:val="nil"/>
              <w:bottom w:val="nil"/>
            </w:tcBorders>
          </w:tcPr>
          <w:p w14:paraId="7A462B3A" w14:textId="77777777" w:rsidR="006E40C9" w:rsidRDefault="006E40C9">
            <w:pPr>
              <w:pStyle w:val="MeasureTableTextItalic"/>
            </w:pPr>
            <w:r>
              <w:t>Commencement date:</w:t>
            </w:r>
          </w:p>
        </w:tc>
        <w:tc>
          <w:tcPr>
            <w:tcW w:w="3179" w:type="dxa"/>
            <w:gridSpan w:val="4"/>
            <w:tcBorders>
              <w:top w:val="nil"/>
              <w:bottom w:val="nil"/>
            </w:tcBorders>
          </w:tcPr>
          <w:p w14:paraId="70F55A89" w14:textId="77777777" w:rsidR="006E40C9" w:rsidRDefault="006E40C9">
            <w:pPr>
              <w:pStyle w:val="MeasureTableTextLeftAligned"/>
            </w:pPr>
            <w:r>
              <w:t>1952</w:t>
            </w:r>
          </w:p>
        </w:tc>
        <w:tc>
          <w:tcPr>
            <w:tcW w:w="1500" w:type="dxa"/>
            <w:gridSpan w:val="2"/>
            <w:tcBorders>
              <w:top w:val="nil"/>
              <w:bottom w:val="nil"/>
            </w:tcBorders>
          </w:tcPr>
          <w:p w14:paraId="0F9F2D63" w14:textId="77777777" w:rsidR="006E40C9" w:rsidRPr="00F32057" w:rsidRDefault="006E40C9">
            <w:pPr>
              <w:pStyle w:val="MeasureTableTextItalic"/>
            </w:pPr>
            <w:r>
              <w:t>Expiry date:</w:t>
            </w:r>
          </w:p>
        </w:tc>
        <w:tc>
          <w:tcPr>
            <w:tcW w:w="1124" w:type="dxa"/>
            <w:gridSpan w:val="2"/>
            <w:tcBorders>
              <w:top w:val="nil"/>
              <w:bottom w:val="nil"/>
            </w:tcBorders>
          </w:tcPr>
          <w:p w14:paraId="689CECEE" w14:textId="77777777" w:rsidR="006E40C9" w:rsidRPr="00F32057" w:rsidRDefault="006E40C9">
            <w:pPr>
              <w:pStyle w:val="MeasureTableTextLeftAligned"/>
            </w:pPr>
          </w:p>
        </w:tc>
      </w:tr>
      <w:tr w:rsidR="006E40C9" w14:paraId="661A6B9C" w14:textId="77777777">
        <w:trPr>
          <w:cantSplit/>
          <w:jc w:val="center"/>
        </w:trPr>
        <w:tc>
          <w:tcPr>
            <w:tcW w:w="1934" w:type="dxa"/>
            <w:gridSpan w:val="2"/>
            <w:tcBorders>
              <w:top w:val="nil"/>
            </w:tcBorders>
          </w:tcPr>
          <w:p w14:paraId="4200AD4A" w14:textId="77777777" w:rsidR="006E40C9" w:rsidRDefault="006E40C9">
            <w:pPr>
              <w:pStyle w:val="MeasureTableTextItalic"/>
            </w:pPr>
            <w:r>
              <w:t>Legislative reference:</w:t>
            </w:r>
          </w:p>
        </w:tc>
        <w:tc>
          <w:tcPr>
            <w:tcW w:w="5803" w:type="dxa"/>
            <w:gridSpan w:val="8"/>
            <w:tcBorders>
              <w:top w:val="nil"/>
            </w:tcBorders>
          </w:tcPr>
          <w:p w14:paraId="2F04CC3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 40-340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1E9F2A86" w14:textId="77777777" w:rsidR="006E40C9" w:rsidRPr="00540040" w:rsidRDefault="006E40C9" w:rsidP="006E40C9">
      <w:pPr>
        <w:pStyle w:val="MeasureTableHeading"/>
      </w:pPr>
    </w:p>
    <w:p w14:paraId="5B2F0AE7" w14:textId="77777777" w:rsidR="006E40C9" w:rsidRDefault="006E40C9" w:rsidP="006E40C9">
      <w:r w:rsidRPr="002404FB">
        <w:t>‘Balancing adjustments’ arise when the disposal value of a depreciating asset differs from its depreciated value. Under the benchmark, the net balancing adjustment amount is generally included in or deducted from assessable income. However, the tax liability for such balancing adjustments can be deferred where the balancing adjustment arises from certain changes in ownership, such as disposal as a result of a marriage breakdown. The transferee is taken to acquire the asset at the written down value and must depreciate the asset in the same way as the transferor.</w:t>
      </w:r>
    </w:p>
    <w:p w14:paraId="36C230E9" w14:textId="77777777" w:rsidR="006E40C9" w:rsidRDefault="006E40C9" w:rsidP="00432D19">
      <w:pPr>
        <w:pStyle w:val="Heading4"/>
      </w:pPr>
      <w:r>
        <w:t>B85</w:t>
      </w:r>
      <w:r>
        <w:tab/>
        <w:t>Depreciation pooling for low value assets</w:t>
      </w:r>
    </w:p>
    <w:p w14:paraId="52DB3130" w14:textId="28C48A1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DD7061" w14:textId="77777777">
        <w:trPr>
          <w:cantSplit/>
          <w:jc w:val="center"/>
        </w:trPr>
        <w:tc>
          <w:tcPr>
            <w:tcW w:w="967" w:type="dxa"/>
            <w:tcBorders>
              <w:top w:val="single" w:sz="2" w:space="0" w:color="auto"/>
              <w:bottom w:val="single" w:sz="2" w:space="0" w:color="auto"/>
            </w:tcBorders>
          </w:tcPr>
          <w:p w14:paraId="3DFAD06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1A1B0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8C591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4307B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8B1BE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ABAE18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E6C06F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53E74F" w14:textId="77777777" w:rsidR="006E40C9" w:rsidRDefault="006E40C9">
            <w:pPr>
              <w:pStyle w:val="MeasureTableTextRightAligned"/>
            </w:pPr>
            <w:r>
              <w:t>2027-28</w:t>
            </w:r>
          </w:p>
        </w:tc>
      </w:tr>
      <w:tr w:rsidR="006E40C9" w14:paraId="7DA6C53E" w14:textId="77777777">
        <w:trPr>
          <w:cantSplit/>
          <w:jc w:val="center"/>
        </w:trPr>
        <w:tc>
          <w:tcPr>
            <w:tcW w:w="967" w:type="dxa"/>
            <w:tcBorders>
              <w:top w:val="single" w:sz="2" w:space="0" w:color="auto"/>
              <w:bottom w:val="single" w:sz="2" w:space="0" w:color="auto"/>
            </w:tcBorders>
          </w:tcPr>
          <w:p w14:paraId="7C2D19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69304D3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0EA0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331B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4BA2B8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5254F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79496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F013DA5" w14:textId="77777777" w:rsidR="006E40C9" w:rsidRDefault="006E40C9">
            <w:pPr>
              <w:pStyle w:val="MeasureTableTextRightAligned"/>
            </w:pPr>
            <w:r>
              <w:t>*</w:t>
            </w:r>
          </w:p>
        </w:tc>
      </w:tr>
      <w:tr w:rsidR="006E40C9" w14:paraId="372D8F3A" w14:textId="77777777">
        <w:trPr>
          <w:cantSplit/>
          <w:jc w:val="center"/>
        </w:trPr>
        <w:tc>
          <w:tcPr>
            <w:tcW w:w="1934" w:type="dxa"/>
            <w:gridSpan w:val="2"/>
            <w:tcBorders>
              <w:top w:val="single" w:sz="2" w:space="0" w:color="auto"/>
              <w:bottom w:val="nil"/>
            </w:tcBorders>
          </w:tcPr>
          <w:p w14:paraId="01E9E7B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6B2BA1"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7B75724A" w14:textId="781C72A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AE778F" w14:textId="77777777" w:rsidR="006E40C9" w:rsidRDefault="006E40C9">
            <w:pPr>
              <w:pStyle w:val="MeasureTableTextLeftAligned"/>
            </w:pPr>
            <w:r>
              <w:t>B84</w:t>
            </w:r>
          </w:p>
        </w:tc>
      </w:tr>
      <w:tr w:rsidR="006E40C9" w14:paraId="0025C47C" w14:textId="77777777">
        <w:trPr>
          <w:cantSplit/>
          <w:jc w:val="center"/>
        </w:trPr>
        <w:tc>
          <w:tcPr>
            <w:tcW w:w="1934" w:type="dxa"/>
            <w:gridSpan w:val="2"/>
            <w:tcBorders>
              <w:top w:val="nil"/>
              <w:bottom w:val="nil"/>
            </w:tcBorders>
          </w:tcPr>
          <w:p w14:paraId="69DC7B9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7E0953" w14:textId="77777777" w:rsidR="006E40C9" w:rsidRPr="00584CA7" w:rsidRDefault="006E40C9">
            <w:pPr>
              <w:pStyle w:val="MeasureTableTextLeftAligned"/>
            </w:pPr>
            <w:r>
              <w:t>Not Applicable</w:t>
            </w:r>
          </w:p>
        </w:tc>
        <w:tc>
          <w:tcPr>
            <w:tcW w:w="1500" w:type="dxa"/>
            <w:gridSpan w:val="2"/>
            <w:tcBorders>
              <w:top w:val="nil"/>
              <w:bottom w:val="nil"/>
            </w:tcBorders>
          </w:tcPr>
          <w:p w14:paraId="60389B34" w14:textId="77777777" w:rsidR="006E40C9" w:rsidRDefault="006E40C9">
            <w:pPr>
              <w:pStyle w:val="MeasureTableTextItalic"/>
            </w:pPr>
            <w:r>
              <w:t>* Category</w:t>
            </w:r>
          </w:p>
        </w:tc>
        <w:tc>
          <w:tcPr>
            <w:tcW w:w="1124" w:type="dxa"/>
            <w:gridSpan w:val="2"/>
            <w:tcBorders>
              <w:top w:val="nil"/>
              <w:bottom w:val="nil"/>
            </w:tcBorders>
          </w:tcPr>
          <w:p w14:paraId="76A702DD" w14:textId="77777777" w:rsidR="006E40C9" w:rsidRDefault="006E40C9">
            <w:pPr>
              <w:pStyle w:val="MeasureTableTextLeftAligned"/>
            </w:pPr>
            <w:r>
              <w:t>2+</w:t>
            </w:r>
          </w:p>
        </w:tc>
      </w:tr>
      <w:tr w:rsidR="006E40C9" w14:paraId="5F7ECFB7" w14:textId="77777777">
        <w:trPr>
          <w:cantSplit/>
          <w:jc w:val="center"/>
        </w:trPr>
        <w:tc>
          <w:tcPr>
            <w:tcW w:w="1934" w:type="dxa"/>
            <w:gridSpan w:val="2"/>
            <w:tcBorders>
              <w:top w:val="nil"/>
              <w:bottom w:val="nil"/>
            </w:tcBorders>
          </w:tcPr>
          <w:p w14:paraId="43EF879D" w14:textId="77777777" w:rsidR="006E40C9" w:rsidRDefault="006E40C9">
            <w:pPr>
              <w:pStyle w:val="MeasureTableTextItalic"/>
            </w:pPr>
            <w:r>
              <w:t>Commencement date:</w:t>
            </w:r>
          </w:p>
        </w:tc>
        <w:tc>
          <w:tcPr>
            <w:tcW w:w="3179" w:type="dxa"/>
            <w:gridSpan w:val="4"/>
            <w:tcBorders>
              <w:top w:val="nil"/>
              <w:bottom w:val="nil"/>
            </w:tcBorders>
          </w:tcPr>
          <w:p w14:paraId="57325F36" w14:textId="77777777" w:rsidR="006E40C9" w:rsidRDefault="006E40C9">
            <w:pPr>
              <w:pStyle w:val="MeasureTableTextLeftAligned"/>
            </w:pPr>
            <w:r>
              <w:t>2000</w:t>
            </w:r>
          </w:p>
        </w:tc>
        <w:tc>
          <w:tcPr>
            <w:tcW w:w="1500" w:type="dxa"/>
            <w:gridSpan w:val="2"/>
            <w:tcBorders>
              <w:top w:val="nil"/>
              <w:bottom w:val="nil"/>
            </w:tcBorders>
          </w:tcPr>
          <w:p w14:paraId="427B864A" w14:textId="77777777" w:rsidR="006E40C9" w:rsidRPr="00F32057" w:rsidRDefault="006E40C9">
            <w:pPr>
              <w:pStyle w:val="MeasureTableTextItalic"/>
            </w:pPr>
            <w:r>
              <w:t>Expiry date:</w:t>
            </w:r>
          </w:p>
        </w:tc>
        <w:tc>
          <w:tcPr>
            <w:tcW w:w="1124" w:type="dxa"/>
            <w:gridSpan w:val="2"/>
            <w:tcBorders>
              <w:top w:val="nil"/>
              <w:bottom w:val="nil"/>
            </w:tcBorders>
          </w:tcPr>
          <w:p w14:paraId="17DB9F66" w14:textId="77777777" w:rsidR="006E40C9" w:rsidRPr="00F32057" w:rsidRDefault="006E40C9">
            <w:pPr>
              <w:pStyle w:val="MeasureTableTextLeftAligned"/>
            </w:pPr>
          </w:p>
        </w:tc>
      </w:tr>
      <w:tr w:rsidR="006E40C9" w14:paraId="3EC4E50E" w14:textId="77777777">
        <w:trPr>
          <w:cantSplit/>
          <w:jc w:val="center"/>
        </w:trPr>
        <w:tc>
          <w:tcPr>
            <w:tcW w:w="1934" w:type="dxa"/>
            <w:gridSpan w:val="2"/>
            <w:tcBorders>
              <w:top w:val="nil"/>
            </w:tcBorders>
          </w:tcPr>
          <w:p w14:paraId="1EF37A25" w14:textId="77777777" w:rsidR="006E40C9" w:rsidRDefault="006E40C9">
            <w:pPr>
              <w:pStyle w:val="MeasureTableTextItalic"/>
            </w:pPr>
            <w:r>
              <w:t>Legislative reference:</w:t>
            </w:r>
          </w:p>
        </w:tc>
        <w:tc>
          <w:tcPr>
            <w:tcW w:w="5803" w:type="dxa"/>
            <w:gridSpan w:val="8"/>
            <w:tcBorders>
              <w:top w:val="nil"/>
            </w:tcBorders>
          </w:tcPr>
          <w:p w14:paraId="7DA1AF09"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Subdivision 40-E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22941C6F" w14:textId="77777777" w:rsidR="006E40C9" w:rsidRPr="00540040" w:rsidRDefault="006E40C9" w:rsidP="006E40C9">
      <w:pPr>
        <w:pStyle w:val="MeasureTableHeading"/>
      </w:pPr>
    </w:p>
    <w:p w14:paraId="271399B4" w14:textId="4AAAD6EB" w:rsidR="006E40C9" w:rsidRDefault="006E40C9" w:rsidP="006E40C9">
      <w:r>
        <w:t xml:space="preserve">Under the benchmark assets are depreciated over their effective life. </w:t>
      </w:r>
      <w:r w:rsidRPr="0022130E">
        <w:t>Assets costing less than $1,000 can be written off at the declining balance rate of 37.5</w:t>
      </w:r>
      <w:r>
        <w:t> </w:t>
      </w:r>
      <w:r w:rsidRPr="0022130E">
        <w:t>per</w:t>
      </w:r>
      <w:r>
        <w:t> </w:t>
      </w:r>
      <w:r w:rsidRPr="0022130E">
        <w:t>cent through a low value asset pool. Once a taxpayer elects to create a low value pool, all assets that cost less than $1,000 are subject to the declining balance rate treatment.</w:t>
      </w:r>
      <w:r w:rsidRPr="00F66358">
        <w:t xml:space="preserve"> </w:t>
      </w:r>
      <w:r w:rsidRPr="00046F85">
        <w:fldChar w:fldCharType="begin"/>
      </w:r>
      <w:r w:rsidRPr="00046F85">
        <w:instrText xml:space="preserve"> XE "Accelerated depreciation:Low value asset pooling" </w:instrText>
      </w:r>
      <w:r w:rsidRPr="00046F85">
        <w:fldChar w:fldCharType="end"/>
      </w:r>
      <w:r w:rsidRPr="0022130E">
        <w:t xml:space="preserve"> </w:t>
      </w:r>
    </w:p>
    <w:p w14:paraId="35FC5DE4" w14:textId="3F1E670E" w:rsidR="006E40C9" w:rsidRDefault="006E40C9" w:rsidP="006E40C9">
      <w:r>
        <w:t xml:space="preserve">Eligible small businesses can access the </w:t>
      </w:r>
      <w:r w:rsidR="00E51325">
        <w:t>s</w:t>
      </w:r>
      <w:r>
        <w:t>implified depreciation rules (B8</w:t>
      </w:r>
      <w:r w:rsidR="00D80336">
        <w:t>8</w:t>
      </w:r>
      <w:r>
        <w:t>).</w:t>
      </w:r>
    </w:p>
    <w:p w14:paraId="2DAAC2F4" w14:textId="5DD6CBA4" w:rsidR="006E40C9" w:rsidRDefault="006E40C9" w:rsidP="00432D19">
      <w:pPr>
        <w:pStyle w:val="Heading4"/>
      </w:pPr>
      <w:r>
        <w:t>B86</w:t>
      </w:r>
      <w:r>
        <w:tab/>
        <w:t xml:space="preserve">Research and development </w:t>
      </w:r>
      <w:r w:rsidR="000A4999">
        <w:t>–</w:t>
      </w:r>
      <w:r>
        <w:t xml:space="preserve"> exemption of refundable tax offset</w:t>
      </w:r>
    </w:p>
    <w:p w14:paraId="0B05DD4A" w14:textId="5FF8416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174EE46" w14:textId="77777777">
        <w:trPr>
          <w:cantSplit/>
          <w:jc w:val="center"/>
        </w:trPr>
        <w:tc>
          <w:tcPr>
            <w:tcW w:w="967" w:type="dxa"/>
            <w:tcBorders>
              <w:top w:val="single" w:sz="2" w:space="0" w:color="auto"/>
              <w:bottom w:val="single" w:sz="2" w:space="0" w:color="auto"/>
            </w:tcBorders>
          </w:tcPr>
          <w:p w14:paraId="7B0720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B810A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8DB69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A3709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2221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75951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5E5AB7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EF9D5E" w14:textId="77777777" w:rsidR="006E40C9" w:rsidRDefault="006E40C9">
            <w:pPr>
              <w:pStyle w:val="MeasureTableTextRightAligned"/>
            </w:pPr>
            <w:r>
              <w:t>2027-28</w:t>
            </w:r>
          </w:p>
        </w:tc>
      </w:tr>
      <w:tr w:rsidR="006E40C9" w14:paraId="35E9E83A" w14:textId="77777777">
        <w:trPr>
          <w:cantSplit/>
          <w:jc w:val="center"/>
        </w:trPr>
        <w:tc>
          <w:tcPr>
            <w:tcW w:w="967" w:type="dxa"/>
            <w:tcBorders>
              <w:top w:val="single" w:sz="2" w:space="0" w:color="auto"/>
              <w:bottom w:val="single" w:sz="2" w:space="0" w:color="auto"/>
            </w:tcBorders>
          </w:tcPr>
          <w:p w14:paraId="1DE5C614" w14:textId="77777777" w:rsidR="006E40C9" w:rsidRDefault="006E40C9">
            <w:pPr>
              <w:pStyle w:val="MeasureTableTextRightAligned"/>
            </w:pPr>
            <w:r>
              <w:t>-410</w:t>
            </w:r>
          </w:p>
        </w:tc>
        <w:tc>
          <w:tcPr>
            <w:tcW w:w="967" w:type="dxa"/>
            <w:tcBorders>
              <w:top w:val="single" w:sz="2" w:space="0" w:color="auto"/>
              <w:bottom w:val="single" w:sz="2" w:space="0" w:color="auto"/>
            </w:tcBorders>
          </w:tcPr>
          <w:p w14:paraId="12ECAE28" w14:textId="77777777" w:rsidR="006E40C9" w:rsidRDefault="006E40C9">
            <w:pPr>
              <w:pStyle w:val="MeasureTableTextRightAligned"/>
            </w:pPr>
            <w:r>
              <w:t>-430</w:t>
            </w:r>
          </w:p>
        </w:tc>
        <w:tc>
          <w:tcPr>
            <w:tcW w:w="967" w:type="dxa"/>
            <w:tcBorders>
              <w:top w:val="single" w:sz="2" w:space="0" w:color="auto"/>
              <w:bottom w:val="single" w:sz="2" w:space="0" w:color="auto"/>
            </w:tcBorders>
            <w:vAlign w:val="bottom"/>
          </w:tcPr>
          <w:p w14:paraId="1CE1F38C"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2349127C" w14:textId="77777777" w:rsidR="006E40C9" w:rsidRDefault="006E40C9">
            <w:pPr>
              <w:pStyle w:val="MeasureTableTextRightAligned"/>
            </w:pPr>
            <w:r>
              <w:t>-580</w:t>
            </w:r>
          </w:p>
        </w:tc>
        <w:tc>
          <w:tcPr>
            <w:tcW w:w="967" w:type="dxa"/>
            <w:tcBorders>
              <w:top w:val="single" w:sz="2" w:space="0" w:color="auto"/>
              <w:bottom w:val="single" w:sz="2" w:space="0" w:color="auto"/>
            </w:tcBorders>
            <w:vAlign w:val="bottom"/>
          </w:tcPr>
          <w:p w14:paraId="4556E39B" w14:textId="77777777" w:rsidR="006E40C9" w:rsidRDefault="006E40C9">
            <w:pPr>
              <w:pStyle w:val="MeasureTableTextRightAligned"/>
            </w:pPr>
            <w:r>
              <w:t>-650</w:t>
            </w:r>
          </w:p>
        </w:tc>
        <w:tc>
          <w:tcPr>
            <w:tcW w:w="967" w:type="dxa"/>
            <w:gridSpan w:val="2"/>
            <w:tcBorders>
              <w:top w:val="single" w:sz="2" w:space="0" w:color="auto"/>
              <w:bottom w:val="single" w:sz="2" w:space="0" w:color="auto"/>
            </w:tcBorders>
            <w:vAlign w:val="bottom"/>
          </w:tcPr>
          <w:p w14:paraId="316692DE" w14:textId="77777777" w:rsidR="006E40C9" w:rsidRDefault="006E40C9">
            <w:pPr>
              <w:pStyle w:val="MeasureTableTextRightAligned"/>
            </w:pPr>
            <w:r>
              <w:t>-690</w:t>
            </w:r>
          </w:p>
        </w:tc>
        <w:tc>
          <w:tcPr>
            <w:tcW w:w="967" w:type="dxa"/>
            <w:gridSpan w:val="2"/>
            <w:tcBorders>
              <w:top w:val="single" w:sz="2" w:space="0" w:color="auto"/>
              <w:bottom w:val="single" w:sz="2" w:space="0" w:color="auto"/>
            </w:tcBorders>
            <w:vAlign w:val="bottom"/>
          </w:tcPr>
          <w:p w14:paraId="471D1528" w14:textId="77777777" w:rsidR="006E40C9" w:rsidRDefault="006E40C9">
            <w:pPr>
              <w:pStyle w:val="MeasureTableTextRightAligned"/>
            </w:pPr>
            <w:r>
              <w:t>-730</w:t>
            </w:r>
          </w:p>
        </w:tc>
        <w:tc>
          <w:tcPr>
            <w:tcW w:w="968" w:type="dxa"/>
            <w:tcBorders>
              <w:top w:val="single" w:sz="2" w:space="0" w:color="auto"/>
              <w:bottom w:val="single" w:sz="2" w:space="0" w:color="auto"/>
            </w:tcBorders>
            <w:vAlign w:val="bottom"/>
          </w:tcPr>
          <w:p w14:paraId="41C17673" w14:textId="77777777" w:rsidR="006E40C9" w:rsidRDefault="006E40C9">
            <w:pPr>
              <w:pStyle w:val="MeasureTableTextRightAligned"/>
            </w:pPr>
            <w:r>
              <w:t>-750</w:t>
            </w:r>
          </w:p>
        </w:tc>
      </w:tr>
      <w:tr w:rsidR="006E40C9" w14:paraId="4C86CC80" w14:textId="77777777">
        <w:trPr>
          <w:cantSplit/>
          <w:jc w:val="center"/>
        </w:trPr>
        <w:tc>
          <w:tcPr>
            <w:tcW w:w="1934" w:type="dxa"/>
            <w:gridSpan w:val="2"/>
            <w:tcBorders>
              <w:top w:val="single" w:sz="2" w:space="0" w:color="auto"/>
              <w:bottom w:val="nil"/>
            </w:tcBorders>
          </w:tcPr>
          <w:p w14:paraId="697ED9B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739A8C" w14:textId="77777777" w:rsidR="006E40C9" w:rsidRDefault="006E40C9">
            <w:pPr>
              <w:pStyle w:val="MeasureTableTextLeftAligned"/>
            </w:pPr>
            <w:r>
              <w:t>Exemption, Denial of deduction</w:t>
            </w:r>
          </w:p>
        </w:tc>
        <w:tc>
          <w:tcPr>
            <w:tcW w:w="1500" w:type="dxa"/>
            <w:gridSpan w:val="2"/>
            <w:tcBorders>
              <w:top w:val="single" w:sz="2" w:space="0" w:color="auto"/>
              <w:bottom w:val="nil"/>
            </w:tcBorders>
          </w:tcPr>
          <w:p w14:paraId="67FCCEDD" w14:textId="26B9228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98E49A" w14:textId="77777777" w:rsidR="006E40C9" w:rsidRDefault="006E40C9">
            <w:pPr>
              <w:pStyle w:val="MeasureTableTextLeftAligned"/>
            </w:pPr>
            <w:r>
              <w:t>B85</w:t>
            </w:r>
          </w:p>
        </w:tc>
      </w:tr>
      <w:tr w:rsidR="006E40C9" w14:paraId="5D2A57B5" w14:textId="77777777">
        <w:trPr>
          <w:cantSplit/>
          <w:jc w:val="center"/>
        </w:trPr>
        <w:tc>
          <w:tcPr>
            <w:tcW w:w="1934" w:type="dxa"/>
            <w:gridSpan w:val="2"/>
            <w:tcBorders>
              <w:top w:val="nil"/>
              <w:bottom w:val="nil"/>
            </w:tcBorders>
          </w:tcPr>
          <w:p w14:paraId="6A601B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4003F0F" w14:textId="5A998EA6"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87FD986" w14:textId="77777777" w:rsidR="006E40C9" w:rsidRDefault="006E40C9">
            <w:pPr>
              <w:pStyle w:val="MeasureTableTextItalic"/>
            </w:pPr>
          </w:p>
        </w:tc>
        <w:tc>
          <w:tcPr>
            <w:tcW w:w="1124" w:type="dxa"/>
            <w:gridSpan w:val="2"/>
            <w:tcBorders>
              <w:top w:val="nil"/>
              <w:bottom w:val="nil"/>
            </w:tcBorders>
          </w:tcPr>
          <w:p w14:paraId="7BC8B08F" w14:textId="77777777" w:rsidR="006E40C9" w:rsidRDefault="006E40C9">
            <w:pPr>
              <w:pStyle w:val="MeasureTableTextLeftAligned"/>
            </w:pPr>
          </w:p>
        </w:tc>
      </w:tr>
      <w:tr w:rsidR="006E40C9" w14:paraId="54822087" w14:textId="77777777">
        <w:trPr>
          <w:cantSplit/>
          <w:jc w:val="center"/>
        </w:trPr>
        <w:tc>
          <w:tcPr>
            <w:tcW w:w="1934" w:type="dxa"/>
            <w:gridSpan w:val="2"/>
            <w:tcBorders>
              <w:top w:val="nil"/>
              <w:bottom w:val="nil"/>
            </w:tcBorders>
          </w:tcPr>
          <w:p w14:paraId="3C739B0A" w14:textId="77777777" w:rsidR="006E40C9" w:rsidRDefault="006E40C9">
            <w:pPr>
              <w:pStyle w:val="MeasureTableTextItalic"/>
            </w:pPr>
            <w:r>
              <w:t>Commencement date:</w:t>
            </w:r>
          </w:p>
        </w:tc>
        <w:tc>
          <w:tcPr>
            <w:tcW w:w="3179" w:type="dxa"/>
            <w:gridSpan w:val="4"/>
            <w:tcBorders>
              <w:top w:val="nil"/>
              <w:bottom w:val="nil"/>
            </w:tcBorders>
          </w:tcPr>
          <w:p w14:paraId="3A0F91C5" w14:textId="77777777" w:rsidR="006E40C9" w:rsidRDefault="006E40C9">
            <w:pPr>
              <w:pStyle w:val="MeasureTableTextLeftAligned"/>
            </w:pPr>
            <w:r>
              <w:t>1 July 2011</w:t>
            </w:r>
          </w:p>
        </w:tc>
        <w:tc>
          <w:tcPr>
            <w:tcW w:w="1500" w:type="dxa"/>
            <w:gridSpan w:val="2"/>
            <w:tcBorders>
              <w:top w:val="nil"/>
              <w:bottom w:val="nil"/>
            </w:tcBorders>
          </w:tcPr>
          <w:p w14:paraId="025802D2" w14:textId="77777777" w:rsidR="006E40C9" w:rsidRPr="00F32057" w:rsidRDefault="006E40C9">
            <w:pPr>
              <w:pStyle w:val="MeasureTableTextItalic"/>
            </w:pPr>
            <w:r>
              <w:t>Expiry date:</w:t>
            </w:r>
          </w:p>
        </w:tc>
        <w:tc>
          <w:tcPr>
            <w:tcW w:w="1124" w:type="dxa"/>
            <w:gridSpan w:val="2"/>
            <w:tcBorders>
              <w:top w:val="nil"/>
              <w:bottom w:val="nil"/>
            </w:tcBorders>
          </w:tcPr>
          <w:p w14:paraId="0570D403" w14:textId="77777777" w:rsidR="006E40C9" w:rsidRPr="00F32057" w:rsidRDefault="006E40C9">
            <w:pPr>
              <w:pStyle w:val="MeasureTableTextLeftAligned"/>
            </w:pPr>
          </w:p>
        </w:tc>
      </w:tr>
      <w:tr w:rsidR="006E40C9" w14:paraId="06317883" w14:textId="77777777">
        <w:trPr>
          <w:cantSplit/>
          <w:jc w:val="center"/>
        </w:trPr>
        <w:tc>
          <w:tcPr>
            <w:tcW w:w="1934" w:type="dxa"/>
            <w:gridSpan w:val="2"/>
            <w:tcBorders>
              <w:top w:val="nil"/>
            </w:tcBorders>
          </w:tcPr>
          <w:p w14:paraId="1F26B6AC" w14:textId="77777777" w:rsidR="006E40C9" w:rsidRDefault="006E40C9">
            <w:pPr>
              <w:pStyle w:val="MeasureTableTextItalic"/>
            </w:pPr>
            <w:r>
              <w:t>Legislative reference:</w:t>
            </w:r>
          </w:p>
        </w:tc>
        <w:tc>
          <w:tcPr>
            <w:tcW w:w="5803" w:type="dxa"/>
            <w:gridSpan w:val="8"/>
            <w:tcBorders>
              <w:top w:val="nil"/>
            </w:tcBorders>
          </w:tcPr>
          <w:p w14:paraId="2B3AB4A9"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Division 355 of the </w:t>
            </w:r>
            <w:r>
              <w:rPr>
                <w:rFonts w:ascii="Arial" w:hAnsi="Arial" w:cs="Arial"/>
                <w:i/>
                <w:iCs/>
                <w:color w:val="000000"/>
                <w:sz w:val="16"/>
                <w:szCs w:val="16"/>
              </w:rPr>
              <w:t>Income Tax Assessment Act 1997</w:t>
            </w:r>
          </w:p>
        </w:tc>
      </w:tr>
    </w:tbl>
    <w:p w14:paraId="32E8E726" w14:textId="77777777" w:rsidR="006E40C9" w:rsidRPr="00540040" w:rsidRDefault="006E40C9" w:rsidP="006E40C9">
      <w:pPr>
        <w:pStyle w:val="MeasureTableHeading"/>
      </w:pPr>
    </w:p>
    <w:p w14:paraId="2BF86111" w14:textId="77777777" w:rsidR="006E40C9" w:rsidRPr="00224433" w:rsidRDefault="006E40C9" w:rsidP="006E40C9">
      <w:r>
        <w:t>Under the benchmark, government payments to taxpayers are</w:t>
      </w:r>
      <w:r w:rsidRPr="00C567B6">
        <w:t xml:space="preserve"> </w:t>
      </w:r>
      <w:r>
        <w:t xml:space="preserve">generally treated as </w:t>
      </w:r>
      <w:r w:rsidRPr="00C567B6">
        <w:t>assessable income</w:t>
      </w:r>
      <w:r>
        <w:t xml:space="preserve"> and subject to tax. A tax expenditure arises when payments made under a refundable tax offset are exempt from tax. Additionally, c</w:t>
      </w:r>
      <w:r w:rsidRPr="004F2B5A">
        <w:t>ompanies that claim the</w:t>
      </w:r>
      <w:r>
        <w:t xml:space="preserve"> research and development</w:t>
      </w:r>
      <w:r w:rsidRPr="004F2B5A">
        <w:t xml:space="preserve"> </w:t>
      </w:r>
      <w:r>
        <w:t>(</w:t>
      </w:r>
      <w:r w:rsidRPr="004F2B5A">
        <w:t>R&amp;D</w:t>
      </w:r>
      <w:r>
        <w:t>)</w:t>
      </w:r>
      <w:r w:rsidRPr="004F2B5A">
        <w:t xml:space="preserve"> </w:t>
      </w:r>
      <w:r>
        <w:t>r</w:t>
      </w:r>
      <w:r w:rsidRPr="004F2B5A">
        <w:t xml:space="preserve">efundable </w:t>
      </w:r>
      <w:r>
        <w:t>t</w:t>
      </w:r>
      <w:r w:rsidRPr="004F2B5A">
        <w:t xml:space="preserve">ax </w:t>
      </w:r>
      <w:r>
        <w:t xml:space="preserve">offset </w:t>
      </w:r>
      <w:r w:rsidRPr="004F2B5A">
        <w:t>are unable to claim</w:t>
      </w:r>
      <w:r>
        <w:t xml:space="preserve"> tax</w:t>
      </w:r>
      <w:r w:rsidRPr="004F2B5A">
        <w:t xml:space="preserve"> deductions for the R&amp;D expenditure. The absence of these deductions constitutes a negative tax</w:t>
      </w:r>
      <w:r>
        <w:t xml:space="preserve"> expenditure</w:t>
      </w:r>
      <w:r w:rsidRPr="004F2B5A">
        <w:t>.</w:t>
      </w:r>
    </w:p>
    <w:p w14:paraId="72B08EDB" w14:textId="358B6318" w:rsidR="006E40C9" w:rsidRDefault="006E40C9" w:rsidP="006E40C9">
      <w:r>
        <w:t>For income years beginning on or after 1 July 2016 but before 1 July 2021, t</w:t>
      </w:r>
      <w:r w:rsidRPr="00E275DA">
        <w:t>he</w:t>
      </w:r>
      <w:r>
        <w:rPr>
          <w:b/>
        </w:rPr>
        <w:t xml:space="preserve"> </w:t>
      </w:r>
      <w:r>
        <w:t>R&amp;D</w:t>
      </w:r>
      <w:r>
        <w:rPr>
          <w:b/>
        </w:rPr>
        <w:t xml:space="preserve"> </w:t>
      </w:r>
      <w:r>
        <w:t>refundable tax offset</w:t>
      </w:r>
      <w:r>
        <w:fldChar w:fldCharType="begin"/>
      </w:r>
      <w:r>
        <w:instrText xml:space="preserve"> XE "</w:instrText>
      </w:r>
      <w:r w:rsidRPr="00286BAB">
        <w:instrText>Research and development:</w:instrText>
      </w:r>
      <w:r>
        <w:instrText xml:space="preserve"> </w:instrText>
      </w:r>
      <w:r w:rsidRPr="00286BAB">
        <w:instrText xml:space="preserve">Refundable </w:instrText>
      </w:r>
      <w:r>
        <w:instrText>t</w:instrText>
      </w:r>
      <w:r w:rsidRPr="00286BAB">
        <w:instrText xml:space="preserve">ax </w:instrText>
      </w:r>
      <w:r>
        <w:instrText xml:space="preserve">offset" </w:instrText>
      </w:r>
      <w:r>
        <w:fldChar w:fldCharType="end"/>
      </w:r>
      <w:r>
        <w:t xml:space="preserve"> was available to companies with an aggregated annual turnover of less than $20 million at a rate of 43.5 per cent for the first $100 million of expenditure on eligible R&amp;D activities. </w:t>
      </w:r>
    </w:p>
    <w:p w14:paraId="7A6564E9" w14:textId="77777777" w:rsidR="006E40C9" w:rsidRDefault="006E40C9" w:rsidP="006E40C9">
      <w:r>
        <w:t>For income years beginning on or after 1 July 2021, the R&amp;D refundable tax offset is available at a rate of 18.5 percentage points above the claimant’s company tax rate for the first $150 million of expenditure on eligible R&amp;D activities.</w:t>
      </w:r>
    </w:p>
    <w:p w14:paraId="1EDD3A81" w14:textId="77777777" w:rsidR="006E40C9" w:rsidRDefault="006E40C9" w:rsidP="006E40C9">
      <w:r>
        <w:t>A refundable tax offset at the prevailing company tax rate applies to the amount of the expenditure that exceeds the R&amp;D expenditure threshold. If a taxpayer’s income tax liability is reduced to zero, any residual unused refundable tax offset amount can be refunded as cash to the company.</w:t>
      </w:r>
    </w:p>
    <w:p w14:paraId="281A2415" w14:textId="7DAF5FE3" w:rsidR="006E40C9" w:rsidRDefault="006E40C9" w:rsidP="00432D19">
      <w:pPr>
        <w:pStyle w:val="Heading4"/>
      </w:pPr>
      <w:r>
        <w:t>B87</w:t>
      </w:r>
      <w:r>
        <w:tab/>
        <w:t xml:space="preserve">Research and development </w:t>
      </w:r>
      <w:r w:rsidR="000A4999">
        <w:t>–</w:t>
      </w:r>
      <w:r>
        <w:t xml:space="preserve"> non-refundable tax offset</w:t>
      </w:r>
    </w:p>
    <w:p w14:paraId="0DE6FC78" w14:textId="042848D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3C43F1" w14:textId="77777777">
        <w:trPr>
          <w:cantSplit/>
          <w:jc w:val="center"/>
        </w:trPr>
        <w:tc>
          <w:tcPr>
            <w:tcW w:w="967" w:type="dxa"/>
            <w:tcBorders>
              <w:top w:val="single" w:sz="2" w:space="0" w:color="auto"/>
              <w:bottom w:val="single" w:sz="2" w:space="0" w:color="auto"/>
            </w:tcBorders>
          </w:tcPr>
          <w:p w14:paraId="71703BF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B971A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A4A2ED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AF3F53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1292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8A09F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DAE2D8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15DFED" w14:textId="77777777" w:rsidR="006E40C9" w:rsidRDefault="006E40C9">
            <w:pPr>
              <w:pStyle w:val="MeasureTableTextRightAligned"/>
            </w:pPr>
            <w:r>
              <w:t>2027-28</w:t>
            </w:r>
          </w:p>
        </w:tc>
      </w:tr>
      <w:tr w:rsidR="006E40C9" w14:paraId="76320DE0" w14:textId="77777777">
        <w:trPr>
          <w:cantSplit/>
          <w:jc w:val="center"/>
        </w:trPr>
        <w:tc>
          <w:tcPr>
            <w:tcW w:w="967" w:type="dxa"/>
            <w:tcBorders>
              <w:top w:val="single" w:sz="2" w:space="0" w:color="auto"/>
              <w:bottom w:val="single" w:sz="2" w:space="0" w:color="auto"/>
            </w:tcBorders>
          </w:tcPr>
          <w:p w14:paraId="5B073AE8" w14:textId="77777777" w:rsidR="006E40C9" w:rsidRDefault="006E40C9">
            <w:pPr>
              <w:pStyle w:val="MeasureTableTextRightAligned"/>
            </w:pPr>
            <w:r>
              <w:t>440</w:t>
            </w:r>
          </w:p>
        </w:tc>
        <w:tc>
          <w:tcPr>
            <w:tcW w:w="967" w:type="dxa"/>
            <w:tcBorders>
              <w:top w:val="single" w:sz="2" w:space="0" w:color="auto"/>
              <w:bottom w:val="single" w:sz="2" w:space="0" w:color="auto"/>
            </w:tcBorders>
          </w:tcPr>
          <w:p w14:paraId="3F6BC5A0" w14:textId="77777777" w:rsidR="006E40C9" w:rsidRDefault="006E40C9">
            <w:pPr>
              <w:pStyle w:val="MeasureTableTextRightAligned"/>
            </w:pPr>
            <w:r>
              <w:t>550</w:t>
            </w:r>
          </w:p>
        </w:tc>
        <w:tc>
          <w:tcPr>
            <w:tcW w:w="967" w:type="dxa"/>
            <w:tcBorders>
              <w:top w:val="single" w:sz="2" w:space="0" w:color="auto"/>
              <w:bottom w:val="single" w:sz="2" w:space="0" w:color="auto"/>
            </w:tcBorders>
            <w:vAlign w:val="bottom"/>
          </w:tcPr>
          <w:p w14:paraId="248961D2"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457A6ED6" w14:textId="77777777" w:rsidR="006E40C9" w:rsidRDefault="006E40C9">
            <w:pPr>
              <w:pStyle w:val="MeasureTableTextRightAligned"/>
            </w:pPr>
            <w:r>
              <w:t>780</w:t>
            </w:r>
          </w:p>
        </w:tc>
        <w:tc>
          <w:tcPr>
            <w:tcW w:w="967" w:type="dxa"/>
            <w:tcBorders>
              <w:top w:val="single" w:sz="2" w:space="0" w:color="auto"/>
              <w:bottom w:val="single" w:sz="2" w:space="0" w:color="auto"/>
            </w:tcBorders>
            <w:vAlign w:val="bottom"/>
          </w:tcPr>
          <w:p w14:paraId="04FACE67"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24CD03E9"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681BC7DA" w14:textId="77777777" w:rsidR="006E40C9" w:rsidRDefault="006E40C9">
            <w:pPr>
              <w:pStyle w:val="MeasureTableTextRightAligned"/>
            </w:pPr>
            <w:r>
              <w:t>770</w:t>
            </w:r>
          </w:p>
        </w:tc>
        <w:tc>
          <w:tcPr>
            <w:tcW w:w="968" w:type="dxa"/>
            <w:tcBorders>
              <w:top w:val="single" w:sz="2" w:space="0" w:color="auto"/>
              <w:bottom w:val="single" w:sz="2" w:space="0" w:color="auto"/>
            </w:tcBorders>
            <w:vAlign w:val="bottom"/>
          </w:tcPr>
          <w:p w14:paraId="0CCED79B" w14:textId="77777777" w:rsidR="006E40C9" w:rsidRDefault="006E40C9">
            <w:pPr>
              <w:pStyle w:val="MeasureTableTextRightAligned"/>
            </w:pPr>
            <w:r>
              <w:t>770</w:t>
            </w:r>
          </w:p>
        </w:tc>
      </w:tr>
      <w:tr w:rsidR="006E40C9" w14:paraId="39C88306" w14:textId="77777777">
        <w:trPr>
          <w:cantSplit/>
          <w:jc w:val="center"/>
        </w:trPr>
        <w:tc>
          <w:tcPr>
            <w:tcW w:w="1934" w:type="dxa"/>
            <w:gridSpan w:val="2"/>
            <w:tcBorders>
              <w:top w:val="single" w:sz="2" w:space="0" w:color="auto"/>
              <w:bottom w:val="nil"/>
            </w:tcBorders>
          </w:tcPr>
          <w:p w14:paraId="794B4FE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44F867" w14:textId="77777777" w:rsidR="006E40C9" w:rsidRDefault="006E40C9">
            <w:pPr>
              <w:pStyle w:val="MeasureTableTextLeftAligned"/>
            </w:pPr>
            <w:r>
              <w:t>Offset</w:t>
            </w:r>
          </w:p>
        </w:tc>
        <w:tc>
          <w:tcPr>
            <w:tcW w:w="1500" w:type="dxa"/>
            <w:gridSpan w:val="2"/>
            <w:tcBorders>
              <w:top w:val="single" w:sz="2" w:space="0" w:color="auto"/>
              <w:bottom w:val="nil"/>
            </w:tcBorders>
          </w:tcPr>
          <w:p w14:paraId="45FA7D21" w14:textId="6630047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9F428A" w14:textId="77777777" w:rsidR="006E40C9" w:rsidRDefault="006E40C9">
            <w:pPr>
              <w:pStyle w:val="MeasureTableTextLeftAligned"/>
            </w:pPr>
            <w:r>
              <w:t>B86</w:t>
            </w:r>
          </w:p>
        </w:tc>
      </w:tr>
      <w:tr w:rsidR="006E40C9" w14:paraId="2144CD37" w14:textId="77777777">
        <w:trPr>
          <w:cantSplit/>
          <w:jc w:val="center"/>
        </w:trPr>
        <w:tc>
          <w:tcPr>
            <w:tcW w:w="1934" w:type="dxa"/>
            <w:gridSpan w:val="2"/>
            <w:tcBorders>
              <w:top w:val="nil"/>
              <w:bottom w:val="nil"/>
            </w:tcBorders>
          </w:tcPr>
          <w:p w14:paraId="5C573D5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D838DA" w14:textId="77777777" w:rsidR="006E40C9" w:rsidRPr="00584CA7" w:rsidRDefault="006E40C9">
            <w:pPr>
              <w:pStyle w:val="MeasureTableTextLeftAligned"/>
            </w:pPr>
            <w:r>
              <w:t>Medium</w:t>
            </w:r>
          </w:p>
        </w:tc>
        <w:tc>
          <w:tcPr>
            <w:tcW w:w="1500" w:type="dxa"/>
            <w:gridSpan w:val="2"/>
            <w:tcBorders>
              <w:top w:val="nil"/>
              <w:bottom w:val="nil"/>
            </w:tcBorders>
          </w:tcPr>
          <w:p w14:paraId="1709B04E" w14:textId="77777777" w:rsidR="006E40C9" w:rsidRDefault="006E40C9">
            <w:pPr>
              <w:pStyle w:val="MeasureTableTextItalic"/>
            </w:pPr>
          </w:p>
        </w:tc>
        <w:tc>
          <w:tcPr>
            <w:tcW w:w="1124" w:type="dxa"/>
            <w:gridSpan w:val="2"/>
            <w:tcBorders>
              <w:top w:val="nil"/>
              <w:bottom w:val="nil"/>
            </w:tcBorders>
          </w:tcPr>
          <w:p w14:paraId="69BD6126" w14:textId="77777777" w:rsidR="006E40C9" w:rsidRDefault="006E40C9">
            <w:pPr>
              <w:pStyle w:val="MeasureTableTextLeftAligned"/>
            </w:pPr>
          </w:p>
        </w:tc>
      </w:tr>
      <w:tr w:rsidR="006E40C9" w14:paraId="32E9B2EC" w14:textId="77777777">
        <w:trPr>
          <w:cantSplit/>
          <w:jc w:val="center"/>
        </w:trPr>
        <w:tc>
          <w:tcPr>
            <w:tcW w:w="1934" w:type="dxa"/>
            <w:gridSpan w:val="2"/>
            <w:tcBorders>
              <w:top w:val="nil"/>
              <w:bottom w:val="nil"/>
            </w:tcBorders>
          </w:tcPr>
          <w:p w14:paraId="67818BB9" w14:textId="77777777" w:rsidR="006E40C9" w:rsidRDefault="006E40C9">
            <w:pPr>
              <w:pStyle w:val="MeasureTableTextItalic"/>
            </w:pPr>
            <w:r>
              <w:t>Commencement date:</w:t>
            </w:r>
          </w:p>
        </w:tc>
        <w:tc>
          <w:tcPr>
            <w:tcW w:w="3179" w:type="dxa"/>
            <w:gridSpan w:val="4"/>
            <w:tcBorders>
              <w:top w:val="nil"/>
              <w:bottom w:val="nil"/>
            </w:tcBorders>
          </w:tcPr>
          <w:p w14:paraId="6FDA22C1" w14:textId="77777777" w:rsidR="006E40C9" w:rsidRDefault="006E40C9">
            <w:pPr>
              <w:pStyle w:val="MeasureTableTextLeftAligned"/>
            </w:pPr>
            <w:r>
              <w:t>1 July 2011</w:t>
            </w:r>
          </w:p>
        </w:tc>
        <w:tc>
          <w:tcPr>
            <w:tcW w:w="1500" w:type="dxa"/>
            <w:gridSpan w:val="2"/>
            <w:tcBorders>
              <w:top w:val="nil"/>
              <w:bottom w:val="nil"/>
            </w:tcBorders>
          </w:tcPr>
          <w:p w14:paraId="1E742B32" w14:textId="77777777" w:rsidR="006E40C9" w:rsidRPr="00F32057" w:rsidRDefault="006E40C9">
            <w:pPr>
              <w:pStyle w:val="MeasureTableTextItalic"/>
            </w:pPr>
            <w:r>
              <w:t>Expiry date:</w:t>
            </w:r>
          </w:p>
        </w:tc>
        <w:tc>
          <w:tcPr>
            <w:tcW w:w="1124" w:type="dxa"/>
            <w:gridSpan w:val="2"/>
            <w:tcBorders>
              <w:top w:val="nil"/>
              <w:bottom w:val="nil"/>
            </w:tcBorders>
          </w:tcPr>
          <w:p w14:paraId="69A9D1FC" w14:textId="77777777" w:rsidR="006E40C9" w:rsidRPr="00F32057" w:rsidRDefault="006E40C9">
            <w:pPr>
              <w:pStyle w:val="MeasureTableTextLeftAligned"/>
            </w:pPr>
          </w:p>
        </w:tc>
      </w:tr>
      <w:tr w:rsidR="006E40C9" w14:paraId="74B8C53A" w14:textId="77777777">
        <w:trPr>
          <w:cantSplit/>
          <w:jc w:val="center"/>
        </w:trPr>
        <w:tc>
          <w:tcPr>
            <w:tcW w:w="1934" w:type="dxa"/>
            <w:gridSpan w:val="2"/>
            <w:tcBorders>
              <w:top w:val="nil"/>
            </w:tcBorders>
          </w:tcPr>
          <w:p w14:paraId="4A81E3AC" w14:textId="77777777" w:rsidR="006E40C9" w:rsidRDefault="006E40C9">
            <w:pPr>
              <w:pStyle w:val="MeasureTableTextItalic"/>
            </w:pPr>
            <w:r>
              <w:t>Legislative reference:</w:t>
            </w:r>
          </w:p>
        </w:tc>
        <w:tc>
          <w:tcPr>
            <w:tcW w:w="5803" w:type="dxa"/>
            <w:gridSpan w:val="8"/>
            <w:tcBorders>
              <w:top w:val="nil"/>
            </w:tcBorders>
          </w:tcPr>
          <w:p w14:paraId="7408127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355 of the </w:t>
            </w:r>
            <w:r>
              <w:rPr>
                <w:rFonts w:ascii="Arial" w:hAnsi="Arial" w:cs="Arial"/>
                <w:i/>
                <w:iCs/>
                <w:color w:val="000000"/>
                <w:sz w:val="16"/>
                <w:szCs w:val="16"/>
              </w:rPr>
              <w:t>Income Tax Assessment Act 1997</w:t>
            </w:r>
          </w:p>
        </w:tc>
      </w:tr>
    </w:tbl>
    <w:p w14:paraId="6F734139" w14:textId="77777777" w:rsidR="006E40C9" w:rsidRPr="00540040" w:rsidRDefault="006E40C9" w:rsidP="006E40C9">
      <w:pPr>
        <w:pStyle w:val="MeasureTableHeading"/>
      </w:pPr>
    </w:p>
    <w:p w14:paraId="339A0AFD" w14:textId="77777777" w:rsidR="006E40C9" w:rsidRDefault="006E40C9" w:rsidP="006E40C9">
      <w:r>
        <w:t>Under the benchmark,</w:t>
      </w:r>
      <w:r w:rsidRPr="00EB4117">
        <w:t xml:space="preserve"> companies may be able to claim a tax deduction for expenditure incurred on R&amp;D activities. </w:t>
      </w:r>
      <w:r>
        <w:t xml:space="preserve">A tax expenditure arises because the </w:t>
      </w:r>
      <w:r w:rsidRPr="00EB4117">
        <w:t>R&amp;D non</w:t>
      </w:r>
      <w:r>
        <w:noBreakHyphen/>
      </w:r>
      <w:r w:rsidRPr="00EB4117">
        <w:t xml:space="preserve">refundable </w:t>
      </w:r>
      <w:r>
        <w:t xml:space="preserve">tax offset reduces the amount of tax </w:t>
      </w:r>
      <w:r w:rsidRPr="00EB4117">
        <w:t>payable to a greater extent than a tax deduction.</w:t>
      </w:r>
    </w:p>
    <w:p w14:paraId="37A45950" w14:textId="3F655EEB" w:rsidR="006E40C9" w:rsidRDefault="006E40C9" w:rsidP="006E40C9">
      <w:r>
        <w:t>For income years beginning on or after 1 July 2016 but before 1 July 2021, t</w:t>
      </w:r>
      <w:r w:rsidRPr="00E275DA">
        <w:t>he</w:t>
      </w:r>
      <w:r>
        <w:rPr>
          <w:b/>
        </w:rPr>
        <w:t xml:space="preserve"> </w:t>
      </w:r>
      <w:r>
        <w:t>R&amp;D</w:t>
      </w:r>
      <w:r w:rsidRPr="00A02B24">
        <w:t xml:space="preserve"> </w:t>
      </w:r>
      <w:r>
        <w:t>non</w:t>
      </w:r>
      <w:r>
        <w:noBreakHyphen/>
        <w:t xml:space="preserve">refundable tax offset </w:t>
      </w:r>
      <w:r>
        <w:fldChar w:fldCharType="begin"/>
      </w:r>
      <w:r>
        <w:instrText xml:space="preserve"> XE "</w:instrText>
      </w:r>
      <w:r w:rsidRPr="00AE39B8">
        <w:instrText>Research and development:Non-refundable tax offset</w:instrText>
      </w:r>
      <w:r>
        <w:instrText xml:space="preserve">" </w:instrText>
      </w:r>
      <w:r>
        <w:fldChar w:fldCharType="end"/>
      </w:r>
      <w:r>
        <w:t xml:space="preserve">was available to companies with an aggregated annual turnover of $20 million or more at a rate of 38.5 per cent for the first $100 million of expenditure on eligible R&amp;D activities. </w:t>
      </w:r>
    </w:p>
    <w:p w14:paraId="37031DE4" w14:textId="77777777" w:rsidR="006E40C9" w:rsidRDefault="006E40C9" w:rsidP="006E40C9">
      <w:pPr>
        <w:rPr>
          <w:rFonts w:cs="Book Antiqua"/>
          <w:color w:val="000000"/>
        </w:rPr>
      </w:pPr>
      <w:r>
        <w:t>For income years beginning on or after 1 July 2021, the non</w:t>
      </w:r>
      <w:r>
        <w:noBreakHyphen/>
        <w:t xml:space="preserve">refundable R&amp;D tax offset is calculated using a two-tiered </w:t>
      </w:r>
      <w:r>
        <w:rPr>
          <w:rFonts w:cs="Book Antiqua"/>
          <w:color w:val="000000"/>
        </w:rPr>
        <w:t xml:space="preserve">marginal </w:t>
      </w:r>
      <w:r>
        <w:t xml:space="preserve">R&amp;D premium, whereby the level of support increases with the intensity (i.e. R&amp;D expenditure as a proportion of total expenses) of the claimant’s incremental R&amp;D expenditure. </w:t>
      </w:r>
      <w:r>
        <w:rPr>
          <w:rFonts w:cs="Book Antiqua"/>
          <w:color w:val="000000"/>
        </w:rPr>
        <w:t>The R&amp;D premium is the claimant’s company tax rate plus:</w:t>
      </w:r>
    </w:p>
    <w:p w14:paraId="0D9E86C7" w14:textId="77777777" w:rsidR="006E40C9" w:rsidRDefault="006E40C9" w:rsidP="006E40C9">
      <w:pPr>
        <w:pStyle w:val="Bullet"/>
      </w:pPr>
      <w:r>
        <w:t>8.5 percentage points for R&amp;D expenditure between 0 per cent and 2 per cent R&amp;D intensity; and</w:t>
      </w:r>
    </w:p>
    <w:p w14:paraId="15A536B2" w14:textId="77777777" w:rsidR="006E40C9" w:rsidRDefault="006E40C9" w:rsidP="006E40C9">
      <w:pPr>
        <w:pStyle w:val="Bullet"/>
      </w:pPr>
      <w:r>
        <w:t>16.5 percentage points for R&amp;D expenditure above 2 per cent R&amp;D intensity.</w:t>
      </w:r>
    </w:p>
    <w:p w14:paraId="7E2FF931" w14:textId="3848F6B2" w:rsidR="006E40C9" w:rsidRDefault="006E40C9" w:rsidP="006E40C9">
      <w:r>
        <w:t>The R&amp;D expenditure threshold also increased from $100</w:t>
      </w:r>
      <w:r w:rsidR="003034AA">
        <w:t> </w:t>
      </w:r>
      <w:r>
        <w:t>million to $150 million</w:t>
      </w:r>
      <w:r w:rsidR="003034AA">
        <w:t xml:space="preserve"> </w:t>
      </w:r>
      <w:r>
        <w:t>per</w:t>
      </w:r>
      <w:r w:rsidR="003034AA">
        <w:t> </w:t>
      </w:r>
      <w:r>
        <w:t>annum.</w:t>
      </w:r>
    </w:p>
    <w:p w14:paraId="1177C54A" w14:textId="77777777" w:rsidR="006E40C9" w:rsidRDefault="006E40C9" w:rsidP="006E40C9">
      <w:r>
        <w:t>A non</w:t>
      </w:r>
      <w:r>
        <w:noBreakHyphen/>
        <w:t>refundable tax offset at the prevailing company tax rate applies to the amount of the expenditure that exceeds the R&amp;D expenditure threshold. The non</w:t>
      </w:r>
      <w:r>
        <w:noBreakHyphen/>
        <w:t xml:space="preserve">refundable tax offset can be carried forward to be applied against future income tax liabilities. If a company’s income tax liability is zero, </w:t>
      </w:r>
      <w:r w:rsidRPr="00581D26">
        <w:t>unused offset amounts cannot be applied to reduce other tax liabilities</w:t>
      </w:r>
      <w:r>
        <w:t>.</w:t>
      </w:r>
    </w:p>
    <w:p w14:paraId="3AD85E5B" w14:textId="77777777" w:rsidR="006E40C9" w:rsidRDefault="006E40C9" w:rsidP="00432D19">
      <w:pPr>
        <w:pStyle w:val="Heading4"/>
      </w:pPr>
      <w:r>
        <w:t>B88</w:t>
      </w:r>
      <w:r>
        <w:tab/>
        <w:t>Simplified depreciation rules</w:t>
      </w:r>
    </w:p>
    <w:p w14:paraId="19A8A4EC" w14:textId="6C2B0B0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4CFEC3" w14:textId="77777777">
        <w:trPr>
          <w:cantSplit/>
          <w:jc w:val="center"/>
        </w:trPr>
        <w:tc>
          <w:tcPr>
            <w:tcW w:w="967" w:type="dxa"/>
            <w:tcBorders>
              <w:top w:val="single" w:sz="2" w:space="0" w:color="auto"/>
              <w:bottom w:val="single" w:sz="2" w:space="0" w:color="auto"/>
            </w:tcBorders>
          </w:tcPr>
          <w:p w14:paraId="75CBBF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876C8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5A8F9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F428D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38BA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659D4B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4174D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2C8DE9" w14:textId="77777777" w:rsidR="006E40C9" w:rsidRDefault="006E40C9">
            <w:pPr>
              <w:pStyle w:val="MeasureTableTextRightAligned"/>
            </w:pPr>
            <w:r>
              <w:t>2027-28</w:t>
            </w:r>
          </w:p>
        </w:tc>
      </w:tr>
      <w:tr w:rsidR="006E40C9" w14:paraId="57DD8A74" w14:textId="77777777">
        <w:trPr>
          <w:cantSplit/>
          <w:jc w:val="center"/>
        </w:trPr>
        <w:tc>
          <w:tcPr>
            <w:tcW w:w="967" w:type="dxa"/>
            <w:tcBorders>
              <w:top w:val="single" w:sz="2" w:space="0" w:color="auto"/>
              <w:bottom w:val="single" w:sz="2" w:space="0" w:color="auto"/>
            </w:tcBorders>
          </w:tcPr>
          <w:p w14:paraId="51D62D85" w14:textId="77777777" w:rsidR="006E40C9" w:rsidRDefault="006E40C9">
            <w:pPr>
              <w:pStyle w:val="MeasureTableTextRightAligned"/>
            </w:pPr>
            <w:r>
              <w:t>3,100</w:t>
            </w:r>
          </w:p>
        </w:tc>
        <w:tc>
          <w:tcPr>
            <w:tcW w:w="967" w:type="dxa"/>
            <w:tcBorders>
              <w:top w:val="single" w:sz="2" w:space="0" w:color="auto"/>
              <w:bottom w:val="single" w:sz="2" w:space="0" w:color="auto"/>
            </w:tcBorders>
          </w:tcPr>
          <w:p w14:paraId="209D2760" w14:textId="77777777" w:rsidR="006E40C9" w:rsidRDefault="006E40C9">
            <w:pPr>
              <w:pStyle w:val="MeasureTableTextRightAligned"/>
            </w:pPr>
            <w:r>
              <w:t>7,100</w:t>
            </w:r>
          </w:p>
        </w:tc>
        <w:tc>
          <w:tcPr>
            <w:tcW w:w="967" w:type="dxa"/>
            <w:tcBorders>
              <w:top w:val="single" w:sz="2" w:space="0" w:color="auto"/>
              <w:bottom w:val="single" w:sz="2" w:space="0" w:color="auto"/>
            </w:tcBorders>
            <w:vAlign w:val="bottom"/>
          </w:tcPr>
          <w:p w14:paraId="47FC6278" w14:textId="77777777" w:rsidR="006E40C9" w:rsidRDefault="006E40C9">
            <w:pPr>
              <w:pStyle w:val="MeasureTableTextRightAligned"/>
            </w:pPr>
            <w:r>
              <w:t>5,900</w:t>
            </w:r>
          </w:p>
        </w:tc>
        <w:tc>
          <w:tcPr>
            <w:tcW w:w="967" w:type="dxa"/>
            <w:tcBorders>
              <w:top w:val="single" w:sz="2" w:space="0" w:color="auto"/>
              <w:bottom w:val="single" w:sz="2" w:space="0" w:color="auto"/>
            </w:tcBorders>
            <w:vAlign w:val="bottom"/>
          </w:tcPr>
          <w:p w14:paraId="385A7235" w14:textId="77777777" w:rsidR="006E40C9" w:rsidRDefault="006E40C9">
            <w:pPr>
              <w:pStyle w:val="MeasureTableTextRightAligned"/>
            </w:pPr>
            <w:r>
              <w:t>4,100</w:t>
            </w:r>
          </w:p>
        </w:tc>
        <w:tc>
          <w:tcPr>
            <w:tcW w:w="967" w:type="dxa"/>
            <w:tcBorders>
              <w:top w:val="single" w:sz="2" w:space="0" w:color="auto"/>
              <w:bottom w:val="single" w:sz="2" w:space="0" w:color="auto"/>
            </w:tcBorders>
            <w:vAlign w:val="bottom"/>
          </w:tcPr>
          <w:p w14:paraId="00DC2237" w14:textId="77777777" w:rsidR="006E40C9" w:rsidRDefault="006E40C9">
            <w:pPr>
              <w:pStyle w:val="MeasureTableTextRightAligned"/>
            </w:pPr>
            <w:r>
              <w:t>-3,700</w:t>
            </w:r>
          </w:p>
        </w:tc>
        <w:tc>
          <w:tcPr>
            <w:tcW w:w="967" w:type="dxa"/>
            <w:gridSpan w:val="2"/>
            <w:tcBorders>
              <w:top w:val="single" w:sz="2" w:space="0" w:color="auto"/>
              <w:bottom w:val="single" w:sz="2" w:space="0" w:color="auto"/>
            </w:tcBorders>
            <w:vAlign w:val="bottom"/>
          </w:tcPr>
          <w:p w14:paraId="18194BFC" w14:textId="77777777" w:rsidR="006E40C9" w:rsidRDefault="006E40C9">
            <w:pPr>
              <w:pStyle w:val="MeasureTableTextRightAligned"/>
            </w:pPr>
            <w:r>
              <w:t>-5,400</w:t>
            </w:r>
          </w:p>
        </w:tc>
        <w:tc>
          <w:tcPr>
            <w:tcW w:w="967" w:type="dxa"/>
            <w:gridSpan w:val="2"/>
            <w:tcBorders>
              <w:top w:val="single" w:sz="2" w:space="0" w:color="auto"/>
              <w:bottom w:val="single" w:sz="2" w:space="0" w:color="auto"/>
            </w:tcBorders>
            <w:vAlign w:val="bottom"/>
          </w:tcPr>
          <w:p w14:paraId="1D84B846" w14:textId="77777777" w:rsidR="006E40C9" w:rsidRDefault="006E40C9">
            <w:pPr>
              <w:pStyle w:val="MeasureTableTextRightAligned"/>
            </w:pPr>
            <w:r>
              <w:t>-2,300</w:t>
            </w:r>
          </w:p>
        </w:tc>
        <w:tc>
          <w:tcPr>
            <w:tcW w:w="968" w:type="dxa"/>
            <w:tcBorders>
              <w:top w:val="single" w:sz="2" w:space="0" w:color="auto"/>
              <w:bottom w:val="single" w:sz="2" w:space="0" w:color="auto"/>
            </w:tcBorders>
            <w:vAlign w:val="bottom"/>
          </w:tcPr>
          <w:p w14:paraId="079E1D7A" w14:textId="77777777" w:rsidR="006E40C9" w:rsidRDefault="006E40C9">
            <w:pPr>
              <w:pStyle w:val="MeasureTableTextRightAligned"/>
            </w:pPr>
            <w:r>
              <w:t>-1,300</w:t>
            </w:r>
          </w:p>
        </w:tc>
      </w:tr>
      <w:tr w:rsidR="006E40C9" w14:paraId="0A232913" w14:textId="77777777">
        <w:trPr>
          <w:cantSplit/>
          <w:jc w:val="center"/>
        </w:trPr>
        <w:tc>
          <w:tcPr>
            <w:tcW w:w="1934" w:type="dxa"/>
            <w:gridSpan w:val="2"/>
            <w:tcBorders>
              <w:top w:val="single" w:sz="2" w:space="0" w:color="auto"/>
              <w:bottom w:val="nil"/>
            </w:tcBorders>
          </w:tcPr>
          <w:p w14:paraId="69155E0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C4A7C0" w14:textId="77777777" w:rsidR="006E40C9" w:rsidRDefault="006E40C9">
            <w:pPr>
              <w:pStyle w:val="MeasureTableTextLeftAligned"/>
            </w:pPr>
            <w:r>
              <w:t>Accelerated write-off</w:t>
            </w:r>
          </w:p>
        </w:tc>
        <w:tc>
          <w:tcPr>
            <w:tcW w:w="1500" w:type="dxa"/>
            <w:gridSpan w:val="2"/>
            <w:tcBorders>
              <w:top w:val="single" w:sz="2" w:space="0" w:color="auto"/>
              <w:bottom w:val="nil"/>
            </w:tcBorders>
          </w:tcPr>
          <w:p w14:paraId="5A646AF5" w14:textId="4F85B73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9681CBB" w14:textId="77777777" w:rsidR="006E40C9" w:rsidRDefault="006E40C9">
            <w:pPr>
              <w:pStyle w:val="MeasureTableTextLeftAligned"/>
            </w:pPr>
            <w:r>
              <w:t>B87</w:t>
            </w:r>
          </w:p>
        </w:tc>
      </w:tr>
      <w:tr w:rsidR="006E40C9" w14:paraId="5AA9EC19" w14:textId="77777777">
        <w:trPr>
          <w:cantSplit/>
          <w:jc w:val="center"/>
        </w:trPr>
        <w:tc>
          <w:tcPr>
            <w:tcW w:w="1934" w:type="dxa"/>
            <w:gridSpan w:val="2"/>
            <w:tcBorders>
              <w:top w:val="nil"/>
              <w:bottom w:val="nil"/>
            </w:tcBorders>
          </w:tcPr>
          <w:p w14:paraId="01EB6A0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F4FB496" w14:textId="55AFF32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FCFA5C0" w14:textId="77777777" w:rsidR="006E40C9" w:rsidRDefault="006E40C9">
            <w:pPr>
              <w:pStyle w:val="MeasureTableTextItalic"/>
            </w:pPr>
          </w:p>
        </w:tc>
        <w:tc>
          <w:tcPr>
            <w:tcW w:w="1124" w:type="dxa"/>
            <w:gridSpan w:val="2"/>
            <w:tcBorders>
              <w:top w:val="nil"/>
              <w:bottom w:val="nil"/>
            </w:tcBorders>
          </w:tcPr>
          <w:p w14:paraId="0C169DA1" w14:textId="77777777" w:rsidR="006E40C9" w:rsidRDefault="006E40C9">
            <w:pPr>
              <w:pStyle w:val="MeasureTableTextLeftAligned"/>
            </w:pPr>
          </w:p>
        </w:tc>
      </w:tr>
      <w:tr w:rsidR="006E40C9" w14:paraId="1275B4C7" w14:textId="77777777">
        <w:trPr>
          <w:cantSplit/>
          <w:jc w:val="center"/>
        </w:trPr>
        <w:tc>
          <w:tcPr>
            <w:tcW w:w="1934" w:type="dxa"/>
            <w:gridSpan w:val="2"/>
            <w:tcBorders>
              <w:top w:val="nil"/>
              <w:bottom w:val="nil"/>
            </w:tcBorders>
          </w:tcPr>
          <w:p w14:paraId="43D36747" w14:textId="77777777" w:rsidR="006E40C9" w:rsidRDefault="006E40C9">
            <w:pPr>
              <w:pStyle w:val="MeasureTableTextItalic"/>
            </w:pPr>
            <w:r>
              <w:t>Commencement date:</w:t>
            </w:r>
          </w:p>
        </w:tc>
        <w:tc>
          <w:tcPr>
            <w:tcW w:w="3179" w:type="dxa"/>
            <w:gridSpan w:val="4"/>
            <w:tcBorders>
              <w:top w:val="nil"/>
              <w:bottom w:val="nil"/>
            </w:tcBorders>
          </w:tcPr>
          <w:p w14:paraId="202DF3B9" w14:textId="77777777" w:rsidR="006E40C9" w:rsidRDefault="006E40C9">
            <w:pPr>
              <w:pStyle w:val="MeasureTableTextLeftAligned"/>
            </w:pPr>
            <w:r>
              <w:t>2001</w:t>
            </w:r>
          </w:p>
        </w:tc>
        <w:tc>
          <w:tcPr>
            <w:tcW w:w="1500" w:type="dxa"/>
            <w:gridSpan w:val="2"/>
            <w:tcBorders>
              <w:top w:val="nil"/>
              <w:bottom w:val="nil"/>
            </w:tcBorders>
          </w:tcPr>
          <w:p w14:paraId="1DEBCD63" w14:textId="77777777" w:rsidR="006E40C9" w:rsidRPr="00F32057" w:rsidRDefault="006E40C9">
            <w:pPr>
              <w:pStyle w:val="MeasureTableTextItalic"/>
            </w:pPr>
            <w:r>
              <w:t>Expiry date:</w:t>
            </w:r>
          </w:p>
        </w:tc>
        <w:tc>
          <w:tcPr>
            <w:tcW w:w="1124" w:type="dxa"/>
            <w:gridSpan w:val="2"/>
            <w:tcBorders>
              <w:top w:val="nil"/>
              <w:bottom w:val="nil"/>
            </w:tcBorders>
          </w:tcPr>
          <w:p w14:paraId="7A3305E2" w14:textId="77777777" w:rsidR="006E40C9" w:rsidRPr="00F32057" w:rsidRDefault="006E40C9">
            <w:pPr>
              <w:pStyle w:val="MeasureTableTextLeftAligned"/>
            </w:pPr>
          </w:p>
        </w:tc>
      </w:tr>
      <w:tr w:rsidR="006E40C9" w14:paraId="397B76ED" w14:textId="77777777">
        <w:trPr>
          <w:cantSplit/>
          <w:jc w:val="center"/>
        </w:trPr>
        <w:tc>
          <w:tcPr>
            <w:tcW w:w="1934" w:type="dxa"/>
            <w:gridSpan w:val="2"/>
            <w:tcBorders>
              <w:top w:val="nil"/>
            </w:tcBorders>
          </w:tcPr>
          <w:p w14:paraId="48A4EB91" w14:textId="77777777" w:rsidR="006E40C9" w:rsidRDefault="006E40C9">
            <w:pPr>
              <w:pStyle w:val="MeasureTableTextItalic"/>
            </w:pPr>
            <w:r>
              <w:t>Legislative reference:</w:t>
            </w:r>
          </w:p>
        </w:tc>
        <w:tc>
          <w:tcPr>
            <w:tcW w:w="5803" w:type="dxa"/>
            <w:gridSpan w:val="8"/>
            <w:tcBorders>
              <w:top w:val="nil"/>
            </w:tcBorders>
          </w:tcPr>
          <w:p w14:paraId="79EDF92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328-D of the </w:t>
            </w:r>
            <w:r>
              <w:rPr>
                <w:rFonts w:ascii="Arial" w:hAnsi="Arial" w:cs="Arial"/>
                <w:i/>
                <w:iCs/>
                <w:color w:val="000000"/>
                <w:sz w:val="16"/>
                <w:szCs w:val="16"/>
              </w:rPr>
              <w:t>Income Tax Assessment Act 1997</w:t>
            </w:r>
          </w:p>
        </w:tc>
      </w:tr>
    </w:tbl>
    <w:p w14:paraId="508E3963" w14:textId="77777777" w:rsidR="006E40C9" w:rsidRPr="00540040" w:rsidRDefault="006E40C9" w:rsidP="006E40C9">
      <w:pPr>
        <w:pStyle w:val="MeasureTableHeading"/>
      </w:pPr>
    </w:p>
    <w:p w14:paraId="7B3C7C41" w14:textId="77777777" w:rsidR="006E40C9" w:rsidRDefault="006E40C9" w:rsidP="006E40C9">
      <w:r>
        <w:t xml:space="preserve">Under the benchmark, depreciating assets are generally written off over their effective lives. </w:t>
      </w:r>
    </w:p>
    <w:p w14:paraId="5A77BC07" w14:textId="77777777" w:rsidR="006E40C9" w:rsidRDefault="006E40C9" w:rsidP="006E40C9">
      <w:r>
        <w:t>A tax expenditure arises because small business entities with an aggregated annual turnover of less than $10 million can access concessional depreciation arrangements for eligible assets.</w:t>
      </w:r>
      <w:r>
        <w:fldChar w:fldCharType="begin"/>
      </w:r>
      <w:r>
        <w:instrText xml:space="preserve"> XE "</w:instrText>
      </w:r>
      <w:r w:rsidRPr="00045ADE">
        <w:instrText>Small business</w:instrText>
      </w:r>
      <w:r>
        <w:instrText xml:space="preserve">" </w:instrText>
      </w:r>
      <w:r>
        <w:fldChar w:fldCharType="end"/>
      </w:r>
    </w:p>
    <w:p w14:paraId="3E754078" w14:textId="2EF736FD" w:rsidR="006E40C9" w:rsidRDefault="006E40C9" w:rsidP="006E40C9">
      <w:r>
        <w:t xml:space="preserve">Under the concessions, small business entities can deduct the full cost of eligible assets costing less than a threshold amount. From 12 March 2020 to 31 December 2020, the threshold was $150,000 for eligible assets purchased by 31 December 2020 and first used or installed by 30 June 2021. No threshold applied to eligible assets purchased from 7:30pm (AEDT) on 6 October 2020 and first used or installed by 30 June 2023. </w:t>
      </w:r>
      <w:r w:rsidRPr="00301F8A">
        <w:t>From 1</w:t>
      </w:r>
      <w:r w:rsidRPr="00301F8A">
        <w:rPr>
          <w:rFonts w:ascii="Times New Roman" w:hAnsi="Times New Roman"/>
        </w:rPr>
        <w:t> </w:t>
      </w:r>
      <w:r w:rsidRPr="00301F8A">
        <w:t>July</w:t>
      </w:r>
      <w:r w:rsidRPr="00301F8A">
        <w:rPr>
          <w:rFonts w:ascii="Times New Roman" w:hAnsi="Times New Roman"/>
        </w:rPr>
        <w:t> </w:t>
      </w:r>
      <w:r w:rsidRPr="00301F8A">
        <w:t>2023 to 30 June 2024, the threshold was $20,000.</w:t>
      </w:r>
    </w:p>
    <w:p w14:paraId="333712F6" w14:textId="77777777" w:rsidR="006E40C9" w:rsidRDefault="006E40C9" w:rsidP="006E40C9">
      <w:r w:rsidRPr="00A711A6">
        <w:t>Subject to the passage of legislation, the</w:t>
      </w:r>
      <w:r>
        <w:t xml:space="preserve"> $20,000</w:t>
      </w:r>
      <w:r w:rsidRPr="00A711A6">
        <w:t xml:space="preserve"> threshold will </w:t>
      </w:r>
      <w:r>
        <w:t>continue to apply</w:t>
      </w:r>
      <w:r w:rsidRPr="00A711A6">
        <w:t xml:space="preserve"> for eligible assets first used or installed </w:t>
      </w:r>
      <w:r>
        <w:t>by</w:t>
      </w:r>
      <w:r w:rsidRPr="00A711A6">
        <w:t xml:space="preserve"> 30 June 202</w:t>
      </w:r>
      <w:r>
        <w:t>5</w:t>
      </w:r>
      <w:r w:rsidRPr="00A711A6">
        <w:t xml:space="preserve">. </w:t>
      </w:r>
    </w:p>
    <w:p w14:paraId="62DF3943" w14:textId="77777777" w:rsidR="006E40C9" w:rsidRDefault="006E40C9" w:rsidP="006E40C9">
      <w:r>
        <w:t xml:space="preserve">Small business entities can depreciate assets above the threshold through simplified pooling arrangements. The general small business pool is fully deducted at the end of the income year if its balance is less than the applicable threshold (before deducting depreciation for the year). </w:t>
      </w:r>
      <w:r>
        <w:rPr>
          <w:rFonts w:cs="Book Antiqua"/>
        </w:rPr>
        <w:fldChar w:fldCharType="begin"/>
      </w:r>
      <w:r>
        <w:instrText xml:space="preserve"> XE "Accelerated depreciation:</w:instrText>
      </w:r>
      <w:r>
        <w:rPr>
          <w:rFonts w:cs="Book Antiqua"/>
        </w:rPr>
        <w:instrText>Small business pool</w:instrText>
      </w:r>
      <w:r>
        <w:instrText xml:space="preserve">" </w:instrText>
      </w:r>
      <w:r>
        <w:rPr>
          <w:rFonts w:cs="Book Antiqua"/>
        </w:rPr>
        <w:fldChar w:fldCharType="end"/>
      </w:r>
    </w:p>
    <w:p w14:paraId="28A4ADA3" w14:textId="77777777" w:rsidR="006E40C9" w:rsidRDefault="006E40C9" w:rsidP="006E40C9">
      <w:pPr>
        <w:rPr>
          <w:i/>
        </w:rPr>
      </w:pPr>
      <w:r>
        <w:t>Small business entities can choose not to access the simplified depreciation rules. See related expenditure item on a</w:t>
      </w:r>
      <w:r w:rsidRPr="00B328EE">
        <w:t>ccelerated depreciation for business entities</w:t>
      </w:r>
      <w:r>
        <w:rPr>
          <w:i/>
        </w:rPr>
        <w:t xml:space="preserve">. </w:t>
      </w:r>
    </w:p>
    <w:p w14:paraId="50A60813" w14:textId="77777777" w:rsidR="006E40C9" w:rsidRDefault="006E40C9" w:rsidP="001B58A1">
      <w:pPr>
        <w:pStyle w:val="Heading4"/>
      </w:pPr>
      <w:r>
        <w:t>B89</w:t>
      </w:r>
      <w:r>
        <w:tab/>
        <w:t>Simplified trading stock rules</w:t>
      </w:r>
    </w:p>
    <w:p w14:paraId="0C90B425" w14:textId="4D6175E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B54789D" w14:textId="77777777">
        <w:trPr>
          <w:cantSplit/>
          <w:jc w:val="center"/>
        </w:trPr>
        <w:tc>
          <w:tcPr>
            <w:tcW w:w="967" w:type="dxa"/>
            <w:tcBorders>
              <w:top w:val="single" w:sz="2" w:space="0" w:color="auto"/>
              <w:bottom w:val="single" w:sz="2" w:space="0" w:color="auto"/>
            </w:tcBorders>
          </w:tcPr>
          <w:p w14:paraId="265BB0D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9C8A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8CE60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6247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6D582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DCF92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4F7DE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9EB361" w14:textId="77777777" w:rsidR="006E40C9" w:rsidRDefault="006E40C9">
            <w:pPr>
              <w:pStyle w:val="MeasureTableTextRightAligned"/>
            </w:pPr>
            <w:r>
              <w:t>2027-28</w:t>
            </w:r>
          </w:p>
        </w:tc>
      </w:tr>
      <w:tr w:rsidR="006E40C9" w14:paraId="54403204" w14:textId="77777777">
        <w:trPr>
          <w:cantSplit/>
          <w:jc w:val="center"/>
        </w:trPr>
        <w:tc>
          <w:tcPr>
            <w:tcW w:w="967" w:type="dxa"/>
            <w:tcBorders>
              <w:top w:val="single" w:sz="2" w:space="0" w:color="auto"/>
              <w:bottom w:val="single" w:sz="2" w:space="0" w:color="auto"/>
            </w:tcBorders>
          </w:tcPr>
          <w:p w14:paraId="62A3F9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47B4D95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03B55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502A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7F8D6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5F4FF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8C704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4BBD0A6" w14:textId="77777777" w:rsidR="006E40C9" w:rsidRDefault="006E40C9">
            <w:pPr>
              <w:pStyle w:val="MeasureTableTextRightAligned"/>
            </w:pPr>
            <w:r>
              <w:t>*</w:t>
            </w:r>
          </w:p>
        </w:tc>
      </w:tr>
      <w:tr w:rsidR="006E40C9" w14:paraId="4CD99D62" w14:textId="77777777">
        <w:trPr>
          <w:cantSplit/>
          <w:jc w:val="center"/>
        </w:trPr>
        <w:tc>
          <w:tcPr>
            <w:tcW w:w="1934" w:type="dxa"/>
            <w:gridSpan w:val="2"/>
            <w:tcBorders>
              <w:top w:val="single" w:sz="2" w:space="0" w:color="auto"/>
              <w:bottom w:val="nil"/>
            </w:tcBorders>
          </w:tcPr>
          <w:p w14:paraId="3DCBA8C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15E421" w14:textId="77777777" w:rsidR="006E40C9" w:rsidRDefault="006E40C9">
            <w:pPr>
              <w:pStyle w:val="MeasureTableTextLeftAligned"/>
            </w:pPr>
            <w:r>
              <w:t>Deferral</w:t>
            </w:r>
          </w:p>
        </w:tc>
        <w:tc>
          <w:tcPr>
            <w:tcW w:w="1500" w:type="dxa"/>
            <w:gridSpan w:val="2"/>
            <w:tcBorders>
              <w:top w:val="single" w:sz="2" w:space="0" w:color="auto"/>
              <w:bottom w:val="nil"/>
            </w:tcBorders>
          </w:tcPr>
          <w:p w14:paraId="67DDB508" w14:textId="5F7DDB4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76D517" w14:textId="77777777" w:rsidR="006E40C9" w:rsidRDefault="006E40C9">
            <w:pPr>
              <w:pStyle w:val="MeasureTableTextLeftAligned"/>
            </w:pPr>
            <w:r>
              <w:t>B88</w:t>
            </w:r>
          </w:p>
        </w:tc>
      </w:tr>
      <w:tr w:rsidR="006E40C9" w14:paraId="1BC4DF0A" w14:textId="77777777">
        <w:trPr>
          <w:cantSplit/>
          <w:jc w:val="center"/>
        </w:trPr>
        <w:tc>
          <w:tcPr>
            <w:tcW w:w="1934" w:type="dxa"/>
            <w:gridSpan w:val="2"/>
            <w:tcBorders>
              <w:top w:val="nil"/>
              <w:bottom w:val="nil"/>
            </w:tcBorders>
          </w:tcPr>
          <w:p w14:paraId="5377A41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E02C34" w14:textId="77777777" w:rsidR="006E40C9" w:rsidRPr="00584CA7" w:rsidRDefault="006E40C9">
            <w:pPr>
              <w:pStyle w:val="MeasureTableTextLeftAligned"/>
            </w:pPr>
            <w:r>
              <w:t>Medium</w:t>
            </w:r>
          </w:p>
        </w:tc>
        <w:tc>
          <w:tcPr>
            <w:tcW w:w="1500" w:type="dxa"/>
            <w:gridSpan w:val="2"/>
            <w:tcBorders>
              <w:top w:val="nil"/>
              <w:bottom w:val="nil"/>
            </w:tcBorders>
          </w:tcPr>
          <w:p w14:paraId="460C92CB" w14:textId="77777777" w:rsidR="006E40C9" w:rsidRDefault="006E40C9">
            <w:pPr>
              <w:pStyle w:val="MeasureTableTextItalic"/>
            </w:pPr>
            <w:r>
              <w:t>* Category</w:t>
            </w:r>
          </w:p>
        </w:tc>
        <w:tc>
          <w:tcPr>
            <w:tcW w:w="1124" w:type="dxa"/>
            <w:gridSpan w:val="2"/>
            <w:tcBorders>
              <w:top w:val="nil"/>
              <w:bottom w:val="nil"/>
            </w:tcBorders>
          </w:tcPr>
          <w:p w14:paraId="6B684FA8" w14:textId="77777777" w:rsidR="006E40C9" w:rsidRDefault="006E40C9">
            <w:pPr>
              <w:pStyle w:val="MeasureTableTextLeftAligned"/>
            </w:pPr>
            <w:r>
              <w:t>1+</w:t>
            </w:r>
          </w:p>
        </w:tc>
      </w:tr>
      <w:tr w:rsidR="006E40C9" w14:paraId="4C50456B" w14:textId="77777777">
        <w:trPr>
          <w:cantSplit/>
          <w:jc w:val="center"/>
        </w:trPr>
        <w:tc>
          <w:tcPr>
            <w:tcW w:w="1934" w:type="dxa"/>
            <w:gridSpan w:val="2"/>
            <w:tcBorders>
              <w:top w:val="nil"/>
              <w:bottom w:val="nil"/>
            </w:tcBorders>
          </w:tcPr>
          <w:p w14:paraId="6AAD319C" w14:textId="77777777" w:rsidR="006E40C9" w:rsidRDefault="006E40C9">
            <w:pPr>
              <w:pStyle w:val="MeasureTableTextItalic"/>
            </w:pPr>
            <w:r>
              <w:t>Commencement date:</w:t>
            </w:r>
          </w:p>
        </w:tc>
        <w:tc>
          <w:tcPr>
            <w:tcW w:w="3179" w:type="dxa"/>
            <w:gridSpan w:val="4"/>
            <w:tcBorders>
              <w:top w:val="nil"/>
              <w:bottom w:val="nil"/>
            </w:tcBorders>
          </w:tcPr>
          <w:p w14:paraId="1155299B" w14:textId="77777777" w:rsidR="006E40C9" w:rsidRDefault="006E40C9">
            <w:pPr>
              <w:pStyle w:val="MeasureTableTextLeftAligned"/>
            </w:pPr>
            <w:r>
              <w:t>2001</w:t>
            </w:r>
          </w:p>
        </w:tc>
        <w:tc>
          <w:tcPr>
            <w:tcW w:w="1500" w:type="dxa"/>
            <w:gridSpan w:val="2"/>
            <w:tcBorders>
              <w:top w:val="nil"/>
              <w:bottom w:val="nil"/>
            </w:tcBorders>
          </w:tcPr>
          <w:p w14:paraId="0B29E36C" w14:textId="77777777" w:rsidR="006E40C9" w:rsidRPr="00F32057" w:rsidRDefault="006E40C9">
            <w:pPr>
              <w:pStyle w:val="MeasureTableTextItalic"/>
            </w:pPr>
            <w:r>
              <w:t>Expiry date:</w:t>
            </w:r>
          </w:p>
        </w:tc>
        <w:tc>
          <w:tcPr>
            <w:tcW w:w="1124" w:type="dxa"/>
            <w:gridSpan w:val="2"/>
            <w:tcBorders>
              <w:top w:val="nil"/>
              <w:bottom w:val="nil"/>
            </w:tcBorders>
          </w:tcPr>
          <w:p w14:paraId="61065DFB" w14:textId="77777777" w:rsidR="006E40C9" w:rsidRPr="00F32057" w:rsidRDefault="006E40C9">
            <w:pPr>
              <w:pStyle w:val="MeasureTableTextLeftAligned"/>
            </w:pPr>
          </w:p>
        </w:tc>
      </w:tr>
      <w:tr w:rsidR="006E40C9" w14:paraId="002BBA52" w14:textId="77777777">
        <w:trPr>
          <w:cantSplit/>
          <w:jc w:val="center"/>
        </w:trPr>
        <w:tc>
          <w:tcPr>
            <w:tcW w:w="1934" w:type="dxa"/>
            <w:gridSpan w:val="2"/>
            <w:tcBorders>
              <w:top w:val="nil"/>
            </w:tcBorders>
          </w:tcPr>
          <w:p w14:paraId="3E83EE8A" w14:textId="77777777" w:rsidR="006E40C9" w:rsidRDefault="006E40C9">
            <w:pPr>
              <w:pStyle w:val="MeasureTableTextItalic"/>
            </w:pPr>
            <w:r>
              <w:t>Legislative reference:</w:t>
            </w:r>
          </w:p>
        </w:tc>
        <w:tc>
          <w:tcPr>
            <w:tcW w:w="5803" w:type="dxa"/>
            <w:gridSpan w:val="8"/>
            <w:tcBorders>
              <w:top w:val="nil"/>
            </w:tcBorders>
          </w:tcPr>
          <w:p w14:paraId="666307B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328-E of the </w:t>
            </w:r>
            <w:r>
              <w:rPr>
                <w:rFonts w:ascii="Arial" w:hAnsi="Arial" w:cs="Arial"/>
                <w:i/>
                <w:iCs/>
                <w:color w:val="000000"/>
                <w:sz w:val="16"/>
                <w:szCs w:val="16"/>
              </w:rPr>
              <w:t>Income Tax Assessment Act 1997</w:t>
            </w:r>
          </w:p>
        </w:tc>
      </w:tr>
    </w:tbl>
    <w:p w14:paraId="2897902A" w14:textId="77777777" w:rsidR="006E40C9" w:rsidRPr="00540040" w:rsidRDefault="006E40C9" w:rsidP="006E40C9">
      <w:pPr>
        <w:pStyle w:val="MeasureTableHeading"/>
      </w:pPr>
    </w:p>
    <w:p w14:paraId="598273D3" w14:textId="77777777" w:rsidR="006E40C9" w:rsidRDefault="006E40C9" w:rsidP="006E40C9">
      <w:r>
        <w:t xml:space="preserve">Under the benchmark, changes in the value of trading stock are generally accounted for at the end of the income year. </w:t>
      </w:r>
    </w:p>
    <w:p w14:paraId="7CA24256" w14:textId="77777777" w:rsidR="006E40C9" w:rsidRDefault="006E40C9" w:rsidP="006E40C9">
      <w:r>
        <w:t>However, eligible entities with aggregated annual turnover of less than $50 million ($10 million before 1 July 2021) can choose to use a simplified trading stock</w:t>
      </w:r>
      <w:r>
        <w:fldChar w:fldCharType="begin"/>
      </w:r>
      <w:r>
        <w:instrText xml:space="preserve"> XE "S</w:instrText>
      </w:r>
      <w:r w:rsidRPr="00597A44">
        <w:instrText>implified trading stock rules</w:instrText>
      </w:r>
      <w:r>
        <w:instrText xml:space="preserve">" </w:instrText>
      </w:r>
      <w:r>
        <w:fldChar w:fldCharType="end"/>
      </w:r>
      <w:r>
        <w:t xml:space="preserve"> regime. Under this regime, in certain circumstances, changes in the value of trading stock do not have to be accounted for and formal stocktaking is not required at the end of the income year. </w:t>
      </w:r>
      <w:r w:rsidRPr="00046F85">
        <w:fldChar w:fldCharType="begin"/>
      </w:r>
      <w:r w:rsidRPr="00046F85">
        <w:instrText xml:space="preserve"> XE "Small business" </w:instrText>
      </w:r>
      <w:r w:rsidRPr="00046F85">
        <w:fldChar w:fldCharType="end"/>
      </w:r>
    </w:p>
    <w:p w14:paraId="77D7D187" w14:textId="77777777" w:rsidR="006E40C9" w:rsidRDefault="006E40C9" w:rsidP="001B58A1">
      <w:pPr>
        <w:pStyle w:val="Heading3"/>
      </w:pPr>
      <w:r>
        <w:t>Petroleum</w:t>
      </w:r>
    </w:p>
    <w:p w14:paraId="2D8E24A6" w14:textId="77777777" w:rsidR="006E40C9" w:rsidRDefault="006E40C9" w:rsidP="001B58A1">
      <w:pPr>
        <w:pStyle w:val="Heading4"/>
      </w:pPr>
      <w:r>
        <w:t>B90</w:t>
      </w:r>
      <w:r>
        <w:tab/>
      </w:r>
      <w:r w:rsidRPr="001B58A1">
        <w:t>Timor</w:t>
      </w:r>
      <w:r>
        <w:t xml:space="preserve"> Sea Maritime Boundaries Treaty</w:t>
      </w:r>
    </w:p>
    <w:p w14:paraId="4120D0D7"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30F1FC0" w14:textId="77777777">
        <w:trPr>
          <w:cantSplit/>
          <w:jc w:val="center"/>
        </w:trPr>
        <w:tc>
          <w:tcPr>
            <w:tcW w:w="967" w:type="dxa"/>
            <w:tcBorders>
              <w:top w:val="single" w:sz="2" w:space="0" w:color="auto"/>
              <w:bottom w:val="single" w:sz="2" w:space="0" w:color="auto"/>
            </w:tcBorders>
          </w:tcPr>
          <w:p w14:paraId="22F8AE7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9499C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81871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CCBC73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A561E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A93F6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EF2D2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8BD24A" w14:textId="77777777" w:rsidR="006E40C9" w:rsidRDefault="006E40C9">
            <w:pPr>
              <w:pStyle w:val="MeasureTableTextRightAligned"/>
            </w:pPr>
            <w:r>
              <w:t>2027-28</w:t>
            </w:r>
          </w:p>
        </w:tc>
      </w:tr>
      <w:tr w:rsidR="006E40C9" w14:paraId="2C074DDD" w14:textId="77777777">
        <w:trPr>
          <w:cantSplit/>
          <w:jc w:val="center"/>
        </w:trPr>
        <w:tc>
          <w:tcPr>
            <w:tcW w:w="967" w:type="dxa"/>
            <w:tcBorders>
              <w:top w:val="single" w:sz="2" w:space="0" w:color="auto"/>
              <w:bottom w:val="single" w:sz="2" w:space="0" w:color="auto"/>
            </w:tcBorders>
          </w:tcPr>
          <w:p w14:paraId="1641CB70" w14:textId="77777777" w:rsidR="006E40C9" w:rsidRDefault="006E40C9">
            <w:pPr>
              <w:pStyle w:val="MeasureTableTextRightAligned"/>
            </w:pPr>
            <w:r>
              <w:t>*</w:t>
            </w:r>
          </w:p>
        </w:tc>
        <w:tc>
          <w:tcPr>
            <w:tcW w:w="967" w:type="dxa"/>
            <w:tcBorders>
              <w:top w:val="single" w:sz="2" w:space="0" w:color="auto"/>
              <w:bottom w:val="single" w:sz="2" w:space="0" w:color="auto"/>
            </w:tcBorders>
          </w:tcPr>
          <w:p w14:paraId="752654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A84203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D4D1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48517F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F4DCB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C3E94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D8A38D" w14:textId="77777777" w:rsidR="006E40C9" w:rsidRDefault="006E40C9">
            <w:pPr>
              <w:pStyle w:val="MeasureTableTextRightAligned"/>
            </w:pPr>
            <w:r>
              <w:t>*</w:t>
            </w:r>
          </w:p>
        </w:tc>
      </w:tr>
      <w:tr w:rsidR="006E40C9" w14:paraId="6BDC041B" w14:textId="77777777">
        <w:trPr>
          <w:cantSplit/>
          <w:jc w:val="center"/>
        </w:trPr>
        <w:tc>
          <w:tcPr>
            <w:tcW w:w="1934" w:type="dxa"/>
            <w:gridSpan w:val="2"/>
            <w:tcBorders>
              <w:top w:val="single" w:sz="2" w:space="0" w:color="auto"/>
              <w:bottom w:val="nil"/>
            </w:tcBorders>
          </w:tcPr>
          <w:p w14:paraId="2F42D18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16C20E0" w14:textId="77777777" w:rsidR="006E40C9" w:rsidRDefault="006E40C9">
            <w:pPr>
              <w:pStyle w:val="MeasureTableTextLeftAligned"/>
            </w:pPr>
            <w:r>
              <w:t>Exemption</w:t>
            </w:r>
          </w:p>
        </w:tc>
        <w:tc>
          <w:tcPr>
            <w:tcW w:w="1500" w:type="dxa"/>
            <w:gridSpan w:val="2"/>
            <w:tcBorders>
              <w:top w:val="single" w:sz="2" w:space="0" w:color="auto"/>
              <w:bottom w:val="nil"/>
            </w:tcBorders>
          </w:tcPr>
          <w:p w14:paraId="1C35F124" w14:textId="11E1B3F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C70BBA8" w14:textId="77777777" w:rsidR="006E40C9" w:rsidRDefault="006E40C9">
            <w:pPr>
              <w:pStyle w:val="MeasureTableTextLeftAligned"/>
            </w:pPr>
            <w:r>
              <w:t>B89</w:t>
            </w:r>
          </w:p>
        </w:tc>
      </w:tr>
      <w:tr w:rsidR="006E40C9" w14:paraId="274C6A92" w14:textId="77777777">
        <w:trPr>
          <w:cantSplit/>
          <w:jc w:val="center"/>
        </w:trPr>
        <w:tc>
          <w:tcPr>
            <w:tcW w:w="1934" w:type="dxa"/>
            <w:gridSpan w:val="2"/>
            <w:tcBorders>
              <w:top w:val="nil"/>
              <w:bottom w:val="nil"/>
            </w:tcBorders>
          </w:tcPr>
          <w:p w14:paraId="7296651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EB1D331" w14:textId="77777777" w:rsidR="006E40C9" w:rsidRPr="00584CA7" w:rsidRDefault="006E40C9">
            <w:pPr>
              <w:pStyle w:val="MeasureTableTextLeftAligned"/>
            </w:pPr>
            <w:r>
              <w:t>Not Applicable</w:t>
            </w:r>
          </w:p>
        </w:tc>
        <w:tc>
          <w:tcPr>
            <w:tcW w:w="1500" w:type="dxa"/>
            <w:gridSpan w:val="2"/>
            <w:tcBorders>
              <w:top w:val="nil"/>
              <w:bottom w:val="nil"/>
            </w:tcBorders>
          </w:tcPr>
          <w:p w14:paraId="56FFC78E" w14:textId="77777777" w:rsidR="006E40C9" w:rsidRDefault="006E40C9">
            <w:pPr>
              <w:pStyle w:val="MeasureTableTextItalic"/>
            </w:pPr>
            <w:r>
              <w:t>* Category</w:t>
            </w:r>
          </w:p>
        </w:tc>
        <w:tc>
          <w:tcPr>
            <w:tcW w:w="1124" w:type="dxa"/>
            <w:gridSpan w:val="2"/>
            <w:tcBorders>
              <w:top w:val="nil"/>
              <w:bottom w:val="nil"/>
            </w:tcBorders>
          </w:tcPr>
          <w:p w14:paraId="2D977ABD" w14:textId="77777777" w:rsidR="006E40C9" w:rsidRDefault="006E40C9">
            <w:pPr>
              <w:pStyle w:val="MeasureTableTextLeftAligned"/>
            </w:pPr>
            <w:r>
              <w:t>2+</w:t>
            </w:r>
          </w:p>
        </w:tc>
      </w:tr>
      <w:tr w:rsidR="006E40C9" w14:paraId="2CD74C22" w14:textId="77777777">
        <w:trPr>
          <w:cantSplit/>
          <w:jc w:val="center"/>
        </w:trPr>
        <w:tc>
          <w:tcPr>
            <w:tcW w:w="1934" w:type="dxa"/>
            <w:gridSpan w:val="2"/>
            <w:tcBorders>
              <w:top w:val="nil"/>
              <w:bottom w:val="nil"/>
            </w:tcBorders>
          </w:tcPr>
          <w:p w14:paraId="39A12893" w14:textId="77777777" w:rsidR="006E40C9" w:rsidRDefault="006E40C9">
            <w:pPr>
              <w:pStyle w:val="MeasureTableTextItalic"/>
            </w:pPr>
            <w:r>
              <w:t>Commencement date:</w:t>
            </w:r>
          </w:p>
        </w:tc>
        <w:tc>
          <w:tcPr>
            <w:tcW w:w="3179" w:type="dxa"/>
            <w:gridSpan w:val="4"/>
            <w:tcBorders>
              <w:top w:val="nil"/>
              <w:bottom w:val="nil"/>
            </w:tcBorders>
          </w:tcPr>
          <w:p w14:paraId="769E5874" w14:textId="77777777" w:rsidR="006E40C9" w:rsidRDefault="006E40C9">
            <w:pPr>
              <w:pStyle w:val="MeasureTableTextLeftAligned"/>
            </w:pPr>
            <w:r>
              <w:t>2019</w:t>
            </w:r>
          </w:p>
        </w:tc>
        <w:tc>
          <w:tcPr>
            <w:tcW w:w="1500" w:type="dxa"/>
            <w:gridSpan w:val="2"/>
            <w:tcBorders>
              <w:top w:val="nil"/>
              <w:bottom w:val="nil"/>
            </w:tcBorders>
          </w:tcPr>
          <w:p w14:paraId="33B45E2A" w14:textId="77777777" w:rsidR="006E40C9" w:rsidRPr="00F32057" w:rsidRDefault="006E40C9">
            <w:pPr>
              <w:pStyle w:val="MeasureTableTextItalic"/>
            </w:pPr>
            <w:r>
              <w:t>Expiry date:</w:t>
            </w:r>
          </w:p>
        </w:tc>
        <w:tc>
          <w:tcPr>
            <w:tcW w:w="1124" w:type="dxa"/>
            <w:gridSpan w:val="2"/>
            <w:tcBorders>
              <w:top w:val="nil"/>
              <w:bottom w:val="nil"/>
            </w:tcBorders>
          </w:tcPr>
          <w:p w14:paraId="298D4D32" w14:textId="77777777" w:rsidR="006E40C9" w:rsidRPr="00F32057" w:rsidRDefault="006E40C9">
            <w:pPr>
              <w:pStyle w:val="MeasureTableTextLeftAligned"/>
            </w:pPr>
          </w:p>
        </w:tc>
      </w:tr>
      <w:tr w:rsidR="006E40C9" w14:paraId="671D3B70" w14:textId="77777777">
        <w:trPr>
          <w:cantSplit/>
          <w:jc w:val="center"/>
        </w:trPr>
        <w:tc>
          <w:tcPr>
            <w:tcW w:w="1934" w:type="dxa"/>
            <w:gridSpan w:val="2"/>
            <w:tcBorders>
              <w:top w:val="nil"/>
            </w:tcBorders>
          </w:tcPr>
          <w:p w14:paraId="5A908D71" w14:textId="77777777" w:rsidR="006E40C9" w:rsidRDefault="006E40C9">
            <w:pPr>
              <w:pStyle w:val="MeasureTableTextItalic"/>
            </w:pPr>
            <w:r>
              <w:t>Legislative reference:</w:t>
            </w:r>
          </w:p>
        </w:tc>
        <w:tc>
          <w:tcPr>
            <w:tcW w:w="5803" w:type="dxa"/>
            <w:gridSpan w:val="8"/>
            <w:tcBorders>
              <w:top w:val="nil"/>
            </w:tcBorders>
          </w:tcPr>
          <w:p w14:paraId="768F00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The Treasury Laws Amendment (Timor Sea Maritime Boundaries Treaty) Act 2019</w:t>
            </w:r>
          </w:p>
        </w:tc>
      </w:tr>
    </w:tbl>
    <w:p w14:paraId="677E289A" w14:textId="77777777" w:rsidR="006E40C9" w:rsidRPr="00540040" w:rsidRDefault="006E40C9" w:rsidP="006E40C9">
      <w:pPr>
        <w:pStyle w:val="MeasureTableHeading"/>
      </w:pPr>
    </w:p>
    <w:p w14:paraId="6DE891E1" w14:textId="77777777" w:rsidR="006E40C9" w:rsidRDefault="006E40C9" w:rsidP="006E40C9">
      <w:r w:rsidRPr="000409F4">
        <w:t xml:space="preserve">Under the benchmark, expenses connected to income earning activity, or a business in another jurisdiction are generally not deductible in Australia and losses may only be offset against income that is taxable in Australia. The tax positions of petroleum projects directly affected by </w:t>
      </w:r>
      <w:r w:rsidRPr="00ED0DB2">
        <w:rPr>
          <w:i/>
        </w:rPr>
        <w:t>The Treaty between Australia and the Democratic Republic of Timor</w:t>
      </w:r>
      <w:r>
        <w:rPr>
          <w:i/>
        </w:rPr>
        <w:noBreakHyphen/>
      </w:r>
      <w:r w:rsidRPr="00ED0DB2">
        <w:rPr>
          <w:i/>
        </w:rPr>
        <w:t>Leste Establishing their Maritime Boundaries in the Timor Sea</w:t>
      </w:r>
      <w:r w:rsidRPr="000409F4">
        <w:t xml:space="preserve"> (The Treaty) have been preserved in the Australian tax system. This fulfils Australia</w:t>
      </w:r>
      <w:r>
        <w:t>’</w:t>
      </w:r>
      <w:r w:rsidRPr="000409F4">
        <w:t xml:space="preserve">s obligation under the Treaty to provide </w:t>
      </w:r>
      <w:r>
        <w:t>‘</w:t>
      </w:r>
      <w:r w:rsidRPr="000409F4">
        <w:t>conditions equivalent</w:t>
      </w:r>
      <w:r>
        <w:t>’</w:t>
      </w:r>
      <w:r w:rsidRPr="000409F4">
        <w:t xml:space="preserve"> to participants in transitioned petroleum activities affected by the Treaty in respect of their taxation affairs.</w:t>
      </w:r>
      <w:r>
        <w:fldChar w:fldCharType="begin"/>
      </w:r>
      <w:r>
        <w:instrText xml:space="preserve"> XE "</w:instrText>
      </w:r>
      <w:r w:rsidRPr="009C7929">
        <w:instrText>Petroleum tax treaty</w:instrText>
      </w:r>
      <w:r>
        <w:instrText xml:space="preserve">" </w:instrText>
      </w:r>
      <w:r>
        <w:fldChar w:fldCharType="end"/>
      </w:r>
    </w:p>
    <w:p w14:paraId="54575F9D" w14:textId="1F2C4995" w:rsidR="006A4EBC" w:rsidRDefault="006A4EBC" w:rsidP="00D9255A">
      <w:pPr>
        <w:pStyle w:val="Heading3"/>
      </w:pPr>
      <w:r>
        <w:t>Miscellaneous tax expenditures</w:t>
      </w:r>
    </w:p>
    <w:p w14:paraId="0E316133" w14:textId="115F8D65" w:rsidR="006E40C9" w:rsidRDefault="006E40C9" w:rsidP="00130689">
      <w:pPr>
        <w:pStyle w:val="Heading4"/>
      </w:pPr>
      <w:r>
        <w:t>B91</w:t>
      </w:r>
      <w:r>
        <w:tab/>
        <w:t>Family trust loss rules</w:t>
      </w:r>
    </w:p>
    <w:p w14:paraId="176A89C4" w14:textId="0881CA6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0B097D" w14:textId="77777777">
        <w:trPr>
          <w:cantSplit/>
          <w:jc w:val="center"/>
        </w:trPr>
        <w:tc>
          <w:tcPr>
            <w:tcW w:w="967" w:type="dxa"/>
            <w:tcBorders>
              <w:top w:val="single" w:sz="2" w:space="0" w:color="auto"/>
              <w:bottom w:val="single" w:sz="2" w:space="0" w:color="auto"/>
            </w:tcBorders>
          </w:tcPr>
          <w:p w14:paraId="6D33EC6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023C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C6EE4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B00A1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A80B8C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3E68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30D4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4F80BF" w14:textId="77777777" w:rsidR="006E40C9" w:rsidRDefault="006E40C9">
            <w:pPr>
              <w:pStyle w:val="MeasureTableTextRightAligned"/>
            </w:pPr>
            <w:r>
              <w:t>2027-28</w:t>
            </w:r>
          </w:p>
        </w:tc>
      </w:tr>
      <w:tr w:rsidR="006E40C9" w14:paraId="6AEC4978" w14:textId="77777777">
        <w:trPr>
          <w:cantSplit/>
          <w:jc w:val="center"/>
        </w:trPr>
        <w:tc>
          <w:tcPr>
            <w:tcW w:w="967" w:type="dxa"/>
            <w:tcBorders>
              <w:top w:val="single" w:sz="2" w:space="0" w:color="auto"/>
              <w:bottom w:val="single" w:sz="2" w:space="0" w:color="auto"/>
            </w:tcBorders>
          </w:tcPr>
          <w:p w14:paraId="6F77BBA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F67CF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9765E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2C6BD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32D22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EB600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4AC83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AEFC1D8" w14:textId="77777777" w:rsidR="006E40C9" w:rsidRDefault="006E40C9">
            <w:pPr>
              <w:pStyle w:val="MeasureTableTextRightAligned"/>
            </w:pPr>
            <w:r>
              <w:t>*</w:t>
            </w:r>
          </w:p>
        </w:tc>
      </w:tr>
      <w:tr w:rsidR="006E40C9" w14:paraId="4461A7EC" w14:textId="77777777">
        <w:trPr>
          <w:cantSplit/>
          <w:jc w:val="center"/>
        </w:trPr>
        <w:tc>
          <w:tcPr>
            <w:tcW w:w="1934" w:type="dxa"/>
            <w:gridSpan w:val="2"/>
            <w:tcBorders>
              <w:top w:val="single" w:sz="2" w:space="0" w:color="auto"/>
              <w:bottom w:val="nil"/>
            </w:tcBorders>
          </w:tcPr>
          <w:p w14:paraId="05CB5D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DA802D" w14:textId="77777777" w:rsidR="006E40C9" w:rsidRDefault="006E40C9">
            <w:pPr>
              <w:pStyle w:val="MeasureTableTextLeftAligned"/>
            </w:pPr>
            <w:r>
              <w:t>Deduction</w:t>
            </w:r>
          </w:p>
        </w:tc>
        <w:tc>
          <w:tcPr>
            <w:tcW w:w="1500" w:type="dxa"/>
            <w:gridSpan w:val="2"/>
            <w:tcBorders>
              <w:top w:val="single" w:sz="2" w:space="0" w:color="auto"/>
              <w:bottom w:val="nil"/>
            </w:tcBorders>
          </w:tcPr>
          <w:p w14:paraId="0A741E1C" w14:textId="41C5CCE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B3D0E5" w14:textId="77777777" w:rsidR="006E40C9" w:rsidRDefault="006E40C9">
            <w:pPr>
              <w:pStyle w:val="MeasureTableTextLeftAligned"/>
            </w:pPr>
            <w:r>
              <w:t>B57</w:t>
            </w:r>
          </w:p>
        </w:tc>
      </w:tr>
      <w:tr w:rsidR="006E40C9" w14:paraId="57502A0C" w14:textId="77777777">
        <w:trPr>
          <w:cantSplit/>
          <w:jc w:val="center"/>
        </w:trPr>
        <w:tc>
          <w:tcPr>
            <w:tcW w:w="1934" w:type="dxa"/>
            <w:gridSpan w:val="2"/>
            <w:tcBorders>
              <w:top w:val="nil"/>
              <w:bottom w:val="nil"/>
            </w:tcBorders>
          </w:tcPr>
          <w:p w14:paraId="7173F48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879D40A" w14:textId="77777777" w:rsidR="006E40C9" w:rsidRPr="00584CA7" w:rsidRDefault="006E40C9">
            <w:pPr>
              <w:pStyle w:val="MeasureTableTextLeftAligned"/>
            </w:pPr>
            <w:r>
              <w:t>Not Applicable</w:t>
            </w:r>
          </w:p>
        </w:tc>
        <w:tc>
          <w:tcPr>
            <w:tcW w:w="1500" w:type="dxa"/>
            <w:gridSpan w:val="2"/>
            <w:tcBorders>
              <w:top w:val="nil"/>
              <w:bottom w:val="nil"/>
            </w:tcBorders>
          </w:tcPr>
          <w:p w14:paraId="44C83F33" w14:textId="77777777" w:rsidR="006E40C9" w:rsidRDefault="006E40C9">
            <w:pPr>
              <w:pStyle w:val="MeasureTableTextItalic"/>
            </w:pPr>
            <w:r>
              <w:t>* Category</w:t>
            </w:r>
          </w:p>
        </w:tc>
        <w:tc>
          <w:tcPr>
            <w:tcW w:w="1124" w:type="dxa"/>
            <w:gridSpan w:val="2"/>
            <w:tcBorders>
              <w:top w:val="nil"/>
              <w:bottom w:val="nil"/>
            </w:tcBorders>
          </w:tcPr>
          <w:p w14:paraId="512D70E0" w14:textId="77777777" w:rsidR="006E40C9" w:rsidRDefault="006E40C9">
            <w:pPr>
              <w:pStyle w:val="MeasureTableTextLeftAligned"/>
            </w:pPr>
            <w:r>
              <w:t>3+</w:t>
            </w:r>
          </w:p>
        </w:tc>
      </w:tr>
      <w:tr w:rsidR="006E40C9" w14:paraId="7BFB4A65" w14:textId="77777777">
        <w:trPr>
          <w:cantSplit/>
          <w:jc w:val="center"/>
        </w:trPr>
        <w:tc>
          <w:tcPr>
            <w:tcW w:w="1934" w:type="dxa"/>
            <w:gridSpan w:val="2"/>
            <w:tcBorders>
              <w:top w:val="nil"/>
              <w:bottom w:val="nil"/>
            </w:tcBorders>
          </w:tcPr>
          <w:p w14:paraId="396A050C" w14:textId="77777777" w:rsidR="006E40C9" w:rsidRDefault="006E40C9">
            <w:pPr>
              <w:pStyle w:val="MeasureTableTextItalic"/>
            </w:pPr>
            <w:r>
              <w:t>Commencement date:</w:t>
            </w:r>
          </w:p>
        </w:tc>
        <w:tc>
          <w:tcPr>
            <w:tcW w:w="3179" w:type="dxa"/>
            <w:gridSpan w:val="4"/>
            <w:tcBorders>
              <w:top w:val="nil"/>
              <w:bottom w:val="nil"/>
            </w:tcBorders>
          </w:tcPr>
          <w:p w14:paraId="33506C69" w14:textId="77777777" w:rsidR="006E40C9" w:rsidRDefault="006E40C9">
            <w:pPr>
              <w:pStyle w:val="MeasureTableTextLeftAligned"/>
            </w:pPr>
            <w:r>
              <w:t>9 May 1995</w:t>
            </w:r>
          </w:p>
        </w:tc>
        <w:tc>
          <w:tcPr>
            <w:tcW w:w="1500" w:type="dxa"/>
            <w:gridSpan w:val="2"/>
            <w:tcBorders>
              <w:top w:val="nil"/>
              <w:bottom w:val="nil"/>
            </w:tcBorders>
          </w:tcPr>
          <w:p w14:paraId="2F5BC3D3" w14:textId="77777777" w:rsidR="006E40C9" w:rsidRPr="00F32057" w:rsidRDefault="006E40C9">
            <w:pPr>
              <w:pStyle w:val="MeasureTableTextItalic"/>
            </w:pPr>
            <w:r>
              <w:t>Expiry date:</w:t>
            </w:r>
          </w:p>
        </w:tc>
        <w:tc>
          <w:tcPr>
            <w:tcW w:w="1124" w:type="dxa"/>
            <w:gridSpan w:val="2"/>
            <w:tcBorders>
              <w:top w:val="nil"/>
              <w:bottom w:val="nil"/>
            </w:tcBorders>
          </w:tcPr>
          <w:p w14:paraId="6E743AA9" w14:textId="77777777" w:rsidR="006E40C9" w:rsidRPr="00F32057" w:rsidRDefault="006E40C9">
            <w:pPr>
              <w:pStyle w:val="MeasureTableTextLeftAligned"/>
            </w:pPr>
          </w:p>
        </w:tc>
      </w:tr>
      <w:tr w:rsidR="006E40C9" w14:paraId="655DE5EE" w14:textId="77777777">
        <w:trPr>
          <w:cantSplit/>
          <w:jc w:val="center"/>
        </w:trPr>
        <w:tc>
          <w:tcPr>
            <w:tcW w:w="1934" w:type="dxa"/>
            <w:gridSpan w:val="2"/>
            <w:tcBorders>
              <w:top w:val="nil"/>
            </w:tcBorders>
          </w:tcPr>
          <w:p w14:paraId="7261FF32" w14:textId="77777777" w:rsidR="006E40C9" w:rsidRDefault="006E40C9">
            <w:pPr>
              <w:pStyle w:val="MeasureTableTextItalic"/>
            </w:pPr>
            <w:r>
              <w:t>Legislative reference:</w:t>
            </w:r>
          </w:p>
        </w:tc>
        <w:tc>
          <w:tcPr>
            <w:tcW w:w="5803" w:type="dxa"/>
            <w:gridSpan w:val="8"/>
            <w:tcBorders>
              <w:top w:val="nil"/>
            </w:tcBorders>
          </w:tcPr>
          <w:p w14:paraId="348820C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Divisions 267 and 270 and subdivisions 272-D and 272-E of Schedule 2F to the</w:t>
            </w:r>
            <w:r>
              <w:rPr>
                <w:rFonts w:ascii="Arial" w:hAnsi="Arial" w:cs="Arial"/>
                <w:i/>
                <w:iCs/>
                <w:color w:val="000000"/>
                <w:sz w:val="16"/>
                <w:szCs w:val="16"/>
              </w:rPr>
              <w:t xml:space="preserve"> Income Tax Assessment Act 1936</w:t>
            </w:r>
          </w:p>
        </w:tc>
      </w:tr>
    </w:tbl>
    <w:p w14:paraId="5E4AB66C" w14:textId="77777777" w:rsidR="006E40C9" w:rsidRPr="00540040" w:rsidRDefault="006E40C9" w:rsidP="006E40C9">
      <w:pPr>
        <w:pStyle w:val="MeasureTableHeading"/>
      </w:pPr>
    </w:p>
    <w:p w14:paraId="73453AB4" w14:textId="77777777" w:rsidR="006E40C9" w:rsidRPr="003C5D02" w:rsidRDefault="006E40C9" w:rsidP="006E40C9">
      <w:r>
        <w:t>The benchmark treatment is that trust losses and debt deductions are quarantined in the trust.</w:t>
      </w:r>
    </w:p>
    <w:p w14:paraId="41E9F3B1" w14:textId="77777777" w:rsidR="006E40C9" w:rsidRDefault="006E40C9" w:rsidP="006E40C9">
      <w:r>
        <w:t xml:space="preserve">However, the family trust rules provide a concession to the individual specified in a family trust election (the test individual) of a family trust, and their family group, by allowing the transfer of the tax benefit of tax losses and certain debt deductions to members of the family trust. </w:t>
      </w:r>
      <w:r>
        <w:fldChar w:fldCharType="begin"/>
      </w:r>
      <w:r>
        <w:instrText xml:space="preserve"> XE "F</w:instrText>
      </w:r>
      <w:r w:rsidRPr="00BA5E8F">
        <w:instrText>amily trust rules</w:instrText>
      </w:r>
      <w:r>
        <w:instrText xml:space="preserve">" </w:instrText>
      </w:r>
      <w:r>
        <w:fldChar w:fldCharType="end"/>
      </w:r>
    </w:p>
    <w:p w14:paraId="15D0EC19" w14:textId="77777777" w:rsidR="006E40C9" w:rsidRDefault="006E40C9" w:rsidP="00130689">
      <w:pPr>
        <w:pStyle w:val="Heading4"/>
      </w:pPr>
      <w:r>
        <w:t>B92</w:t>
      </w:r>
      <w:r>
        <w:tab/>
        <w:t>International tax – concessional rate of final withholding tax on certain distributions by Australian managed investment trusts to foreign residents</w:t>
      </w:r>
    </w:p>
    <w:p w14:paraId="0AFE44E4" w14:textId="070A932C"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676810" w14:textId="77777777">
        <w:trPr>
          <w:cantSplit/>
          <w:jc w:val="center"/>
        </w:trPr>
        <w:tc>
          <w:tcPr>
            <w:tcW w:w="967" w:type="dxa"/>
            <w:tcBorders>
              <w:top w:val="single" w:sz="2" w:space="0" w:color="auto"/>
              <w:bottom w:val="single" w:sz="2" w:space="0" w:color="auto"/>
            </w:tcBorders>
          </w:tcPr>
          <w:p w14:paraId="57A58F1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6EF1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C3638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2E8E6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19F58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EEC723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E76B4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0C13FC" w14:textId="77777777" w:rsidR="006E40C9" w:rsidRDefault="006E40C9">
            <w:pPr>
              <w:pStyle w:val="MeasureTableTextRightAligned"/>
            </w:pPr>
            <w:r>
              <w:t>2027-28</w:t>
            </w:r>
          </w:p>
        </w:tc>
      </w:tr>
      <w:tr w:rsidR="006E40C9" w14:paraId="3839D550" w14:textId="77777777">
        <w:trPr>
          <w:cantSplit/>
          <w:jc w:val="center"/>
        </w:trPr>
        <w:tc>
          <w:tcPr>
            <w:tcW w:w="967" w:type="dxa"/>
            <w:tcBorders>
              <w:top w:val="single" w:sz="2" w:space="0" w:color="auto"/>
              <w:bottom w:val="single" w:sz="2" w:space="0" w:color="auto"/>
            </w:tcBorders>
          </w:tcPr>
          <w:p w14:paraId="28100C86" w14:textId="77777777" w:rsidR="006E40C9" w:rsidRDefault="006E40C9">
            <w:pPr>
              <w:pStyle w:val="MeasureTableTextRightAligned"/>
            </w:pPr>
            <w:r>
              <w:t>680</w:t>
            </w:r>
          </w:p>
        </w:tc>
        <w:tc>
          <w:tcPr>
            <w:tcW w:w="967" w:type="dxa"/>
            <w:tcBorders>
              <w:top w:val="single" w:sz="2" w:space="0" w:color="auto"/>
              <w:bottom w:val="single" w:sz="2" w:space="0" w:color="auto"/>
            </w:tcBorders>
          </w:tcPr>
          <w:p w14:paraId="0ABD3AF0" w14:textId="77777777" w:rsidR="006E40C9" w:rsidRDefault="006E40C9">
            <w:pPr>
              <w:pStyle w:val="MeasureTableTextRightAligned"/>
            </w:pPr>
            <w:r>
              <w:t>1,100</w:t>
            </w:r>
          </w:p>
        </w:tc>
        <w:tc>
          <w:tcPr>
            <w:tcW w:w="967" w:type="dxa"/>
            <w:tcBorders>
              <w:top w:val="single" w:sz="2" w:space="0" w:color="auto"/>
              <w:bottom w:val="single" w:sz="2" w:space="0" w:color="auto"/>
            </w:tcBorders>
            <w:vAlign w:val="bottom"/>
          </w:tcPr>
          <w:p w14:paraId="188ABCE4"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1D7D370B"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67B56E05" w14:textId="77777777" w:rsidR="006E40C9" w:rsidRDefault="006E40C9">
            <w:pPr>
              <w:pStyle w:val="MeasureTableTextRightAligned"/>
            </w:pPr>
            <w:r>
              <w:t>805</w:t>
            </w:r>
          </w:p>
        </w:tc>
        <w:tc>
          <w:tcPr>
            <w:tcW w:w="967" w:type="dxa"/>
            <w:gridSpan w:val="2"/>
            <w:tcBorders>
              <w:top w:val="single" w:sz="2" w:space="0" w:color="auto"/>
              <w:bottom w:val="single" w:sz="2" w:space="0" w:color="auto"/>
            </w:tcBorders>
            <w:vAlign w:val="bottom"/>
          </w:tcPr>
          <w:p w14:paraId="364AAB88" w14:textId="77777777" w:rsidR="006E40C9" w:rsidRDefault="006E40C9">
            <w:pPr>
              <w:pStyle w:val="MeasureTableTextRightAligned"/>
            </w:pPr>
            <w:r>
              <w:t>805</w:t>
            </w:r>
          </w:p>
        </w:tc>
        <w:tc>
          <w:tcPr>
            <w:tcW w:w="967" w:type="dxa"/>
            <w:gridSpan w:val="2"/>
            <w:tcBorders>
              <w:top w:val="single" w:sz="2" w:space="0" w:color="auto"/>
              <w:bottom w:val="single" w:sz="2" w:space="0" w:color="auto"/>
            </w:tcBorders>
            <w:vAlign w:val="bottom"/>
          </w:tcPr>
          <w:p w14:paraId="69A34197" w14:textId="77777777" w:rsidR="006E40C9" w:rsidRDefault="006E40C9">
            <w:pPr>
              <w:pStyle w:val="MeasureTableTextRightAligned"/>
            </w:pPr>
            <w:r>
              <w:t>800</w:t>
            </w:r>
          </w:p>
        </w:tc>
        <w:tc>
          <w:tcPr>
            <w:tcW w:w="968" w:type="dxa"/>
            <w:tcBorders>
              <w:top w:val="single" w:sz="2" w:space="0" w:color="auto"/>
              <w:bottom w:val="single" w:sz="2" w:space="0" w:color="auto"/>
            </w:tcBorders>
            <w:vAlign w:val="bottom"/>
          </w:tcPr>
          <w:p w14:paraId="37183F1C" w14:textId="77777777" w:rsidR="006E40C9" w:rsidRDefault="006E40C9">
            <w:pPr>
              <w:pStyle w:val="MeasureTableTextRightAligned"/>
            </w:pPr>
            <w:r>
              <w:t>800</w:t>
            </w:r>
          </w:p>
        </w:tc>
      </w:tr>
      <w:tr w:rsidR="006E40C9" w14:paraId="2C8AC9E0" w14:textId="77777777">
        <w:trPr>
          <w:cantSplit/>
          <w:jc w:val="center"/>
        </w:trPr>
        <w:tc>
          <w:tcPr>
            <w:tcW w:w="1934" w:type="dxa"/>
            <w:gridSpan w:val="2"/>
            <w:tcBorders>
              <w:top w:val="single" w:sz="2" w:space="0" w:color="auto"/>
              <w:bottom w:val="nil"/>
            </w:tcBorders>
          </w:tcPr>
          <w:p w14:paraId="1DB9241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AB8CB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A42C91C" w14:textId="152CF71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2A1595" w14:textId="77777777" w:rsidR="006E40C9" w:rsidRDefault="006E40C9">
            <w:pPr>
              <w:pStyle w:val="MeasureTableTextLeftAligned"/>
            </w:pPr>
            <w:r>
              <w:t>B90</w:t>
            </w:r>
          </w:p>
        </w:tc>
      </w:tr>
      <w:tr w:rsidR="006E40C9" w14:paraId="7341EB08" w14:textId="77777777">
        <w:trPr>
          <w:cantSplit/>
          <w:jc w:val="center"/>
        </w:trPr>
        <w:tc>
          <w:tcPr>
            <w:tcW w:w="1934" w:type="dxa"/>
            <w:gridSpan w:val="2"/>
            <w:tcBorders>
              <w:top w:val="nil"/>
              <w:bottom w:val="nil"/>
            </w:tcBorders>
          </w:tcPr>
          <w:p w14:paraId="636F5A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1F20507" w14:textId="77777777" w:rsidR="006E40C9" w:rsidRPr="00584CA7" w:rsidRDefault="006E40C9">
            <w:pPr>
              <w:pStyle w:val="MeasureTableTextLeftAligned"/>
            </w:pPr>
            <w:r>
              <w:t>Low</w:t>
            </w:r>
          </w:p>
        </w:tc>
        <w:tc>
          <w:tcPr>
            <w:tcW w:w="1500" w:type="dxa"/>
            <w:gridSpan w:val="2"/>
            <w:tcBorders>
              <w:top w:val="nil"/>
              <w:bottom w:val="nil"/>
            </w:tcBorders>
          </w:tcPr>
          <w:p w14:paraId="7CB7B8A7" w14:textId="77777777" w:rsidR="006E40C9" w:rsidRDefault="006E40C9">
            <w:pPr>
              <w:pStyle w:val="MeasureTableTextItalic"/>
            </w:pPr>
          </w:p>
        </w:tc>
        <w:tc>
          <w:tcPr>
            <w:tcW w:w="1124" w:type="dxa"/>
            <w:gridSpan w:val="2"/>
            <w:tcBorders>
              <w:top w:val="nil"/>
              <w:bottom w:val="nil"/>
            </w:tcBorders>
          </w:tcPr>
          <w:p w14:paraId="2F33DA14" w14:textId="77777777" w:rsidR="006E40C9" w:rsidRDefault="006E40C9">
            <w:pPr>
              <w:pStyle w:val="MeasureTableTextLeftAligned"/>
            </w:pPr>
          </w:p>
        </w:tc>
      </w:tr>
      <w:tr w:rsidR="006E40C9" w14:paraId="74A2D572" w14:textId="77777777">
        <w:trPr>
          <w:cantSplit/>
          <w:jc w:val="center"/>
        </w:trPr>
        <w:tc>
          <w:tcPr>
            <w:tcW w:w="1934" w:type="dxa"/>
            <w:gridSpan w:val="2"/>
            <w:tcBorders>
              <w:top w:val="nil"/>
              <w:bottom w:val="nil"/>
            </w:tcBorders>
          </w:tcPr>
          <w:p w14:paraId="42E293D5" w14:textId="77777777" w:rsidR="006E40C9" w:rsidRDefault="006E40C9">
            <w:pPr>
              <w:pStyle w:val="MeasureTableTextItalic"/>
            </w:pPr>
            <w:r>
              <w:t>Commencement date:</w:t>
            </w:r>
          </w:p>
        </w:tc>
        <w:tc>
          <w:tcPr>
            <w:tcW w:w="3179" w:type="dxa"/>
            <w:gridSpan w:val="4"/>
            <w:tcBorders>
              <w:top w:val="nil"/>
              <w:bottom w:val="nil"/>
            </w:tcBorders>
          </w:tcPr>
          <w:p w14:paraId="094E2B06" w14:textId="77777777" w:rsidR="006E40C9" w:rsidRDefault="006E40C9">
            <w:pPr>
              <w:pStyle w:val="MeasureTableTextLeftAligned"/>
            </w:pPr>
            <w:r>
              <w:t>1 July 2008</w:t>
            </w:r>
          </w:p>
        </w:tc>
        <w:tc>
          <w:tcPr>
            <w:tcW w:w="1500" w:type="dxa"/>
            <w:gridSpan w:val="2"/>
            <w:tcBorders>
              <w:top w:val="nil"/>
              <w:bottom w:val="nil"/>
            </w:tcBorders>
          </w:tcPr>
          <w:p w14:paraId="16D53416" w14:textId="77777777" w:rsidR="006E40C9" w:rsidRPr="00F32057" w:rsidRDefault="006E40C9">
            <w:pPr>
              <w:pStyle w:val="MeasureTableTextItalic"/>
            </w:pPr>
            <w:r>
              <w:t>Expiry date:</w:t>
            </w:r>
          </w:p>
        </w:tc>
        <w:tc>
          <w:tcPr>
            <w:tcW w:w="1124" w:type="dxa"/>
            <w:gridSpan w:val="2"/>
            <w:tcBorders>
              <w:top w:val="nil"/>
              <w:bottom w:val="nil"/>
            </w:tcBorders>
          </w:tcPr>
          <w:p w14:paraId="0C3BFE98" w14:textId="77777777" w:rsidR="006E40C9" w:rsidRPr="00F32057" w:rsidRDefault="006E40C9">
            <w:pPr>
              <w:pStyle w:val="MeasureTableTextLeftAligned"/>
            </w:pPr>
          </w:p>
        </w:tc>
      </w:tr>
      <w:tr w:rsidR="006E40C9" w14:paraId="0031B71E" w14:textId="77777777">
        <w:trPr>
          <w:cantSplit/>
          <w:jc w:val="center"/>
        </w:trPr>
        <w:tc>
          <w:tcPr>
            <w:tcW w:w="1934" w:type="dxa"/>
            <w:gridSpan w:val="2"/>
            <w:tcBorders>
              <w:top w:val="nil"/>
            </w:tcBorders>
          </w:tcPr>
          <w:p w14:paraId="25E37A84" w14:textId="77777777" w:rsidR="006E40C9" w:rsidRDefault="006E40C9">
            <w:pPr>
              <w:pStyle w:val="MeasureTableTextItalic"/>
            </w:pPr>
            <w:r>
              <w:t>Legislative reference:</w:t>
            </w:r>
          </w:p>
        </w:tc>
        <w:tc>
          <w:tcPr>
            <w:tcW w:w="5803" w:type="dxa"/>
            <w:gridSpan w:val="8"/>
            <w:tcBorders>
              <w:top w:val="nil"/>
            </w:tcBorders>
          </w:tcPr>
          <w:p w14:paraId="22DFD66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12-H of Schedule 1 to the </w:t>
            </w:r>
            <w:r>
              <w:rPr>
                <w:rFonts w:ascii="Arial" w:hAnsi="Arial" w:cs="Arial"/>
                <w:i/>
                <w:iCs/>
                <w:color w:val="000000"/>
                <w:sz w:val="16"/>
                <w:szCs w:val="16"/>
              </w:rPr>
              <w:t>Taxation Administration Act 1953</w:t>
            </w:r>
            <w:r>
              <w:rPr>
                <w:rFonts w:ascii="Arial" w:hAnsi="Arial" w:cs="Arial"/>
                <w:i/>
                <w:iCs/>
                <w:color w:val="000000"/>
                <w:sz w:val="16"/>
                <w:szCs w:val="16"/>
              </w:rPr>
              <w:br/>
            </w:r>
            <w:r>
              <w:rPr>
                <w:rFonts w:ascii="Arial" w:hAnsi="Arial" w:cs="Arial"/>
                <w:color w:val="000000"/>
                <w:sz w:val="16"/>
                <w:szCs w:val="16"/>
              </w:rPr>
              <w:t xml:space="preserve">Regulation 34 of the </w:t>
            </w:r>
            <w:r>
              <w:rPr>
                <w:rFonts w:ascii="Arial" w:hAnsi="Arial" w:cs="Arial"/>
                <w:i/>
                <w:iCs/>
                <w:color w:val="000000"/>
                <w:sz w:val="16"/>
                <w:szCs w:val="16"/>
              </w:rPr>
              <w:t>Taxation Administration Regulations 2017</w:t>
            </w:r>
          </w:p>
        </w:tc>
      </w:tr>
    </w:tbl>
    <w:p w14:paraId="0E4AB120" w14:textId="77777777" w:rsidR="006E40C9" w:rsidRDefault="006E40C9" w:rsidP="006E40C9">
      <w:pPr>
        <w:pStyle w:val="Source"/>
      </w:pPr>
      <w:r>
        <w:t>Note: estimates include tax expenditures B92 and B16</w:t>
      </w:r>
    </w:p>
    <w:p w14:paraId="6279C715" w14:textId="77777777" w:rsidR="006E40C9" w:rsidRPr="00540040" w:rsidRDefault="006E40C9" w:rsidP="006E40C9">
      <w:pPr>
        <w:pStyle w:val="MeasureTableHeading"/>
      </w:pPr>
    </w:p>
    <w:p w14:paraId="74D74A26" w14:textId="77777777" w:rsidR="006E40C9" w:rsidRDefault="006E40C9" w:rsidP="006E40C9">
      <w:pPr>
        <w:rPr>
          <w:iCs/>
        </w:rPr>
      </w:pPr>
      <w:r>
        <w:t>Australia’s default withholding tax rate for d</w:t>
      </w:r>
      <w:r w:rsidRPr="003670ED">
        <w:t xml:space="preserve">istributions of Australian source net income (other than dividends, interest and royalties) by managed investment trusts </w:t>
      </w:r>
      <w:r>
        <w:t xml:space="preserve">(MITs) </w:t>
      </w:r>
      <w:r w:rsidRPr="003670ED">
        <w:t>to foreign residents</w:t>
      </w:r>
      <w:r>
        <w:t xml:space="preserve"> is 30 per cent. However, since 1 </w:t>
      </w:r>
      <w:r w:rsidRPr="00313293">
        <w:t>July 2012, a concessional 15</w:t>
      </w:r>
      <w:r>
        <w:t> </w:t>
      </w:r>
      <w:r w:rsidRPr="00313293">
        <w:t>per</w:t>
      </w:r>
      <w:r>
        <w:t> </w:t>
      </w:r>
      <w:r w:rsidRPr="00313293">
        <w:t xml:space="preserve">cent withholding tax rate has applied to MIT fund payments to foreign residents of countries with which Australia has an information exchange arrangement (contained in Regulation 34 of the </w:t>
      </w:r>
      <w:r w:rsidRPr="00313293">
        <w:rPr>
          <w:i/>
        </w:rPr>
        <w:t>Taxation Administration Regulations 2017</w:t>
      </w:r>
      <w:r w:rsidRPr="00313293">
        <w:t>).</w:t>
      </w:r>
      <w:r w:rsidRPr="00313293">
        <w:rPr>
          <w:i/>
          <w:iCs/>
        </w:rPr>
        <w:t xml:space="preserve"> </w:t>
      </w:r>
      <w:r w:rsidRPr="00313293">
        <w:rPr>
          <w:iCs/>
        </w:rPr>
        <w:t>From 1 July 2019, the MIT withholding tax rate was increased to 30 per cent for income classified as non</w:t>
      </w:r>
      <w:r>
        <w:rPr>
          <w:iCs/>
        </w:rPr>
        <w:noBreakHyphen/>
      </w:r>
      <w:r w:rsidRPr="00313293">
        <w:rPr>
          <w:iCs/>
        </w:rPr>
        <w:t>concessional MIT income. The MIT withholding tax rate is a final withholding tax.</w:t>
      </w:r>
      <w:r w:rsidRPr="00313293">
        <w:rPr>
          <w:iCs/>
        </w:rPr>
        <w:fldChar w:fldCharType="begin"/>
      </w:r>
      <w:r w:rsidRPr="00313293">
        <w:instrText xml:space="preserve"> XE "Managed investment trusts:Distributions to foreign residents" </w:instrText>
      </w:r>
      <w:r w:rsidRPr="00313293">
        <w:rPr>
          <w:iCs/>
        </w:rPr>
        <w:fldChar w:fldCharType="end"/>
      </w:r>
    </w:p>
    <w:p w14:paraId="024477D7" w14:textId="77777777" w:rsidR="006E40C9" w:rsidRDefault="006E40C9" w:rsidP="00130689">
      <w:pPr>
        <w:pStyle w:val="Heading4"/>
      </w:pPr>
      <w:r>
        <w:t>B93</w:t>
      </w:r>
      <w:r>
        <w:tab/>
        <w:t>Exception to equity interest test for certain related party at call loans</w:t>
      </w:r>
    </w:p>
    <w:p w14:paraId="17B6131A" w14:textId="516D66A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AF5737" w14:textId="77777777">
        <w:trPr>
          <w:cantSplit/>
          <w:jc w:val="center"/>
        </w:trPr>
        <w:tc>
          <w:tcPr>
            <w:tcW w:w="967" w:type="dxa"/>
            <w:tcBorders>
              <w:top w:val="single" w:sz="2" w:space="0" w:color="auto"/>
              <w:bottom w:val="single" w:sz="2" w:space="0" w:color="auto"/>
            </w:tcBorders>
          </w:tcPr>
          <w:p w14:paraId="3F07956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FC644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A0681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C601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41538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52DFAE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FFFEEE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7CCC1D" w14:textId="77777777" w:rsidR="006E40C9" w:rsidRDefault="006E40C9">
            <w:pPr>
              <w:pStyle w:val="MeasureTableTextRightAligned"/>
            </w:pPr>
            <w:r>
              <w:t>2027-28</w:t>
            </w:r>
          </w:p>
        </w:tc>
      </w:tr>
      <w:tr w:rsidR="006E40C9" w14:paraId="667D5F89" w14:textId="77777777">
        <w:trPr>
          <w:cantSplit/>
          <w:jc w:val="center"/>
        </w:trPr>
        <w:tc>
          <w:tcPr>
            <w:tcW w:w="967" w:type="dxa"/>
            <w:tcBorders>
              <w:top w:val="single" w:sz="2" w:space="0" w:color="auto"/>
              <w:bottom w:val="single" w:sz="2" w:space="0" w:color="auto"/>
            </w:tcBorders>
          </w:tcPr>
          <w:p w14:paraId="4FB1BB49" w14:textId="77777777" w:rsidR="006E40C9" w:rsidRDefault="006E40C9">
            <w:pPr>
              <w:pStyle w:val="MeasureTableTextRightAligned"/>
            </w:pPr>
            <w:r>
              <w:t>*</w:t>
            </w:r>
          </w:p>
        </w:tc>
        <w:tc>
          <w:tcPr>
            <w:tcW w:w="967" w:type="dxa"/>
            <w:tcBorders>
              <w:top w:val="single" w:sz="2" w:space="0" w:color="auto"/>
              <w:bottom w:val="single" w:sz="2" w:space="0" w:color="auto"/>
            </w:tcBorders>
          </w:tcPr>
          <w:p w14:paraId="706AC5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21BB6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1F30C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9E9A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9D15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53909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3DFA9AE" w14:textId="77777777" w:rsidR="006E40C9" w:rsidRDefault="006E40C9">
            <w:pPr>
              <w:pStyle w:val="MeasureTableTextRightAligned"/>
            </w:pPr>
            <w:r>
              <w:t>*</w:t>
            </w:r>
          </w:p>
        </w:tc>
      </w:tr>
      <w:tr w:rsidR="006E40C9" w14:paraId="248D2D5A" w14:textId="77777777">
        <w:trPr>
          <w:cantSplit/>
          <w:jc w:val="center"/>
        </w:trPr>
        <w:tc>
          <w:tcPr>
            <w:tcW w:w="1934" w:type="dxa"/>
            <w:gridSpan w:val="2"/>
            <w:tcBorders>
              <w:top w:val="single" w:sz="2" w:space="0" w:color="auto"/>
              <w:bottom w:val="nil"/>
            </w:tcBorders>
          </w:tcPr>
          <w:p w14:paraId="72C6F73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605E645" w14:textId="77777777" w:rsidR="006E40C9" w:rsidRDefault="006E40C9">
            <w:pPr>
              <w:pStyle w:val="MeasureTableTextLeftAligned"/>
            </w:pPr>
            <w:r>
              <w:t>Deduction</w:t>
            </w:r>
          </w:p>
        </w:tc>
        <w:tc>
          <w:tcPr>
            <w:tcW w:w="1500" w:type="dxa"/>
            <w:gridSpan w:val="2"/>
            <w:tcBorders>
              <w:top w:val="single" w:sz="2" w:space="0" w:color="auto"/>
              <w:bottom w:val="nil"/>
            </w:tcBorders>
          </w:tcPr>
          <w:p w14:paraId="3B5FCC65" w14:textId="0880909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3104AC" w14:textId="77777777" w:rsidR="006E40C9" w:rsidRDefault="006E40C9">
            <w:pPr>
              <w:pStyle w:val="MeasureTableTextLeftAligned"/>
            </w:pPr>
            <w:r>
              <w:t>B91</w:t>
            </w:r>
          </w:p>
        </w:tc>
      </w:tr>
      <w:tr w:rsidR="006E40C9" w14:paraId="27BA0499" w14:textId="77777777">
        <w:trPr>
          <w:cantSplit/>
          <w:jc w:val="center"/>
        </w:trPr>
        <w:tc>
          <w:tcPr>
            <w:tcW w:w="1934" w:type="dxa"/>
            <w:gridSpan w:val="2"/>
            <w:tcBorders>
              <w:top w:val="nil"/>
              <w:bottom w:val="nil"/>
            </w:tcBorders>
          </w:tcPr>
          <w:p w14:paraId="57119AA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965F086" w14:textId="77777777" w:rsidR="006E40C9" w:rsidRPr="00584CA7" w:rsidRDefault="006E40C9">
            <w:pPr>
              <w:pStyle w:val="MeasureTableTextLeftAligned"/>
            </w:pPr>
            <w:r>
              <w:t>Not Applicable</w:t>
            </w:r>
          </w:p>
        </w:tc>
        <w:tc>
          <w:tcPr>
            <w:tcW w:w="1500" w:type="dxa"/>
            <w:gridSpan w:val="2"/>
            <w:tcBorders>
              <w:top w:val="nil"/>
              <w:bottom w:val="nil"/>
            </w:tcBorders>
          </w:tcPr>
          <w:p w14:paraId="36C91CF2" w14:textId="77777777" w:rsidR="006E40C9" w:rsidRDefault="006E40C9">
            <w:pPr>
              <w:pStyle w:val="MeasureTableTextItalic"/>
            </w:pPr>
            <w:r>
              <w:t>* Category</w:t>
            </w:r>
          </w:p>
        </w:tc>
        <w:tc>
          <w:tcPr>
            <w:tcW w:w="1124" w:type="dxa"/>
            <w:gridSpan w:val="2"/>
            <w:tcBorders>
              <w:top w:val="nil"/>
              <w:bottom w:val="nil"/>
            </w:tcBorders>
          </w:tcPr>
          <w:p w14:paraId="5C6848B4" w14:textId="77777777" w:rsidR="006E40C9" w:rsidRDefault="006E40C9">
            <w:pPr>
              <w:pStyle w:val="MeasureTableTextLeftAligned"/>
            </w:pPr>
            <w:r>
              <w:t>2+</w:t>
            </w:r>
          </w:p>
        </w:tc>
      </w:tr>
      <w:tr w:rsidR="006E40C9" w14:paraId="501189EE" w14:textId="77777777">
        <w:trPr>
          <w:cantSplit/>
          <w:jc w:val="center"/>
        </w:trPr>
        <w:tc>
          <w:tcPr>
            <w:tcW w:w="1934" w:type="dxa"/>
            <w:gridSpan w:val="2"/>
            <w:tcBorders>
              <w:top w:val="nil"/>
              <w:bottom w:val="nil"/>
            </w:tcBorders>
          </w:tcPr>
          <w:p w14:paraId="264F27F1" w14:textId="77777777" w:rsidR="006E40C9" w:rsidRDefault="006E40C9">
            <w:pPr>
              <w:pStyle w:val="MeasureTableTextItalic"/>
            </w:pPr>
            <w:r>
              <w:t>Commencement date:</w:t>
            </w:r>
          </w:p>
        </w:tc>
        <w:tc>
          <w:tcPr>
            <w:tcW w:w="3179" w:type="dxa"/>
            <w:gridSpan w:val="4"/>
            <w:tcBorders>
              <w:top w:val="nil"/>
              <w:bottom w:val="nil"/>
            </w:tcBorders>
          </w:tcPr>
          <w:p w14:paraId="45BC1188" w14:textId="77777777" w:rsidR="006E40C9" w:rsidRDefault="006E40C9">
            <w:pPr>
              <w:pStyle w:val="MeasureTableTextLeftAligned"/>
            </w:pPr>
            <w:r>
              <w:t>1 July 2005</w:t>
            </w:r>
          </w:p>
        </w:tc>
        <w:tc>
          <w:tcPr>
            <w:tcW w:w="1500" w:type="dxa"/>
            <w:gridSpan w:val="2"/>
            <w:tcBorders>
              <w:top w:val="nil"/>
              <w:bottom w:val="nil"/>
            </w:tcBorders>
          </w:tcPr>
          <w:p w14:paraId="5AF96519" w14:textId="77777777" w:rsidR="006E40C9" w:rsidRPr="00F32057" w:rsidRDefault="006E40C9">
            <w:pPr>
              <w:pStyle w:val="MeasureTableTextItalic"/>
            </w:pPr>
            <w:r>
              <w:t>Expiry date:</w:t>
            </w:r>
          </w:p>
        </w:tc>
        <w:tc>
          <w:tcPr>
            <w:tcW w:w="1124" w:type="dxa"/>
            <w:gridSpan w:val="2"/>
            <w:tcBorders>
              <w:top w:val="nil"/>
              <w:bottom w:val="nil"/>
            </w:tcBorders>
          </w:tcPr>
          <w:p w14:paraId="2CA84FFE" w14:textId="77777777" w:rsidR="006E40C9" w:rsidRPr="00F32057" w:rsidRDefault="006E40C9">
            <w:pPr>
              <w:pStyle w:val="MeasureTableTextLeftAligned"/>
            </w:pPr>
          </w:p>
        </w:tc>
      </w:tr>
      <w:tr w:rsidR="006E40C9" w14:paraId="37DAC142" w14:textId="77777777">
        <w:trPr>
          <w:cantSplit/>
          <w:jc w:val="center"/>
        </w:trPr>
        <w:tc>
          <w:tcPr>
            <w:tcW w:w="1934" w:type="dxa"/>
            <w:gridSpan w:val="2"/>
            <w:tcBorders>
              <w:top w:val="nil"/>
            </w:tcBorders>
          </w:tcPr>
          <w:p w14:paraId="4BE55450" w14:textId="77777777" w:rsidR="006E40C9" w:rsidRDefault="006E40C9">
            <w:pPr>
              <w:pStyle w:val="MeasureTableTextItalic"/>
            </w:pPr>
            <w:r>
              <w:t>Legislative reference:</w:t>
            </w:r>
          </w:p>
        </w:tc>
        <w:tc>
          <w:tcPr>
            <w:tcW w:w="5803" w:type="dxa"/>
            <w:gridSpan w:val="8"/>
            <w:tcBorders>
              <w:top w:val="nil"/>
            </w:tcBorders>
          </w:tcPr>
          <w:p w14:paraId="37E06DA2"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Division 974 </w:t>
            </w:r>
            <w:r>
              <w:rPr>
                <w:rFonts w:ascii="Arial" w:hAnsi="Arial" w:cs="Arial"/>
                <w:color w:val="000000"/>
                <w:sz w:val="16"/>
                <w:szCs w:val="16"/>
              </w:rPr>
              <w:t xml:space="preserve">of the </w:t>
            </w:r>
            <w:r>
              <w:rPr>
                <w:rFonts w:ascii="Arial" w:hAnsi="Arial" w:cs="Arial"/>
                <w:i/>
                <w:iCs/>
                <w:color w:val="000000"/>
                <w:sz w:val="16"/>
                <w:szCs w:val="16"/>
              </w:rPr>
              <w:t>Income Tax Assessment Act 1997</w:t>
            </w:r>
          </w:p>
        </w:tc>
      </w:tr>
    </w:tbl>
    <w:p w14:paraId="5E34DFE9" w14:textId="77777777" w:rsidR="006E40C9" w:rsidRPr="00540040" w:rsidRDefault="006E40C9" w:rsidP="006E40C9">
      <w:pPr>
        <w:pStyle w:val="MeasureTableHeading"/>
      </w:pPr>
    </w:p>
    <w:p w14:paraId="2D7ECCCE" w14:textId="77777777" w:rsidR="006E40C9" w:rsidRDefault="006E40C9" w:rsidP="006E40C9">
      <w:r>
        <w:t>Under the debt/equity rules benchmark, ‘at call’ loans may be classified as either debt or equity; this classification will have consequences on whether an interest payment made by a company would be deductible or not. However, for companies that have an annual turnover of less than $20 million, related party at call loans, are taken to be debt interests. Therefore, payments on the loan are deductible debt interest (as compared to non</w:t>
      </w:r>
      <w:r>
        <w:noBreakHyphen/>
        <w:t>deductible equity interest under the benchmark).</w:t>
      </w:r>
      <w:r>
        <w:fldChar w:fldCharType="begin"/>
      </w:r>
      <w:r>
        <w:instrText xml:space="preserve"> XE "</w:instrText>
      </w:r>
      <w:r w:rsidRPr="00DB365C">
        <w:instrText>Debt interests</w:instrText>
      </w:r>
      <w:r>
        <w:instrText xml:space="preserve">" </w:instrText>
      </w:r>
      <w:r>
        <w:fldChar w:fldCharType="end"/>
      </w:r>
    </w:p>
    <w:p w14:paraId="2DCBF813" w14:textId="77777777" w:rsidR="00CC3F2D" w:rsidRDefault="00CC3F2D">
      <w:pPr>
        <w:spacing w:after="0" w:line="240" w:lineRule="auto"/>
        <w:jc w:val="left"/>
        <w:rPr>
          <w:rFonts w:ascii="Arial Bold" w:hAnsi="Arial Bold"/>
          <w:b/>
          <w:color w:val="000000"/>
          <w:spacing w:val="-6"/>
          <w:sz w:val="27"/>
        </w:rPr>
      </w:pPr>
      <w:r>
        <w:br w:type="page"/>
      </w:r>
    </w:p>
    <w:p w14:paraId="7483C889" w14:textId="77777777" w:rsidR="006E40C9" w:rsidRDefault="006E40C9" w:rsidP="003218AC">
      <w:pPr>
        <w:pStyle w:val="Heading3"/>
      </w:pPr>
      <w:bookmarkStart w:id="89" w:name="_Toc183710293"/>
      <w:r>
        <w:t>Retirement savings</w:t>
      </w:r>
      <w:bookmarkEnd w:id="89"/>
    </w:p>
    <w:p w14:paraId="7EB11777" w14:textId="77777777" w:rsidR="006E40C9" w:rsidRDefault="006E40C9" w:rsidP="00D9255A">
      <w:pPr>
        <w:pStyle w:val="Heading3"/>
      </w:pPr>
      <w:r>
        <w:t>Tax expenditures for social security and welfare</w:t>
      </w:r>
    </w:p>
    <w:p w14:paraId="6ADE3F6B" w14:textId="77777777" w:rsidR="006E40C9" w:rsidRDefault="006E40C9" w:rsidP="00130689">
      <w:pPr>
        <w:pStyle w:val="Heading4"/>
      </w:pPr>
      <w:r>
        <w:t>C1</w:t>
      </w:r>
      <w:r>
        <w:tab/>
        <w:t>Concessional taxation of capital gains for superannuation funds</w:t>
      </w:r>
    </w:p>
    <w:p w14:paraId="6B33CA34"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0C6DDD" w14:textId="77777777">
        <w:trPr>
          <w:cantSplit/>
          <w:jc w:val="center"/>
        </w:trPr>
        <w:tc>
          <w:tcPr>
            <w:tcW w:w="967" w:type="dxa"/>
            <w:tcBorders>
              <w:top w:val="single" w:sz="2" w:space="0" w:color="auto"/>
              <w:bottom w:val="single" w:sz="2" w:space="0" w:color="auto"/>
            </w:tcBorders>
          </w:tcPr>
          <w:p w14:paraId="3CE1211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3BFD8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1D45E1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2A268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147C7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BF75A9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B5A19C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9BF4D5" w14:textId="77777777" w:rsidR="006E40C9" w:rsidRDefault="006E40C9">
            <w:pPr>
              <w:pStyle w:val="MeasureTableTextRightAligned"/>
            </w:pPr>
            <w:r>
              <w:t>2027-28</w:t>
            </w:r>
          </w:p>
        </w:tc>
      </w:tr>
      <w:tr w:rsidR="006E40C9" w14:paraId="1BEB5204" w14:textId="77777777">
        <w:trPr>
          <w:cantSplit/>
          <w:jc w:val="center"/>
        </w:trPr>
        <w:tc>
          <w:tcPr>
            <w:tcW w:w="967" w:type="dxa"/>
            <w:tcBorders>
              <w:top w:val="single" w:sz="2" w:space="0" w:color="auto"/>
              <w:bottom w:val="single" w:sz="2" w:space="0" w:color="auto"/>
            </w:tcBorders>
          </w:tcPr>
          <w:p w14:paraId="63DF92FF" w14:textId="77777777" w:rsidR="006E40C9" w:rsidRDefault="006E40C9">
            <w:pPr>
              <w:pStyle w:val="MeasureTableTextRightAligned"/>
            </w:pPr>
            <w:r>
              <w:t>2,400</w:t>
            </w:r>
          </w:p>
        </w:tc>
        <w:tc>
          <w:tcPr>
            <w:tcW w:w="967" w:type="dxa"/>
            <w:tcBorders>
              <w:top w:val="single" w:sz="2" w:space="0" w:color="auto"/>
              <w:bottom w:val="single" w:sz="2" w:space="0" w:color="auto"/>
            </w:tcBorders>
          </w:tcPr>
          <w:p w14:paraId="13172711" w14:textId="77777777" w:rsidR="006E40C9" w:rsidRDefault="006E40C9">
            <w:pPr>
              <w:pStyle w:val="MeasureTableTextRightAligned"/>
            </w:pPr>
            <w:r>
              <w:t>2,450</w:t>
            </w:r>
          </w:p>
        </w:tc>
        <w:tc>
          <w:tcPr>
            <w:tcW w:w="967" w:type="dxa"/>
            <w:tcBorders>
              <w:top w:val="single" w:sz="2" w:space="0" w:color="auto"/>
              <w:bottom w:val="single" w:sz="2" w:space="0" w:color="auto"/>
            </w:tcBorders>
            <w:vAlign w:val="bottom"/>
          </w:tcPr>
          <w:p w14:paraId="7A427643" w14:textId="77777777" w:rsidR="006E40C9" w:rsidRDefault="006E40C9">
            <w:pPr>
              <w:pStyle w:val="MeasureTableTextRightAligned"/>
            </w:pPr>
            <w:r>
              <w:t>920</w:t>
            </w:r>
          </w:p>
        </w:tc>
        <w:tc>
          <w:tcPr>
            <w:tcW w:w="967" w:type="dxa"/>
            <w:tcBorders>
              <w:top w:val="single" w:sz="2" w:space="0" w:color="auto"/>
              <w:bottom w:val="single" w:sz="2" w:space="0" w:color="auto"/>
            </w:tcBorders>
            <w:vAlign w:val="bottom"/>
          </w:tcPr>
          <w:p w14:paraId="62BFE64B" w14:textId="77777777" w:rsidR="006E40C9" w:rsidRDefault="006E40C9">
            <w:pPr>
              <w:pStyle w:val="MeasureTableTextRightAligned"/>
            </w:pPr>
            <w:r>
              <w:t>1,450</w:t>
            </w:r>
          </w:p>
        </w:tc>
        <w:tc>
          <w:tcPr>
            <w:tcW w:w="967" w:type="dxa"/>
            <w:tcBorders>
              <w:top w:val="single" w:sz="2" w:space="0" w:color="auto"/>
              <w:bottom w:val="single" w:sz="2" w:space="0" w:color="auto"/>
            </w:tcBorders>
            <w:vAlign w:val="bottom"/>
          </w:tcPr>
          <w:p w14:paraId="76F2B21F" w14:textId="77777777" w:rsidR="006E40C9" w:rsidRDefault="006E40C9">
            <w:pPr>
              <w:pStyle w:val="MeasureTableTextRightAligned"/>
            </w:pPr>
            <w:r>
              <w:t>2,000</w:t>
            </w:r>
          </w:p>
        </w:tc>
        <w:tc>
          <w:tcPr>
            <w:tcW w:w="967" w:type="dxa"/>
            <w:gridSpan w:val="2"/>
            <w:tcBorders>
              <w:top w:val="single" w:sz="2" w:space="0" w:color="auto"/>
              <w:bottom w:val="single" w:sz="2" w:space="0" w:color="auto"/>
            </w:tcBorders>
            <w:vAlign w:val="bottom"/>
          </w:tcPr>
          <w:p w14:paraId="57A83829" w14:textId="77777777" w:rsidR="006E40C9" w:rsidRDefault="006E40C9">
            <w:pPr>
              <w:pStyle w:val="MeasureTableTextRightAligned"/>
            </w:pPr>
            <w:r>
              <w:t>2,100</w:t>
            </w:r>
          </w:p>
        </w:tc>
        <w:tc>
          <w:tcPr>
            <w:tcW w:w="967" w:type="dxa"/>
            <w:gridSpan w:val="2"/>
            <w:tcBorders>
              <w:top w:val="single" w:sz="2" w:space="0" w:color="auto"/>
              <w:bottom w:val="single" w:sz="2" w:space="0" w:color="auto"/>
            </w:tcBorders>
            <w:vAlign w:val="bottom"/>
          </w:tcPr>
          <w:p w14:paraId="6B7F621F" w14:textId="77777777" w:rsidR="006E40C9" w:rsidRDefault="006E40C9">
            <w:pPr>
              <w:pStyle w:val="MeasureTableTextRightAligned"/>
            </w:pPr>
            <w:r>
              <w:t>2,150</w:t>
            </w:r>
          </w:p>
        </w:tc>
        <w:tc>
          <w:tcPr>
            <w:tcW w:w="968" w:type="dxa"/>
            <w:tcBorders>
              <w:top w:val="single" w:sz="2" w:space="0" w:color="auto"/>
              <w:bottom w:val="single" w:sz="2" w:space="0" w:color="auto"/>
            </w:tcBorders>
            <w:vAlign w:val="bottom"/>
          </w:tcPr>
          <w:p w14:paraId="10E42850" w14:textId="77777777" w:rsidR="006E40C9" w:rsidRDefault="006E40C9">
            <w:pPr>
              <w:pStyle w:val="MeasureTableTextRightAligned"/>
            </w:pPr>
            <w:r>
              <w:t>2,200</w:t>
            </w:r>
          </w:p>
        </w:tc>
      </w:tr>
      <w:tr w:rsidR="006E40C9" w14:paraId="134180F5" w14:textId="77777777">
        <w:trPr>
          <w:cantSplit/>
          <w:jc w:val="center"/>
        </w:trPr>
        <w:tc>
          <w:tcPr>
            <w:tcW w:w="1934" w:type="dxa"/>
            <w:gridSpan w:val="2"/>
            <w:tcBorders>
              <w:top w:val="single" w:sz="2" w:space="0" w:color="auto"/>
              <w:bottom w:val="nil"/>
            </w:tcBorders>
          </w:tcPr>
          <w:p w14:paraId="2DB62B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BC760D"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909AB3D" w14:textId="25922C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FB06D3" w14:textId="77777777" w:rsidR="006E40C9" w:rsidRDefault="006E40C9">
            <w:pPr>
              <w:pStyle w:val="MeasureTableTextLeftAligned"/>
            </w:pPr>
            <w:r>
              <w:t>C1</w:t>
            </w:r>
          </w:p>
        </w:tc>
      </w:tr>
      <w:tr w:rsidR="006E40C9" w14:paraId="5EEAAF86" w14:textId="77777777">
        <w:trPr>
          <w:cantSplit/>
          <w:jc w:val="center"/>
        </w:trPr>
        <w:tc>
          <w:tcPr>
            <w:tcW w:w="1934" w:type="dxa"/>
            <w:gridSpan w:val="2"/>
            <w:tcBorders>
              <w:top w:val="nil"/>
              <w:bottom w:val="nil"/>
            </w:tcBorders>
          </w:tcPr>
          <w:p w14:paraId="52FCE23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A801095" w14:textId="77777777" w:rsidR="006E40C9" w:rsidRPr="00584CA7" w:rsidRDefault="006E40C9">
            <w:pPr>
              <w:pStyle w:val="MeasureTableTextLeftAligned"/>
            </w:pPr>
            <w:r>
              <w:t>Low</w:t>
            </w:r>
          </w:p>
        </w:tc>
        <w:tc>
          <w:tcPr>
            <w:tcW w:w="1500" w:type="dxa"/>
            <w:gridSpan w:val="2"/>
            <w:tcBorders>
              <w:top w:val="nil"/>
              <w:bottom w:val="nil"/>
            </w:tcBorders>
          </w:tcPr>
          <w:p w14:paraId="2E08F67A" w14:textId="77777777" w:rsidR="006E40C9" w:rsidRDefault="006E40C9">
            <w:pPr>
              <w:pStyle w:val="MeasureTableTextItalic"/>
            </w:pPr>
          </w:p>
        </w:tc>
        <w:tc>
          <w:tcPr>
            <w:tcW w:w="1124" w:type="dxa"/>
            <w:gridSpan w:val="2"/>
            <w:tcBorders>
              <w:top w:val="nil"/>
              <w:bottom w:val="nil"/>
            </w:tcBorders>
          </w:tcPr>
          <w:p w14:paraId="28E471B3" w14:textId="77777777" w:rsidR="006E40C9" w:rsidRDefault="006E40C9">
            <w:pPr>
              <w:pStyle w:val="MeasureTableTextLeftAligned"/>
            </w:pPr>
          </w:p>
        </w:tc>
      </w:tr>
      <w:tr w:rsidR="006E40C9" w14:paraId="37336855" w14:textId="77777777">
        <w:trPr>
          <w:cantSplit/>
          <w:jc w:val="center"/>
        </w:trPr>
        <w:tc>
          <w:tcPr>
            <w:tcW w:w="1934" w:type="dxa"/>
            <w:gridSpan w:val="2"/>
            <w:tcBorders>
              <w:top w:val="nil"/>
              <w:bottom w:val="nil"/>
            </w:tcBorders>
          </w:tcPr>
          <w:p w14:paraId="6C5C9D2A" w14:textId="77777777" w:rsidR="006E40C9" w:rsidRDefault="006E40C9">
            <w:pPr>
              <w:pStyle w:val="MeasureTableTextItalic"/>
            </w:pPr>
            <w:r>
              <w:t>Commencement date:</w:t>
            </w:r>
          </w:p>
        </w:tc>
        <w:tc>
          <w:tcPr>
            <w:tcW w:w="3179" w:type="dxa"/>
            <w:gridSpan w:val="4"/>
            <w:tcBorders>
              <w:top w:val="nil"/>
              <w:bottom w:val="nil"/>
            </w:tcBorders>
          </w:tcPr>
          <w:p w14:paraId="38064D45" w14:textId="77777777" w:rsidR="006E40C9" w:rsidRDefault="006E40C9">
            <w:pPr>
              <w:pStyle w:val="MeasureTableTextLeftAligned"/>
            </w:pPr>
            <w:r>
              <w:t>1999</w:t>
            </w:r>
          </w:p>
        </w:tc>
        <w:tc>
          <w:tcPr>
            <w:tcW w:w="1500" w:type="dxa"/>
            <w:gridSpan w:val="2"/>
            <w:tcBorders>
              <w:top w:val="nil"/>
              <w:bottom w:val="nil"/>
            </w:tcBorders>
          </w:tcPr>
          <w:p w14:paraId="64CF1107" w14:textId="77777777" w:rsidR="006E40C9" w:rsidRPr="00F32057" w:rsidRDefault="006E40C9">
            <w:pPr>
              <w:pStyle w:val="MeasureTableTextItalic"/>
            </w:pPr>
            <w:r>
              <w:t>Expiry date:</w:t>
            </w:r>
          </w:p>
        </w:tc>
        <w:tc>
          <w:tcPr>
            <w:tcW w:w="1124" w:type="dxa"/>
            <w:gridSpan w:val="2"/>
            <w:tcBorders>
              <w:top w:val="nil"/>
              <w:bottom w:val="nil"/>
            </w:tcBorders>
          </w:tcPr>
          <w:p w14:paraId="76CD25E3" w14:textId="77777777" w:rsidR="006E40C9" w:rsidRPr="00F32057" w:rsidRDefault="006E40C9">
            <w:pPr>
              <w:pStyle w:val="MeasureTableTextLeftAligned"/>
            </w:pPr>
          </w:p>
        </w:tc>
      </w:tr>
      <w:tr w:rsidR="006E40C9" w14:paraId="4143C5BD" w14:textId="77777777">
        <w:trPr>
          <w:cantSplit/>
          <w:jc w:val="center"/>
        </w:trPr>
        <w:tc>
          <w:tcPr>
            <w:tcW w:w="1934" w:type="dxa"/>
            <w:gridSpan w:val="2"/>
            <w:tcBorders>
              <w:top w:val="nil"/>
            </w:tcBorders>
          </w:tcPr>
          <w:p w14:paraId="4A3649E3" w14:textId="77777777" w:rsidR="006E40C9" w:rsidRDefault="006E40C9">
            <w:pPr>
              <w:pStyle w:val="MeasureTableTextItalic"/>
            </w:pPr>
            <w:r>
              <w:t>Legislative reference:</w:t>
            </w:r>
          </w:p>
        </w:tc>
        <w:tc>
          <w:tcPr>
            <w:tcW w:w="5803" w:type="dxa"/>
            <w:gridSpan w:val="8"/>
            <w:tcBorders>
              <w:top w:val="nil"/>
            </w:tcBorders>
          </w:tcPr>
          <w:p w14:paraId="1FBD6E7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Paragraph 115-10(b) and subparagraph 115-100(b)(i) of the </w:t>
            </w:r>
            <w:r>
              <w:rPr>
                <w:rFonts w:ascii="Arial" w:hAnsi="Arial" w:cs="Arial"/>
                <w:i/>
                <w:iCs/>
                <w:color w:val="000000"/>
                <w:sz w:val="16"/>
                <w:szCs w:val="16"/>
              </w:rPr>
              <w:t>Income Tax Assessment Act 1997</w:t>
            </w:r>
          </w:p>
        </w:tc>
      </w:tr>
    </w:tbl>
    <w:p w14:paraId="6005BCD3" w14:textId="77777777" w:rsidR="006E40C9" w:rsidRPr="00540040" w:rsidRDefault="006E40C9" w:rsidP="006E40C9">
      <w:pPr>
        <w:pStyle w:val="MeasureTableHeading"/>
      </w:pPr>
    </w:p>
    <w:p w14:paraId="5729CA56" w14:textId="77777777" w:rsidR="006E40C9" w:rsidRDefault="006E40C9" w:rsidP="006E40C9">
      <w:r>
        <w:t>Under the benchmark, the full nominal value of capital gains realised by superannuation funds are included in taxable income. However, t</w:t>
      </w:r>
      <w:r w:rsidRPr="00312A42">
        <w:t>wo</w:t>
      </w:r>
      <w:r>
        <w:noBreakHyphen/>
      </w:r>
      <w:r w:rsidRPr="00312A42">
        <w:t>thirds of any nominal capital gain made from a capital gains tax event occurring on</w:t>
      </w:r>
      <w:r>
        <w:t xml:space="preserve"> or</w:t>
      </w:r>
      <w:r w:rsidRPr="00312A42">
        <w:t xml:space="preserve"> after 21 September 1999 is included in the assessable income of a fund, provided the fund has held the asset for at least </w:t>
      </w:r>
      <w:r>
        <w:t>12 months</w:t>
      </w:r>
      <w:r w:rsidRPr="00312A42">
        <w:t>.</w:t>
      </w:r>
      <w:r w:rsidRPr="00046F85">
        <w:fldChar w:fldCharType="begin"/>
      </w:r>
      <w:r w:rsidRPr="00046F85">
        <w:instrText xml:space="preserve"> XE "Superannuation:Fund capital gains" </w:instrText>
      </w:r>
      <w:r w:rsidRPr="00046F85">
        <w:fldChar w:fldCharType="end"/>
      </w:r>
      <w:r w:rsidRPr="00312A42">
        <w:t xml:space="preserve"> </w:t>
      </w:r>
      <w:r>
        <w:t>This effectively results in capital gains being taxed at a 10 per cent rate, rather than a 15 per cent rate.</w:t>
      </w:r>
    </w:p>
    <w:p w14:paraId="79441D5B" w14:textId="55209F2F" w:rsidR="006E40C9" w:rsidRDefault="006E40C9" w:rsidP="006E40C9">
      <w:r>
        <w:t xml:space="preserve">See tax </w:t>
      </w:r>
      <w:r w:rsidR="0052518E">
        <w:t>expenditure</w:t>
      </w:r>
      <w:r>
        <w:t xml:space="preserve"> C4 for the </w:t>
      </w:r>
      <w:r w:rsidR="003C4C56">
        <w:t>expenditure</w:t>
      </w:r>
      <w:r>
        <w:t xml:space="preserve"> relating to the concessional taxation of superannuation earnings. </w:t>
      </w:r>
    </w:p>
    <w:p w14:paraId="45271D46" w14:textId="77777777" w:rsidR="006E40C9" w:rsidRDefault="006E40C9" w:rsidP="00130689">
      <w:pPr>
        <w:pStyle w:val="Heading4"/>
      </w:pPr>
      <w:r>
        <w:t>C2</w:t>
      </w:r>
      <w:r>
        <w:tab/>
        <w:t>Concessional taxation of employer superannuation contributions</w:t>
      </w:r>
    </w:p>
    <w:p w14:paraId="089AF1F5"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3E4E91" w14:textId="77777777">
        <w:trPr>
          <w:cantSplit/>
          <w:jc w:val="center"/>
        </w:trPr>
        <w:tc>
          <w:tcPr>
            <w:tcW w:w="967" w:type="dxa"/>
            <w:tcBorders>
              <w:top w:val="single" w:sz="2" w:space="0" w:color="auto"/>
              <w:bottom w:val="single" w:sz="2" w:space="0" w:color="auto"/>
            </w:tcBorders>
          </w:tcPr>
          <w:p w14:paraId="3B40EA3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66323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FA274C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667B5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39BEEC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2523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CD47E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4CE01B" w14:textId="77777777" w:rsidR="006E40C9" w:rsidRDefault="006E40C9">
            <w:pPr>
              <w:pStyle w:val="MeasureTableTextRightAligned"/>
            </w:pPr>
            <w:r>
              <w:t>2027-28</w:t>
            </w:r>
          </w:p>
        </w:tc>
      </w:tr>
      <w:tr w:rsidR="006E40C9" w14:paraId="59FB4395" w14:textId="77777777">
        <w:trPr>
          <w:cantSplit/>
          <w:jc w:val="center"/>
        </w:trPr>
        <w:tc>
          <w:tcPr>
            <w:tcW w:w="967" w:type="dxa"/>
            <w:tcBorders>
              <w:top w:val="single" w:sz="2" w:space="0" w:color="auto"/>
              <w:bottom w:val="single" w:sz="2" w:space="0" w:color="auto"/>
            </w:tcBorders>
          </w:tcPr>
          <w:p w14:paraId="0658D397" w14:textId="77777777" w:rsidR="006E40C9" w:rsidRDefault="006E40C9">
            <w:pPr>
              <w:pStyle w:val="MeasureTableTextRightAligned"/>
            </w:pPr>
            <w:r>
              <w:t>19,800</w:t>
            </w:r>
          </w:p>
        </w:tc>
        <w:tc>
          <w:tcPr>
            <w:tcW w:w="967" w:type="dxa"/>
            <w:tcBorders>
              <w:top w:val="single" w:sz="2" w:space="0" w:color="auto"/>
              <w:bottom w:val="single" w:sz="2" w:space="0" w:color="auto"/>
            </w:tcBorders>
          </w:tcPr>
          <w:p w14:paraId="18BA0334" w14:textId="77777777" w:rsidR="006E40C9" w:rsidRDefault="006E40C9">
            <w:pPr>
              <w:pStyle w:val="MeasureTableTextRightAligned"/>
            </w:pPr>
            <w:r>
              <w:t>22,350</w:t>
            </w:r>
          </w:p>
        </w:tc>
        <w:tc>
          <w:tcPr>
            <w:tcW w:w="967" w:type="dxa"/>
            <w:tcBorders>
              <w:top w:val="single" w:sz="2" w:space="0" w:color="auto"/>
              <w:bottom w:val="single" w:sz="2" w:space="0" w:color="auto"/>
            </w:tcBorders>
            <w:vAlign w:val="bottom"/>
          </w:tcPr>
          <w:p w14:paraId="33198FF9" w14:textId="77777777" w:rsidR="006E40C9" w:rsidRDefault="006E40C9">
            <w:pPr>
              <w:pStyle w:val="MeasureTableTextRightAligned"/>
            </w:pPr>
            <w:r>
              <w:t>26,050</w:t>
            </w:r>
          </w:p>
        </w:tc>
        <w:tc>
          <w:tcPr>
            <w:tcW w:w="967" w:type="dxa"/>
            <w:tcBorders>
              <w:top w:val="single" w:sz="2" w:space="0" w:color="auto"/>
              <w:bottom w:val="single" w:sz="2" w:space="0" w:color="auto"/>
            </w:tcBorders>
            <w:vAlign w:val="bottom"/>
          </w:tcPr>
          <w:p w14:paraId="76B51221" w14:textId="77777777" w:rsidR="006E40C9" w:rsidRDefault="006E40C9">
            <w:pPr>
              <w:pStyle w:val="MeasureTableTextRightAligned"/>
            </w:pPr>
            <w:r>
              <w:t>29,500</w:t>
            </w:r>
          </w:p>
        </w:tc>
        <w:tc>
          <w:tcPr>
            <w:tcW w:w="967" w:type="dxa"/>
            <w:tcBorders>
              <w:top w:val="single" w:sz="2" w:space="0" w:color="auto"/>
              <w:bottom w:val="single" w:sz="2" w:space="0" w:color="auto"/>
            </w:tcBorders>
            <w:vAlign w:val="bottom"/>
          </w:tcPr>
          <w:p w14:paraId="1B85718E" w14:textId="77777777" w:rsidR="006E40C9" w:rsidRDefault="006E40C9">
            <w:pPr>
              <w:pStyle w:val="MeasureTableTextRightAligned"/>
            </w:pPr>
            <w:r>
              <w:t>29,150</w:t>
            </w:r>
          </w:p>
        </w:tc>
        <w:tc>
          <w:tcPr>
            <w:tcW w:w="967" w:type="dxa"/>
            <w:gridSpan w:val="2"/>
            <w:tcBorders>
              <w:top w:val="single" w:sz="2" w:space="0" w:color="auto"/>
              <w:bottom w:val="single" w:sz="2" w:space="0" w:color="auto"/>
            </w:tcBorders>
            <w:vAlign w:val="bottom"/>
          </w:tcPr>
          <w:p w14:paraId="696207E9" w14:textId="77777777" w:rsidR="006E40C9" w:rsidRDefault="006E40C9">
            <w:pPr>
              <w:pStyle w:val="MeasureTableTextRightAligned"/>
            </w:pPr>
            <w:r>
              <w:t>30,750</w:t>
            </w:r>
          </w:p>
        </w:tc>
        <w:tc>
          <w:tcPr>
            <w:tcW w:w="967" w:type="dxa"/>
            <w:gridSpan w:val="2"/>
            <w:tcBorders>
              <w:top w:val="single" w:sz="2" w:space="0" w:color="auto"/>
              <w:bottom w:val="single" w:sz="2" w:space="0" w:color="auto"/>
            </w:tcBorders>
            <w:vAlign w:val="bottom"/>
          </w:tcPr>
          <w:p w14:paraId="70D65FBE" w14:textId="77777777" w:rsidR="006E40C9" w:rsidRDefault="006E40C9">
            <w:pPr>
              <w:pStyle w:val="MeasureTableTextRightAligned"/>
            </w:pPr>
            <w:r>
              <w:t>32,900</w:t>
            </w:r>
          </w:p>
        </w:tc>
        <w:tc>
          <w:tcPr>
            <w:tcW w:w="968" w:type="dxa"/>
            <w:tcBorders>
              <w:top w:val="single" w:sz="2" w:space="0" w:color="auto"/>
              <w:bottom w:val="single" w:sz="2" w:space="0" w:color="auto"/>
            </w:tcBorders>
            <w:vAlign w:val="bottom"/>
          </w:tcPr>
          <w:p w14:paraId="6B23DDA7" w14:textId="77777777" w:rsidR="006E40C9" w:rsidRDefault="006E40C9">
            <w:pPr>
              <w:pStyle w:val="MeasureTableTextRightAligned"/>
            </w:pPr>
            <w:r>
              <w:t>34,600</w:t>
            </w:r>
          </w:p>
        </w:tc>
      </w:tr>
      <w:tr w:rsidR="006E40C9" w14:paraId="475CA52B" w14:textId="77777777">
        <w:trPr>
          <w:cantSplit/>
          <w:jc w:val="center"/>
        </w:trPr>
        <w:tc>
          <w:tcPr>
            <w:tcW w:w="1934" w:type="dxa"/>
            <w:gridSpan w:val="2"/>
            <w:tcBorders>
              <w:top w:val="single" w:sz="2" w:space="0" w:color="auto"/>
              <w:bottom w:val="nil"/>
            </w:tcBorders>
          </w:tcPr>
          <w:p w14:paraId="175C84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365EFC4"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08AC0B99" w14:textId="23D0B86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459472" w14:textId="77777777" w:rsidR="006E40C9" w:rsidRDefault="006E40C9">
            <w:pPr>
              <w:pStyle w:val="MeasureTableTextLeftAligned"/>
            </w:pPr>
            <w:r>
              <w:t>C2</w:t>
            </w:r>
          </w:p>
        </w:tc>
      </w:tr>
      <w:tr w:rsidR="006E40C9" w14:paraId="2DE681C5" w14:textId="77777777">
        <w:trPr>
          <w:cantSplit/>
          <w:jc w:val="center"/>
        </w:trPr>
        <w:tc>
          <w:tcPr>
            <w:tcW w:w="1934" w:type="dxa"/>
            <w:gridSpan w:val="2"/>
            <w:tcBorders>
              <w:top w:val="nil"/>
              <w:bottom w:val="nil"/>
            </w:tcBorders>
          </w:tcPr>
          <w:p w14:paraId="48392E9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BD8477" w14:textId="77777777" w:rsidR="006E40C9" w:rsidRPr="00584CA7" w:rsidRDefault="006E40C9">
            <w:pPr>
              <w:pStyle w:val="MeasureTableTextLeftAligned"/>
            </w:pPr>
            <w:r>
              <w:t>Medium</w:t>
            </w:r>
          </w:p>
        </w:tc>
        <w:tc>
          <w:tcPr>
            <w:tcW w:w="1500" w:type="dxa"/>
            <w:gridSpan w:val="2"/>
            <w:tcBorders>
              <w:top w:val="nil"/>
              <w:bottom w:val="nil"/>
            </w:tcBorders>
          </w:tcPr>
          <w:p w14:paraId="058F9DC1" w14:textId="77777777" w:rsidR="006E40C9" w:rsidRDefault="006E40C9">
            <w:pPr>
              <w:pStyle w:val="MeasureTableTextItalic"/>
            </w:pPr>
          </w:p>
        </w:tc>
        <w:tc>
          <w:tcPr>
            <w:tcW w:w="1124" w:type="dxa"/>
            <w:gridSpan w:val="2"/>
            <w:tcBorders>
              <w:top w:val="nil"/>
              <w:bottom w:val="nil"/>
            </w:tcBorders>
          </w:tcPr>
          <w:p w14:paraId="71A3A464" w14:textId="77777777" w:rsidR="006E40C9" w:rsidRDefault="006E40C9">
            <w:pPr>
              <w:pStyle w:val="MeasureTableTextLeftAligned"/>
            </w:pPr>
          </w:p>
        </w:tc>
      </w:tr>
      <w:tr w:rsidR="006E40C9" w14:paraId="2580A8DD" w14:textId="77777777">
        <w:trPr>
          <w:cantSplit/>
          <w:jc w:val="center"/>
        </w:trPr>
        <w:tc>
          <w:tcPr>
            <w:tcW w:w="1934" w:type="dxa"/>
            <w:gridSpan w:val="2"/>
            <w:tcBorders>
              <w:top w:val="nil"/>
              <w:bottom w:val="nil"/>
            </w:tcBorders>
          </w:tcPr>
          <w:p w14:paraId="7F0D3CB4" w14:textId="77777777" w:rsidR="006E40C9" w:rsidRDefault="006E40C9">
            <w:pPr>
              <w:pStyle w:val="MeasureTableTextItalic"/>
            </w:pPr>
            <w:r>
              <w:t>Commencement date:</w:t>
            </w:r>
          </w:p>
        </w:tc>
        <w:tc>
          <w:tcPr>
            <w:tcW w:w="3179" w:type="dxa"/>
            <w:gridSpan w:val="4"/>
            <w:tcBorders>
              <w:top w:val="nil"/>
              <w:bottom w:val="nil"/>
            </w:tcBorders>
          </w:tcPr>
          <w:p w14:paraId="39DEB2F0" w14:textId="77777777" w:rsidR="006E40C9" w:rsidRDefault="006E40C9">
            <w:pPr>
              <w:pStyle w:val="MeasureTableTextLeftAligned"/>
            </w:pPr>
            <w:r>
              <w:t>Introduced before 1985</w:t>
            </w:r>
          </w:p>
        </w:tc>
        <w:tc>
          <w:tcPr>
            <w:tcW w:w="1500" w:type="dxa"/>
            <w:gridSpan w:val="2"/>
            <w:tcBorders>
              <w:top w:val="nil"/>
              <w:bottom w:val="nil"/>
            </w:tcBorders>
          </w:tcPr>
          <w:p w14:paraId="2F836A3E" w14:textId="77777777" w:rsidR="006E40C9" w:rsidRPr="00F32057" w:rsidRDefault="006E40C9">
            <w:pPr>
              <w:pStyle w:val="MeasureTableTextItalic"/>
            </w:pPr>
            <w:r>
              <w:t>Expiry date:</w:t>
            </w:r>
          </w:p>
        </w:tc>
        <w:tc>
          <w:tcPr>
            <w:tcW w:w="1124" w:type="dxa"/>
            <w:gridSpan w:val="2"/>
            <w:tcBorders>
              <w:top w:val="nil"/>
              <w:bottom w:val="nil"/>
            </w:tcBorders>
          </w:tcPr>
          <w:p w14:paraId="5F8FAA2F" w14:textId="77777777" w:rsidR="006E40C9" w:rsidRPr="00F32057" w:rsidRDefault="006E40C9">
            <w:pPr>
              <w:pStyle w:val="MeasureTableTextLeftAligned"/>
            </w:pPr>
          </w:p>
        </w:tc>
      </w:tr>
      <w:tr w:rsidR="006E40C9" w14:paraId="74B57371" w14:textId="77777777">
        <w:trPr>
          <w:cantSplit/>
          <w:jc w:val="center"/>
        </w:trPr>
        <w:tc>
          <w:tcPr>
            <w:tcW w:w="1934" w:type="dxa"/>
            <w:gridSpan w:val="2"/>
            <w:tcBorders>
              <w:top w:val="nil"/>
            </w:tcBorders>
          </w:tcPr>
          <w:p w14:paraId="53DAED51" w14:textId="77777777" w:rsidR="006E40C9" w:rsidRDefault="006E40C9">
            <w:pPr>
              <w:pStyle w:val="MeasureTableTextItalic"/>
            </w:pPr>
            <w:r>
              <w:t>Legislative reference:</w:t>
            </w:r>
          </w:p>
        </w:tc>
        <w:tc>
          <w:tcPr>
            <w:tcW w:w="5803" w:type="dxa"/>
            <w:gridSpan w:val="8"/>
            <w:tcBorders>
              <w:top w:val="nil"/>
            </w:tcBorders>
          </w:tcPr>
          <w:p w14:paraId="10CF1D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Divisions 290, 291, 293 and 295 of the </w:t>
            </w:r>
            <w:r>
              <w:rPr>
                <w:rFonts w:ascii="Arial" w:hAnsi="Arial" w:cs="Arial"/>
                <w:i/>
                <w:iCs/>
                <w:color w:val="000000"/>
                <w:sz w:val="16"/>
                <w:szCs w:val="16"/>
              </w:rPr>
              <w:t>Income Tax Assessment Act 1997</w:t>
            </w:r>
          </w:p>
        </w:tc>
      </w:tr>
    </w:tbl>
    <w:p w14:paraId="701A9954" w14:textId="77777777" w:rsidR="006E40C9" w:rsidRPr="00540040" w:rsidRDefault="006E40C9" w:rsidP="006E40C9">
      <w:pPr>
        <w:pStyle w:val="MeasureTableHeading"/>
      </w:pPr>
    </w:p>
    <w:p w14:paraId="47791F48" w14:textId="5D0544AD" w:rsidR="006E40C9" w:rsidRDefault="006E40C9" w:rsidP="006E40C9">
      <w:pPr>
        <w:autoSpaceDE w:val="0"/>
        <w:autoSpaceDN w:val="0"/>
        <w:adjustRightInd w:val="0"/>
      </w:pPr>
      <w:r>
        <w:t>Under the benchmark, contributions made to superannuation are made from after</w:t>
      </w:r>
      <w:r>
        <w:noBreakHyphen/>
        <w:t xml:space="preserve">tax income. However, employer superannuation contributions (up to the concessional contributions cap of $30,000 in 2024-25) are instead included in the assessable income of a superannuation entity and taxed at a concessional rate of 15 per cent. For individuals whose combined income and concessional contributions exceed $250,000, the effective rate is 30 per cent. </w:t>
      </w:r>
    </w:p>
    <w:p w14:paraId="0CB1D910" w14:textId="77777777" w:rsidR="006E40C9" w:rsidRDefault="006E40C9" w:rsidP="006E40C9">
      <w:pPr>
        <w:autoSpaceDE w:val="0"/>
        <w:autoSpaceDN w:val="0"/>
        <w:adjustRightInd w:val="0"/>
      </w:pPr>
      <w:r>
        <w:t xml:space="preserve">Before 1 July 2017, the effective rate was 30 per cent for individuals whose combined income and concessional contributions exceeded $300,000. </w:t>
      </w:r>
      <w:r w:rsidRPr="00046F85">
        <w:fldChar w:fldCharType="begin"/>
      </w:r>
      <w:r w:rsidRPr="00046F85">
        <w:instrText xml:space="preserve"> XE "Superannuation:Employer contributions" </w:instrText>
      </w:r>
      <w:r w:rsidRPr="00046F85">
        <w:fldChar w:fldCharType="end"/>
      </w:r>
    </w:p>
    <w:p w14:paraId="1DE0EE5E" w14:textId="77777777" w:rsidR="006E40C9" w:rsidRDefault="006E40C9" w:rsidP="00130689">
      <w:pPr>
        <w:pStyle w:val="Heading4"/>
      </w:pPr>
      <w:r>
        <w:t>C3</w:t>
      </w:r>
      <w:r>
        <w:tab/>
        <w:t xml:space="preserve">Concessional taxation of </w:t>
      </w:r>
      <w:r w:rsidRPr="00D9255A">
        <w:t>personal</w:t>
      </w:r>
      <w:r>
        <w:t xml:space="preserve"> superannuation contributions</w:t>
      </w:r>
    </w:p>
    <w:p w14:paraId="59253E6D"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38A9A9" w14:textId="77777777">
        <w:trPr>
          <w:cantSplit/>
          <w:jc w:val="center"/>
        </w:trPr>
        <w:tc>
          <w:tcPr>
            <w:tcW w:w="967" w:type="dxa"/>
            <w:tcBorders>
              <w:top w:val="single" w:sz="2" w:space="0" w:color="auto"/>
              <w:bottom w:val="single" w:sz="2" w:space="0" w:color="auto"/>
            </w:tcBorders>
          </w:tcPr>
          <w:p w14:paraId="04D8B0D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80603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9B7767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492A6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ED2DA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0FC3C6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7A5F6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F86B49" w14:textId="77777777" w:rsidR="006E40C9" w:rsidRDefault="006E40C9">
            <w:pPr>
              <w:pStyle w:val="MeasureTableTextRightAligned"/>
            </w:pPr>
            <w:r>
              <w:t>2027-28</w:t>
            </w:r>
          </w:p>
        </w:tc>
      </w:tr>
      <w:tr w:rsidR="006E40C9" w14:paraId="45D27886" w14:textId="77777777">
        <w:trPr>
          <w:cantSplit/>
          <w:jc w:val="center"/>
        </w:trPr>
        <w:tc>
          <w:tcPr>
            <w:tcW w:w="967" w:type="dxa"/>
            <w:tcBorders>
              <w:top w:val="single" w:sz="2" w:space="0" w:color="auto"/>
              <w:bottom w:val="single" w:sz="2" w:space="0" w:color="auto"/>
            </w:tcBorders>
          </w:tcPr>
          <w:p w14:paraId="7DD17F93" w14:textId="77777777" w:rsidR="006E40C9" w:rsidRDefault="006E40C9">
            <w:pPr>
              <w:pStyle w:val="MeasureTableTextRightAligned"/>
            </w:pPr>
            <w:r>
              <w:t>1,100</w:t>
            </w:r>
          </w:p>
        </w:tc>
        <w:tc>
          <w:tcPr>
            <w:tcW w:w="967" w:type="dxa"/>
            <w:tcBorders>
              <w:top w:val="single" w:sz="2" w:space="0" w:color="auto"/>
              <w:bottom w:val="single" w:sz="2" w:space="0" w:color="auto"/>
            </w:tcBorders>
          </w:tcPr>
          <w:p w14:paraId="691819AB" w14:textId="77777777" w:rsidR="006E40C9" w:rsidRDefault="006E40C9">
            <w:pPr>
              <w:pStyle w:val="MeasureTableTextRightAligned"/>
            </w:pPr>
            <w:r>
              <w:t>2,200</w:t>
            </w:r>
          </w:p>
        </w:tc>
        <w:tc>
          <w:tcPr>
            <w:tcW w:w="967" w:type="dxa"/>
            <w:tcBorders>
              <w:top w:val="single" w:sz="2" w:space="0" w:color="auto"/>
              <w:bottom w:val="single" w:sz="2" w:space="0" w:color="auto"/>
            </w:tcBorders>
            <w:vAlign w:val="bottom"/>
          </w:tcPr>
          <w:p w14:paraId="5C9DAB48" w14:textId="77777777" w:rsidR="006E40C9" w:rsidRDefault="006E40C9">
            <w:pPr>
              <w:pStyle w:val="MeasureTableTextRightAligned"/>
            </w:pPr>
            <w:r>
              <w:t>2,200</w:t>
            </w:r>
          </w:p>
        </w:tc>
        <w:tc>
          <w:tcPr>
            <w:tcW w:w="967" w:type="dxa"/>
            <w:tcBorders>
              <w:top w:val="single" w:sz="2" w:space="0" w:color="auto"/>
              <w:bottom w:val="single" w:sz="2" w:space="0" w:color="auto"/>
            </w:tcBorders>
            <w:vAlign w:val="bottom"/>
          </w:tcPr>
          <w:p w14:paraId="27C0D428" w14:textId="77777777" w:rsidR="006E40C9" w:rsidRDefault="006E40C9">
            <w:pPr>
              <w:pStyle w:val="MeasureTableTextRightAligned"/>
            </w:pPr>
            <w:r>
              <w:t>1,900</w:t>
            </w:r>
          </w:p>
        </w:tc>
        <w:tc>
          <w:tcPr>
            <w:tcW w:w="967" w:type="dxa"/>
            <w:tcBorders>
              <w:top w:val="single" w:sz="2" w:space="0" w:color="auto"/>
              <w:bottom w:val="single" w:sz="2" w:space="0" w:color="auto"/>
            </w:tcBorders>
            <w:vAlign w:val="bottom"/>
          </w:tcPr>
          <w:p w14:paraId="2B97C4B2" w14:textId="77777777" w:rsidR="006E40C9" w:rsidRDefault="006E40C9">
            <w:pPr>
              <w:pStyle w:val="MeasureTableTextRightAligned"/>
            </w:pPr>
            <w:r>
              <w:t>1,800</w:t>
            </w:r>
          </w:p>
        </w:tc>
        <w:tc>
          <w:tcPr>
            <w:tcW w:w="967" w:type="dxa"/>
            <w:gridSpan w:val="2"/>
            <w:tcBorders>
              <w:top w:val="single" w:sz="2" w:space="0" w:color="auto"/>
              <w:bottom w:val="single" w:sz="2" w:space="0" w:color="auto"/>
            </w:tcBorders>
            <w:vAlign w:val="bottom"/>
          </w:tcPr>
          <w:p w14:paraId="7861A30C" w14:textId="77777777" w:rsidR="006E40C9" w:rsidRDefault="006E40C9">
            <w:pPr>
              <w:pStyle w:val="MeasureTableTextRightAligned"/>
            </w:pPr>
            <w:r>
              <w:t>1,850</w:t>
            </w:r>
          </w:p>
        </w:tc>
        <w:tc>
          <w:tcPr>
            <w:tcW w:w="967" w:type="dxa"/>
            <w:gridSpan w:val="2"/>
            <w:tcBorders>
              <w:top w:val="single" w:sz="2" w:space="0" w:color="auto"/>
              <w:bottom w:val="single" w:sz="2" w:space="0" w:color="auto"/>
            </w:tcBorders>
            <w:vAlign w:val="bottom"/>
          </w:tcPr>
          <w:p w14:paraId="54B90103" w14:textId="77777777" w:rsidR="006E40C9" w:rsidRDefault="006E40C9">
            <w:pPr>
              <w:pStyle w:val="MeasureTableTextRightAligned"/>
            </w:pPr>
            <w:r>
              <w:t>1,950</w:t>
            </w:r>
          </w:p>
        </w:tc>
        <w:tc>
          <w:tcPr>
            <w:tcW w:w="968" w:type="dxa"/>
            <w:tcBorders>
              <w:top w:val="single" w:sz="2" w:space="0" w:color="auto"/>
              <w:bottom w:val="single" w:sz="2" w:space="0" w:color="auto"/>
            </w:tcBorders>
            <w:vAlign w:val="bottom"/>
          </w:tcPr>
          <w:p w14:paraId="5868C175" w14:textId="77777777" w:rsidR="006E40C9" w:rsidRDefault="006E40C9">
            <w:pPr>
              <w:pStyle w:val="MeasureTableTextRightAligned"/>
            </w:pPr>
            <w:r>
              <w:t>2,150</w:t>
            </w:r>
          </w:p>
        </w:tc>
      </w:tr>
      <w:tr w:rsidR="006E40C9" w14:paraId="4036B0FD" w14:textId="77777777">
        <w:trPr>
          <w:cantSplit/>
          <w:jc w:val="center"/>
        </w:trPr>
        <w:tc>
          <w:tcPr>
            <w:tcW w:w="1934" w:type="dxa"/>
            <w:gridSpan w:val="2"/>
            <w:tcBorders>
              <w:top w:val="single" w:sz="2" w:space="0" w:color="auto"/>
              <w:bottom w:val="nil"/>
            </w:tcBorders>
          </w:tcPr>
          <w:p w14:paraId="3666906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7BEDCEC"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102DF5DF" w14:textId="7A0A2C0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3E1EF6" w14:textId="77777777" w:rsidR="006E40C9" w:rsidRDefault="006E40C9">
            <w:pPr>
              <w:pStyle w:val="MeasureTableTextLeftAligned"/>
            </w:pPr>
            <w:r>
              <w:t>C3</w:t>
            </w:r>
          </w:p>
        </w:tc>
      </w:tr>
      <w:tr w:rsidR="006E40C9" w14:paraId="63D96A5F" w14:textId="77777777">
        <w:trPr>
          <w:cantSplit/>
          <w:jc w:val="center"/>
        </w:trPr>
        <w:tc>
          <w:tcPr>
            <w:tcW w:w="1934" w:type="dxa"/>
            <w:gridSpan w:val="2"/>
            <w:tcBorders>
              <w:top w:val="nil"/>
              <w:bottom w:val="nil"/>
            </w:tcBorders>
          </w:tcPr>
          <w:p w14:paraId="0D30A9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EE4FA0" w14:textId="77777777" w:rsidR="006E40C9" w:rsidRPr="00584CA7" w:rsidRDefault="006E40C9">
            <w:pPr>
              <w:pStyle w:val="MeasureTableTextLeftAligned"/>
            </w:pPr>
            <w:r>
              <w:t>Medium</w:t>
            </w:r>
          </w:p>
        </w:tc>
        <w:tc>
          <w:tcPr>
            <w:tcW w:w="1500" w:type="dxa"/>
            <w:gridSpan w:val="2"/>
            <w:tcBorders>
              <w:top w:val="nil"/>
              <w:bottom w:val="nil"/>
            </w:tcBorders>
          </w:tcPr>
          <w:p w14:paraId="37716B2B" w14:textId="77777777" w:rsidR="006E40C9" w:rsidRDefault="006E40C9">
            <w:pPr>
              <w:pStyle w:val="MeasureTableTextItalic"/>
            </w:pPr>
          </w:p>
        </w:tc>
        <w:tc>
          <w:tcPr>
            <w:tcW w:w="1124" w:type="dxa"/>
            <w:gridSpan w:val="2"/>
            <w:tcBorders>
              <w:top w:val="nil"/>
              <w:bottom w:val="nil"/>
            </w:tcBorders>
          </w:tcPr>
          <w:p w14:paraId="15291363" w14:textId="77777777" w:rsidR="006E40C9" w:rsidRDefault="006E40C9">
            <w:pPr>
              <w:pStyle w:val="MeasureTableTextLeftAligned"/>
            </w:pPr>
          </w:p>
        </w:tc>
      </w:tr>
      <w:tr w:rsidR="006E40C9" w14:paraId="31B1BE11" w14:textId="77777777">
        <w:trPr>
          <w:cantSplit/>
          <w:jc w:val="center"/>
        </w:trPr>
        <w:tc>
          <w:tcPr>
            <w:tcW w:w="1934" w:type="dxa"/>
            <w:gridSpan w:val="2"/>
            <w:tcBorders>
              <w:top w:val="nil"/>
              <w:bottom w:val="nil"/>
            </w:tcBorders>
          </w:tcPr>
          <w:p w14:paraId="26D29B33" w14:textId="77777777" w:rsidR="006E40C9" w:rsidRDefault="006E40C9">
            <w:pPr>
              <w:pStyle w:val="MeasureTableTextItalic"/>
            </w:pPr>
            <w:r>
              <w:t>Commencement date:</w:t>
            </w:r>
          </w:p>
        </w:tc>
        <w:tc>
          <w:tcPr>
            <w:tcW w:w="3179" w:type="dxa"/>
            <w:gridSpan w:val="4"/>
            <w:tcBorders>
              <w:top w:val="nil"/>
              <w:bottom w:val="nil"/>
            </w:tcBorders>
          </w:tcPr>
          <w:p w14:paraId="7898C173" w14:textId="77777777" w:rsidR="006E40C9" w:rsidRDefault="006E40C9">
            <w:pPr>
              <w:pStyle w:val="MeasureTableTextLeftAligned"/>
            </w:pPr>
            <w:r>
              <w:t>Introduced before 1985</w:t>
            </w:r>
          </w:p>
        </w:tc>
        <w:tc>
          <w:tcPr>
            <w:tcW w:w="1500" w:type="dxa"/>
            <w:gridSpan w:val="2"/>
            <w:tcBorders>
              <w:top w:val="nil"/>
              <w:bottom w:val="nil"/>
            </w:tcBorders>
          </w:tcPr>
          <w:p w14:paraId="17425563" w14:textId="77777777" w:rsidR="006E40C9" w:rsidRPr="00F32057" w:rsidRDefault="006E40C9">
            <w:pPr>
              <w:pStyle w:val="MeasureTableTextItalic"/>
            </w:pPr>
            <w:r>
              <w:t>Expiry date:</w:t>
            </w:r>
          </w:p>
        </w:tc>
        <w:tc>
          <w:tcPr>
            <w:tcW w:w="1124" w:type="dxa"/>
            <w:gridSpan w:val="2"/>
            <w:tcBorders>
              <w:top w:val="nil"/>
              <w:bottom w:val="nil"/>
            </w:tcBorders>
          </w:tcPr>
          <w:p w14:paraId="66D26D23" w14:textId="77777777" w:rsidR="006E40C9" w:rsidRPr="00F32057" w:rsidRDefault="006E40C9">
            <w:pPr>
              <w:pStyle w:val="MeasureTableTextLeftAligned"/>
            </w:pPr>
          </w:p>
        </w:tc>
      </w:tr>
      <w:tr w:rsidR="006E40C9" w14:paraId="482EF53C" w14:textId="77777777">
        <w:trPr>
          <w:cantSplit/>
          <w:jc w:val="center"/>
        </w:trPr>
        <w:tc>
          <w:tcPr>
            <w:tcW w:w="1934" w:type="dxa"/>
            <w:gridSpan w:val="2"/>
            <w:tcBorders>
              <w:top w:val="nil"/>
            </w:tcBorders>
          </w:tcPr>
          <w:p w14:paraId="0AD570AA" w14:textId="77777777" w:rsidR="006E40C9" w:rsidRDefault="006E40C9">
            <w:pPr>
              <w:pStyle w:val="MeasureTableTextItalic"/>
            </w:pPr>
            <w:r>
              <w:t>Legislative reference:</w:t>
            </w:r>
          </w:p>
        </w:tc>
        <w:tc>
          <w:tcPr>
            <w:tcW w:w="5803" w:type="dxa"/>
            <w:gridSpan w:val="8"/>
            <w:tcBorders>
              <w:top w:val="nil"/>
            </w:tcBorders>
          </w:tcPr>
          <w:p w14:paraId="394FDF1C" w14:textId="77777777" w:rsidR="006E40C9" w:rsidRPr="00F32057" w:rsidRDefault="006E40C9">
            <w:pPr>
              <w:keepNext/>
              <w:widowControl w:val="0"/>
              <w:autoSpaceDE w:val="0"/>
              <w:autoSpaceDN w:val="0"/>
              <w:adjustRightInd w:val="0"/>
              <w:spacing w:after="0" w:line="240" w:lineRule="auto"/>
            </w:pPr>
            <w:r>
              <w:rPr>
                <w:rFonts w:ascii="Arial" w:hAnsi="Arial" w:cs="Arial"/>
                <w:color w:val="000000"/>
                <w:sz w:val="16"/>
                <w:szCs w:val="16"/>
              </w:rPr>
              <w:t xml:space="preserve">Divisions 290, 291, 293 and 295 of the </w:t>
            </w:r>
            <w:r>
              <w:rPr>
                <w:rFonts w:ascii="Arial" w:hAnsi="Arial" w:cs="Arial"/>
                <w:i/>
                <w:iCs/>
                <w:color w:val="000000"/>
                <w:sz w:val="16"/>
                <w:szCs w:val="16"/>
              </w:rPr>
              <w:t>Income Tax Assessment Act 1997</w:t>
            </w:r>
          </w:p>
        </w:tc>
      </w:tr>
    </w:tbl>
    <w:p w14:paraId="4C82E440" w14:textId="77777777" w:rsidR="006E40C9" w:rsidRPr="00540040" w:rsidRDefault="006E40C9" w:rsidP="006E40C9">
      <w:pPr>
        <w:pStyle w:val="MeasureTableHeading"/>
      </w:pPr>
    </w:p>
    <w:p w14:paraId="547B42D7" w14:textId="2E28869A" w:rsidR="006E40C9" w:rsidRPr="004C7EB5" w:rsidRDefault="006E40C9" w:rsidP="006E40C9">
      <w:pPr>
        <w:autoSpaceDE w:val="0"/>
        <w:autoSpaceDN w:val="0"/>
        <w:adjustRightInd w:val="0"/>
        <w:rPr>
          <w:rFonts w:cs="Book Antiqua"/>
        </w:rPr>
      </w:pPr>
      <w:r w:rsidRPr="004C7EB5">
        <w:rPr>
          <w:rFonts w:cs="Book Antiqua"/>
        </w:rPr>
        <w:t>Under the benchmark, contributions made to superannuation are made from after</w:t>
      </w:r>
      <w:r>
        <w:rPr>
          <w:rFonts w:cs="Book Antiqua"/>
        </w:rPr>
        <w:noBreakHyphen/>
      </w:r>
      <w:r w:rsidRPr="004C7EB5">
        <w:rPr>
          <w:rFonts w:cs="Book Antiqua"/>
        </w:rPr>
        <w:t>tax income. However, subject to the concessional contributions cap</w:t>
      </w:r>
      <w:r>
        <w:rPr>
          <w:rFonts w:cs="Book Antiqua"/>
        </w:rPr>
        <w:t xml:space="preserve"> ($30,000 in 2024-25)</w:t>
      </w:r>
      <w:r w:rsidRPr="004C7EB5">
        <w:rPr>
          <w:rFonts w:cs="Book Antiqua"/>
        </w:rPr>
        <w:t>, deducted personal superannuation contributions to eligible superannuation funds are included in the fund</w:t>
      </w:r>
      <w:r>
        <w:rPr>
          <w:rFonts w:cs="Book Antiqua"/>
        </w:rPr>
        <w:t>’</w:t>
      </w:r>
      <w:r w:rsidRPr="004C7EB5">
        <w:rPr>
          <w:rFonts w:cs="Book Antiqua"/>
        </w:rPr>
        <w:t>s assessable income and taxed at a co</w:t>
      </w:r>
      <w:r>
        <w:rPr>
          <w:rFonts w:cs="Book Antiqua"/>
        </w:rPr>
        <w:t>ncessional rate of 15 per cent.</w:t>
      </w:r>
      <w:r w:rsidRPr="004C7EB5">
        <w:rPr>
          <w:rFonts w:cs="Book Antiqua"/>
        </w:rPr>
        <w:t xml:space="preserve"> For individuals whose combined income and concessional contributions exceed $250,000, the effective rate is 30 per cent. </w:t>
      </w:r>
    </w:p>
    <w:p w14:paraId="17C018E9" w14:textId="77777777" w:rsidR="006E40C9" w:rsidRDefault="006E40C9" w:rsidP="006E40C9">
      <w:pPr>
        <w:autoSpaceDE w:val="0"/>
        <w:autoSpaceDN w:val="0"/>
        <w:adjustRightInd w:val="0"/>
      </w:pPr>
      <w:r w:rsidRPr="004C7EB5">
        <w:rPr>
          <w:rFonts w:cs="Book Antiqua"/>
        </w:rPr>
        <w:t>Before 1 July 2017, only individuals earning less than 10 per cent of their income as an employee were able to make deductible personal superannuation contributions up to the concessional cap to eligible superannuation funds. Before 1 July 2017, for individuals whose combined income and concessional contributions exceeded $300,000 the effective rate was 30 per cent.</w:t>
      </w:r>
      <w:r>
        <w:rPr>
          <w:rFonts w:cs="Book Antiqua"/>
        </w:rPr>
        <w:t xml:space="preserve"> </w:t>
      </w:r>
      <w:r w:rsidRPr="00046F85">
        <w:fldChar w:fldCharType="begin"/>
      </w:r>
      <w:r w:rsidRPr="00046F85">
        <w:instrText xml:space="preserve"> XE "Superannuation:Personal contributions" </w:instrText>
      </w:r>
      <w:r w:rsidRPr="00046F85">
        <w:fldChar w:fldCharType="end"/>
      </w:r>
    </w:p>
    <w:p w14:paraId="3F885E36" w14:textId="77777777" w:rsidR="006E40C9" w:rsidRPr="00D9255A" w:rsidRDefault="006E40C9" w:rsidP="00130689">
      <w:pPr>
        <w:pStyle w:val="Heading4"/>
      </w:pPr>
      <w:r w:rsidRPr="00D9255A">
        <w:t>C4</w:t>
      </w:r>
      <w:r w:rsidRPr="00D9255A">
        <w:tab/>
        <w:t>Concessional taxation of superannuation earnings</w:t>
      </w:r>
    </w:p>
    <w:p w14:paraId="6D9326F7"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6F4423" w14:textId="77777777">
        <w:trPr>
          <w:cantSplit/>
          <w:jc w:val="center"/>
        </w:trPr>
        <w:tc>
          <w:tcPr>
            <w:tcW w:w="967" w:type="dxa"/>
            <w:tcBorders>
              <w:top w:val="single" w:sz="2" w:space="0" w:color="auto"/>
              <w:bottom w:val="single" w:sz="2" w:space="0" w:color="auto"/>
            </w:tcBorders>
          </w:tcPr>
          <w:p w14:paraId="414ABA6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ADDF82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086D2B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4F177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845022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709A0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D14AF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436CD4F" w14:textId="77777777" w:rsidR="006E40C9" w:rsidRDefault="006E40C9">
            <w:pPr>
              <w:pStyle w:val="MeasureTableTextRightAligned"/>
            </w:pPr>
            <w:r>
              <w:t>2027-28</w:t>
            </w:r>
          </w:p>
        </w:tc>
      </w:tr>
      <w:tr w:rsidR="006E40C9" w14:paraId="5459FC63" w14:textId="77777777">
        <w:trPr>
          <w:cantSplit/>
          <w:jc w:val="center"/>
        </w:trPr>
        <w:tc>
          <w:tcPr>
            <w:tcW w:w="967" w:type="dxa"/>
            <w:tcBorders>
              <w:top w:val="single" w:sz="2" w:space="0" w:color="auto"/>
              <w:bottom w:val="single" w:sz="2" w:space="0" w:color="auto"/>
            </w:tcBorders>
          </w:tcPr>
          <w:p w14:paraId="4895D70B" w14:textId="77777777" w:rsidR="006E40C9" w:rsidRDefault="006E40C9">
            <w:pPr>
              <w:pStyle w:val="MeasureTableTextRightAligned"/>
            </w:pPr>
            <w:r>
              <w:t>13,350</w:t>
            </w:r>
          </w:p>
        </w:tc>
        <w:tc>
          <w:tcPr>
            <w:tcW w:w="967" w:type="dxa"/>
            <w:tcBorders>
              <w:top w:val="single" w:sz="2" w:space="0" w:color="auto"/>
              <w:bottom w:val="single" w:sz="2" w:space="0" w:color="auto"/>
            </w:tcBorders>
          </w:tcPr>
          <w:p w14:paraId="3767A33A" w14:textId="77777777" w:rsidR="006E40C9" w:rsidRDefault="006E40C9">
            <w:pPr>
              <w:pStyle w:val="MeasureTableTextRightAligned"/>
            </w:pPr>
            <w:r>
              <w:t>21,850</w:t>
            </w:r>
          </w:p>
        </w:tc>
        <w:tc>
          <w:tcPr>
            <w:tcW w:w="967" w:type="dxa"/>
            <w:tcBorders>
              <w:top w:val="single" w:sz="2" w:space="0" w:color="auto"/>
              <w:bottom w:val="single" w:sz="2" w:space="0" w:color="auto"/>
            </w:tcBorders>
            <w:vAlign w:val="bottom"/>
          </w:tcPr>
          <w:p w14:paraId="1DEDC6EF" w14:textId="77777777" w:rsidR="006E40C9" w:rsidRDefault="006E40C9">
            <w:pPr>
              <w:pStyle w:val="MeasureTableTextRightAligned"/>
            </w:pPr>
            <w:r>
              <w:t>24,400</w:t>
            </w:r>
          </w:p>
        </w:tc>
        <w:tc>
          <w:tcPr>
            <w:tcW w:w="967" w:type="dxa"/>
            <w:tcBorders>
              <w:top w:val="single" w:sz="2" w:space="0" w:color="auto"/>
              <w:bottom w:val="single" w:sz="2" w:space="0" w:color="auto"/>
            </w:tcBorders>
            <w:vAlign w:val="bottom"/>
          </w:tcPr>
          <w:p w14:paraId="45F570A7" w14:textId="77777777" w:rsidR="006E40C9" w:rsidRDefault="006E40C9">
            <w:pPr>
              <w:pStyle w:val="MeasureTableTextRightAligned"/>
            </w:pPr>
            <w:r>
              <w:t>16,000</w:t>
            </w:r>
          </w:p>
        </w:tc>
        <w:tc>
          <w:tcPr>
            <w:tcW w:w="967" w:type="dxa"/>
            <w:tcBorders>
              <w:top w:val="single" w:sz="2" w:space="0" w:color="auto"/>
              <w:bottom w:val="single" w:sz="2" w:space="0" w:color="auto"/>
            </w:tcBorders>
            <w:vAlign w:val="bottom"/>
          </w:tcPr>
          <w:p w14:paraId="73EF887D" w14:textId="77777777" w:rsidR="006E40C9" w:rsidRDefault="006E40C9">
            <w:pPr>
              <w:pStyle w:val="MeasureTableTextRightAligned"/>
            </w:pPr>
            <w:r>
              <w:t>22,200</w:t>
            </w:r>
          </w:p>
        </w:tc>
        <w:tc>
          <w:tcPr>
            <w:tcW w:w="967" w:type="dxa"/>
            <w:gridSpan w:val="2"/>
            <w:tcBorders>
              <w:top w:val="single" w:sz="2" w:space="0" w:color="auto"/>
              <w:bottom w:val="single" w:sz="2" w:space="0" w:color="auto"/>
            </w:tcBorders>
            <w:vAlign w:val="bottom"/>
          </w:tcPr>
          <w:p w14:paraId="47540ABC" w14:textId="77777777" w:rsidR="006E40C9" w:rsidRDefault="006E40C9">
            <w:pPr>
              <w:pStyle w:val="MeasureTableTextRightAligned"/>
            </w:pPr>
            <w:r>
              <w:t>24,750</w:t>
            </w:r>
          </w:p>
        </w:tc>
        <w:tc>
          <w:tcPr>
            <w:tcW w:w="967" w:type="dxa"/>
            <w:gridSpan w:val="2"/>
            <w:tcBorders>
              <w:top w:val="single" w:sz="2" w:space="0" w:color="auto"/>
              <w:bottom w:val="single" w:sz="2" w:space="0" w:color="auto"/>
            </w:tcBorders>
            <w:vAlign w:val="bottom"/>
          </w:tcPr>
          <w:p w14:paraId="7E2CBAB7" w14:textId="77777777" w:rsidR="006E40C9" w:rsidRDefault="006E40C9">
            <w:pPr>
              <w:pStyle w:val="MeasureTableTextRightAligned"/>
            </w:pPr>
            <w:r>
              <w:t>25,750</w:t>
            </w:r>
          </w:p>
        </w:tc>
        <w:tc>
          <w:tcPr>
            <w:tcW w:w="968" w:type="dxa"/>
            <w:tcBorders>
              <w:top w:val="single" w:sz="2" w:space="0" w:color="auto"/>
              <w:bottom w:val="single" w:sz="2" w:space="0" w:color="auto"/>
            </w:tcBorders>
            <w:vAlign w:val="bottom"/>
          </w:tcPr>
          <w:p w14:paraId="1503F851" w14:textId="77777777" w:rsidR="006E40C9" w:rsidRDefault="006E40C9">
            <w:pPr>
              <w:pStyle w:val="MeasureTableTextRightAligned"/>
            </w:pPr>
            <w:r>
              <w:t>26,050</w:t>
            </w:r>
          </w:p>
        </w:tc>
      </w:tr>
      <w:tr w:rsidR="006E40C9" w14:paraId="6FF8D004" w14:textId="77777777">
        <w:trPr>
          <w:cantSplit/>
          <w:jc w:val="center"/>
        </w:trPr>
        <w:tc>
          <w:tcPr>
            <w:tcW w:w="1934" w:type="dxa"/>
            <w:gridSpan w:val="2"/>
            <w:tcBorders>
              <w:top w:val="single" w:sz="2" w:space="0" w:color="auto"/>
              <w:bottom w:val="nil"/>
            </w:tcBorders>
          </w:tcPr>
          <w:p w14:paraId="1B344E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0AD1F91"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4CA0C29C" w14:textId="4ED2198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56B8B5" w14:textId="77777777" w:rsidR="006E40C9" w:rsidRDefault="006E40C9">
            <w:pPr>
              <w:pStyle w:val="MeasureTableTextLeftAligned"/>
            </w:pPr>
            <w:r>
              <w:t>C4</w:t>
            </w:r>
          </w:p>
        </w:tc>
      </w:tr>
      <w:tr w:rsidR="006E40C9" w14:paraId="60DA71E4" w14:textId="77777777">
        <w:trPr>
          <w:cantSplit/>
          <w:jc w:val="center"/>
        </w:trPr>
        <w:tc>
          <w:tcPr>
            <w:tcW w:w="1934" w:type="dxa"/>
            <w:gridSpan w:val="2"/>
            <w:tcBorders>
              <w:top w:val="nil"/>
              <w:bottom w:val="nil"/>
            </w:tcBorders>
          </w:tcPr>
          <w:p w14:paraId="375128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F8FA597" w14:textId="77777777" w:rsidR="006E40C9" w:rsidRPr="00584CA7" w:rsidRDefault="006E40C9">
            <w:pPr>
              <w:pStyle w:val="MeasureTableTextLeftAligned"/>
            </w:pPr>
            <w:r>
              <w:t>Low</w:t>
            </w:r>
          </w:p>
        </w:tc>
        <w:tc>
          <w:tcPr>
            <w:tcW w:w="1500" w:type="dxa"/>
            <w:gridSpan w:val="2"/>
            <w:tcBorders>
              <w:top w:val="nil"/>
              <w:bottom w:val="nil"/>
            </w:tcBorders>
          </w:tcPr>
          <w:p w14:paraId="04D05F2F" w14:textId="77777777" w:rsidR="006E40C9" w:rsidRDefault="006E40C9">
            <w:pPr>
              <w:pStyle w:val="MeasureTableTextItalic"/>
            </w:pPr>
          </w:p>
        </w:tc>
        <w:tc>
          <w:tcPr>
            <w:tcW w:w="1124" w:type="dxa"/>
            <w:gridSpan w:val="2"/>
            <w:tcBorders>
              <w:top w:val="nil"/>
              <w:bottom w:val="nil"/>
            </w:tcBorders>
          </w:tcPr>
          <w:p w14:paraId="48E052EF" w14:textId="77777777" w:rsidR="006E40C9" w:rsidRDefault="006E40C9">
            <w:pPr>
              <w:pStyle w:val="MeasureTableTextLeftAligned"/>
            </w:pPr>
          </w:p>
        </w:tc>
      </w:tr>
      <w:tr w:rsidR="006E40C9" w14:paraId="740B22D9" w14:textId="77777777">
        <w:trPr>
          <w:cantSplit/>
          <w:jc w:val="center"/>
        </w:trPr>
        <w:tc>
          <w:tcPr>
            <w:tcW w:w="1934" w:type="dxa"/>
            <w:gridSpan w:val="2"/>
            <w:tcBorders>
              <w:top w:val="nil"/>
              <w:bottom w:val="nil"/>
            </w:tcBorders>
          </w:tcPr>
          <w:p w14:paraId="37501437" w14:textId="77777777" w:rsidR="006E40C9" w:rsidRDefault="006E40C9">
            <w:pPr>
              <w:pStyle w:val="MeasureTableTextItalic"/>
            </w:pPr>
            <w:r>
              <w:t>Commencement date:</w:t>
            </w:r>
          </w:p>
        </w:tc>
        <w:tc>
          <w:tcPr>
            <w:tcW w:w="3179" w:type="dxa"/>
            <w:gridSpan w:val="4"/>
            <w:tcBorders>
              <w:top w:val="nil"/>
              <w:bottom w:val="nil"/>
            </w:tcBorders>
          </w:tcPr>
          <w:p w14:paraId="16245A66" w14:textId="77777777" w:rsidR="006E40C9" w:rsidRDefault="006E40C9">
            <w:pPr>
              <w:pStyle w:val="MeasureTableTextLeftAligned"/>
            </w:pPr>
            <w:r>
              <w:t>Introduced before 1985</w:t>
            </w:r>
          </w:p>
        </w:tc>
        <w:tc>
          <w:tcPr>
            <w:tcW w:w="1500" w:type="dxa"/>
            <w:gridSpan w:val="2"/>
            <w:tcBorders>
              <w:top w:val="nil"/>
              <w:bottom w:val="nil"/>
            </w:tcBorders>
          </w:tcPr>
          <w:p w14:paraId="0BACBB6C" w14:textId="77777777" w:rsidR="006E40C9" w:rsidRPr="00F32057" w:rsidRDefault="006E40C9">
            <w:pPr>
              <w:pStyle w:val="MeasureTableTextItalic"/>
            </w:pPr>
            <w:r>
              <w:t>Expiry date:</w:t>
            </w:r>
          </w:p>
        </w:tc>
        <w:tc>
          <w:tcPr>
            <w:tcW w:w="1124" w:type="dxa"/>
            <w:gridSpan w:val="2"/>
            <w:tcBorders>
              <w:top w:val="nil"/>
              <w:bottom w:val="nil"/>
            </w:tcBorders>
          </w:tcPr>
          <w:p w14:paraId="7C9ED2D5" w14:textId="77777777" w:rsidR="006E40C9" w:rsidRPr="00F32057" w:rsidRDefault="006E40C9">
            <w:pPr>
              <w:pStyle w:val="MeasureTableTextLeftAligned"/>
            </w:pPr>
          </w:p>
        </w:tc>
      </w:tr>
      <w:tr w:rsidR="006E40C9" w14:paraId="4BA0C775" w14:textId="77777777">
        <w:trPr>
          <w:cantSplit/>
          <w:jc w:val="center"/>
        </w:trPr>
        <w:tc>
          <w:tcPr>
            <w:tcW w:w="1934" w:type="dxa"/>
            <w:gridSpan w:val="2"/>
            <w:tcBorders>
              <w:top w:val="nil"/>
            </w:tcBorders>
          </w:tcPr>
          <w:p w14:paraId="6A44C734" w14:textId="77777777" w:rsidR="006E40C9" w:rsidRDefault="006E40C9">
            <w:pPr>
              <w:pStyle w:val="MeasureTableTextItalic"/>
            </w:pPr>
            <w:r>
              <w:t>Legislative reference:</w:t>
            </w:r>
          </w:p>
        </w:tc>
        <w:tc>
          <w:tcPr>
            <w:tcW w:w="5803" w:type="dxa"/>
            <w:gridSpan w:val="8"/>
            <w:tcBorders>
              <w:top w:val="nil"/>
            </w:tcBorders>
          </w:tcPr>
          <w:p w14:paraId="6B9B172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Divisions 115, 294 and 295 of the </w:t>
            </w:r>
            <w:r>
              <w:rPr>
                <w:rFonts w:ascii="Arial" w:hAnsi="Arial" w:cs="Arial"/>
                <w:i/>
                <w:iCs/>
                <w:color w:val="000000"/>
                <w:sz w:val="16"/>
                <w:szCs w:val="16"/>
              </w:rPr>
              <w:t>Income Tax Assessment Act 1997</w:t>
            </w:r>
          </w:p>
          <w:p w14:paraId="37D3A695"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Sections 26 and 29 of the </w:t>
            </w:r>
            <w:r>
              <w:rPr>
                <w:rFonts w:ascii="Arial" w:hAnsi="Arial" w:cs="Arial"/>
                <w:i/>
                <w:iCs/>
                <w:color w:val="000000"/>
                <w:sz w:val="16"/>
                <w:szCs w:val="16"/>
              </w:rPr>
              <w:t>Income Tax Rates Act 1986</w:t>
            </w:r>
          </w:p>
          <w:p w14:paraId="4DAA6830"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Proposed Division 296 of the </w:t>
            </w:r>
            <w:r>
              <w:rPr>
                <w:rFonts w:ascii="Arial" w:hAnsi="Arial" w:cs="Arial"/>
                <w:i/>
                <w:iCs/>
                <w:color w:val="000000"/>
                <w:sz w:val="16"/>
                <w:szCs w:val="16"/>
              </w:rPr>
              <w:t>Income Tax Assessment Act 1997</w:t>
            </w:r>
            <w:r>
              <w:rPr>
                <w:rFonts w:ascii="Arial" w:hAnsi="Arial" w:cs="Arial"/>
                <w:color w:val="000000"/>
                <w:sz w:val="16"/>
                <w:szCs w:val="16"/>
              </w:rPr>
              <w:t xml:space="preserve"> </w:t>
            </w:r>
          </w:p>
          <w:p w14:paraId="1D6BCCE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Proposed amendments to Section 295 of </w:t>
            </w:r>
            <w:r>
              <w:rPr>
                <w:rFonts w:ascii="Arial" w:hAnsi="Arial" w:cs="Arial"/>
                <w:i/>
                <w:iCs/>
                <w:color w:val="000000"/>
                <w:sz w:val="16"/>
                <w:szCs w:val="16"/>
              </w:rPr>
              <w:t xml:space="preserve">Income Tax Assessment Act 1997 </w:t>
            </w:r>
          </w:p>
        </w:tc>
      </w:tr>
    </w:tbl>
    <w:p w14:paraId="7210B1E9" w14:textId="77777777" w:rsidR="006E40C9" w:rsidRPr="00540040" w:rsidRDefault="006E40C9" w:rsidP="006E40C9">
      <w:pPr>
        <w:pStyle w:val="MeasureTableHeading"/>
      </w:pPr>
    </w:p>
    <w:p w14:paraId="058632C1" w14:textId="77777777" w:rsidR="006E40C9" w:rsidRDefault="006E40C9" w:rsidP="006E40C9">
      <w:r>
        <w:t xml:space="preserve">Under the benchmark, superannuation earnings are taxed at marginal rates. However, the tax rate on earnings, including the one-third discounted value of capital gains, for complying superannuation entities is generally 15 per cent (accumulation phase) or nil where the earnings are derived from assets which are used to meet current pension liabilities (retirement phase). Complying superannuation entities are entitled to refunds of excess imputation credits attached to dividends payable to them. </w:t>
      </w:r>
    </w:p>
    <w:p w14:paraId="0855DA60" w14:textId="77777777" w:rsidR="006E40C9" w:rsidRDefault="006E40C9" w:rsidP="006E40C9">
      <w:r>
        <w:t xml:space="preserve">A complying superannuation entity is one that has elected to be regulated and has complied with certain prudential requirements in the </w:t>
      </w:r>
      <w:r w:rsidRPr="00B328EE">
        <w:rPr>
          <w:i/>
          <w:iCs/>
        </w:rPr>
        <w:t>Superannuation Industry (Supervision) Act 1993</w:t>
      </w:r>
      <w:r>
        <w:t>.</w:t>
      </w:r>
    </w:p>
    <w:p w14:paraId="60A75A8F" w14:textId="77777777" w:rsidR="006E40C9" w:rsidRDefault="006E40C9" w:rsidP="006E40C9">
      <w:r>
        <w:t>These concessional rates do not apply to the non</w:t>
      </w:r>
      <w:r>
        <w:noBreakHyphen/>
        <w:t>arm’s length income of self-managed superannuation funds and no</w:t>
      </w:r>
      <w:r>
        <w:noBreakHyphen/>
        <w:t>TFN contributions income components of a complying superannuation entity. These rates are 45 per cent, and an additional 32 per cent, respectively.</w:t>
      </w:r>
    </w:p>
    <w:p w14:paraId="0F49F6F2" w14:textId="63C08F0B" w:rsidR="006E40C9" w:rsidRDefault="006E40C9" w:rsidP="006E40C9">
      <w:r>
        <w:t>Since 1 July 2017, the value of assets transferred to the retirement phase has been limited by the general transfer balance cap. From 1 July 2025, tax concessions for superannuation balances above $3 million will be reduced by the Division 296 tax that imposes 15 per cent tax on individuals in relation to superannuation earnings on assets that exceed this threshold.</w:t>
      </w:r>
      <w:r w:rsidRPr="00046F85">
        <w:fldChar w:fldCharType="begin"/>
      </w:r>
      <w:r w:rsidRPr="00046F85">
        <w:instrText xml:space="preserve"> XE "Superannuation:Entity earnings" </w:instrText>
      </w:r>
      <w:r w:rsidRPr="00046F85">
        <w:fldChar w:fldCharType="end"/>
      </w:r>
    </w:p>
    <w:p w14:paraId="239350F9" w14:textId="77777777" w:rsidR="006E40C9" w:rsidRDefault="006E40C9" w:rsidP="00130689">
      <w:pPr>
        <w:pStyle w:val="Heading4"/>
      </w:pPr>
      <w:r>
        <w:t>C5</w:t>
      </w:r>
      <w:r>
        <w:tab/>
        <w:t>Concessional taxation of unfunded superannuation</w:t>
      </w:r>
    </w:p>
    <w:p w14:paraId="659616A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A9B97D" w14:textId="77777777">
        <w:trPr>
          <w:cantSplit/>
          <w:jc w:val="center"/>
        </w:trPr>
        <w:tc>
          <w:tcPr>
            <w:tcW w:w="967" w:type="dxa"/>
            <w:tcBorders>
              <w:top w:val="single" w:sz="2" w:space="0" w:color="auto"/>
              <w:bottom w:val="single" w:sz="2" w:space="0" w:color="auto"/>
            </w:tcBorders>
          </w:tcPr>
          <w:p w14:paraId="49EF04D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1998A9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669E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DE071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C355E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C330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C1AE2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664675" w14:textId="77777777" w:rsidR="006E40C9" w:rsidRDefault="006E40C9">
            <w:pPr>
              <w:pStyle w:val="MeasureTableTextRightAligned"/>
            </w:pPr>
            <w:r>
              <w:t>2027-28</w:t>
            </w:r>
          </w:p>
        </w:tc>
      </w:tr>
      <w:tr w:rsidR="006E40C9" w14:paraId="58B65FA4" w14:textId="77777777">
        <w:trPr>
          <w:cantSplit/>
          <w:jc w:val="center"/>
        </w:trPr>
        <w:tc>
          <w:tcPr>
            <w:tcW w:w="967" w:type="dxa"/>
            <w:tcBorders>
              <w:top w:val="single" w:sz="2" w:space="0" w:color="auto"/>
              <w:bottom w:val="single" w:sz="2" w:space="0" w:color="auto"/>
            </w:tcBorders>
          </w:tcPr>
          <w:p w14:paraId="2E3DD916" w14:textId="77777777" w:rsidR="006E40C9" w:rsidRDefault="006E40C9">
            <w:pPr>
              <w:pStyle w:val="MeasureTableTextRightAligned"/>
            </w:pPr>
            <w:r>
              <w:t>560</w:t>
            </w:r>
          </w:p>
        </w:tc>
        <w:tc>
          <w:tcPr>
            <w:tcW w:w="967" w:type="dxa"/>
            <w:tcBorders>
              <w:top w:val="single" w:sz="2" w:space="0" w:color="auto"/>
              <w:bottom w:val="single" w:sz="2" w:space="0" w:color="auto"/>
            </w:tcBorders>
          </w:tcPr>
          <w:p w14:paraId="15BDF165"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32E25F59" w14:textId="77777777" w:rsidR="006E40C9" w:rsidRDefault="006E40C9">
            <w:pPr>
              <w:pStyle w:val="MeasureTableTextRightAligned"/>
            </w:pPr>
            <w:r>
              <w:t>760</w:t>
            </w:r>
          </w:p>
        </w:tc>
        <w:tc>
          <w:tcPr>
            <w:tcW w:w="967" w:type="dxa"/>
            <w:tcBorders>
              <w:top w:val="single" w:sz="2" w:space="0" w:color="auto"/>
              <w:bottom w:val="single" w:sz="2" w:space="0" w:color="auto"/>
            </w:tcBorders>
            <w:vAlign w:val="bottom"/>
          </w:tcPr>
          <w:p w14:paraId="3170A0E4" w14:textId="77777777" w:rsidR="006E40C9" w:rsidRDefault="006E40C9">
            <w:pPr>
              <w:pStyle w:val="MeasureTableTextRightAligned"/>
            </w:pPr>
            <w:r>
              <w:t>800</w:t>
            </w:r>
          </w:p>
        </w:tc>
        <w:tc>
          <w:tcPr>
            <w:tcW w:w="967" w:type="dxa"/>
            <w:tcBorders>
              <w:top w:val="single" w:sz="2" w:space="0" w:color="auto"/>
              <w:bottom w:val="single" w:sz="2" w:space="0" w:color="auto"/>
            </w:tcBorders>
            <w:vAlign w:val="bottom"/>
          </w:tcPr>
          <w:p w14:paraId="48D91036" w14:textId="77777777" w:rsidR="006E40C9" w:rsidRDefault="006E40C9">
            <w:pPr>
              <w:pStyle w:val="MeasureTableTextRightAligned"/>
            </w:pPr>
            <w:r>
              <w:t>780</w:t>
            </w:r>
          </w:p>
        </w:tc>
        <w:tc>
          <w:tcPr>
            <w:tcW w:w="967" w:type="dxa"/>
            <w:gridSpan w:val="2"/>
            <w:tcBorders>
              <w:top w:val="single" w:sz="2" w:space="0" w:color="auto"/>
              <w:bottom w:val="single" w:sz="2" w:space="0" w:color="auto"/>
            </w:tcBorders>
            <w:vAlign w:val="bottom"/>
          </w:tcPr>
          <w:p w14:paraId="4A4FC919" w14:textId="77777777" w:rsidR="006E40C9" w:rsidRDefault="006E40C9">
            <w:pPr>
              <w:pStyle w:val="MeasureTableTextRightAligned"/>
            </w:pPr>
            <w:r>
              <w:t>810</w:t>
            </w:r>
          </w:p>
        </w:tc>
        <w:tc>
          <w:tcPr>
            <w:tcW w:w="967" w:type="dxa"/>
            <w:gridSpan w:val="2"/>
            <w:tcBorders>
              <w:top w:val="single" w:sz="2" w:space="0" w:color="auto"/>
              <w:bottom w:val="single" w:sz="2" w:space="0" w:color="auto"/>
            </w:tcBorders>
            <w:vAlign w:val="bottom"/>
          </w:tcPr>
          <w:p w14:paraId="71E2A9FB" w14:textId="77777777" w:rsidR="006E40C9" w:rsidRDefault="006E40C9">
            <w:pPr>
              <w:pStyle w:val="MeasureTableTextRightAligned"/>
            </w:pPr>
            <w:r>
              <w:t>830</w:t>
            </w:r>
          </w:p>
        </w:tc>
        <w:tc>
          <w:tcPr>
            <w:tcW w:w="968" w:type="dxa"/>
            <w:tcBorders>
              <w:top w:val="single" w:sz="2" w:space="0" w:color="auto"/>
              <w:bottom w:val="single" w:sz="2" w:space="0" w:color="auto"/>
            </w:tcBorders>
            <w:vAlign w:val="bottom"/>
          </w:tcPr>
          <w:p w14:paraId="1FA00396" w14:textId="77777777" w:rsidR="006E40C9" w:rsidRDefault="006E40C9">
            <w:pPr>
              <w:pStyle w:val="MeasureTableTextRightAligned"/>
            </w:pPr>
            <w:r>
              <w:t>860</w:t>
            </w:r>
          </w:p>
        </w:tc>
      </w:tr>
      <w:tr w:rsidR="006E40C9" w14:paraId="5F84F94A" w14:textId="77777777">
        <w:trPr>
          <w:cantSplit/>
          <w:jc w:val="center"/>
        </w:trPr>
        <w:tc>
          <w:tcPr>
            <w:tcW w:w="1934" w:type="dxa"/>
            <w:gridSpan w:val="2"/>
            <w:tcBorders>
              <w:top w:val="single" w:sz="2" w:space="0" w:color="auto"/>
              <w:bottom w:val="nil"/>
            </w:tcBorders>
          </w:tcPr>
          <w:p w14:paraId="678001B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CF0CAB" w14:textId="77777777" w:rsidR="006E40C9" w:rsidRDefault="006E40C9">
            <w:pPr>
              <w:pStyle w:val="MeasureTableTextLeftAligned"/>
            </w:pPr>
            <w:r>
              <w:t>Exemption, Offset, Concessional rate</w:t>
            </w:r>
          </w:p>
        </w:tc>
        <w:tc>
          <w:tcPr>
            <w:tcW w:w="1500" w:type="dxa"/>
            <w:gridSpan w:val="2"/>
            <w:tcBorders>
              <w:top w:val="single" w:sz="2" w:space="0" w:color="auto"/>
              <w:bottom w:val="nil"/>
            </w:tcBorders>
          </w:tcPr>
          <w:p w14:paraId="0625DCA2" w14:textId="2B4A228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58DE487" w14:textId="77777777" w:rsidR="006E40C9" w:rsidRDefault="006E40C9">
            <w:pPr>
              <w:pStyle w:val="MeasureTableTextLeftAligned"/>
            </w:pPr>
            <w:r>
              <w:t>C5</w:t>
            </w:r>
          </w:p>
        </w:tc>
      </w:tr>
      <w:tr w:rsidR="006E40C9" w14:paraId="0EC9515B" w14:textId="77777777">
        <w:trPr>
          <w:cantSplit/>
          <w:jc w:val="center"/>
        </w:trPr>
        <w:tc>
          <w:tcPr>
            <w:tcW w:w="1934" w:type="dxa"/>
            <w:gridSpan w:val="2"/>
            <w:tcBorders>
              <w:top w:val="nil"/>
              <w:bottom w:val="nil"/>
            </w:tcBorders>
          </w:tcPr>
          <w:p w14:paraId="0B5C7B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FE961D" w14:textId="77777777" w:rsidR="006E40C9" w:rsidRPr="00584CA7" w:rsidRDefault="006E40C9">
            <w:pPr>
              <w:pStyle w:val="MeasureTableTextLeftAligned"/>
            </w:pPr>
            <w:r>
              <w:t>Medium</w:t>
            </w:r>
          </w:p>
        </w:tc>
        <w:tc>
          <w:tcPr>
            <w:tcW w:w="1500" w:type="dxa"/>
            <w:gridSpan w:val="2"/>
            <w:tcBorders>
              <w:top w:val="nil"/>
              <w:bottom w:val="nil"/>
            </w:tcBorders>
          </w:tcPr>
          <w:p w14:paraId="42D1C834" w14:textId="77777777" w:rsidR="006E40C9" w:rsidRDefault="006E40C9">
            <w:pPr>
              <w:pStyle w:val="MeasureTableTextItalic"/>
            </w:pPr>
          </w:p>
        </w:tc>
        <w:tc>
          <w:tcPr>
            <w:tcW w:w="1124" w:type="dxa"/>
            <w:gridSpan w:val="2"/>
            <w:tcBorders>
              <w:top w:val="nil"/>
              <w:bottom w:val="nil"/>
            </w:tcBorders>
          </w:tcPr>
          <w:p w14:paraId="04FA3B80" w14:textId="77777777" w:rsidR="006E40C9" w:rsidRDefault="006E40C9">
            <w:pPr>
              <w:pStyle w:val="MeasureTableTextLeftAligned"/>
            </w:pPr>
          </w:p>
        </w:tc>
      </w:tr>
      <w:tr w:rsidR="006E40C9" w14:paraId="531ED2FB" w14:textId="77777777">
        <w:trPr>
          <w:cantSplit/>
          <w:jc w:val="center"/>
        </w:trPr>
        <w:tc>
          <w:tcPr>
            <w:tcW w:w="1934" w:type="dxa"/>
            <w:gridSpan w:val="2"/>
            <w:tcBorders>
              <w:top w:val="nil"/>
              <w:bottom w:val="nil"/>
            </w:tcBorders>
          </w:tcPr>
          <w:p w14:paraId="5C42B7D8" w14:textId="77777777" w:rsidR="006E40C9" w:rsidRDefault="006E40C9">
            <w:pPr>
              <w:pStyle w:val="MeasureTableTextItalic"/>
            </w:pPr>
            <w:r>
              <w:t>Commencement date:</w:t>
            </w:r>
          </w:p>
        </w:tc>
        <w:tc>
          <w:tcPr>
            <w:tcW w:w="3179" w:type="dxa"/>
            <w:gridSpan w:val="4"/>
            <w:tcBorders>
              <w:top w:val="nil"/>
              <w:bottom w:val="nil"/>
            </w:tcBorders>
          </w:tcPr>
          <w:p w14:paraId="0693C49F" w14:textId="77777777" w:rsidR="006E40C9" w:rsidRDefault="006E40C9">
            <w:pPr>
              <w:pStyle w:val="MeasureTableTextLeftAligned"/>
            </w:pPr>
            <w:r>
              <w:t>Introduced before 1985</w:t>
            </w:r>
          </w:p>
        </w:tc>
        <w:tc>
          <w:tcPr>
            <w:tcW w:w="1500" w:type="dxa"/>
            <w:gridSpan w:val="2"/>
            <w:tcBorders>
              <w:top w:val="nil"/>
              <w:bottom w:val="nil"/>
            </w:tcBorders>
          </w:tcPr>
          <w:p w14:paraId="6DEAB17F" w14:textId="77777777" w:rsidR="006E40C9" w:rsidRPr="00F32057" w:rsidRDefault="006E40C9">
            <w:pPr>
              <w:pStyle w:val="MeasureTableTextItalic"/>
            </w:pPr>
            <w:r>
              <w:t>Expiry date:</w:t>
            </w:r>
          </w:p>
        </w:tc>
        <w:tc>
          <w:tcPr>
            <w:tcW w:w="1124" w:type="dxa"/>
            <w:gridSpan w:val="2"/>
            <w:tcBorders>
              <w:top w:val="nil"/>
              <w:bottom w:val="nil"/>
            </w:tcBorders>
          </w:tcPr>
          <w:p w14:paraId="5FA835A5" w14:textId="77777777" w:rsidR="006E40C9" w:rsidRPr="00F32057" w:rsidRDefault="006E40C9">
            <w:pPr>
              <w:pStyle w:val="MeasureTableTextLeftAligned"/>
            </w:pPr>
          </w:p>
        </w:tc>
      </w:tr>
      <w:tr w:rsidR="006E40C9" w14:paraId="7DB41EA3" w14:textId="77777777">
        <w:trPr>
          <w:cantSplit/>
          <w:jc w:val="center"/>
        </w:trPr>
        <w:tc>
          <w:tcPr>
            <w:tcW w:w="1934" w:type="dxa"/>
            <w:gridSpan w:val="2"/>
            <w:tcBorders>
              <w:top w:val="nil"/>
            </w:tcBorders>
          </w:tcPr>
          <w:p w14:paraId="6090D16E" w14:textId="77777777" w:rsidR="006E40C9" w:rsidRDefault="006E40C9">
            <w:pPr>
              <w:pStyle w:val="MeasureTableTextItalic"/>
            </w:pPr>
            <w:r>
              <w:t>Legislative reference:</w:t>
            </w:r>
          </w:p>
        </w:tc>
        <w:tc>
          <w:tcPr>
            <w:tcW w:w="5803" w:type="dxa"/>
            <w:gridSpan w:val="8"/>
            <w:tcBorders>
              <w:top w:val="nil"/>
            </w:tcBorders>
          </w:tcPr>
          <w:p w14:paraId="2EBF588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3-30 and subdivision 320-D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tc>
      </w:tr>
    </w:tbl>
    <w:p w14:paraId="02084D21" w14:textId="77777777" w:rsidR="006E40C9" w:rsidRPr="00540040" w:rsidRDefault="006E40C9" w:rsidP="006E40C9">
      <w:pPr>
        <w:pStyle w:val="MeasureTableHeading"/>
      </w:pPr>
    </w:p>
    <w:p w14:paraId="13838C7C" w14:textId="77777777" w:rsidR="006E40C9" w:rsidRDefault="006E40C9" w:rsidP="006E40C9">
      <w:r>
        <w:t xml:space="preserve">In the case of unfunded superannuation, no employer contributions are made until the benefit is provided on the member’s retirement. The benchmark tax treatment of unfunded superannuation benefits is taxation at marginal rates on receipt by the member. </w:t>
      </w:r>
    </w:p>
    <w:p w14:paraId="38B12BF2" w14:textId="77777777" w:rsidR="006E40C9" w:rsidRDefault="006E40C9" w:rsidP="006E40C9">
      <w:r>
        <w:t xml:space="preserve">Unfunded superannuation lump sums are subject to the same concessional tax treatment as funded superannuation lump sums from untaxed funds (see C11). Similarly, unfunded superannuation income streams are taxed in the same way as funded superannuation income streams from untaxed funds (see C10). </w:t>
      </w:r>
    </w:p>
    <w:p w14:paraId="7FEFA48C" w14:textId="071C9BD3" w:rsidR="006E40C9" w:rsidRPr="0044150F" w:rsidRDefault="006E40C9" w:rsidP="006E40C9">
      <w:r w:rsidRPr="0044150F">
        <w:rPr>
          <w:rStyle w:val="normaltextrun"/>
          <w:rFonts w:cs="Calibri"/>
          <w:shd w:val="clear" w:color="auto" w:fill="FFFFFF"/>
        </w:rPr>
        <w:t>The taxable component of superannuation income stream payments from an untaxed source is included in the recipient’s assessable income, with the tax rate depending on the age of the recipient. A 10 per cent tax offset is also available to individuals aged 60 and over</w:t>
      </w:r>
      <w:r w:rsidR="009F5E3D">
        <w:rPr>
          <w:rStyle w:val="normaltextrun"/>
          <w:rFonts w:cs="Calibri"/>
          <w:shd w:val="clear" w:color="auto" w:fill="FFFFFF"/>
        </w:rPr>
        <w:t xml:space="preserve">. </w:t>
      </w:r>
      <w:r w:rsidRPr="0044150F">
        <w:rPr>
          <w:rStyle w:val="normaltextrun"/>
          <w:rFonts w:cs="Calibri"/>
          <w:shd w:val="clear" w:color="auto" w:fill="FFFFFF"/>
        </w:rPr>
        <w:t>Where an individual’s income stream from an unfunded scheme exceeds the defined benefit income cap (currently $118,750 per annum), the amount in excess of the threshold does not receive the 10 per cent tax offset</w:t>
      </w:r>
      <w:r w:rsidR="009F5E3D">
        <w:rPr>
          <w:rStyle w:val="normaltextrun"/>
          <w:rFonts w:cs="Calibri"/>
          <w:shd w:val="clear" w:color="auto" w:fill="FFFFFF"/>
        </w:rPr>
        <w:t xml:space="preserve">. </w:t>
      </w:r>
    </w:p>
    <w:p w14:paraId="2788938F" w14:textId="77777777" w:rsidR="006E40C9" w:rsidRDefault="006E40C9" w:rsidP="006E40C9">
      <w:r>
        <w:t xml:space="preserve">The tax treatment of a death benefit paid to a dependant as an income stream depends on the age of the fund member and the dependant. If either was aged 60 or over at the time of death, then the taxable component of payments to the dependant will be taxed at marginal rates with a 10 per cent tax offset. If both were under age 60 at the time of death, the taxable component of the pension will be taxed at the dependant’s marginal rate and will become eligible for the 10 per cent offset once the dependant reaches age 60. </w:t>
      </w:r>
    </w:p>
    <w:p w14:paraId="3D91A2CD" w14:textId="77777777" w:rsidR="006E40C9" w:rsidRDefault="006E40C9" w:rsidP="00130689">
      <w:pPr>
        <w:pStyle w:val="Heading4"/>
      </w:pPr>
      <w:r>
        <w:t>C6</w:t>
      </w:r>
      <w:r>
        <w:tab/>
        <w:t>Deductibility of life and total and permanent disability insurance premiums provided inside of superannuation</w:t>
      </w:r>
    </w:p>
    <w:p w14:paraId="171F61C0"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42618B5" w14:textId="77777777">
        <w:trPr>
          <w:cantSplit/>
          <w:jc w:val="center"/>
        </w:trPr>
        <w:tc>
          <w:tcPr>
            <w:tcW w:w="967" w:type="dxa"/>
            <w:tcBorders>
              <w:top w:val="single" w:sz="2" w:space="0" w:color="auto"/>
              <w:bottom w:val="single" w:sz="2" w:space="0" w:color="auto"/>
            </w:tcBorders>
          </w:tcPr>
          <w:p w14:paraId="29F5BCF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5F551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50AC9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F94CF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0B21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07C64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4E81D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D6D13E" w14:textId="77777777" w:rsidR="006E40C9" w:rsidRDefault="006E40C9">
            <w:pPr>
              <w:pStyle w:val="MeasureTableTextRightAligned"/>
            </w:pPr>
            <w:r>
              <w:t>2027-28</w:t>
            </w:r>
          </w:p>
        </w:tc>
      </w:tr>
      <w:tr w:rsidR="006E40C9" w14:paraId="38F695C7" w14:textId="77777777">
        <w:trPr>
          <w:cantSplit/>
          <w:jc w:val="center"/>
        </w:trPr>
        <w:tc>
          <w:tcPr>
            <w:tcW w:w="967" w:type="dxa"/>
            <w:tcBorders>
              <w:top w:val="single" w:sz="2" w:space="0" w:color="auto"/>
              <w:bottom w:val="single" w:sz="2" w:space="0" w:color="auto"/>
            </w:tcBorders>
          </w:tcPr>
          <w:p w14:paraId="148EA1C9" w14:textId="77777777" w:rsidR="006E40C9" w:rsidRDefault="006E40C9">
            <w:pPr>
              <w:pStyle w:val="MeasureTableTextRightAligned"/>
            </w:pPr>
            <w:r>
              <w:t>2,070</w:t>
            </w:r>
          </w:p>
        </w:tc>
        <w:tc>
          <w:tcPr>
            <w:tcW w:w="967" w:type="dxa"/>
            <w:tcBorders>
              <w:top w:val="single" w:sz="2" w:space="0" w:color="auto"/>
              <w:bottom w:val="single" w:sz="2" w:space="0" w:color="auto"/>
            </w:tcBorders>
          </w:tcPr>
          <w:p w14:paraId="3EE1612E" w14:textId="77777777" w:rsidR="006E40C9" w:rsidRDefault="006E40C9">
            <w:pPr>
              <w:pStyle w:val="MeasureTableTextRightAligned"/>
            </w:pPr>
            <w:r>
              <w:t>2,060</w:t>
            </w:r>
          </w:p>
        </w:tc>
        <w:tc>
          <w:tcPr>
            <w:tcW w:w="967" w:type="dxa"/>
            <w:tcBorders>
              <w:top w:val="single" w:sz="2" w:space="0" w:color="auto"/>
              <w:bottom w:val="single" w:sz="2" w:space="0" w:color="auto"/>
            </w:tcBorders>
            <w:vAlign w:val="bottom"/>
          </w:tcPr>
          <w:p w14:paraId="6759EE49" w14:textId="77777777" w:rsidR="006E40C9" w:rsidRDefault="006E40C9">
            <w:pPr>
              <w:pStyle w:val="MeasureTableTextRightAligned"/>
            </w:pPr>
            <w:r>
              <w:t>2,170</w:t>
            </w:r>
          </w:p>
        </w:tc>
        <w:tc>
          <w:tcPr>
            <w:tcW w:w="967" w:type="dxa"/>
            <w:tcBorders>
              <w:top w:val="single" w:sz="2" w:space="0" w:color="auto"/>
              <w:bottom w:val="single" w:sz="2" w:space="0" w:color="auto"/>
            </w:tcBorders>
            <w:vAlign w:val="bottom"/>
          </w:tcPr>
          <w:p w14:paraId="001758CA" w14:textId="77777777" w:rsidR="006E40C9" w:rsidRDefault="006E40C9">
            <w:pPr>
              <w:pStyle w:val="MeasureTableTextRightAligned"/>
            </w:pPr>
            <w:r>
              <w:t>2,370</w:t>
            </w:r>
          </w:p>
        </w:tc>
        <w:tc>
          <w:tcPr>
            <w:tcW w:w="967" w:type="dxa"/>
            <w:tcBorders>
              <w:top w:val="single" w:sz="2" w:space="0" w:color="auto"/>
              <w:bottom w:val="single" w:sz="2" w:space="0" w:color="auto"/>
            </w:tcBorders>
            <w:vAlign w:val="bottom"/>
          </w:tcPr>
          <w:p w14:paraId="1AB5F0F0" w14:textId="77777777" w:rsidR="006E40C9" w:rsidRDefault="006E40C9">
            <w:pPr>
              <w:pStyle w:val="MeasureTableTextRightAligned"/>
            </w:pPr>
            <w:r>
              <w:t>2,340</w:t>
            </w:r>
          </w:p>
        </w:tc>
        <w:tc>
          <w:tcPr>
            <w:tcW w:w="967" w:type="dxa"/>
            <w:gridSpan w:val="2"/>
            <w:tcBorders>
              <w:top w:val="single" w:sz="2" w:space="0" w:color="auto"/>
              <w:bottom w:val="single" w:sz="2" w:space="0" w:color="auto"/>
            </w:tcBorders>
            <w:vAlign w:val="bottom"/>
          </w:tcPr>
          <w:p w14:paraId="50E8D977" w14:textId="77777777" w:rsidR="006E40C9" w:rsidRDefault="006E40C9">
            <w:pPr>
              <w:pStyle w:val="MeasureTableTextRightAligned"/>
            </w:pPr>
            <w:r>
              <w:t>2,450</w:t>
            </w:r>
          </w:p>
        </w:tc>
        <w:tc>
          <w:tcPr>
            <w:tcW w:w="967" w:type="dxa"/>
            <w:gridSpan w:val="2"/>
            <w:tcBorders>
              <w:top w:val="single" w:sz="2" w:space="0" w:color="auto"/>
              <w:bottom w:val="single" w:sz="2" w:space="0" w:color="auto"/>
            </w:tcBorders>
            <w:vAlign w:val="bottom"/>
          </w:tcPr>
          <w:p w14:paraId="0FEB8D24" w14:textId="77777777" w:rsidR="006E40C9" w:rsidRDefault="006E40C9">
            <w:pPr>
              <w:pStyle w:val="MeasureTableTextRightAligned"/>
            </w:pPr>
            <w:r>
              <w:t>2,600</w:t>
            </w:r>
          </w:p>
        </w:tc>
        <w:tc>
          <w:tcPr>
            <w:tcW w:w="968" w:type="dxa"/>
            <w:tcBorders>
              <w:top w:val="single" w:sz="2" w:space="0" w:color="auto"/>
              <w:bottom w:val="single" w:sz="2" w:space="0" w:color="auto"/>
            </w:tcBorders>
            <w:vAlign w:val="bottom"/>
          </w:tcPr>
          <w:p w14:paraId="5A924890" w14:textId="77777777" w:rsidR="006E40C9" w:rsidRDefault="006E40C9">
            <w:pPr>
              <w:pStyle w:val="MeasureTableTextRightAligned"/>
            </w:pPr>
            <w:r>
              <w:t>2,770</w:t>
            </w:r>
          </w:p>
        </w:tc>
      </w:tr>
      <w:tr w:rsidR="006E40C9" w14:paraId="3B6C4C94" w14:textId="77777777">
        <w:trPr>
          <w:cantSplit/>
          <w:jc w:val="center"/>
        </w:trPr>
        <w:tc>
          <w:tcPr>
            <w:tcW w:w="1934" w:type="dxa"/>
            <w:gridSpan w:val="2"/>
            <w:tcBorders>
              <w:top w:val="single" w:sz="2" w:space="0" w:color="auto"/>
              <w:bottom w:val="nil"/>
            </w:tcBorders>
          </w:tcPr>
          <w:p w14:paraId="66DCC87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F042B0B" w14:textId="77777777" w:rsidR="006E40C9" w:rsidRDefault="006E40C9">
            <w:pPr>
              <w:pStyle w:val="MeasureTableTextLeftAligned"/>
            </w:pPr>
            <w:r>
              <w:t>Deduction, Concessional rate</w:t>
            </w:r>
          </w:p>
        </w:tc>
        <w:tc>
          <w:tcPr>
            <w:tcW w:w="1500" w:type="dxa"/>
            <w:gridSpan w:val="2"/>
            <w:tcBorders>
              <w:top w:val="single" w:sz="2" w:space="0" w:color="auto"/>
              <w:bottom w:val="nil"/>
            </w:tcBorders>
          </w:tcPr>
          <w:p w14:paraId="1DF4115A" w14:textId="4902A5E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4A60B2" w14:textId="77777777" w:rsidR="006E40C9" w:rsidRDefault="006E40C9">
            <w:pPr>
              <w:pStyle w:val="MeasureTableTextLeftAligned"/>
            </w:pPr>
            <w:r>
              <w:t>C6</w:t>
            </w:r>
          </w:p>
        </w:tc>
      </w:tr>
      <w:tr w:rsidR="006E40C9" w14:paraId="0E7AE88C" w14:textId="77777777">
        <w:trPr>
          <w:cantSplit/>
          <w:jc w:val="center"/>
        </w:trPr>
        <w:tc>
          <w:tcPr>
            <w:tcW w:w="1934" w:type="dxa"/>
            <w:gridSpan w:val="2"/>
            <w:tcBorders>
              <w:top w:val="nil"/>
              <w:bottom w:val="nil"/>
            </w:tcBorders>
          </w:tcPr>
          <w:p w14:paraId="44C2A1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B226FD" w14:textId="77777777" w:rsidR="006E40C9" w:rsidRPr="00584CA7" w:rsidRDefault="006E40C9">
            <w:pPr>
              <w:pStyle w:val="MeasureTableTextLeftAligned"/>
            </w:pPr>
            <w:r>
              <w:t>Medium</w:t>
            </w:r>
          </w:p>
        </w:tc>
        <w:tc>
          <w:tcPr>
            <w:tcW w:w="1500" w:type="dxa"/>
            <w:gridSpan w:val="2"/>
            <w:tcBorders>
              <w:top w:val="nil"/>
              <w:bottom w:val="nil"/>
            </w:tcBorders>
          </w:tcPr>
          <w:p w14:paraId="428E9DF6" w14:textId="77777777" w:rsidR="006E40C9" w:rsidRDefault="006E40C9">
            <w:pPr>
              <w:pStyle w:val="MeasureTableTextItalic"/>
            </w:pPr>
          </w:p>
        </w:tc>
        <w:tc>
          <w:tcPr>
            <w:tcW w:w="1124" w:type="dxa"/>
            <w:gridSpan w:val="2"/>
            <w:tcBorders>
              <w:top w:val="nil"/>
              <w:bottom w:val="nil"/>
            </w:tcBorders>
          </w:tcPr>
          <w:p w14:paraId="744ECF7D" w14:textId="77777777" w:rsidR="006E40C9" w:rsidRDefault="006E40C9">
            <w:pPr>
              <w:pStyle w:val="MeasureTableTextLeftAligned"/>
            </w:pPr>
          </w:p>
        </w:tc>
      </w:tr>
      <w:tr w:rsidR="006E40C9" w14:paraId="3D02ABAC" w14:textId="77777777">
        <w:trPr>
          <w:cantSplit/>
          <w:jc w:val="center"/>
        </w:trPr>
        <w:tc>
          <w:tcPr>
            <w:tcW w:w="1934" w:type="dxa"/>
            <w:gridSpan w:val="2"/>
            <w:tcBorders>
              <w:top w:val="nil"/>
              <w:bottom w:val="nil"/>
            </w:tcBorders>
          </w:tcPr>
          <w:p w14:paraId="1C37F956" w14:textId="77777777" w:rsidR="006E40C9" w:rsidRDefault="006E40C9">
            <w:pPr>
              <w:pStyle w:val="MeasureTableTextItalic"/>
            </w:pPr>
            <w:r>
              <w:t>Commencement date:</w:t>
            </w:r>
          </w:p>
        </w:tc>
        <w:tc>
          <w:tcPr>
            <w:tcW w:w="3179" w:type="dxa"/>
            <w:gridSpan w:val="4"/>
            <w:tcBorders>
              <w:top w:val="nil"/>
              <w:bottom w:val="nil"/>
            </w:tcBorders>
          </w:tcPr>
          <w:p w14:paraId="2A650DBE" w14:textId="77777777" w:rsidR="006E40C9" w:rsidRDefault="006E40C9">
            <w:pPr>
              <w:pStyle w:val="MeasureTableTextLeftAligned"/>
            </w:pPr>
            <w:r>
              <w:t>15 March 2007</w:t>
            </w:r>
          </w:p>
        </w:tc>
        <w:tc>
          <w:tcPr>
            <w:tcW w:w="1500" w:type="dxa"/>
            <w:gridSpan w:val="2"/>
            <w:tcBorders>
              <w:top w:val="nil"/>
              <w:bottom w:val="nil"/>
            </w:tcBorders>
          </w:tcPr>
          <w:p w14:paraId="01CD0007" w14:textId="77777777" w:rsidR="006E40C9" w:rsidRPr="00F32057" w:rsidRDefault="006E40C9">
            <w:pPr>
              <w:pStyle w:val="MeasureTableTextItalic"/>
            </w:pPr>
            <w:r>
              <w:t>Expiry date:</w:t>
            </w:r>
          </w:p>
        </w:tc>
        <w:tc>
          <w:tcPr>
            <w:tcW w:w="1124" w:type="dxa"/>
            <w:gridSpan w:val="2"/>
            <w:tcBorders>
              <w:top w:val="nil"/>
              <w:bottom w:val="nil"/>
            </w:tcBorders>
          </w:tcPr>
          <w:p w14:paraId="3086C364" w14:textId="77777777" w:rsidR="006E40C9" w:rsidRPr="00F32057" w:rsidRDefault="006E40C9">
            <w:pPr>
              <w:pStyle w:val="MeasureTableTextLeftAligned"/>
            </w:pPr>
          </w:p>
        </w:tc>
      </w:tr>
      <w:tr w:rsidR="006E40C9" w14:paraId="596FEDD1" w14:textId="77777777">
        <w:trPr>
          <w:cantSplit/>
          <w:jc w:val="center"/>
        </w:trPr>
        <w:tc>
          <w:tcPr>
            <w:tcW w:w="1934" w:type="dxa"/>
            <w:gridSpan w:val="2"/>
            <w:tcBorders>
              <w:top w:val="nil"/>
            </w:tcBorders>
          </w:tcPr>
          <w:p w14:paraId="2A80B5E2" w14:textId="77777777" w:rsidR="006E40C9" w:rsidRDefault="006E40C9">
            <w:pPr>
              <w:pStyle w:val="MeasureTableTextItalic"/>
            </w:pPr>
            <w:r>
              <w:t>Legislative reference:</w:t>
            </w:r>
          </w:p>
        </w:tc>
        <w:tc>
          <w:tcPr>
            <w:tcW w:w="5803" w:type="dxa"/>
            <w:gridSpan w:val="8"/>
            <w:tcBorders>
              <w:top w:val="nil"/>
            </w:tcBorders>
          </w:tcPr>
          <w:p w14:paraId="26CE75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295-G of the</w:t>
            </w:r>
            <w:r>
              <w:rPr>
                <w:rFonts w:ascii="Arial" w:hAnsi="Arial" w:cs="Arial"/>
                <w:i/>
                <w:iCs/>
                <w:color w:val="000000"/>
                <w:sz w:val="16"/>
                <w:szCs w:val="16"/>
              </w:rPr>
              <w:t xml:space="preserve"> Income Tax Assessment Act 1997</w:t>
            </w:r>
          </w:p>
        </w:tc>
      </w:tr>
    </w:tbl>
    <w:p w14:paraId="360356AC" w14:textId="77777777" w:rsidR="006E40C9" w:rsidRPr="00540040" w:rsidRDefault="006E40C9" w:rsidP="006E40C9">
      <w:pPr>
        <w:pStyle w:val="MeasureTableHeading"/>
      </w:pPr>
    </w:p>
    <w:p w14:paraId="3920E5F8" w14:textId="77777777" w:rsidR="006E40C9" w:rsidRDefault="006E40C9" w:rsidP="006E40C9">
      <w:r>
        <w:t>Life, total and permanent disability (TPD) and income protection insurance policies can be provided inside of superannuation and premiums paid out of members’ superannuation balances. These premiums are deductible (either partially or fully) for the fund. Therefore the income used to purchase members’ premiums is effectively exempt from tax.</w:t>
      </w:r>
    </w:p>
    <w:p w14:paraId="3E231AA2" w14:textId="77777777" w:rsidR="006E40C9" w:rsidRDefault="006E40C9" w:rsidP="006E40C9">
      <w:r>
        <w:t>By contrast, life and TPD insurance policies that are purchased by individuals outside of the superannuation system are not tax deductible, and must be purchased with after</w:t>
      </w:r>
      <w:r>
        <w:noBreakHyphen/>
        <w:t>tax income.</w:t>
      </w:r>
    </w:p>
    <w:p w14:paraId="63C193E3" w14:textId="77777777" w:rsidR="006E40C9" w:rsidRDefault="006E40C9" w:rsidP="006E40C9">
      <w:r>
        <w:t>This item estimates the difference between the effective tax</w:t>
      </w:r>
      <w:r>
        <w:noBreakHyphen/>
        <w:t xml:space="preserve">exempt status of income used to purchase life and TPD insurance in superannuation, and the tax that would be paid on this income by the individual policy holder had it been purchased outside of superannuation. </w:t>
      </w:r>
    </w:p>
    <w:p w14:paraId="5D930518" w14:textId="4B2744D2" w:rsidR="006E40C9" w:rsidRDefault="006E40C9" w:rsidP="006E40C9">
      <w:r>
        <w:t>As income protection policies purchased outside the superannuation system are tax deductible, a tax expenditure does not arise when such policies are provided inside superannuation.</w:t>
      </w:r>
    </w:p>
    <w:p w14:paraId="6C37644D" w14:textId="77777777" w:rsidR="006E40C9" w:rsidRDefault="006E40C9" w:rsidP="00130689">
      <w:pPr>
        <w:pStyle w:val="Heading4"/>
      </w:pPr>
      <w:r>
        <w:t>C7</w:t>
      </w:r>
      <w:r>
        <w:tab/>
        <w:t>Small business capital gains retirement exemption</w:t>
      </w:r>
    </w:p>
    <w:p w14:paraId="240FBE1C"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0A6E340" w14:textId="77777777">
        <w:trPr>
          <w:cantSplit/>
          <w:jc w:val="center"/>
        </w:trPr>
        <w:tc>
          <w:tcPr>
            <w:tcW w:w="967" w:type="dxa"/>
            <w:tcBorders>
              <w:top w:val="single" w:sz="2" w:space="0" w:color="auto"/>
              <w:bottom w:val="single" w:sz="2" w:space="0" w:color="auto"/>
            </w:tcBorders>
          </w:tcPr>
          <w:p w14:paraId="0AFCED7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2E0DE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D70D9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310AB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274AC1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FA4B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2FCF0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265C12" w14:textId="77777777" w:rsidR="006E40C9" w:rsidRDefault="006E40C9">
            <w:pPr>
              <w:pStyle w:val="MeasureTableTextRightAligned"/>
            </w:pPr>
            <w:r>
              <w:t>2027-28</w:t>
            </w:r>
          </w:p>
        </w:tc>
      </w:tr>
      <w:tr w:rsidR="006E40C9" w14:paraId="7F4C0654" w14:textId="77777777">
        <w:trPr>
          <w:cantSplit/>
          <w:jc w:val="center"/>
        </w:trPr>
        <w:tc>
          <w:tcPr>
            <w:tcW w:w="967" w:type="dxa"/>
            <w:tcBorders>
              <w:top w:val="single" w:sz="2" w:space="0" w:color="auto"/>
              <w:bottom w:val="single" w:sz="2" w:space="0" w:color="auto"/>
            </w:tcBorders>
          </w:tcPr>
          <w:p w14:paraId="6D68D761" w14:textId="77777777" w:rsidR="006E40C9" w:rsidRDefault="006E40C9">
            <w:pPr>
              <w:pStyle w:val="MeasureTableTextRightAligned"/>
            </w:pPr>
            <w:r>
              <w:t>550</w:t>
            </w:r>
          </w:p>
        </w:tc>
        <w:tc>
          <w:tcPr>
            <w:tcW w:w="967" w:type="dxa"/>
            <w:tcBorders>
              <w:top w:val="single" w:sz="2" w:space="0" w:color="auto"/>
              <w:bottom w:val="single" w:sz="2" w:space="0" w:color="auto"/>
            </w:tcBorders>
          </w:tcPr>
          <w:p w14:paraId="6A1B88DD" w14:textId="77777777" w:rsidR="006E40C9" w:rsidRDefault="006E40C9">
            <w:pPr>
              <w:pStyle w:val="MeasureTableTextRightAligned"/>
            </w:pPr>
            <w:r>
              <w:t>700</w:t>
            </w:r>
          </w:p>
        </w:tc>
        <w:tc>
          <w:tcPr>
            <w:tcW w:w="967" w:type="dxa"/>
            <w:tcBorders>
              <w:top w:val="single" w:sz="2" w:space="0" w:color="auto"/>
              <w:bottom w:val="single" w:sz="2" w:space="0" w:color="auto"/>
            </w:tcBorders>
            <w:vAlign w:val="bottom"/>
          </w:tcPr>
          <w:p w14:paraId="3D5E8464" w14:textId="77777777" w:rsidR="006E40C9" w:rsidRDefault="006E40C9">
            <w:pPr>
              <w:pStyle w:val="MeasureTableTextRightAligned"/>
            </w:pPr>
            <w:r>
              <w:t>910</w:t>
            </w:r>
          </w:p>
        </w:tc>
        <w:tc>
          <w:tcPr>
            <w:tcW w:w="967" w:type="dxa"/>
            <w:tcBorders>
              <w:top w:val="single" w:sz="2" w:space="0" w:color="auto"/>
              <w:bottom w:val="single" w:sz="2" w:space="0" w:color="auto"/>
            </w:tcBorders>
            <w:vAlign w:val="bottom"/>
          </w:tcPr>
          <w:p w14:paraId="6E09BEB3"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06E5D915" w14:textId="77777777" w:rsidR="006E40C9" w:rsidRDefault="006E40C9">
            <w:pPr>
              <w:pStyle w:val="MeasureTableTextRightAligned"/>
            </w:pPr>
            <w:r>
              <w:t>820</w:t>
            </w:r>
          </w:p>
        </w:tc>
        <w:tc>
          <w:tcPr>
            <w:tcW w:w="967" w:type="dxa"/>
            <w:gridSpan w:val="2"/>
            <w:tcBorders>
              <w:top w:val="single" w:sz="2" w:space="0" w:color="auto"/>
              <w:bottom w:val="single" w:sz="2" w:space="0" w:color="auto"/>
            </w:tcBorders>
            <w:vAlign w:val="bottom"/>
          </w:tcPr>
          <w:p w14:paraId="3AC5BE71" w14:textId="77777777" w:rsidR="006E40C9" w:rsidRDefault="006E40C9">
            <w:pPr>
              <w:pStyle w:val="MeasureTableTextRightAligned"/>
            </w:pPr>
            <w:r>
              <w:t>820</w:t>
            </w:r>
          </w:p>
        </w:tc>
        <w:tc>
          <w:tcPr>
            <w:tcW w:w="967" w:type="dxa"/>
            <w:gridSpan w:val="2"/>
            <w:tcBorders>
              <w:top w:val="single" w:sz="2" w:space="0" w:color="auto"/>
              <w:bottom w:val="single" w:sz="2" w:space="0" w:color="auto"/>
            </w:tcBorders>
            <w:vAlign w:val="bottom"/>
          </w:tcPr>
          <w:p w14:paraId="4F27B749" w14:textId="77777777" w:rsidR="006E40C9" w:rsidRDefault="006E40C9">
            <w:pPr>
              <w:pStyle w:val="MeasureTableTextRightAligned"/>
            </w:pPr>
            <w:r>
              <w:t>820</w:t>
            </w:r>
          </w:p>
        </w:tc>
        <w:tc>
          <w:tcPr>
            <w:tcW w:w="968" w:type="dxa"/>
            <w:tcBorders>
              <w:top w:val="single" w:sz="2" w:space="0" w:color="auto"/>
              <w:bottom w:val="single" w:sz="2" w:space="0" w:color="auto"/>
            </w:tcBorders>
            <w:vAlign w:val="bottom"/>
          </w:tcPr>
          <w:p w14:paraId="41AF5B3D" w14:textId="77777777" w:rsidR="006E40C9" w:rsidRDefault="006E40C9">
            <w:pPr>
              <w:pStyle w:val="MeasureTableTextRightAligned"/>
            </w:pPr>
            <w:r>
              <w:t>820</w:t>
            </w:r>
          </w:p>
        </w:tc>
      </w:tr>
      <w:tr w:rsidR="006E40C9" w14:paraId="3E0F0B89" w14:textId="77777777">
        <w:trPr>
          <w:cantSplit/>
          <w:jc w:val="center"/>
        </w:trPr>
        <w:tc>
          <w:tcPr>
            <w:tcW w:w="1934" w:type="dxa"/>
            <w:gridSpan w:val="2"/>
            <w:tcBorders>
              <w:top w:val="single" w:sz="2" w:space="0" w:color="auto"/>
              <w:bottom w:val="nil"/>
            </w:tcBorders>
          </w:tcPr>
          <w:p w14:paraId="229BB6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A8F1AE" w14:textId="77777777" w:rsidR="006E40C9" w:rsidRDefault="006E40C9">
            <w:pPr>
              <w:pStyle w:val="MeasureTableTextLeftAligned"/>
            </w:pPr>
            <w:r>
              <w:t>Exemption</w:t>
            </w:r>
          </w:p>
        </w:tc>
        <w:tc>
          <w:tcPr>
            <w:tcW w:w="1500" w:type="dxa"/>
            <w:gridSpan w:val="2"/>
            <w:tcBorders>
              <w:top w:val="single" w:sz="2" w:space="0" w:color="auto"/>
              <w:bottom w:val="nil"/>
            </w:tcBorders>
          </w:tcPr>
          <w:p w14:paraId="4E4C7A6D" w14:textId="6B24530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70175BF" w14:textId="77777777" w:rsidR="006E40C9" w:rsidRDefault="006E40C9">
            <w:pPr>
              <w:pStyle w:val="MeasureTableTextLeftAligned"/>
            </w:pPr>
            <w:r>
              <w:t>C7</w:t>
            </w:r>
          </w:p>
        </w:tc>
      </w:tr>
      <w:tr w:rsidR="006E40C9" w14:paraId="72B173F5" w14:textId="77777777">
        <w:trPr>
          <w:cantSplit/>
          <w:jc w:val="center"/>
        </w:trPr>
        <w:tc>
          <w:tcPr>
            <w:tcW w:w="1934" w:type="dxa"/>
            <w:gridSpan w:val="2"/>
            <w:tcBorders>
              <w:top w:val="nil"/>
              <w:bottom w:val="nil"/>
            </w:tcBorders>
          </w:tcPr>
          <w:p w14:paraId="623A56D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236327" w14:textId="6E7C4DFC"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F9FCD93" w14:textId="77777777" w:rsidR="006E40C9" w:rsidRDefault="006E40C9">
            <w:pPr>
              <w:pStyle w:val="MeasureTableTextItalic"/>
            </w:pPr>
          </w:p>
        </w:tc>
        <w:tc>
          <w:tcPr>
            <w:tcW w:w="1124" w:type="dxa"/>
            <w:gridSpan w:val="2"/>
            <w:tcBorders>
              <w:top w:val="nil"/>
              <w:bottom w:val="nil"/>
            </w:tcBorders>
          </w:tcPr>
          <w:p w14:paraId="209E445D" w14:textId="77777777" w:rsidR="006E40C9" w:rsidRDefault="006E40C9">
            <w:pPr>
              <w:pStyle w:val="MeasureTableTextLeftAligned"/>
            </w:pPr>
          </w:p>
        </w:tc>
      </w:tr>
      <w:tr w:rsidR="006E40C9" w14:paraId="6E735B66" w14:textId="77777777">
        <w:trPr>
          <w:cantSplit/>
          <w:jc w:val="center"/>
        </w:trPr>
        <w:tc>
          <w:tcPr>
            <w:tcW w:w="1934" w:type="dxa"/>
            <w:gridSpan w:val="2"/>
            <w:tcBorders>
              <w:top w:val="nil"/>
              <w:bottom w:val="nil"/>
            </w:tcBorders>
          </w:tcPr>
          <w:p w14:paraId="1CBA657B" w14:textId="77777777" w:rsidR="006E40C9" w:rsidRDefault="006E40C9">
            <w:pPr>
              <w:pStyle w:val="MeasureTableTextItalic"/>
            </w:pPr>
            <w:r>
              <w:t>Commencement date:</w:t>
            </w:r>
          </w:p>
        </w:tc>
        <w:tc>
          <w:tcPr>
            <w:tcW w:w="3179" w:type="dxa"/>
            <w:gridSpan w:val="4"/>
            <w:tcBorders>
              <w:top w:val="nil"/>
              <w:bottom w:val="nil"/>
            </w:tcBorders>
          </w:tcPr>
          <w:p w14:paraId="35D3F3AE" w14:textId="77777777" w:rsidR="006E40C9" w:rsidRDefault="006E40C9">
            <w:pPr>
              <w:pStyle w:val="MeasureTableTextLeftAligned"/>
            </w:pPr>
            <w:r>
              <w:t>1997</w:t>
            </w:r>
          </w:p>
        </w:tc>
        <w:tc>
          <w:tcPr>
            <w:tcW w:w="1500" w:type="dxa"/>
            <w:gridSpan w:val="2"/>
            <w:tcBorders>
              <w:top w:val="nil"/>
              <w:bottom w:val="nil"/>
            </w:tcBorders>
          </w:tcPr>
          <w:p w14:paraId="1F382571" w14:textId="77777777" w:rsidR="006E40C9" w:rsidRPr="00F32057" w:rsidRDefault="006E40C9">
            <w:pPr>
              <w:pStyle w:val="MeasureTableTextItalic"/>
            </w:pPr>
            <w:r>
              <w:t>Expiry date:</w:t>
            </w:r>
          </w:p>
        </w:tc>
        <w:tc>
          <w:tcPr>
            <w:tcW w:w="1124" w:type="dxa"/>
            <w:gridSpan w:val="2"/>
            <w:tcBorders>
              <w:top w:val="nil"/>
              <w:bottom w:val="nil"/>
            </w:tcBorders>
          </w:tcPr>
          <w:p w14:paraId="4801219D" w14:textId="77777777" w:rsidR="006E40C9" w:rsidRPr="00F32057" w:rsidRDefault="006E40C9">
            <w:pPr>
              <w:pStyle w:val="MeasureTableTextLeftAligned"/>
            </w:pPr>
          </w:p>
        </w:tc>
      </w:tr>
      <w:tr w:rsidR="006E40C9" w14:paraId="12919A28" w14:textId="77777777">
        <w:trPr>
          <w:cantSplit/>
          <w:jc w:val="center"/>
        </w:trPr>
        <w:tc>
          <w:tcPr>
            <w:tcW w:w="1934" w:type="dxa"/>
            <w:gridSpan w:val="2"/>
            <w:tcBorders>
              <w:top w:val="nil"/>
            </w:tcBorders>
          </w:tcPr>
          <w:p w14:paraId="5A865050" w14:textId="77777777" w:rsidR="006E40C9" w:rsidRDefault="006E40C9">
            <w:pPr>
              <w:pStyle w:val="MeasureTableTextItalic"/>
            </w:pPr>
            <w:r>
              <w:t>Legislative reference:</w:t>
            </w:r>
          </w:p>
        </w:tc>
        <w:tc>
          <w:tcPr>
            <w:tcW w:w="5803" w:type="dxa"/>
            <w:gridSpan w:val="8"/>
            <w:tcBorders>
              <w:top w:val="nil"/>
            </w:tcBorders>
          </w:tcPr>
          <w:p w14:paraId="6DC3FB6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152-D of the </w:t>
            </w:r>
            <w:r>
              <w:rPr>
                <w:rFonts w:ascii="Arial" w:hAnsi="Arial" w:cs="Arial"/>
                <w:i/>
                <w:iCs/>
                <w:color w:val="000000"/>
                <w:sz w:val="16"/>
                <w:szCs w:val="16"/>
              </w:rPr>
              <w:t>Income Tax Assessment Act 1997</w:t>
            </w:r>
          </w:p>
        </w:tc>
      </w:tr>
    </w:tbl>
    <w:p w14:paraId="76D3B949" w14:textId="77777777" w:rsidR="006E40C9" w:rsidRPr="00540040" w:rsidRDefault="006E40C9" w:rsidP="006E40C9">
      <w:pPr>
        <w:pStyle w:val="MeasureTableHeading"/>
      </w:pPr>
    </w:p>
    <w:p w14:paraId="33780DAC" w14:textId="77777777" w:rsidR="006E40C9" w:rsidRDefault="006E40C9" w:rsidP="006E40C9">
      <w:r>
        <w:t xml:space="preserve">Under the benchmark, realised capital gains are generally assessable to taxpayers at their applicable tax rate in the year they arise. However, eligible small businesses can exclude </w:t>
      </w:r>
      <w:r w:rsidRPr="00CF3011">
        <w:t>gains arising from the sale of active small business assets</w:t>
      </w:r>
      <w:r>
        <w:fldChar w:fldCharType="begin"/>
      </w:r>
      <w:r>
        <w:instrText xml:space="preserve"> XE "</w:instrText>
      </w:r>
      <w:r w:rsidRPr="00FE5061">
        <w:instrText>Active small business assets</w:instrText>
      </w:r>
      <w:r>
        <w:instrText xml:space="preserve">" </w:instrText>
      </w:r>
      <w:r>
        <w:fldChar w:fldCharType="end"/>
      </w:r>
      <w:r w:rsidRPr="00CF3011">
        <w:t>, where the proceeds of the sale are used for retirement</w:t>
      </w:r>
      <w:r>
        <w:fldChar w:fldCharType="begin"/>
      </w:r>
      <w:r>
        <w:instrText xml:space="preserve"> XE "</w:instrText>
      </w:r>
      <w:r w:rsidRPr="004B34C0">
        <w:instrText>Retirement</w:instrText>
      </w:r>
      <w:r>
        <w:instrText>"</w:instrText>
      </w:r>
      <w:r>
        <w:fldChar w:fldCharType="end"/>
      </w:r>
      <w:r w:rsidRPr="00CF3011">
        <w:t xml:space="preserve">. </w:t>
      </w:r>
      <w:r>
        <w:t xml:space="preserve">There is a </w:t>
      </w:r>
      <w:r w:rsidRPr="00CF3011">
        <w:t>lifetime limit of $500,000</w:t>
      </w:r>
      <w:r>
        <w:t xml:space="preserve"> in respect of any one individual. </w:t>
      </w:r>
    </w:p>
    <w:p w14:paraId="1FB1458B" w14:textId="77777777" w:rsidR="006E40C9" w:rsidRDefault="006E40C9" w:rsidP="00130689">
      <w:pPr>
        <w:pStyle w:val="Heading4"/>
      </w:pPr>
      <w:r>
        <w:t>C8</w:t>
      </w:r>
      <w:r>
        <w:tab/>
        <w:t>Superannuation measures for low-income earners</w:t>
      </w:r>
    </w:p>
    <w:p w14:paraId="6EC5B8F7" w14:textId="77777777" w:rsidR="006E40C9" w:rsidRDefault="006E40C9" w:rsidP="006E40C9">
      <w:pPr>
        <w:pStyle w:val="MeasureTableHeading"/>
      </w:pPr>
      <w:r>
        <w:t>Social security and welfare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435"/>
        <w:gridCol w:w="532"/>
        <w:gridCol w:w="968"/>
      </w:tblGrid>
      <w:tr w:rsidR="006E40C9" w14:paraId="13A46F15" w14:textId="77777777" w:rsidTr="00796C9D">
        <w:trPr>
          <w:cantSplit/>
          <w:jc w:val="center"/>
        </w:trPr>
        <w:tc>
          <w:tcPr>
            <w:tcW w:w="967" w:type="dxa"/>
            <w:tcBorders>
              <w:top w:val="single" w:sz="2" w:space="0" w:color="auto"/>
              <w:bottom w:val="single" w:sz="2" w:space="0" w:color="auto"/>
            </w:tcBorders>
          </w:tcPr>
          <w:p w14:paraId="3255C2E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F231CC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11366E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06005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EBD58C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103A1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366505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25E3E4" w14:textId="77777777" w:rsidR="006E40C9" w:rsidRDefault="006E40C9">
            <w:pPr>
              <w:pStyle w:val="MeasureTableTextRightAligned"/>
            </w:pPr>
            <w:r>
              <w:t>2027-28</w:t>
            </w:r>
          </w:p>
        </w:tc>
      </w:tr>
      <w:tr w:rsidR="006E40C9" w14:paraId="02D5DE33" w14:textId="77777777" w:rsidTr="00796C9D">
        <w:trPr>
          <w:cantSplit/>
          <w:jc w:val="center"/>
        </w:trPr>
        <w:tc>
          <w:tcPr>
            <w:tcW w:w="967" w:type="dxa"/>
            <w:tcBorders>
              <w:top w:val="single" w:sz="2" w:space="0" w:color="auto"/>
              <w:bottom w:val="single" w:sz="2" w:space="0" w:color="auto"/>
            </w:tcBorders>
          </w:tcPr>
          <w:p w14:paraId="26463686"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6EA66780"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00DD9BE1"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50B1BC50"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4D921E08"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7996FD75" w14:textId="77777777" w:rsidR="006E40C9" w:rsidRDefault="006E40C9">
            <w:pPr>
              <w:pStyle w:val="MeasureTableTextRightAligned"/>
            </w:pPr>
            <w:r>
              <w:t>130</w:t>
            </w:r>
          </w:p>
        </w:tc>
        <w:tc>
          <w:tcPr>
            <w:tcW w:w="967" w:type="dxa"/>
            <w:gridSpan w:val="2"/>
            <w:tcBorders>
              <w:top w:val="single" w:sz="2" w:space="0" w:color="auto"/>
              <w:bottom w:val="single" w:sz="2" w:space="0" w:color="auto"/>
            </w:tcBorders>
            <w:vAlign w:val="bottom"/>
          </w:tcPr>
          <w:p w14:paraId="30866891" w14:textId="77777777" w:rsidR="006E40C9" w:rsidRDefault="006E40C9">
            <w:pPr>
              <w:pStyle w:val="MeasureTableTextRightAligned"/>
            </w:pPr>
            <w:r>
              <w:t>130</w:t>
            </w:r>
          </w:p>
        </w:tc>
        <w:tc>
          <w:tcPr>
            <w:tcW w:w="968" w:type="dxa"/>
            <w:tcBorders>
              <w:top w:val="single" w:sz="2" w:space="0" w:color="auto"/>
              <w:bottom w:val="single" w:sz="2" w:space="0" w:color="auto"/>
            </w:tcBorders>
            <w:vAlign w:val="bottom"/>
          </w:tcPr>
          <w:p w14:paraId="2F664E48" w14:textId="77777777" w:rsidR="006E40C9" w:rsidRDefault="006E40C9">
            <w:pPr>
              <w:pStyle w:val="MeasureTableTextRightAligned"/>
            </w:pPr>
            <w:r>
              <w:t>130</w:t>
            </w:r>
          </w:p>
        </w:tc>
      </w:tr>
      <w:tr w:rsidR="006E40C9" w14:paraId="1D9BB03A" w14:textId="77777777" w:rsidTr="00796C9D">
        <w:trPr>
          <w:cantSplit/>
          <w:jc w:val="center"/>
        </w:trPr>
        <w:tc>
          <w:tcPr>
            <w:tcW w:w="1934" w:type="dxa"/>
            <w:gridSpan w:val="2"/>
            <w:tcBorders>
              <w:top w:val="single" w:sz="2" w:space="0" w:color="auto"/>
              <w:bottom w:val="nil"/>
            </w:tcBorders>
          </w:tcPr>
          <w:p w14:paraId="61BA0D4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9CA3A8" w14:textId="77777777" w:rsidR="006E40C9" w:rsidRDefault="006E40C9">
            <w:pPr>
              <w:pStyle w:val="MeasureTableTextLeftAligned"/>
            </w:pPr>
            <w:r>
              <w:t>Exemption, Reduction in taxable value</w:t>
            </w:r>
          </w:p>
        </w:tc>
        <w:tc>
          <w:tcPr>
            <w:tcW w:w="1124" w:type="dxa"/>
            <w:gridSpan w:val="2"/>
            <w:tcBorders>
              <w:top w:val="single" w:sz="2" w:space="0" w:color="auto"/>
              <w:bottom w:val="nil"/>
            </w:tcBorders>
          </w:tcPr>
          <w:p w14:paraId="493F315B" w14:textId="0BF09ECE" w:rsidR="006E40C9" w:rsidRDefault="00A43AF4">
            <w:pPr>
              <w:pStyle w:val="MeasureTableTextItalic"/>
            </w:pPr>
            <w:r>
              <w:t>2023-24</w:t>
            </w:r>
            <w:r w:rsidR="006E40C9">
              <w:t xml:space="preserve"> code:</w:t>
            </w:r>
          </w:p>
        </w:tc>
        <w:tc>
          <w:tcPr>
            <w:tcW w:w="1500" w:type="dxa"/>
            <w:gridSpan w:val="2"/>
            <w:tcBorders>
              <w:top w:val="single" w:sz="2" w:space="0" w:color="auto"/>
              <w:bottom w:val="nil"/>
            </w:tcBorders>
          </w:tcPr>
          <w:p w14:paraId="18555B49" w14:textId="77777777" w:rsidR="006E40C9" w:rsidRDefault="006E40C9">
            <w:pPr>
              <w:pStyle w:val="MeasureTableTextLeftAligned"/>
            </w:pPr>
            <w:r>
              <w:t>C8</w:t>
            </w:r>
          </w:p>
        </w:tc>
      </w:tr>
      <w:tr w:rsidR="006E40C9" w14:paraId="0F7E438B" w14:textId="77777777" w:rsidTr="00796C9D">
        <w:trPr>
          <w:cantSplit/>
          <w:jc w:val="center"/>
        </w:trPr>
        <w:tc>
          <w:tcPr>
            <w:tcW w:w="1934" w:type="dxa"/>
            <w:gridSpan w:val="2"/>
            <w:tcBorders>
              <w:top w:val="nil"/>
              <w:bottom w:val="nil"/>
            </w:tcBorders>
          </w:tcPr>
          <w:p w14:paraId="78C4571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F4E0C23" w14:textId="77777777" w:rsidR="006E40C9" w:rsidRPr="00584CA7" w:rsidRDefault="006E40C9">
            <w:pPr>
              <w:pStyle w:val="MeasureTableTextLeftAligned"/>
            </w:pPr>
            <w:r>
              <w:t>Medium</w:t>
            </w:r>
          </w:p>
        </w:tc>
        <w:tc>
          <w:tcPr>
            <w:tcW w:w="1124" w:type="dxa"/>
            <w:gridSpan w:val="2"/>
            <w:tcBorders>
              <w:top w:val="nil"/>
              <w:bottom w:val="nil"/>
            </w:tcBorders>
          </w:tcPr>
          <w:p w14:paraId="10345B15" w14:textId="77777777" w:rsidR="006E40C9" w:rsidRDefault="006E40C9">
            <w:pPr>
              <w:pStyle w:val="MeasureTableTextItalic"/>
            </w:pPr>
          </w:p>
        </w:tc>
        <w:tc>
          <w:tcPr>
            <w:tcW w:w="1500" w:type="dxa"/>
            <w:gridSpan w:val="2"/>
            <w:tcBorders>
              <w:top w:val="nil"/>
              <w:bottom w:val="nil"/>
            </w:tcBorders>
          </w:tcPr>
          <w:p w14:paraId="4396E93B" w14:textId="77777777" w:rsidR="006E40C9" w:rsidRDefault="006E40C9">
            <w:pPr>
              <w:pStyle w:val="MeasureTableTextLeftAligned"/>
            </w:pPr>
          </w:p>
        </w:tc>
      </w:tr>
      <w:tr w:rsidR="006E40C9" w14:paraId="2C7D4468" w14:textId="77777777" w:rsidTr="00796C9D">
        <w:trPr>
          <w:cantSplit/>
          <w:jc w:val="center"/>
        </w:trPr>
        <w:tc>
          <w:tcPr>
            <w:tcW w:w="1934" w:type="dxa"/>
            <w:gridSpan w:val="2"/>
            <w:tcBorders>
              <w:top w:val="nil"/>
              <w:bottom w:val="nil"/>
            </w:tcBorders>
          </w:tcPr>
          <w:p w14:paraId="79F1ED6E" w14:textId="77777777" w:rsidR="006E40C9" w:rsidRDefault="006E40C9">
            <w:pPr>
              <w:pStyle w:val="MeasureTableTextItalic"/>
            </w:pPr>
            <w:r>
              <w:t>Commencement date:</w:t>
            </w:r>
          </w:p>
        </w:tc>
        <w:tc>
          <w:tcPr>
            <w:tcW w:w="3179" w:type="dxa"/>
            <w:gridSpan w:val="4"/>
            <w:tcBorders>
              <w:top w:val="nil"/>
              <w:bottom w:val="nil"/>
            </w:tcBorders>
          </w:tcPr>
          <w:p w14:paraId="512E8F2B" w14:textId="77777777" w:rsidR="006E40C9" w:rsidRDefault="006E40C9">
            <w:pPr>
              <w:pStyle w:val="MeasureTableTextLeftAligned"/>
            </w:pPr>
            <w:r>
              <w:t>Spouse contribution tax offset (then rebate) introduced 1/7/1997</w:t>
            </w:r>
          </w:p>
          <w:p w14:paraId="0237485B" w14:textId="77777777" w:rsidR="006E40C9" w:rsidRDefault="006E40C9">
            <w:pPr>
              <w:pStyle w:val="MeasureTableTextLeftAligned"/>
            </w:pPr>
            <w:r>
              <w:t>Co-contribution introduced 1/7/2003</w:t>
            </w:r>
          </w:p>
          <w:p w14:paraId="1DDF7578" w14:textId="77777777" w:rsidR="006E40C9" w:rsidRDefault="006E40C9">
            <w:pPr>
              <w:pStyle w:val="MeasureTableTextLeftAligned"/>
            </w:pPr>
            <w:r>
              <w:t>Low-income superannuation contribution introduced 1/7/2012</w:t>
            </w:r>
          </w:p>
          <w:p w14:paraId="20AA4F18" w14:textId="77777777" w:rsidR="006E40C9" w:rsidRDefault="006E40C9">
            <w:pPr>
              <w:pStyle w:val="MeasureTableTextLeftAligned"/>
            </w:pPr>
            <w:r>
              <w:t>Low-income superannuation tax offset introduced 1/7/2017</w:t>
            </w:r>
          </w:p>
        </w:tc>
        <w:tc>
          <w:tcPr>
            <w:tcW w:w="1124" w:type="dxa"/>
            <w:gridSpan w:val="2"/>
            <w:tcBorders>
              <w:top w:val="nil"/>
              <w:bottom w:val="nil"/>
            </w:tcBorders>
          </w:tcPr>
          <w:p w14:paraId="40A915AC" w14:textId="77777777" w:rsidR="006E40C9" w:rsidRPr="00F32057" w:rsidRDefault="006E40C9">
            <w:pPr>
              <w:pStyle w:val="MeasureTableTextItalic"/>
            </w:pPr>
            <w:r>
              <w:t>Expiry date:</w:t>
            </w:r>
          </w:p>
        </w:tc>
        <w:tc>
          <w:tcPr>
            <w:tcW w:w="1500" w:type="dxa"/>
            <w:gridSpan w:val="2"/>
            <w:tcBorders>
              <w:top w:val="nil"/>
              <w:bottom w:val="nil"/>
            </w:tcBorders>
          </w:tcPr>
          <w:p w14:paraId="31B14C0A" w14:textId="77777777" w:rsidR="006E40C9" w:rsidRDefault="006E40C9">
            <w:pPr>
              <w:pStyle w:val="MeasureTableTextLeftAligned"/>
            </w:pPr>
            <w:r>
              <w:t>Low-income superannuation contribution ended 30/6/2017</w:t>
            </w:r>
          </w:p>
          <w:p w14:paraId="79BEEC54" w14:textId="77777777" w:rsidR="006E40C9" w:rsidRPr="00F32057" w:rsidRDefault="006E40C9">
            <w:pPr>
              <w:pStyle w:val="MeasureTableTextLeftAligned"/>
            </w:pPr>
            <w:r>
              <w:t>Low-income superannuation tax offset is ongoing</w:t>
            </w:r>
          </w:p>
        </w:tc>
      </w:tr>
      <w:tr w:rsidR="006E40C9" w14:paraId="02E4BE39" w14:textId="77777777" w:rsidTr="00796C9D">
        <w:trPr>
          <w:cantSplit/>
          <w:jc w:val="center"/>
        </w:trPr>
        <w:tc>
          <w:tcPr>
            <w:tcW w:w="1934" w:type="dxa"/>
            <w:gridSpan w:val="2"/>
            <w:tcBorders>
              <w:top w:val="nil"/>
            </w:tcBorders>
          </w:tcPr>
          <w:p w14:paraId="5CB62737" w14:textId="77777777" w:rsidR="006E40C9" w:rsidRDefault="006E40C9">
            <w:pPr>
              <w:pStyle w:val="MeasureTableTextItalic"/>
            </w:pPr>
            <w:r>
              <w:t>Legislative reference:</w:t>
            </w:r>
          </w:p>
        </w:tc>
        <w:tc>
          <w:tcPr>
            <w:tcW w:w="5803" w:type="dxa"/>
            <w:gridSpan w:val="8"/>
            <w:tcBorders>
              <w:top w:val="nil"/>
            </w:tcBorders>
          </w:tcPr>
          <w:p w14:paraId="530B563A"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i/>
                <w:iCs/>
                <w:color w:val="000000"/>
                <w:sz w:val="16"/>
                <w:szCs w:val="16"/>
              </w:rPr>
              <w:t>Superannuation (Government Co-Contribution for Low Income Earners) Act 2003</w:t>
            </w:r>
          </w:p>
          <w:p w14:paraId="74F7C27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Subdivision 290-D of the </w:t>
            </w:r>
            <w:r>
              <w:rPr>
                <w:rFonts w:ascii="Arial" w:hAnsi="Arial" w:cs="Arial"/>
                <w:i/>
                <w:iCs/>
                <w:color w:val="000000"/>
                <w:sz w:val="16"/>
                <w:szCs w:val="16"/>
              </w:rPr>
              <w:t>Income Tax Assessment Act 1997</w:t>
            </w:r>
          </w:p>
          <w:p w14:paraId="5FEC2F7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295-170 of the </w:t>
            </w:r>
            <w:r>
              <w:rPr>
                <w:rFonts w:ascii="Arial" w:hAnsi="Arial" w:cs="Arial"/>
                <w:i/>
                <w:iCs/>
                <w:color w:val="000000"/>
                <w:sz w:val="16"/>
                <w:szCs w:val="16"/>
              </w:rPr>
              <w:t>Income Tax Assessment Act 1997</w:t>
            </w:r>
          </w:p>
        </w:tc>
      </w:tr>
    </w:tbl>
    <w:p w14:paraId="1C623EB7" w14:textId="77777777" w:rsidR="006E40C9" w:rsidRPr="00540040" w:rsidRDefault="006E40C9" w:rsidP="006E40C9">
      <w:pPr>
        <w:pStyle w:val="MeasureTableHeading"/>
      </w:pPr>
    </w:p>
    <w:p w14:paraId="000CBA32" w14:textId="4834FF1C" w:rsidR="006E40C9" w:rsidRDefault="006E40C9" w:rsidP="006E40C9">
      <w:r>
        <w:t>Under the benchmark, contributions made to superannuation are made from after</w:t>
      </w:r>
      <w:r>
        <w:noBreakHyphen/>
        <w:t>tax income. However, government contributions made under the Superannuation Co</w:t>
      </w:r>
      <w:r>
        <w:noBreakHyphen/>
        <w:t>contribution</w:t>
      </w:r>
      <w:r w:rsidRPr="00E0380F">
        <w:fldChar w:fldCharType="begin"/>
      </w:r>
      <w:r w:rsidRPr="00E0380F">
        <w:instrText xml:space="preserve"> XE "Superannuation:Co-contribution" </w:instrText>
      </w:r>
      <w:r w:rsidRPr="00E0380F">
        <w:fldChar w:fldCharType="end"/>
      </w:r>
      <w:r>
        <w:t xml:space="preserve"> and Low-income Superannuation Tax Offset are tax free. These are government payments designed to increase the retirement savings of eligible low</w:t>
      </w:r>
      <w:r>
        <w:noBreakHyphen/>
        <w:t xml:space="preserve">income taxpayers. </w:t>
      </w:r>
    </w:p>
    <w:p w14:paraId="034FADC4" w14:textId="34E70F85" w:rsidR="006E40C9" w:rsidRDefault="006E40C9" w:rsidP="006E40C9">
      <w:r>
        <w:t xml:space="preserve">The Low-income Superannuation Tax Offset has been in effect since 1 July 2017; a Low-income Superannuation Contribution applied up to that date. </w:t>
      </w:r>
      <w:r w:rsidRPr="0040437C">
        <w:t>The Low</w:t>
      </w:r>
      <w:r>
        <w:t>-</w:t>
      </w:r>
      <w:r w:rsidRPr="0040437C">
        <w:t>income Superannuation Tax Offset is intended to effectively return the 15</w:t>
      </w:r>
      <w:r w:rsidR="0063545E">
        <w:t xml:space="preserve"> per cent</w:t>
      </w:r>
      <w:r w:rsidRPr="0040437C">
        <w:t xml:space="preserve"> tax levied on the employer and personal deducted contributions of low-income earners.</w:t>
      </w:r>
      <w:r>
        <w:t xml:space="preserve"> The payments are expense payments and are not included in the Tax </w:t>
      </w:r>
      <w:r w:rsidR="009A6521">
        <w:t>Expenditures</w:t>
      </w:r>
      <w:r>
        <w:t xml:space="preserve"> and </w:t>
      </w:r>
      <w:r w:rsidR="009A6521">
        <w:t>Insights</w:t>
      </w:r>
      <w:r>
        <w:t xml:space="preserve"> Statement. The amounts indicated represent the impact of these payments not being taxed. </w:t>
      </w:r>
    </w:p>
    <w:p w14:paraId="22C9E204" w14:textId="77777777" w:rsidR="006E40C9" w:rsidRDefault="006E40C9" w:rsidP="006E40C9">
      <w:r>
        <w:t>In addition, a tax offset is available for after</w:t>
      </w:r>
      <w:r>
        <w:rPr>
          <w:rFonts w:cs="Book Antiqua"/>
        </w:rPr>
        <w:noBreakHyphen/>
        <w:t>tax contributions to the superannuation account of a low</w:t>
      </w:r>
      <w:r>
        <w:rPr>
          <w:rFonts w:cs="Book Antiqua"/>
        </w:rPr>
        <w:noBreakHyphen/>
        <w:t>income spouse.</w:t>
      </w:r>
      <w:r w:rsidRPr="00242095">
        <w:t xml:space="preserve"> </w:t>
      </w:r>
      <w:r w:rsidRPr="00046F85">
        <w:fldChar w:fldCharType="begin"/>
      </w:r>
      <w:r w:rsidRPr="00046F85">
        <w:instrText xml:space="preserve"> XE "Superannuation:Spouse contribution offset" </w:instrText>
      </w:r>
      <w:r w:rsidRPr="00046F85">
        <w:fldChar w:fldCharType="end"/>
      </w:r>
    </w:p>
    <w:p w14:paraId="35F08239" w14:textId="77777777" w:rsidR="006E40C9" w:rsidRDefault="006E40C9" w:rsidP="00130689">
      <w:pPr>
        <w:pStyle w:val="Heading4"/>
      </w:pPr>
      <w:r>
        <w:t>C9</w:t>
      </w:r>
      <w:r>
        <w:tab/>
        <w:t>Tax on excess non-concessional superannuation contributions</w:t>
      </w:r>
    </w:p>
    <w:p w14:paraId="66C0930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19DDD3" w14:textId="77777777">
        <w:trPr>
          <w:cantSplit/>
          <w:jc w:val="center"/>
        </w:trPr>
        <w:tc>
          <w:tcPr>
            <w:tcW w:w="967" w:type="dxa"/>
            <w:tcBorders>
              <w:top w:val="single" w:sz="2" w:space="0" w:color="auto"/>
              <w:bottom w:val="single" w:sz="2" w:space="0" w:color="auto"/>
            </w:tcBorders>
          </w:tcPr>
          <w:p w14:paraId="04D4867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836B1A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49751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1E842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3C14D0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B4AC2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33C5CB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DBE5D9A" w14:textId="77777777" w:rsidR="006E40C9" w:rsidRDefault="006E40C9">
            <w:pPr>
              <w:pStyle w:val="MeasureTableTextRightAligned"/>
            </w:pPr>
            <w:r>
              <w:t>2027-28</w:t>
            </w:r>
          </w:p>
        </w:tc>
      </w:tr>
      <w:tr w:rsidR="006E40C9" w14:paraId="100D0BD9" w14:textId="77777777">
        <w:trPr>
          <w:cantSplit/>
          <w:jc w:val="center"/>
        </w:trPr>
        <w:tc>
          <w:tcPr>
            <w:tcW w:w="967" w:type="dxa"/>
            <w:tcBorders>
              <w:top w:val="single" w:sz="2" w:space="0" w:color="auto"/>
              <w:bottom w:val="single" w:sz="2" w:space="0" w:color="auto"/>
            </w:tcBorders>
          </w:tcPr>
          <w:p w14:paraId="7A5FAB4F" w14:textId="77777777" w:rsidR="006E40C9" w:rsidRDefault="006E40C9">
            <w:pPr>
              <w:pStyle w:val="MeasureTableTextRightAligned"/>
            </w:pPr>
            <w:r>
              <w:t>-6</w:t>
            </w:r>
          </w:p>
        </w:tc>
        <w:tc>
          <w:tcPr>
            <w:tcW w:w="967" w:type="dxa"/>
            <w:tcBorders>
              <w:top w:val="single" w:sz="2" w:space="0" w:color="auto"/>
              <w:bottom w:val="single" w:sz="2" w:space="0" w:color="auto"/>
            </w:tcBorders>
          </w:tcPr>
          <w:p w14:paraId="433BF6BA" w14:textId="77777777" w:rsidR="006E40C9" w:rsidRDefault="006E40C9">
            <w:pPr>
              <w:pStyle w:val="MeasureTableTextRightAligned"/>
            </w:pPr>
            <w:r>
              <w:t>-3</w:t>
            </w:r>
          </w:p>
        </w:tc>
        <w:tc>
          <w:tcPr>
            <w:tcW w:w="967" w:type="dxa"/>
            <w:tcBorders>
              <w:top w:val="single" w:sz="2" w:space="0" w:color="auto"/>
              <w:bottom w:val="single" w:sz="2" w:space="0" w:color="auto"/>
            </w:tcBorders>
            <w:vAlign w:val="bottom"/>
          </w:tcPr>
          <w:p w14:paraId="6E750F51"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BD976C9" w14:textId="77777777" w:rsidR="006E40C9" w:rsidRDefault="006E40C9">
            <w:pPr>
              <w:pStyle w:val="MeasureTableTextRightAligned"/>
            </w:pPr>
            <w:r>
              <w:t>-12</w:t>
            </w:r>
          </w:p>
        </w:tc>
        <w:tc>
          <w:tcPr>
            <w:tcW w:w="967" w:type="dxa"/>
            <w:tcBorders>
              <w:top w:val="single" w:sz="2" w:space="0" w:color="auto"/>
              <w:bottom w:val="single" w:sz="2" w:space="0" w:color="auto"/>
            </w:tcBorders>
            <w:vAlign w:val="bottom"/>
          </w:tcPr>
          <w:p w14:paraId="00AEC7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C1FA27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A9A25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AC62F30" w14:textId="77777777" w:rsidR="006E40C9" w:rsidRDefault="006E40C9">
            <w:pPr>
              <w:pStyle w:val="MeasureTableTextRightAligned"/>
            </w:pPr>
            <w:r>
              <w:t>*</w:t>
            </w:r>
          </w:p>
        </w:tc>
      </w:tr>
      <w:tr w:rsidR="006E40C9" w14:paraId="64BAD5C0" w14:textId="77777777">
        <w:trPr>
          <w:cantSplit/>
          <w:jc w:val="center"/>
        </w:trPr>
        <w:tc>
          <w:tcPr>
            <w:tcW w:w="1934" w:type="dxa"/>
            <w:gridSpan w:val="2"/>
            <w:tcBorders>
              <w:top w:val="single" w:sz="2" w:space="0" w:color="auto"/>
              <w:bottom w:val="nil"/>
            </w:tcBorders>
          </w:tcPr>
          <w:p w14:paraId="5F8C3B4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1CAFC85"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0346391C" w14:textId="5836663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809A2E4" w14:textId="77777777" w:rsidR="006E40C9" w:rsidRDefault="006E40C9">
            <w:pPr>
              <w:pStyle w:val="MeasureTableTextLeftAligned"/>
            </w:pPr>
            <w:r>
              <w:t>C9</w:t>
            </w:r>
          </w:p>
        </w:tc>
      </w:tr>
      <w:tr w:rsidR="006E40C9" w14:paraId="56BB439E" w14:textId="77777777">
        <w:trPr>
          <w:cantSplit/>
          <w:jc w:val="center"/>
        </w:trPr>
        <w:tc>
          <w:tcPr>
            <w:tcW w:w="1934" w:type="dxa"/>
            <w:gridSpan w:val="2"/>
            <w:tcBorders>
              <w:top w:val="nil"/>
              <w:bottom w:val="nil"/>
            </w:tcBorders>
          </w:tcPr>
          <w:p w14:paraId="6EA71E2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C3DDF72" w14:textId="7C516B41"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0CB1E153" w14:textId="77777777" w:rsidR="006E40C9" w:rsidRDefault="006E40C9">
            <w:pPr>
              <w:pStyle w:val="MeasureTableTextItalic"/>
            </w:pPr>
            <w:r>
              <w:t>* Category</w:t>
            </w:r>
          </w:p>
        </w:tc>
        <w:tc>
          <w:tcPr>
            <w:tcW w:w="1124" w:type="dxa"/>
            <w:gridSpan w:val="2"/>
            <w:tcBorders>
              <w:top w:val="nil"/>
              <w:bottom w:val="nil"/>
            </w:tcBorders>
          </w:tcPr>
          <w:p w14:paraId="1F1DD684" w14:textId="77777777" w:rsidR="006E40C9" w:rsidRDefault="006E40C9">
            <w:pPr>
              <w:pStyle w:val="MeasureTableTextLeftAligned"/>
            </w:pPr>
            <w:r>
              <w:t>2+</w:t>
            </w:r>
          </w:p>
        </w:tc>
      </w:tr>
      <w:tr w:rsidR="006E40C9" w14:paraId="23F11925" w14:textId="77777777">
        <w:trPr>
          <w:cantSplit/>
          <w:jc w:val="center"/>
        </w:trPr>
        <w:tc>
          <w:tcPr>
            <w:tcW w:w="1934" w:type="dxa"/>
            <w:gridSpan w:val="2"/>
            <w:tcBorders>
              <w:top w:val="nil"/>
              <w:bottom w:val="nil"/>
            </w:tcBorders>
          </w:tcPr>
          <w:p w14:paraId="691DF10B" w14:textId="77777777" w:rsidR="006E40C9" w:rsidRDefault="006E40C9">
            <w:pPr>
              <w:pStyle w:val="MeasureTableTextItalic"/>
            </w:pPr>
            <w:r>
              <w:t>Commencement date:</w:t>
            </w:r>
          </w:p>
        </w:tc>
        <w:tc>
          <w:tcPr>
            <w:tcW w:w="3179" w:type="dxa"/>
            <w:gridSpan w:val="4"/>
            <w:tcBorders>
              <w:top w:val="nil"/>
              <w:bottom w:val="nil"/>
            </w:tcBorders>
          </w:tcPr>
          <w:p w14:paraId="3CB51B5F" w14:textId="77777777" w:rsidR="006E40C9" w:rsidRDefault="006E40C9">
            <w:pPr>
              <w:pStyle w:val="MeasureTableTextLeftAligned"/>
            </w:pPr>
            <w:r>
              <w:t>2006</w:t>
            </w:r>
          </w:p>
          <w:p w14:paraId="0AE7E654" w14:textId="77777777" w:rsidR="006E40C9" w:rsidRDefault="006E40C9">
            <w:pPr>
              <w:pStyle w:val="MeasureTableTextLeftAligned"/>
            </w:pPr>
            <w:r>
              <w:t>Excess contributions made after 1 July 2013 can be withdrawn</w:t>
            </w:r>
          </w:p>
        </w:tc>
        <w:tc>
          <w:tcPr>
            <w:tcW w:w="1500" w:type="dxa"/>
            <w:gridSpan w:val="2"/>
            <w:tcBorders>
              <w:top w:val="nil"/>
              <w:bottom w:val="nil"/>
            </w:tcBorders>
          </w:tcPr>
          <w:p w14:paraId="7D7BDDAF" w14:textId="77777777" w:rsidR="006E40C9" w:rsidRPr="00F32057" w:rsidRDefault="006E40C9">
            <w:pPr>
              <w:pStyle w:val="MeasureTableTextItalic"/>
            </w:pPr>
            <w:r>
              <w:t>Expiry date:</w:t>
            </w:r>
          </w:p>
        </w:tc>
        <w:tc>
          <w:tcPr>
            <w:tcW w:w="1124" w:type="dxa"/>
            <w:gridSpan w:val="2"/>
            <w:tcBorders>
              <w:top w:val="nil"/>
              <w:bottom w:val="nil"/>
            </w:tcBorders>
          </w:tcPr>
          <w:p w14:paraId="13F4731F" w14:textId="77777777" w:rsidR="006E40C9" w:rsidRPr="00F32057" w:rsidRDefault="006E40C9">
            <w:pPr>
              <w:pStyle w:val="MeasureTableTextLeftAligned"/>
            </w:pPr>
          </w:p>
        </w:tc>
      </w:tr>
      <w:tr w:rsidR="006E40C9" w14:paraId="517A8D1A" w14:textId="77777777">
        <w:trPr>
          <w:cantSplit/>
          <w:jc w:val="center"/>
        </w:trPr>
        <w:tc>
          <w:tcPr>
            <w:tcW w:w="1934" w:type="dxa"/>
            <w:gridSpan w:val="2"/>
            <w:tcBorders>
              <w:top w:val="nil"/>
            </w:tcBorders>
          </w:tcPr>
          <w:p w14:paraId="735E72B6" w14:textId="77777777" w:rsidR="006E40C9" w:rsidRDefault="006E40C9">
            <w:pPr>
              <w:pStyle w:val="MeasureTableTextItalic"/>
            </w:pPr>
            <w:r>
              <w:t>Legislative reference:</w:t>
            </w:r>
          </w:p>
        </w:tc>
        <w:tc>
          <w:tcPr>
            <w:tcW w:w="5803" w:type="dxa"/>
            <w:gridSpan w:val="8"/>
            <w:tcBorders>
              <w:top w:val="nil"/>
            </w:tcBorders>
          </w:tcPr>
          <w:p w14:paraId="09639AE5"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292 of the </w:t>
            </w:r>
            <w:r>
              <w:rPr>
                <w:rFonts w:ascii="Arial" w:hAnsi="Arial" w:cs="Arial"/>
                <w:i/>
                <w:iCs/>
                <w:color w:val="000000"/>
                <w:sz w:val="16"/>
                <w:szCs w:val="16"/>
              </w:rPr>
              <w:t>Income Tax Assessment Act 1997</w:t>
            </w:r>
          </w:p>
          <w:p w14:paraId="4D39F08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292 of the </w:t>
            </w:r>
            <w:r>
              <w:rPr>
                <w:rFonts w:ascii="Arial" w:hAnsi="Arial" w:cs="Arial"/>
                <w:i/>
                <w:iCs/>
                <w:color w:val="000000"/>
                <w:sz w:val="16"/>
                <w:szCs w:val="16"/>
              </w:rPr>
              <w:t>Income Tax (Transitional Provisions) Act 1997</w:t>
            </w:r>
          </w:p>
          <w:p w14:paraId="42CD1A66"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Superannuation (Excess Non-Concessional Contributions Tax) Act 2007</w:t>
            </w:r>
          </w:p>
        </w:tc>
      </w:tr>
    </w:tbl>
    <w:p w14:paraId="6583F450" w14:textId="77777777" w:rsidR="006E40C9" w:rsidRPr="00540040" w:rsidRDefault="006E40C9" w:rsidP="006E40C9">
      <w:pPr>
        <w:pStyle w:val="MeasureTableHeading"/>
      </w:pPr>
    </w:p>
    <w:p w14:paraId="1240810C" w14:textId="77777777" w:rsidR="006E40C9" w:rsidRDefault="006E40C9" w:rsidP="006E40C9">
      <w:r>
        <w:t>Under the benchmark, all superannuation contributions are made from after</w:t>
      </w:r>
      <w:r>
        <w:noBreakHyphen/>
        <w:t>tax income, and are therefore not taxed upon transfer into a superannuation fund. However, non</w:t>
      </w:r>
      <w:r>
        <w:noBreakHyphen/>
        <w:t>concessional (after</w:t>
      </w:r>
      <w:r>
        <w:noBreakHyphen/>
        <w:t>tax) contributions above the non</w:t>
      </w:r>
      <w:r>
        <w:noBreakHyphen/>
        <w:t>concessional caps may be subject to the excess contributions tax levied at the top marginal tax rate, including the Medicare levy (and temporary budget repair levy between 1 July 2014 and 30 June 2017).</w:t>
      </w:r>
    </w:p>
    <w:p w14:paraId="4FA376FC" w14:textId="77777777" w:rsidR="006E40C9" w:rsidRDefault="006E40C9" w:rsidP="006E40C9">
      <w:r>
        <w:t>In addition, between 1 July 2017 and 30 June 2021, non</w:t>
      </w:r>
      <w:r>
        <w:noBreakHyphen/>
        <w:t>concessional contributions made by individuals with a total superannuation balance of $1.6 million or more may be subject to the excess contributions tax. This total superannuation balance limit increased to $1.7 million on 1 July 2021 and $1.9 million on 1 July 2023 under existing indexation arrangements of the general transfer balance cap. Non</w:t>
      </w:r>
      <w:r>
        <w:noBreakHyphen/>
        <w:t>concessional contributions above the non</w:t>
      </w:r>
      <w:r>
        <w:noBreakHyphen/>
        <w:t>concessional cap can be withdrawn, in which case, they are not subject to the excess contributions tax.</w:t>
      </w:r>
    </w:p>
    <w:p w14:paraId="4D188247" w14:textId="6DACAF48" w:rsidR="006E40C9" w:rsidRDefault="006E40C9" w:rsidP="006E40C9">
      <w:r>
        <w:t>On 1 July 2017, the annual non</w:t>
      </w:r>
      <w:r>
        <w:noBreakHyphen/>
        <w:t xml:space="preserve">concessional contributions cap was lowered from $180,000 to $100,000. This cap increased to $110,000 </w:t>
      </w:r>
      <w:r w:rsidRPr="00150A55">
        <w:t xml:space="preserve">on 1 July 2021, and again to $120,000 on 1 July 2024 </w:t>
      </w:r>
      <w:r>
        <w:t xml:space="preserve">under existing indexation arrangements. </w:t>
      </w:r>
    </w:p>
    <w:p w14:paraId="404ACABD" w14:textId="44B945A5" w:rsidR="006E40C9" w:rsidRDefault="006E40C9" w:rsidP="006E40C9">
      <w:r>
        <w:t>A 3 year bring forward of annual non</w:t>
      </w:r>
      <w:r>
        <w:noBreakHyphen/>
        <w:t xml:space="preserve">concessional contributions exists for individuals below age 75 at any time in a financial year since 1 July 2022 (below age 67 between 1 </w:t>
      </w:r>
      <w:r w:rsidR="003034AA">
        <w:t> </w:t>
      </w:r>
      <w:r>
        <w:t xml:space="preserve">July 2020 and 30 June 2022, and below age 65 between 1 July 2008 and 30 June 2020), but is also modified to accommodate the total superannuation balance test. </w:t>
      </w:r>
      <w:r w:rsidRPr="00046F85">
        <w:fldChar w:fldCharType="begin"/>
      </w:r>
      <w:r w:rsidRPr="00046F85">
        <w:instrText xml:space="preserve"> XE "Superannuation:Non-concessional contributions" </w:instrText>
      </w:r>
      <w:r w:rsidRPr="00046F85">
        <w:fldChar w:fldCharType="end"/>
      </w:r>
    </w:p>
    <w:p w14:paraId="1050928C" w14:textId="77777777" w:rsidR="006E40C9" w:rsidRDefault="006E40C9" w:rsidP="00130689">
      <w:pPr>
        <w:pStyle w:val="Heading4"/>
      </w:pPr>
      <w:r>
        <w:t>C10</w:t>
      </w:r>
      <w:r>
        <w:tab/>
        <w:t>Tax on funded superannuation income streams</w:t>
      </w:r>
    </w:p>
    <w:p w14:paraId="7E12CF2F"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0D5B098" w14:textId="77777777">
        <w:trPr>
          <w:cantSplit/>
          <w:jc w:val="center"/>
        </w:trPr>
        <w:tc>
          <w:tcPr>
            <w:tcW w:w="967" w:type="dxa"/>
            <w:tcBorders>
              <w:top w:val="single" w:sz="2" w:space="0" w:color="auto"/>
              <w:bottom w:val="single" w:sz="2" w:space="0" w:color="auto"/>
            </w:tcBorders>
          </w:tcPr>
          <w:p w14:paraId="32A3457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CACEF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15E72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6E685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A5CB4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74AF2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F6F1EE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501CB02" w14:textId="77777777" w:rsidR="006E40C9" w:rsidRDefault="006E40C9">
            <w:pPr>
              <w:pStyle w:val="MeasureTableTextRightAligned"/>
            </w:pPr>
            <w:r>
              <w:t>2027-28</w:t>
            </w:r>
          </w:p>
        </w:tc>
      </w:tr>
      <w:tr w:rsidR="006E40C9" w14:paraId="51D2D05C" w14:textId="77777777">
        <w:trPr>
          <w:cantSplit/>
          <w:jc w:val="center"/>
        </w:trPr>
        <w:tc>
          <w:tcPr>
            <w:tcW w:w="967" w:type="dxa"/>
            <w:tcBorders>
              <w:top w:val="single" w:sz="2" w:space="0" w:color="auto"/>
              <w:bottom w:val="single" w:sz="2" w:space="0" w:color="auto"/>
            </w:tcBorders>
          </w:tcPr>
          <w:p w14:paraId="10E478C9" w14:textId="77777777" w:rsidR="006E40C9" w:rsidRDefault="006E40C9">
            <w:pPr>
              <w:pStyle w:val="MeasureTableTextRightAligned"/>
            </w:pPr>
            <w:r>
              <w:t>-150</w:t>
            </w:r>
          </w:p>
        </w:tc>
        <w:tc>
          <w:tcPr>
            <w:tcW w:w="967" w:type="dxa"/>
            <w:tcBorders>
              <w:top w:val="single" w:sz="2" w:space="0" w:color="auto"/>
              <w:bottom w:val="single" w:sz="2" w:space="0" w:color="auto"/>
            </w:tcBorders>
          </w:tcPr>
          <w:p w14:paraId="27FA6806"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4C758013" w14:textId="77777777" w:rsidR="006E40C9" w:rsidRDefault="006E40C9">
            <w:pPr>
              <w:pStyle w:val="MeasureTableTextRightAligned"/>
            </w:pPr>
            <w:r>
              <w:t>-140</w:t>
            </w:r>
          </w:p>
        </w:tc>
        <w:tc>
          <w:tcPr>
            <w:tcW w:w="967" w:type="dxa"/>
            <w:tcBorders>
              <w:top w:val="single" w:sz="2" w:space="0" w:color="auto"/>
              <w:bottom w:val="single" w:sz="2" w:space="0" w:color="auto"/>
            </w:tcBorders>
            <w:vAlign w:val="bottom"/>
          </w:tcPr>
          <w:p w14:paraId="52BF4732"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0F1B3165"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21429635" w14:textId="77777777" w:rsidR="006E40C9" w:rsidRDefault="006E40C9">
            <w:pPr>
              <w:pStyle w:val="MeasureTableTextRightAligned"/>
            </w:pPr>
            <w:r>
              <w:t>-120</w:t>
            </w:r>
          </w:p>
        </w:tc>
        <w:tc>
          <w:tcPr>
            <w:tcW w:w="967" w:type="dxa"/>
            <w:gridSpan w:val="2"/>
            <w:tcBorders>
              <w:top w:val="single" w:sz="2" w:space="0" w:color="auto"/>
              <w:bottom w:val="single" w:sz="2" w:space="0" w:color="auto"/>
            </w:tcBorders>
            <w:vAlign w:val="bottom"/>
          </w:tcPr>
          <w:p w14:paraId="128930AB" w14:textId="77777777" w:rsidR="006E40C9" w:rsidRDefault="006E40C9">
            <w:pPr>
              <w:pStyle w:val="MeasureTableTextRightAligned"/>
            </w:pPr>
            <w:r>
              <w:t>-130</w:t>
            </w:r>
          </w:p>
        </w:tc>
        <w:tc>
          <w:tcPr>
            <w:tcW w:w="968" w:type="dxa"/>
            <w:tcBorders>
              <w:top w:val="single" w:sz="2" w:space="0" w:color="auto"/>
              <w:bottom w:val="single" w:sz="2" w:space="0" w:color="auto"/>
            </w:tcBorders>
            <w:vAlign w:val="bottom"/>
          </w:tcPr>
          <w:p w14:paraId="341CD98D" w14:textId="77777777" w:rsidR="006E40C9" w:rsidRDefault="006E40C9">
            <w:pPr>
              <w:pStyle w:val="MeasureTableTextRightAligned"/>
            </w:pPr>
            <w:r>
              <w:t>-130</w:t>
            </w:r>
          </w:p>
        </w:tc>
      </w:tr>
      <w:tr w:rsidR="006E40C9" w14:paraId="0ACB5F85" w14:textId="77777777">
        <w:trPr>
          <w:cantSplit/>
          <w:jc w:val="center"/>
        </w:trPr>
        <w:tc>
          <w:tcPr>
            <w:tcW w:w="1934" w:type="dxa"/>
            <w:gridSpan w:val="2"/>
            <w:tcBorders>
              <w:top w:val="single" w:sz="2" w:space="0" w:color="auto"/>
              <w:bottom w:val="nil"/>
            </w:tcBorders>
          </w:tcPr>
          <w:p w14:paraId="1F9046F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FF60FF"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6C390CB9" w14:textId="1C79D5F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A9F93C" w14:textId="77777777" w:rsidR="006E40C9" w:rsidRDefault="006E40C9">
            <w:pPr>
              <w:pStyle w:val="MeasureTableTextLeftAligned"/>
            </w:pPr>
            <w:r>
              <w:t>C10</w:t>
            </w:r>
          </w:p>
        </w:tc>
      </w:tr>
      <w:tr w:rsidR="006E40C9" w14:paraId="664D7867" w14:textId="77777777">
        <w:trPr>
          <w:cantSplit/>
          <w:jc w:val="center"/>
        </w:trPr>
        <w:tc>
          <w:tcPr>
            <w:tcW w:w="1934" w:type="dxa"/>
            <w:gridSpan w:val="2"/>
            <w:tcBorders>
              <w:top w:val="nil"/>
              <w:bottom w:val="nil"/>
            </w:tcBorders>
          </w:tcPr>
          <w:p w14:paraId="371C3A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0F54C4D" w14:textId="77777777" w:rsidR="006E40C9" w:rsidRPr="00584CA7" w:rsidRDefault="006E40C9">
            <w:pPr>
              <w:pStyle w:val="MeasureTableTextLeftAligned"/>
            </w:pPr>
            <w:r>
              <w:t>Medium</w:t>
            </w:r>
          </w:p>
        </w:tc>
        <w:tc>
          <w:tcPr>
            <w:tcW w:w="1500" w:type="dxa"/>
            <w:gridSpan w:val="2"/>
            <w:tcBorders>
              <w:top w:val="nil"/>
              <w:bottom w:val="nil"/>
            </w:tcBorders>
          </w:tcPr>
          <w:p w14:paraId="6D7D05E1" w14:textId="77777777" w:rsidR="006E40C9" w:rsidRDefault="006E40C9">
            <w:pPr>
              <w:pStyle w:val="MeasureTableTextItalic"/>
            </w:pPr>
          </w:p>
        </w:tc>
        <w:tc>
          <w:tcPr>
            <w:tcW w:w="1124" w:type="dxa"/>
            <w:gridSpan w:val="2"/>
            <w:tcBorders>
              <w:top w:val="nil"/>
              <w:bottom w:val="nil"/>
            </w:tcBorders>
          </w:tcPr>
          <w:p w14:paraId="705775C2" w14:textId="77777777" w:rsidR="006E40C9" w:rsidRDefault="006E40C9">
            <w:pPr>
              <w:pStyle w:val="MeasureTableTextLeftAligned"/>
            </w:pPr>
          </w:p>
        </w:tc>
      </w:tr>
      <w:tr w:rsidR="006E40C9" w14:paraId="2F1F2A84" w14:textId="77777777">
        <w:trPr>
          <w:cantSplit/>
          <w:jc w:val="center"/>
        </w:trPr>
        <w:tc>
          <w:tcPr>
            <w:tcW w:w="1934" w:type="dxa"/>
            <w:gridSpan w:val="2"/>
            <w:tcBorders>
              <w:top w:val="nil"/>
              <w:bottom w:val="nil"/>
            </w:tcBorders>
          </w:tcPr>
          <w:p w14:paraId="4510FB08" w14:textId="77777777" w:rsidR="006E40C9" w:rsidRDefault="006E40C9">
            <w:pPr>
              <w:pStyle w:val="MeasureTableTextItalic"/>
            </w:pPr>
            <w:r>
              <w:t>Commencement date:</w:t>
            </w:r>
          </w:p>
        </w:tc>
        <w:tc>
          <w:tcPr>
            <w:tcW w:w="3179" w:type="dxa"/>
            <w:gridSpan w:val="4"/>
            <w:tcBorders>
              <w:top w:val="nil"/>
              <w:bottom w:val="nil"/>
            </w:tcBorders>
          </w:tcPr>
          <w:p w14:paraId="377B4629" w14:textId="77777777" w:rsidR="006E40C9" w:rsidRDefault="006E40C9">
            <w:pPr>
              <w:pStyle w:val="MeasureTableTextLeftAligned"/>
            </w:pPr>
            <w:r>
              <w:t>Introduced before 1985</w:t>
            </w:r>
          </w:p>
        </w:tc>
        <w:tc>
          <w:tcPr>
            <w:tcW w:w="1500" w:type="dxa"/>
            <w:gridSpan w:val="2"/>
            <w:tcBorders>
              <w:top w:val="nil"/>
              <w:bottom w:val="nil"/>
            </w:tcBorders>
          </w:tcPr>
          <w:p w14:paraId="0F3F6E16" w14:textId="77777777" w:rsidR="006E40C9" w:rsidRPr="00F32057" w:rsidRDefault="006E40C9">
            <w:pPr>
              <w:pStyle w:val="MeasureTableTextItalic"/>
            </w:pPr>
            <w:r>
              <w:t>Expiry date:</w:t>
            </w:r>
          </w:p>
        </w:tc>
        <w:tc>
          <w:tcPr>
            <w:tcW w:w="1124" w:type="dxa"/>
            <w:gridSpan w:val="2"/>
            <w:tcBorders>
              <w:top w:val="nil"/>
              <w:bottom w:val="nil"/>
            </w:tcBorders>
          </w:tcPr>
          <w:p w14:paraId="0F6EF7A5" w14:textId="77777777" w:rsidR="006E40C9" w:rsidRPr="00F32057" w:rsidRDefault="006E40C9">
            <w:pPr>
              <w:pStyle w:val="MeasureTableTextLeftAligned"/>
            </w:pPr>
          </w:p>
        </w:tc>
      </w:tr>
      <w:tr w:rsidR="006E40C9" w14:paraId="49E6635E" w14:textId="77777777">
        <w:trPr>
          <w:cantSplit/>
          <w:jc w:val="center"/>
        </w:trPr>
        <w:tc>
          <w:tcPr>
            <w:tcW w:w="1934" w:type="dxa"/>
            <w:gridSpan w:val="2"/>
            <w:tcBorders>
              <w:top w:val="nil"/>
            </w:tcBorders>
          </w:tcPr>
          <w:p w14:paraId="59AEDEEC" w14:textId="77777777" w:rsidR="006E40C9" w:rsidRDefault="006E40C9">
            <w:pPr>
              <w:pStyle w:val="MeasureTableTextItalic"/>
            </w:pPr>
            <w:r>
              <w:t>Legislative reference:</w:t>
            </w:r>
          </w:p>
        </w:tc>
        <w:tc>
          <w:tcPr>
            <w:tcW w:w="5803" w:type="dxa"/>
            <w:gridSpan w:val="8"/>
            <w:tcBorders>
              <w:top w:val="nil"/>
            </w:tcBorders>
          </w:tcPr>
          <w:p w14:paraId="24AADCD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Divisions 301 and 302 and Part 3-30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tc>
      </w:tr>
    </w:tbl>
    <w:p w14:paraId="267EE963" w14:textId="77777777" w:rsidR="006E40C9" w:rsidRPr="00540040" w:rsidRDefault="006E40C9" w:rsidP="006E40C9">
      <w:pPr>
        <w:pStyle w:val="MeasureTableHeading"/>
      </w:pPr>
    </w:p>
    <w:p w14:paraId="6DCC4571" w14:textId="261EA8BA" w:rsidR="006E40C9" w:rsidRDefault="006E40C9" w:rsidP="006E40C9">
      <w:r>
        <w:t>Under the benchmark, superannuation benefits are generally tax free. As such, taxes raised on income stream payments from superannuation result in a negative tax expenditure.</w:t>
      </w:r>
    </w:p>
    <w:p w14:paraId="5090EF05" w14:textId="013BA82A" w:rsidR="006E40C9" w:rsidRDefault="006E40C9" w:rsidP="006E40C9">
      <w:r>
        <w:t xml:space="preserve">Superannuation income stream payments from a taxed source are tax free for persons aged 60 and over. The taxable component of superannuation income stream payments from a taxed source to persons below age 60 is included in assessable income. A death benefit paid from a taxed source as a reversionary pension from a deceased person who was aged under 60 to a dependant beneficiary aged under 60 is taxed (but receives a 15 per cent tax offset), and also creates a negative tax expenditure. </w:t>
      </w:r>
    </w:p>
    <w:p w14:paraId="632E6D1A" w14:textId="77777777" w:rsidR="006E40C9" w:rsidRDefault="006E40C9" w:rsidP="006E40C9">
      <w:r>
        <w:t xml:space="preserve">Some offsets reduce the amount of tax paid – for instance, a 15 per cent tax offset applies to the taxed element of the taxable component of superannuation income stream benefits paid to persons aged between preservation age and 60 (prior to 1 July 2024), and to disability income stream benefits paid to persons under preservation age. </w:t>
      </w:r>
    </w:p>
    <w:p w14:paraId="071C79EE" w14:textId="77777777" w:rsidR="006E40C9" w:rsidRDefault="006E40C9" w:rsidP="006E40C9">
      <w:r>
        <w:t xml:space="preserve">The taxable component of superannuation income stream payments from an untaxed source is included in the recipient’s assessable income, with a 10 per cent offset available to individuals aged 60 and over (see C5). </w:t>
      </w:r>
    </w:p>
    <w:p w14:paraId="6A7E601F" w14:textId="1B2F882A" w:rsidR="006E40C9" w:rsidRDefault="006E40C9" w:rsidP="006E40C9">
      <w:pPr>
        <w:rPr>
          <w:szCs w:val="22"/>
        </w:rPr>
      </w:pPr>
      <w:r>
        <w:t>Where an individual’s capped defined benefit income stream from an untaxed source exceeds $118,750 per annum (in 2024-25; indexed), the amount in excess of the threshold does not receive the 10 per cent tax offset. Where a capped defined benefit income stream from a taxed source exceeds $118,750 per annum, 50 per cent of the amount in excess of the threshold is taxed at the individual’s marginal rate.</w:t>
      </w:r>
      <w:r>
        <w:rPr>
          <w:szCs w:val="22"/>
        </w:rPr>
        <w:t xml:space="preserve"> </w:t>
      </w:r>
    </w:p>
    <w:p w14:paraId="0D3A7C1A" w14:textId="77777777" w:rsidR="006E40C9" w:rsidRDefault="006E40C9" w:rsidP="006E40C9">
      <w:pPr>
        <w:rPr>
          <w:rFonts w:eastAsia="Calibri"/>
          <w:lang w:eastAsia="en-US"/>
        </w:rPr>
      </w:pPr>
      <w:r>
        <w:rPr>
          <w:szCs w:val="22"/>
        </w:rPr>
        <w:t xml:space="preserve">Proceeds from life insurance claims that are taken as an income stream are taxed as a death benefit. Proceeds from total and permanent disability (TPD) insurance claims that are taken as an income stream are taxed as a disability benefit. </w:t>
      </w:r>
      <w:r>
        <w:rPr>
          <w:rFonts w:eastAsia="Calibri"/>
          <w:lang w:eastAsia="en-US"/>
        </w:rPr>
        <w:fldChar w:fldCharType="begin"/>
      </w:r>
      <w:r>
        <w:instrText xml:space="preserve"> XE "Superannuation:Funded income streams" </w:instrText>
      </w:r>
      <w:r>
        <w:rPr>
          <w:rFonts w:eastAsia="Calibri"/>
          <w:lang w:eastAsia="en-US"/>
        </w:rPr>
        <w:fldChar w:fldCharType="end"/>
      </w:r>
    </w:p>
    <w:p w14:paraId="17B7A812" w14:textId="77777777" w:rsidR="006E40C9" w:rsidRDefault="006E40C9" w:rsidP="00130689">
      <w:pPr>
        <w:pStyle w:val="Heading4"/>
      </w:pPr>
      <w:r>
        <w:t>C11</w:t>
      </w:r>
      <w:r>
        <w:tab/>
        <w:t>Tax on funded superannuation lump sums</w:t>
      </w:r>
    </w:p>
    <w:p w14:paraId="7BB77DF9"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08F3741" w14:textId="77777777">
        <w:trPr>
          <w:cantSplit/>
          <w:jc w:val="center"/>
        </w:trPr>
        <w:tc>
          <w:tcPr>
            <w:tcW w:w="967" w:type="dxa"/>
            <w:tcBorders>
              <w:top w:val="single" w:sz="2" w:space="0" w:color="auto"/>
              <w:bottom w:val="single" w:sz="2" w:space="0" w:color="auto"/>
            </w:tcBorders>
          </w:tcPr>
          <w:p w14:paraId="4968A59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EA4FC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831CB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F257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611B9F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118BEE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60AA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070C055" w14:textId="77777777" w:rsidR="006E40C9" w:rsidRDefault="006E40C9">
            <w:pPr>
              <w:pStyle w:val="MeasureTableTextRightAligned"/>
            </w:pPr>
            <w:r>
              <w:t>2027-28</w:t>
            </w:r>
          </w:p>
        </w:tc>
      </w:tr>
      <w:tr w:rsidR="006E40C9" w14:paraId="158DB231" w14:textId="77777777">
        <w:trPr>
          <w:cantSplit/>
          <w:jc w:val="center"/>
        </w:trPr>
        <w:tc>
          <w:tcPr>
            <w:tcW w:w="967" w:type="dxa"/>
            <w:tcBorders>
              <w:top w:val="single" w:sz="2" w:space="0" w:color="auto"/>
              <w:bottom w:val="single" w:sz="2" w:space="0" w:color="auto"/>
            </w:tcBorders>
          </w:tcPr>
          <w:p w14:paraId="114758D6" w14:textId="77777777" w:rsidR="006E40C9" w:rsidRDefault="006E40C9">
            <w:pPr>
              <w:pStyle w:val="MeasureTableTextRightAligned"/>
            </w:pPr>
            <w:r>
              <w:t>-520</w:t>
            </w:r>
          </w:p>
        </w:tc>
        <w:tc>
          <w:tcPr>
            <w:tcW w:w="967" w:type="dxa"/>
            <w:tcBorders>
              <w:top w:val="single" w:sz="2" w:space="0" w:color="auto"/>
              <w:bottom w:val="single" w:sz="2" w:space="0" w:color="auto"/>
            </w:tcBorders>
          </w:tcPr>
          <w:p w14:paraId="7927CCC3" w14:textId="77777777" w:rsidR="006E40C9" w:rsidRDefault="006E40C9">
            <w:pPr>
              <w:pStyle w:val="MeasureTableTextRightAligned"/>
            </w:pPr>
            <w:r>
              <w:t>-520</w:t>
            </w:r>
          </w:p>
        </w:tc>
        <w:tc>
          <w:tcPr>
            <w:tcW w:w="967" w:type="dxa"/>
            <w:tcBorders>
              <w:top w:val="single" w:sz="2" w:space="0" w:color="auto"/>
              <w:bottom w:val="single" w:sz="2" w:space="0" w:color="auto"/>
            </w:tcBorders>
            <w:vAlign w:val="bottom"/>
          </w:tcPr>
          <w:p w14:paraId="06E73D2E" w14:textId="77777777" w:rsidR="006E40C9" w:rsidRDefault="006E40C9">
            <w:pPr>
              <w:pStyle w:val="MeasureTableTextRightAligned"/>
            </w:pPr>
            <w:r>
              <w:t>-610</w:t>
            </w:r>
          </w:p>
        </w:tc>
        <w:tc>
          <w:tcPr>
            <w:tcW w:w="967" w:type="dxa"/>
            <w:tcBorders>
              <w:top w:val="single" w:sz="2" w:space="0" w:color="auto"/>
              <w:bottom w:val="single" w:sz="2" w:space="0" w:color="auto"/>
            </w:tcBorders>
            <w:vAlign w:val="bottom"/>
          </w:tcPr>
          <w:p w14:paraId="7022D1F8"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02DE0325" w14:textId="77777777" w:rsidR="006E40C9" w:rsidRDefault="006E40C9">
            <w:pPr>
              <w:pStyle w:val="MeasureTableTextRightAligned"/>
            </w:pPr>
            <w:r>
              <w:t>-690</w:t>
            </w:r>
          </w:p>
        </w:tc>
        <w:tc>
          <w:tcPr>
            <w:tcW w:w="967" w:type="dxa"/>
            <w:gridSpan w:val="2"/>
            <w:tcBorders>
              <w:top w:val="single" w:sz="2" w:space="0" w:color="auto"/>
              <w:bottom w:val="single" w:sz="2" w:space="0" w:color="auto"/>
            </w:tcBorders>
            <w:vAlign w:val="bottom"/>
          </w:tcPr>
          <w:p w14:paraId="1A2B5339"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0B246EB4" w14:textId="77777777" w:rsidR="006E40C9" w:rsidRDefault="006E40C9">
            <w:pPr>
              <w:pStyle w:val="MeasureTableTextRightAligned"/>
            </w:pPr>
            <w:r>
              <w:t>-700</w:t>
            </w:r>
          </w:p>
        </w:tc>
        <w:tc>
          <w:tcPr>
            <w:tcW w:w="968" w:type="dxa"/>
            <w:tcBorders>
              <w:top w:val="single" w:sz="2" w:space="0" w:color="auto"/>
              <w:bottom w:val="single" w:sz="2" w:space="0" w:color="auto"/>
            </w:tcBorders>
            <w:vAlign w:val="bottom"/>
          </w:tcPr>
          <w:p w14:paraId="0FB7B454" w14:textId="77777777" w:rsidR="006E40C9" w:rsidRDefault="006E40C9">
            <w:pPr>
              <w:pStyle w:val="MeasureTableTextRightAligned"/>
            </w:pPr>
            <w:r>
              <w:t>-700</w:t>
            </w:r>
          </w:p>
        </w:tc>
      </w:tr>
      <w:tr w:rsidR="006E40C9" w14:paraId="62959DCD" w14:textId="77777777">
        <w:trPr>
          <w:cantSplit/>
          <w:jc w:val="center"/>
        </w:trPr>
        <w:tc>
          <w:tcPr>
            <w:tcW w:w="1934" w:type="dxa"/>
            <w:gridSpan w:val="2"/>
            <w:tcBorders>
              <w:top w:val="single" w:sz="2" w:space="0" w:color="auto"/>
              <w:bottom w:val="nil"/>
            </w:tcBorders>
          </w:tcPr>
          <w:p w14:paraId="77F9B3B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16FD92E"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7AEB9CFD" w14:textId="28FDA2B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F2899A" w14:textId="77777777" w:rsidR="006E40C9" w:rsidRDefault="006E40C9">
            <w:pPr>
              <w:pStyle w:val="MeasureTableTextLeftAligned"/>
            </w:pPr>
            <w:r>
              <w:t>C11</w:t>
            </w:r>
          </w:p>
        </w:tc>
      </w:tr>
      <w:tr w:rsidR="006E40C9" w14:paraId="6F02E748" w14:textId="77777777">
        <w:trPr>
          <w:cantSplit/>
          <w:jc w:val="center"/>
        </w:trPr>
        <w:tc>
          <w:tcPr>
            <w:tcW w:w="1934" w:type="dxa"/>
            <w:gridSpan w:val="2"/>
            <w:tcBorders>
              <w:top w:val="nil"/>
              <w:bottom w:val="nil"/>
            </w:tcBorders>
          </w:tcPr>
          <w:p w14:paraId="20D3BEE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4F804D" w14:textId="77777777" w:rsidR="006E40C9" w:rsidRPr="00584CA7" w:rsidRDefault="006E40C9">
            <w:pPr>
              <w:pStyle w:val="MeasureTableTextLeftAligned"/>
            </w:pPr>
            <w:r>
              <w:t>Low</w:t>
            </w:r>
          </w:p>
        </w:tc>
        <w:tc>
          <w:tcPr>
            <w:tcW w:w="1500" w:type="dxa"/>
            <w:gridSpan w:val="2"/>
            <w:tcBorders>
              <w:top w:val="nil"/>
              <w:bottom w:val="nil"/>
            </w:tcBorders>
          </w:tcPr>
          <w:p w14:paraId="62FA08C0" w14:textId="77777777" w:rsidR="006E40C9" w:rsidRDefault="006E40C9">
            <w:pPr>
              <w:pStyle w:val="MeasureTableTextItalic"/>
            </w:pPr>
          </w:p>
        </w:tc>
        <w:tc>
          <w:tcPr>
            <w:tcW w:w="1124" w:type="dxa"/>
            <w:gridSpan w:val="2"/>
            <w:tcBorders>
              <w:top w:val="nil"/>
              <w:bottom w:val="nil"/>
            </w:tcBorders>
          </w:tcPr>
          <w:p w14:paraId="2D2E947A" w14:textId="77777777" w:rsidR="006E40C9" w:rsidRDefault="006E40C9">
            <w:pPr>
              <w:pStyle w:val="MeasureTableTextLeftAligned"/>
            </w:pPr>
          </w:p>
        </w:tc>
      </w:tr>
      <w:tr w:rsidR="006E40C9" w14:paraId="5E3960C2" w14:textId="77777777">
        <w:trPr>
          <w:cantSplit/>
          <w:jc w:val="center"/>
        </w:trPr>
        <w:tc>
          <w:tcPr>
            <w:tcW w:w="1934" w:type="dxa"/>
            <w:gridSpan w:val="2"/>
            <w:tcBorders>
              <w:top w:val="nil"/>
              <w:bottom w:val="nil"/>
            </w:tcBorders>
          </w:tcPr>
          <w:p w14:paraId="5D6FA2A0" w14:textId="77777777" w:rsidR="006E40C9" w:rsidRDefault="006E40C9">
            <w:pPr>
              <w:pStyle w:val="MeasureTableTextItalic"/>
            </w:pPr>
            <w:r>
              <w:t>Commencement date:</w:t>
            </w:r>
          </w:p>
        </w:tc>
        <w:tc>
          <w:tcPr>
            <w:tcW w:w="3179" w:type="dxa"/>
            <w:gridSpan w:val="4"/>
            <w:tcBorders>
              <w:top w:val="nil"/>
              <w:bottom w:val="nil"/>
            </w:tcBorders>
          </w:tcPr>
          <w:p w14:paraId="1EBEBC81" w14:textId="77777777" w:rsidR="006E40C9" w:rsidRDefault="006E40C9">
            <w:pPr>
              <w:pStyle w:val="MeasureTableTextLeftAligned"/>
            </w:pPr>
            <w:r>
              <w:t>Introduced before 1985</w:t>
            </w:r>
          </w:p>
        </w:tc>
        <w:tc>
          <w:tcPr>
            <w:tcW w:w="1500" w:type="dxa"/>
            <w:gridSpan w:val="2"/>
            <w:tcBorders>
              <w:top w:val="nil"/>
              <w:bottom w:val="nil"/>
            </w:tcBorders>
          </w:tcPr>
          <w:p w14:paraId="16525551" w14:textId="77777777" w:rsidR="006E40C9" w:rsidRPr="00F32057" w:rsidRDefault="006E40C9">
            <w:pPr>
              <w:pStyle w:val="MeasureTableTextItalic"/>
            </w:pPr>
            <w:r>
              <w:t>Expiry date:</w:t>
            </w:r>
          </w:p>
        </w:tc>
        <w:tc>
          <w:tcPr>
            <w:tcW w:w="1124" w:type="dxa"/>
            <w:gridSpan w:val="2"/>
            <w:tcBorders>
              <w:top w:val="nil"/>
              <w:bottom w:val="nil"/>
            </w:tcBorders>
          </w:tcPr>
          <w:p w14:paraId="6F9FBD98" w14:textId="77777777" w:rsidR="006E40C9" w:rsidRPr="00F32057" w:rsidRDefault="006E40C9">
            <w:pPr>
              <w:pStyle w:val="MeasureTableTextLeftAligned"/>
            </w:pPr>
          </w:p>
        </w:tc>
      </w:tr>
      <w:tr w:rsidR="006E40C9" w14:paraId="2A3D5728" w14:textId="77777777">
        <w:trPr>
          <w:cantSplit/>
          <w:jc w:val="center"/>
        </w:trPr>
        <w:tc>
          <w:tcPr>
            <w:tcW w:w="1934" w:type="dxa"/>
            <w:gridSpan w:val="2"/>
            <w:tcBorders>
              <w:top w:val="nil"/>
            </w:tcBorders>
          </w:tcPr>
          <w:p w14:paraId="5A41EC15" w14:textId="77777777" w:rsidR="006E40C9" w:rsidRDefault="006E40C9">
            <w:pPr>
              <w:pStyle w:val="MeasureTableTextItalic"/>
            </w:pPr>
            <w:r>
              <w:t>Legislative reference:</w:t>
            </w:r>
          </w:p>
        </w:tc>
        <w:tc>
          <w:tcPr>
            <w:tcW w:w="5803" w:type="dxa"/>
            <w:gridSpan w:val="8"/>
            <w:tcBorders>
              <w:top w:val="nil"/>
            </w:tcBorders>
          </w:tcPr>
          <w:p w14:paraId="2E0ADA4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Divisions 301, 302 and 307 and Part 3-30 of the </w:t>
            </w:r>
            <w:r>
              <w:rPr>
                <w:rFonts w:ascii="Arial" w:hAnsi="Arial" w:cs="Arial"/>
                <w:i/>
                <w:iCs/>
                <w:color w:val="000000"/>
                <w:sz w:val="16"/>
                <w:szCs w:val="16"/>
              </w:rPr>
              <w:t>Income Tax Assessment Act 1997</w:t>
            </w:r>
            <w:r>
              <w:rPr>
                <w:rFonts w:ascii="Arial" w:hAnsi="Arial" w:cs="Arial"/>
                <w:i/>
                <w:iCs/>
                <w:color w:val="000000"/>
                <w:sz w:val="16"/>
                <w:szCs w:val="16"/>
              </w:rPr>
              <w:br/>
            </w:r>
            <w:r>
              <w:rPr>
                <w:rFonts w:ascii="Arial" w:hAnsi="Arial" w:cs="Arial"/>
                <w:color w:val="000000"/>
                <w:sz w:val="16"/>
                <w:szCs w:val="16"/>
              </w:rPr>
              <w:t xml:space="preserve">Part 3-30 of the </w:t>
            </w:r>
            <w:r>
              <w:rPr>
                <w:rFonts w:ascii="Arial" w:hAnsi="Arial" w:cs="Arial"/>
                <w:i/>
                <w:iCs/>
                <w:color w:val="000000"/>
                <w:sz w:val="16"/>
                <w:szCs w:val="16"/>
              </w:rPr>
              <w:t>Income Tax (Transitional Provisions) Act 1997</w:t>
            </w:r>
          </w:p>
          <w:p w14:paraId="7164271C"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Superannuation (Departing Australia Superannuation Payments Tax) Act 2007</w:t>
            </w:r>
          </w:p>
        </w:tc>
      </w:tr>
    </w:tbl>
    <w:p w14:paraId="0E456849" w14:textId="77777777" w:rsidR="006E40C9" w:rsidRPr="00540040" w:rsidRDefault="006E40C9" w:rsidP="006E40C9">
      <w:pPr>
        <w:pStyle w:val="MeasureTableHeading"/>
      </w:pPr>
    </w:p>
    <w:p w14:paraId="17BE6854" w14:textId="098781C9" w:rsidR="006E40C9" w:rsidRDefault="006E40C9" w:rsidP="006E40C9">
      <w:r>
        <w:t xml:space="preserve">Under the benchmark, superannuation benefits are generally tax free. As such, taxes raised on lump sum payments from superannuation result in a negative tax expenditure. </w:t>
      </w:r>
    </w:p>
    <w:p w14:paraId="7EB50DA4" w14:textId="1B8C5504" w:rsidR="006E40C9" w:rsidRDefault="006E40C9" w:rsidP="006E40C9">
      <w:r>
        <w:t>The taxable component of lump sums paid from a taxed fund is tax free for a person aged 60 or over</w:t>
      </w:r>
      <w:r w:rsidDel="00BC4C07">
        <w:t>.</w:t>
      </w:r>
      <w:r w:rsidDel="006A3A11">
        <w:t xml:space="preserve"> </w:t>
      </w:r>
      <w:r>
        <w:t xml:space="preserve">For a person below preservation age a maximum tax rate of 20 per cent applies. </w:t>
      </w:r>
    </w:p>
    <w:p w14:paraId="02D95673" w14:textId="71A63678" w:rsidR="006E40C9" w:rsidRDefault="006E40C9" w:rsidP="006E40C9">
      <w:r>
        <w:t>The taxable component of lump sums paid from untaxed funds to persons aged 60 or over is taxed at a maximum rate of 15 per cent up to the untaxed plan cap (indexed) and at the top marginal rate thereafter. For persons under preservation age the tax rate is up to 30 per cent up to the untaxed plan cap and at the top marginal rate thereafter.</w:t>
      </w:r>
    </w:p>
    <w:p w14:paraId="66D635A5" w14:textId="77777777" w:rsidR="006E40C9" w:rsidRDefault="006E40C9" w:rsidP="006E40C9">
      <w:r>
        <w:t>Special arrangements apply to lump sums paid to certain temporary residents who have departed Australia, with the taxed and untaxed elements of the taxable component subject to a tax rate of 35 per cent and 45 per cent respectively. A tax rate of 65 per cent applies to the taxable component of lump sums paid to temporary residents who held working holiday maker visas.</w:t>
      </w:r>
    </w:p>
    <w:p w14:paraId="42D4D9CE" w14:textId="77777777" w:rsidR="006E40C9" w:rsidRDefault="006E40C9" w:rsidP="006E40C9">
      <w:r>
        <w:t>While lump sum death benefits paid to dependents are tax free, death benefit payments to non</w:t>
      </w:r>
      <w:r>
        <w:noBreakHyphen/>
        <w:t xml:space="preserve">dependants are taxed at a maximum rate of 15 per cent where paid from a taxed source and a maximum rate of 30 per cent where paid from an untaxed source. </w:t>
      </w:r>
    </w:p>
    <w:p w14:paraId="7AB47CAA" w14:textId="10848665" w:rsidR="006E40C9" w:rsidRDefault="006E40C9" w:rsidP="006E40C9">
      <w:r>
        <w:t xml:space="preserve">Lump sums paid from life insurance proceeds are taxed as a death benefit. Lump sums paid from </w:t>
      </w:r>
      <w:r>
        <w:rPr>
          <w:color w:val="000000"/>
        </w:rPr>
        <w:t>total and permanent disability (</w:t>
      </w:r>
      <w:r>
        <w:t>TPD) insurance proceeds are taxed as standard lump sums, with the rate depending on the component, the age of the individual and the amount.</w:t>
      </w:r>
    </w:p>
    <w:p w14:paraId="791F74E0" w14:textId="77777777" w:rsidR="006E40C9" w:rsidRDefault="006E40C9" w:rsidP="006E40C9">
      <w:r>
        <w:t xml:space="preserve">Lump sums released under the First Home Super Saver Scheme are generally taxed at the individual’s marginal tax rate less a 30 per cent offset. </w:t>
      </w:r>
    </w:p>
    <w:p w14:paraId="46D39D9A" w14:textId="7C9615B3" w:rsidR="006E40C9" w:rsidRDefault="006E40C9" w:rsidP="006E40C9">
      <w:r>
        <w:t>Lump sums paid under the temporary coronavirus compassionate ground of early release were tax free. Applications for early release under these grounds closed on 31</w:t>
      </w:r>
      <w:r w:rsidR="00B76C90">
        <w:t> </w:t>
      </w:r>
      <w:r>
        <w:t xml:space="preserve">December 2020. </w:t>
      </w:r>
      <w:r>
        <w:fldChar w:fldCharType="begin"/>
      </w:r>
      <w:r>
        <w:instrText xml:space="preserve"> XE "</w:instrText>
      </w:r>
      <w:r w:rsidRPr="00EE46AD">
        <w:instrText>Superannuation:Funded lump sums</w:instrText>
      </w:r>
      <w:r>
        <w:instrText xml:space="preserve">" </w:instrText>
      </w:r>
      <w:r>
        <w:fldChar w:fldCharType="end"/>
      </w:r>
    </w:p>
    <w:p w14:paraId="3F51E9E6" w14:textId="77777777" w:rsidR="006E40C9" w:rsidRDefault="006E40C9" w:rsidP="00D9255A">
      <w:pPr>
        <w:pStyle w:val="Heading3"/>
      </w:pPr>
      <w:r>
        <w:t>Tax expenditures for other economic affairs</w:t>
      </w:r>
    </w:p>
    <w:p w14:paraId="4486E4EF" w14:textId="77777777" w:rsidR="006E40C9" w:rsidRDefault="006E40C9" w:rsidP="00130689">
      <w:pPr>
        <w:pStyle w:val="Heading4"/>
      </w:pPr>
      <w:r>
        <w:t>C12</w:t>
      </w:r>
      <w:r>
        <w:tab/>
        <w:t>Exemption for small business assets held for more than 15 years</w:t>
      </w:r>
    </w:p>
    <w:p w14:paraId="06099080" w14:textId="5D32893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42F2688" w14:textId="77777777">
        <w:trPr>
          <w:cantSplit/>
          <w:jc w:val="center"/>
        </w:trPr>
        <w:tc>
          <w:tcPr>
            <w:tcW w:w="967" w:type="dxa"/>
            <w:tcBorders>
              <w:top w:val="single" w:sz="2" w:space="0" w:color="auto"/>
              <w:bottom w:val="single" w:sz="2" w:space="0" w:color="auto"/>
            </w:tcBorders>
          </w:tcPr>
          <w:p w14:paraId="37F932A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18F4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62152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3D3577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DCF03D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9D3FF6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F96B8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9F0FD5" w14:textId="77777777" w:rsidR="006E40C9" w:rsidRDefault="006E40C9">
            <w:pPr>
              <w:pStyle w:val="MeasureTableTextRightAligned"/>
            </w:pPr>
            <w:r>
              <w:t>2027-28</w:t>
            </w:r>
          </w:p>
        </w:tc>
      </w:tr>
      <w:tr w:rsidR="006E40C9" w14:paraId="1B6A47FB" w14:textId="77777777">
        <w:trPr>
          <w:cantSplit/>
          <w:jc w:val="center"/>
        </w:trPr>
        <w:tc>
          <w:tcPr>
            <w:tcW w:w="967" w:type="dxa"/>
            <w:tcBorders>
              <w:top w:val="single" w:sz="2" w:space="0" w:color="auto"/>
              <w:bottom w:val="single" w:sz="2" w:space="0" w:color="auto"/>
            </w:tcBorders>
          </w:tcPr>
          <w:p w14:paraId="7FE62C88" w14:textId="77777777" w:rsidR="006E40C9" w:rsidRDefault="006E40C9">
            <w:pPr>
              <w:pStyle w:val="MeasureTableTextRightAligned"/>
            </w:pPr>
            <w:r>
              <w:t>560</w:t>
            </w:r>
          </w:p>
        </w:tc>
        <w:tc>
          <w:tcPr>
            <w:tcW w:w="967" w:type="dxa"/>
            <w:tcBorders>
              <w:top w:val="single" w:sz="2" w:space="0" w:color="auto"/>
              <w:bottom w:val="single" w:sz="2" w:space="0" w:color="auto"/>
            </w:tcBorders>
          </w:tcPr>
          <w:p w14:paraId="3C476AA6"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1AD324EB" w14:textId="77777777" w:rsidR="006E40C9" w:rsidRDefault="006E40C9">
            <w:pPr>
              <w:pStyle w:val="MeasureTableTextRightAligned"/>
            </w:pPr>
            <w:r>
              <w:t>1,330</w:t>
            </w:r>
          </w:p>
        </w:tc>
        <w:tc>
          <w:tcPr>
            <w:tcW w:w="967" w:type="dxa"/>
            <w:tcBorders>
              <w:top w:val="single" w:sz="2" w:space="0" w:color="auto"/>
              <w:bottom w:val="single" w:sz="2" w:space="0" w:color="auto"/>
            </w:tcBorders>
            <w:vAlign w:val="bottom"/>
          </w:tcPr>
          <w:p w14:paraId="313C1135" w14:textId="77777777" w:rsidR="006E40C9" w:rsidRDefault="006E40C9">
            <w:pPr>
              <w:pStyle w:val="MeasureTableTextRightAligned"/>
            </w:pPr>
            <w:r>
              <w:t>1,320</w:t>
            </w:r>
          </w:p>
        </w:tc>
        <w:tc>
          <w:tcPr>
            <w:tcW w:w="967" w:type="dxa"/>
            <w:tcBorders>
              <w:top w:val="single" w:sz="2" w:space="0" w:color="auto"/>
              <w:bottom w:val="single" w:sz="2" w:space="0" w:color="auto"/>
            </w:tcBorders>
            <w:vAlign w:val="bottom"/>
          </w:tcPr>
          <w:p w14:paraId="686CDCD1" w14:textId="77777777" w:rsidR="006E40C9" w:rsidRDefault="006E40C9">
            <w:pPr>
              <w:pStyle w:val="MeasureTableTextRightAligned"/>
            </w:pPr>
            <w:r>
              <w:t>1,020</w:t>
            </w:r>
          </w:p>
        </w:tc>
        <w:tc>
          <w:tcPr>
            <w:tcW w:w="967" w:type="dxa"/>
            <w:gridSpan w:val="2"/>
            <w:tcBorders>
              <w:top w:val="single" w:sz="2" w:space="0" w:color="auto"/>
              <w:bottom w:val="single" w:sz="2" w:space="0" w:color="auto"/>
            </w:tcBorders>
            <w:vAlign w:val="bottom"/>
          </w:tcPr>
          <w:p w14:paraId="33603177" w14:textId="77777777" w:rsidR="006E40C9" w:rsidRDefault="006E40C9">
            <w:pPr>
              <w:pStyle w:val="MeasureTableTextRightAligned"/>
            </w:pPr>
            <w:r>
              <w:t>1,020</w:t>
            </w:r>
          </w:p>
        </w:tc>
        <w:tc>
          <w:tcPr>
            <w:tcW w:w="967" w:type="dxa"/>
            <w:gridSpan w:val="2"/>
            <w:tcBorders>
              <w:top w:val="single" w:sz="2" w:space="0" w:color="auto"/>
              <w:bottom w:val="single" w:sz="2" w:space="0" w:color="auto"/>
            </w:tcBorders>
            <w:vAlign w:val="bottom"/>
          </w:tcPr>
          <w:p w14:paraId="0C567F85" w14:textId="77777777" w:rsidR="006E40C9" w:rsidRDefault="006E40C9">
            <w:pPr>
              <w:pStyle w:val="MeasureTableTextRightAligned"/>
            </w:pPr>
            <w:r>
              <w:t>1,020</w:t>
            </w:r>
          </w:p>
        </w:tc>
        <w:tc>
          <w:tcPr>
            <w:tcW w:w="968" w:type="dxa"/>
            <w:tcBorders>
              <w:top w:val="single" w:sz="2" w:space="0" w:color="auto"/>
              <w:bottom w:val="single" w:sz="2" w:space="0" w:color="auto"/>
            </w:tcBorders>
            <w:vAlign w:val="bottom"/>
          </w:tcPr>
          <w:p w14:paraId="6D66CA42" w14:textId="77777777" w:rsidR="006E40C9" w:rsidRDefault="006E40C9">
            <w:pPr>
              <w:pStyle w:val="MeasureTableTextRightAligned"/>
            </w:pPr>
            <w:r>
              <w:t>1,020</w:t>
            </w:r>
          </w:p>
        </w:tc>
      </w:tr>
      <w:tr w:rsidR="006E40C9" w14:paraId="7BC6B295" w14:textId="77777777">
        <w:trPr>
          <w:cantSplit/>
          <w:jc w:val="center"/>
        </w:trPr>
        <w:tc>
          <w:tcPr>
            <w:tcW w:w="1934" w:type="dxa"/>
            <w:gridSpan w:val="2"/>
            <w:tcBorders>
              <w:top w:val="single" w:sz="2" w:space="0" w:color="auto"/>
              <w:bottom w:val="nil"/>
            </w:tcBorders>
          </w:tcPr>
          <w:p w14:paraId="5758215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046A3C" w14:textId="77777777" w:rsidR="006E40C9" w:rsidRDefault="006E40C9">
            <w:pPr>
              <w:pStyle w:val="MeasureTableTextLeftAligned"/>
            </w:pPr>
            <w:r>
              <w:t>Exemption</w:t>
            </w:r>
          </w:p>
        </w:tc>
        <w:tc>
          <w:tcPr>
            <w:tcW w:w="1500" w:type="dxa"/>
            <w:gridSpan w:val="2"/>
            <w:tcBorders>
              <w:top w:val="single" w:sz="2" w:space="0" w:color="auto"/>
              <w:bottom w:val="nil"/>
            </w:tcBorders>
          </w:tcPr>
          <w:p w14:paraId="236C7942" w14:textId="208BEFA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3749D64" w14:textId="77777777" w:rsidR="006E40C9" w:rsidRDefault="006E40C9">
            <w:pPr>
              <w:pStyle w:val="MeasureTableTextLeftAligned"/>
            </w:pPr>
            <w:r>
              <w:t>C12</w:t>
            </w:r>
          </w:p>
        </w:tc>
      </w:tr>
      <w:tr w:rsidR="006E40C9" w14:paraId="5834F2AF" w14:textId="77777777">
        <w:trPr>
          <w:cantSplit/>
          <w:jc w:val="center"/>
        </w:trPr>
        <w:tc>
          <w:tcPr>
            <w:tcW w:w="1934" w:type="dxa"/>
            <w:gridSpan w:val="2"/>
            <w:tcBorders>
              <w:top w:val="nil"/>
              <w:bottom w:val="nil"/>
            </w:tcBorders>
          </w:tcPr>
          <w:p w14:paraId="10BDF3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22967C4" w14:textId="77777777" w:rsidR="006E40C9" w:rsidRPr="00584CA7" w:rsidRDefault="006E40C9">
            <w:pPr>
              <w:pStyle w:val="MeasureTableTextLeftAligned"/>
            </w:pPr>
            <w:r>
              <w:t>Medium</w:t>
            </w:r>
          </w:p>
        </w:tc>
        <w:tc>
          <w:tcPr>
            <w:tcW w:w="1500" w:type="dxa"/>
            <w:gridSpan w:val="2"/>
            <w:tcBorders>
              <w:top w:val="nil"/>
              <w:bottom w:val="nil"/>
            </w:tcBorders>
          </w:tcPr>
          <w:p w14:paraId="697EA6AA" w14:textId="77777777" w:rsidR="006E40C9" w:rsidRDefault="006E40C9">
            <w:pPr>
              <w:pStyle w:val="MeasureTableTextItalic"/>
            </w:pPr>
          </w:p>
        </w:tc>
        <w:tc>
          <w:tcPr>
            <w:tcW w:w="1124" w:type="dxa"/>
            <w:gridSpan w:val="2"/>
            <w:tcBorders>
              <w:top w:val="nil"/>
              <w:bottom w:val="nil"/>
            </w:tcBorders>
          </w:tcPr>
          <w:p w14:paraId="3ACCA724" w14:textId="77777777" w:rsidR="006E40C9" w:rsidRDefault="006E40C9">
            <w:pPr>
              <w:pStyle w:val="MeasureTableTextLeftAligned"/>
            </w:pPr>
          </w:p>
        </w:tc>
      </w:tr>
      <w:tr w:rsidR="006E40C9" w14:paraId="250A23EA" w14:textId="77777777">
        <w:trPr>
          <w:cantSplit/>
          <w:jc w:val="center"/>
        </w:trPr>
        <w:tc>
          <w:tcPr>
            <w:tcW w:w="1934" w:type="dxa"/>
            <w:gridSpan w:val="2"/>
            <w:tcBorders>
              <w:top w:val="nil"/>
              <w:bottom w:val="nil"/>
            </w:tcBorders>
          </w:tcPr>
          <w:p w14:paraId="024EFEEA" w14:textId="77777777" w:rsidR="006E40C9" w:rsidRDefault="006E40C9">
            <w:pPr>
              <w:pStyle w:val="MeasureTableTextItalic"/>
            </w:pPr>
            <w:r>
              <w:t>Commencement date:</w:t>
            </w:r>
          </w:p>
        </w:tc>
        <w:tc>
          <w:tcPr>
            <w:tcW w:w="3179" w:type="dxa"/>
            <w:gridSpan w:val="4"/>
            <w:tcBorders>
              <w:top w:val="nil"/>
              <w:bottom w:val="nil"/>
            </w:tcBorders>
          </w:tcPr>
          <w:p w14:paraId="2B961A98" w14:textId="77777777" w:rsidR="006E40C9" w:rsidRDefault="006E40C9">
            <w:pPr>
              <w:pStyle w:val="MeasureTableTextLeftAligned"/>
            </w:pPr>
            <w:r>
              <w:t>1999</w:t>
            </w:r>
          </w:p>
        </w:tc>
        <w:tc>
          <w:tcPr>
            <w:tcW w:w="1500" w:type="dxa"/>
            <w:gridSpan w:val="2"/>
            <w:tcBorders>
              <w:top w:val="nil"/>
              <w:bottom w:val="nil"/>
            </w:tcBorders>
          </w:tcPr>
          <w:p w14:paraId="38870CEB" w14:textId="77777777" w:rsidR="006E40C9" w:rsidRPr="00F32057" w:rsidRDefault="006E40C9">
            <w:pPr>
              <w:pStyle w:val="MeasureTableTextItalic"/>
            </w:pPr>
            <w:r>
              <w:t>Expiry date:</w:t>
            </w:r>
          </w:p>
        </w:tc>
        <w:tc>
          <w:tcPr>
            <w:tcW w:w="1124" w:type="dxa"/>
            <w:gridSpan w:val="2"/>
            <w:tcBorders>
              <w:top w:val="nil"/>
              <w:bottom w:val="nil"/>
            </w:tcBorders>
          </w:tcPr>
          <w:p w14:paraId="300759BB" w14:textId="77777777" w:rsidR="006E40C9" w:rsidRPr="00F32057" w:rsidRDefault="006E40C9">
            <w:pPr>
              <w:pStyle w:val="MeasureTableTextLeftAligned"/>
            </w:pPr>
          </w:p>
        </w:tc>
      </w:tr>
      <w:tr w:rsidR="006E40C9" w14:paraId="69BA75D8" w14:textId="77777777">
        <w:trPr>
          <w:cantSplit/>
          <w:jc w:val="center"/>
        </w:trPr>
        <w:tc>
          <w:tcPr>
            <w:tcW w:w="1934" w:type="dxa"/>
            <w:gridSpan w:val="2"/>
            <w:tcBorders>
              <w:top w:val="nil"/>
            </w:tcBorders>
          </w:tcPr>
          <w:p w14:paraId="11109EB4" w14:textId="77777777" w:rsidR="006E40C9" w:rsidRDefault="006E40C9">
            <w:pPr>
              <w:pStyle w:val="MeasureTableTextItalic"/>
            </w:pPr>
            <w:r>
              <w:t>Legislative reference:</w:t>
            </w:r>
          </w:p>
        </w:tc>
        <w:tc>
          <w:tcPr>
            <w:tcW w:w="5803" w:type="dxa"/>
            <w:gridSpan w:val="8"/>
            <w:tcBorders>
              <w:top w:val="nil"/>
            </w:tcBorders>
          </w:tcPr>
          <w:p w14:paraId="45A518E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152-B of the </w:t>
            </w:r>
            <w:r>
              <w:rPr>
                <w:rFonts w:ascii="Arial" w:hAnsi="Arial" w:cs="Arial"/>
                <w:i/>
                <w:iCs/>
                <w:color w:val="000000"/>
                <w:sz w:val="16"/>
                <w:szCs w:val="16"/>
              </w:rPr>
              <w:t>Income Tax Assessment Act 1997</w:t>
            </w:r>
          </w:p>
        </w:tc>
      </w:tr>
    </w:tbl>
    <w:p w14:paraId="3147C453" w14:textId="77777777" w:rsidR="006E40C9" w:rsidRPr="00540040" w:rsidRDefault="006E40C9" w:rsidP="006E40C9">
      <w:pPr>
        <w:pStyle w:val="MeasureTableHeading"/>
      </w:pPr>
    </w:p>
    <w:p w14:paraId="29436A5D" w14:textId="77777777" w:rsidR="006E40C9" w:rsidRDefault="006E40C9" w:rsidP="006E40C9">
      <w:r>
        <w:t xml:space="preserve">Under the benchmark, realised capital gains are generally assessable to taxpayers at their applicable tax rate in the year they arise. However, </w:t>
      </w:r>
      <w:r w:rsidRPr="00097B0E">
        <w:t>gains arising from the disposal of active small business assets</w:t>
      </w:r>
      <w:r>
        <w:fldChar w:fldCharType="begin"/>
      </w:r>
      <w:r>
        <w:instrText xml:space="preserve"> XE "</w:instrText>
      </w:r>
      <w:r w:rsidRPr="00091044">
        <w:instrText>Active small business assets</w:instrText>
      </w:r>
      <w:r>
        <w:instrText xml:space="preserve">" </w:instrText>
      </w:r>
      <w:r>
        <w:fldChar w:fldCharType="end"/>
      </w:r>
      <w:r w:rsidRPr="00097B0E">
        <w:t xml:space="preserve"> that have been held continuously for 15 years are exempt from capital gains tax</w:t>
      </w:r>
      <w:r>
        <w:t xml:space="preserve"> where </w:t>
      </w:r>
      <w:r w:rsidRPr="00097B0E">
        <w:t>the taxpayer is permanently incapacitated or reaches the age of 55 and retires.</w:t>
      </w:r>
      <w:r>
        <w:t xml:space="preserve"> </w:t>
      </w:r>
    </w:p>
    <w:p w14:paraId="1DDC6FE2" w14:textId="77777777" w:rsidR="00CC3F2D" w:rsidRDefault="00CC3F2D">
      <w:pPr>
        <w:spacing w:after="0" w:line="240" w:lineRule="auto"/>
        <w:jc w:val="left"/>
        <w:rPr>
          <w:rFonts w:ascii="Arial Bold" w:hAnsi="Arial Bold"/>
          <w:b/>
          <w:color w:val="000000"/>
          <w:spacing w:val="-6"/>
          <w:sz w:val="27"/>
        </w:rPr>
      </w:pPr>
      <w:r>
        <w:br w:type="page"/>
      </w:r>
    </w:p>
    <w:p w14:paraId="1A542CD5" w14:textId="77777777" w:rsidR="006E40C9" w:rsidRDefault="006E40C9" w:rsidP="003218AC">
      <w:pPr>
        <w:pStyle w:val="Heading3"/>
      </w:pPr>
      <w:bookmarkStart w:id="90" w:name="_Toc183710294"/>
      <w:r>
        <w:t>Fringe Benefits Tax</w:t>
      </w:r>
      <w:bookmarkEnd w:id="90"/>
    </w:p>
    <w:p w14:paraId="2A489FF4" w14:textId="77777777" w:rsidR="006E40C9" w:rsidRDefault="006E40C9" w:rsidP="00D9255A">
      <w:pPr>
        <w:pStyle w:val="Heading3"/>
      </w:pPr>
      <w:r>
        <w:t>Tax expenditures for public order and safety</w:t>
      </w:r>
    </w:p>
    <w:p w14:paraId="3F2D0C70" w14:textId="77777777" w:rsidR="006E40C9" w:rsidRDefault="006E40C9" w:rsidP="00130689">
      <w:pPr>
        <w:pStyle w:val="Heading4"/>
      </w:pPr>
      <w:r>
        <w:t>D1</w:t>
      </w:r>
      <w:r>
        <w:tab/>
        <w:t>Exemption for compensation-related benefits, occupational health and counselling services and some training courses</w:t>
      </w:r>
    </w:p>
    <w:p w14:paraId="3E42F263"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A9CCC8" w14:textId="77777777">
        <w:trPr>
          <w:cantSplit/>
          <w:jc w:val="center"/>
        </w:trPr>
        <w:tc>
          <w:tcPr>
            <w:tcW w:w="967" w:type="dxa"/>
            <w:tcBorders>
              <w:top w:val="single" w:sz="2" w:space="0" w:color="auto"/>
              <w:bottom w:val="single" w:sz="2" w:space="0" w:color="auto"/>
            </w:tcBorders>
          </w:tcPr>
          <w:p w14:paraId="2959A7A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820D9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4FEB6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06224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5E24F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8BCAE2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71341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E8BD10" w14:textId="77777777" w:rsidR="006E40C9" w:rsidRDefault="006E40C9">
            <w:pPr>
              <w:pStyle w:val="MeasureTableTextRightAligned"/>
            </w:pPr>
            <w:r>
              <w:t>2027-28</w:t>
            </w:r>
          </w:p>
        </w:tc>
      </w:tr>
      <w:tr w:rsidR="006E40C9" w14:paraId="64E76F9D" w14:textId="77777777">
        <w:trPr>
          <w:cantSplit/>
          <w:jc w:val="center"/>
        </w:trPr>
        <w:tc>
          <w:tcPr>
            <w:tcW w:w="967" w:type="dxa"/>
            <w:tcBorders>
              <w:top w:val="single" w:sz="2" w:space="0" w:color="auto"/>
              <w:bottom w:val="single" w:sz="2" w:space="0" w:color="auto"/>
            </w:tcBorders>
          </w:tcPr>
          <w:p w14:paraId="7221D072"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46A3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01B38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505AA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B22C4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5A875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083C0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F39D53" w14:textId="77777777" w:rsidR="006E40C9" w:rsidRDefault="006E40C9">
            <w:pPr>
              <w:pStyle w:val="MeasureTableTextRightAligned"/>
            </w:pPr>
            <w:r>
              <w:t>*</w:t>
            </w:r>
          </w:p>
        </w:tc>
      </w:tr>
      <w:tr w:rsidR="006E40C9" w14:paraId="17B2286B" w14:textId="77777777">
        <w:trPr>
          <w:cantSplit/>
          <w:jc w:val="center"/>
        </w:trPr>
        <w:tc>
          <w:tcPr>
            <w:tcW w:w="1934" w:type="dxa"/>
            <w:gridSpan w:val="2"/>
            <w:tcBorders>
              <w:top w:val="single" w:sz="2" w:space="0" w:color="auto"/>
              <w:bottom w:val="nil"/>
            </w:tcBorders>
          </w:tcPr>
          <w:p w14:paraId="1DB1BA8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4E3E89" w14:textId="77777777" w:rsidR="006E40C9" w:rsidRDefault="006E40C9">
            <w:pPr>
              <w:pStyle w:val="MeasureTableTextLeftAligned"/>
            </w:pPr>
            <w:r>
              <w:t>Exemption</w:t>
            </w:r>
          </w:p>
        </w:tc>
        <w:tc>
          <w:tcPr>
            <w:tcW w:w="1500" w:type="dxa"/>
            <w:gridSpan w:val="2"/>
            <w:tcBorders>
              <w:top w:val="single" w:sz="2" w:space="0" w:color="auto"/>
              <w:bottom w:val="nil"/>
            </w:tcBorders>
          </w:tcPr>
          <w:p w14:paraId="42C1F805" w14:textId="51CE45A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654A106" w14:textId="77777777" w:rsidR="006E40C9" w:rsidRDefault="006E40C9">
            <w:pPr>
              <w:pStyle w:val="MeasureTableTextLeftAligned"/>
            </w:pPr>
            <w:r>
              <w:t>D1</w:t>
            </w:r>
          </w:p>
        </w:tc>
      </w:tr>
      <w:tr w:rsidR="006E40C9" w14:paraId="2ABA3F5D" w14:textId="77777777">
        <w:trPr>
          <w:cantSplit/>
          <w:jc w:val="center"/>
        </w:trPr>
        <w:tc>
          <w:tcPr>
            <w:tcW w:w="1934" w:type="dxa"/>
            <w:gridSpan w:val="2"/>
            <w:tcBorders>
              <w:top w:val="nil"/>
              <w:bottom w:val="nil"/>
            </w:tcBorders>
          </w:tcPr>
          <w:p w14:paraId="28C53E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EA66DE" w14:textId="77777777" w:rsidR="006E40C9" w:rsidRPr="00584CA7" w:rsidRDefault="006E40C9">
            <w:pPr>
              <w:pStyle w:val="MeasureTableTextLeftAligned"/>
            </w:pPr>
            <w:r>
              <w:t>Not Applicable</w:t>
            </w:r>
          </w:p>
        </w:tc>
        <w:tc>
          <w:tcPr>
            <w:tcW w:w="1500" w:type="dxa"/>
            <w:gridSpan w:val="2"/>
            <w:tcBorders>
              <w:top w:val="nil"/>
              <w:bottom w:val="nil"/>
            </w:tcBorders>
          </w:tcPr>
          <w:p w14:paraId="08792CF1" w14:textId="77777777" w:rsidR="006E40C9" w:rsidRDefault="006E40C9">
            <w:pPr>
              <w:pStyle w:val="MeasureTableTextItalic"/>
            </w:pPr>
            <w:r>
              <w:t>* Category</w:t>
            </w:r>
          </w:p>
        </w:tc>
        <w:tc>
          <w:tcPr>
            <w:tcW w:w="1124" w:type="dxa"/>
            <w:gridSpan w:val="2"/>
            <w:tcBorders>
              <w:top w:val="nil"/>
              <w:bottom w:val="nil"/>
            </w:tcBorders>
          </w:tcPr>
          <w:p w14:paraId="2BBDC84F" w14:textId="77777777" w:rsidR="006E40C9" w:rsidRDefault="006E40C9">
            <w:pPr>
              <w:pStyle w:val="MeasureTableTextLeftAligned"/>
            </w:pPr>
            <w:r>
              <w:t>3+</w:t>
            </w:r>
          </w:p>
        </w:tc>
      </w:tr>
      <w:tr w:rsidR="006E40C9" w14:paraId="76797432" w14:textId="77777777">
        <w:trPr>
          <w:cantSplit/>
          <w:jc w:val="center"/>
        </w:trPr>
        <w:tc>
          <w:tcPr>
            <w:tcW w:w="1934" w:type="dxa"/>
            <w:gridSpan w:val="2"/>
            <w:tcBorders>
              <w:top w:val="nil"/>
              <w:bottom w:val="nil"/>
            </w:tcBorders>
          </w:tcPr>
          <w:p w14:paraId="461DA342" w14:textId="77777777" w:rsidR="006E40C9" w:rsidRDefault="006E40C9">
            <w:pPr>
              <w:pStyle w:val="MeasureTableTextItalic"/>
            </w:pPr>
            <w:r>
              <w:t>Commencement date:</w:t>
            </w:r>
          </w:p>
        </w:tc>
        <w:tc>
          <w:tcPr>
            <w:tcW w:w="3179" w:type="dxa"/>
            <w:gridSpan w:val="4"/>
            <w:tcBorders>
              <w:top w:val="nil"/>
              <w:bottom w:val="nil"/>
            </w:tcBorders>
          </w:tcPr>
          <w:p w14:paraId="7A0CF7F6" w14:textId="77777777" w:rsidR="006E40C9" w:rsidRDefault="006E40C9">
            <w:pPr>
              <w:pStyle w:val="MeasureTableTextLeftAligned"/>
            </w:pPr>
            <w:r>
              <w:t>1986</w:t>
            </w:r>
          </w:p>
        </w:tc>
        <w:tc>
          <w:tcPr>
            <w:tcW w:w="1500" w:type="dxa"/>
            <w:gridSpan w:val="2"/>
            <w:tcBorders>
              <w:top w:val="nil"/>
              <w:bottom w:val="nil"/>
            </w:tcBorders>
          </w:tcPr>
          <w:p w14:paraId="5E91822A" w14:textId="77777777" w:rsidR="006E40C9" w:rsidRPr="00F32057" w:rsidRDefault="006E40C9">
            <w:pPr>
              <w:pStyle w:val="MeasureTableTextItalic"/>
            </w:pPr>
            <w:r>
              <w:t>Expiry date:</w:t>
            </w:r>
          </w:p>
        </w:tc>
        <w:tc>
          <w:tcPr>
            <w:tcW w:w="1124" w:type="dxa"/>
            <w:gridSpan w:val="2"/>
            <w:tcBorders>
              <w:top w:val="nil"/>
              <w:bottom w:val="nil"/>
            </w:tcBorders>
          </w:tcPr>
          <w:p w14:paraId="0F3B7162" w14:textId="77777777" w:rsidR="006E40C9" w:rsidRPr="00F32057" w:rsidRDefault="006E40C9">
            <w:pPr>
              <w:pStyle w:val="MeasureTableTextLeftAligned"/>
            </w:pPr>
          </w:p>
        </w:tc>
      </w:tr>
      <w:tr w:rsidR="006E40C9" w14:paraId="0C002704" w14:textId="77777777">
        <w:trPr>
          <w:cantSplit/>
          <w:jc w:val="center"/>
        </w:trPr>
        <w:tc>
          <w:tcPr>
            <w:tcW w:w="1934" w:type="dxa"/>
            <w:gridSpan w:val="2"/>
            <w:tcBorders>
              <w:top w:val="nil"/>
            </w:tcBorders>
          </w:tcPr>
          <w:p w14:paraId="2C6B99D3" w14:textId="77777777" w:rsidR="006E40C9" w:rsidRDefault="006E40C9">
            <w:pPr>
              <w:pStyle w:val="MeasureTableTextItalic"/>
            </w:pPr>
            <w:r>
              <w:t>Legislative reference:</w:t>
            </w:r>
          </w:p>
        </w:tc>
        <w:tc>
          <w:tcPr>
            <w:tcW w:w="5803" w:type="dxa"/>
            <w:gridSpan w:val="8"/>
            <w:tcBorders>
              <w:top w:val="nil"/>
            </w:tcBorders>
          </w:tcPr>
          <w:p w14:paraId="36F910A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58J, 58K and 58M of the</w:t>
            </w:r>
            <w:r>
              <w:rPr>
                <w:rFonts w:ascii="Arial" w:hAnsi="Arial" w:cs="Arial"/>
                <w:i/>
                <w:iCs/>
                <w:color w:val="000000"/>
                <w:sz w:val="16"/>
                <w:szCs w:val="16"/>
              </w:rPr>
              <w:t xml:space="preserve"> Fringe Benefits Tax Assessment Act 1986</w:t>
            </w:r>
          </w:p>
        </w:tc>
      </w:tr>
    </w:tbl>
    <w:p w14:paraId="7CE58A35" w14:textId="77777777" w:rsidR="006E40C9" w:rsidRPr="00540040" w:rsidRDefault="006E40C9" w:rsidP="006E40C9">
      <w:pPr>
        <w:pStyle w:val="MeasureTableHeading"/>
      </w:pPr>
    </w:p>
    <w:p w14:paraId="0CF41795" w14:textId="47247A47" w:rsidR="006E40C9" w:rsidRDefault="006E40C9" w:rsidP="006E40C9">
      <w:r>
        <w:t>Under the income tax benchmark, fringe benefits are classified as individual employee income, with the grossed-up value taxed at the employee’s marginal income tax rate. However, certain benefits in relation to compensable work</w:t>
      </w:r>
      <w:r>
        <w:noBreakHyphen/>
        <w:t>related trauma, medical services, other forms of health care provided in work site first aid posts and medical clinics, work</w:t>
      </w:r>
      <w:r>
        <w:noBreakHyphen/>
        <w:t xml:space="preserve">related medical examinations, work-related medical screening, </w:t>
      </w:r>
      <w:r>
        <w:br/>
        <w:t>work-related preventative health care, work</w:t>
      </w:r>
      <w:r>
        <w:noBreakHyphen/>
        <w:t>related counselling and migrant language training are exempt from fringe benefits tax.</w:t>
      </w:r>
      <w:r>
        <w:fldChar w:fldCharType="begin"/>
      </w:r>
      <w:r>
        <w:instrText xml:space="preserve"> XE "</w:instrText>
      </w:r>
      <w:r>
        <w:rPr>
          <w:lang w:val="en-US"/>
        </w:rPr>
        <w:instrText>Compensation-related benefits</w:instrText>
      </w:r>
      <w:r>
        <w:instrText xml:space="preserve">" </w:instrText>
      </w:r>
      <w:r>
        <w:fldChar w:fldCharType="end"/>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p>
    <w:p w14:paraId="0B395A37" w14:textId="77777777" w:rsidR="006E40C9" w:rsidRDefault="006E40C9" w:rsidP="00D9255A">
      <w:pPr>
        <w:pStyle w:val="TESHeading5"/>
      </w:pPr>
      <w:r>
        <w:t>D2</w:t>
      </w:r>
      <w:r>
        <w:tab/>
        <w:t>Exemption for safety award benefits</w:t>
      </w:r>
    </w:p>
    <w:p w14:paraId="3246B477"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ABD2FA1" w14:textId="77777777">
        <w:trPr>
          <w:cantSplit/>
          <w:jc w:val="center"/>
        </w:trPr>
        <w:tc>
          <w:tcPr>
            <w:tcW w:w="967" w:type="dxa"/>
            <w:tcBorders>
              <w:top w:val="single" w:sz="2" w:space="0" w:color="auto"/>
              <w:bottom w:val="single" w:sz="2" w:space="0" w:color="auto"/>
            </w:tcBorders>
          </w:tcPr>
          <w:p w14:paraId="5D8613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B329E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5BF2E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2CD0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0167F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2FDDBA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DF56C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0FE47B" w14:textId="77777777" w:rsidR="006E40C9" w:rsidRDefault="006E40C9">
            <w:pPr>
              <w:pStyle w:val="MeasureTableTextRightAligned"/>
            </w:pPr>
            <w:r>
              <w:t>2027-28</w:t>
            </w:r>
          </w:p>
        </w:tc>
      </w:tr>
      <w:tr w:rsidR="006E40C9" w14:paraId="37B836CB" w14:textId="77777777">
        <w:trPr>
          <w:cantSplit/>
          <w:jc w:val="center"/>
        </w:trPr>
        <w:tc>
          <w:tcPr>
            <w:tcW w:w="967" w:type="dxa"/>
            <w:tcBorders>
              <w:top w:val="single" w:sz="2" w:space="0" w:color="auto"/>
              <w:bottom w:val="single" w:sz="2" w:space="0" w:color="auto"/>
            </w:tcBorders>
          </w:tcPr>
          <w:p w14:paraId="76D9115F"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7C5A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D9D5DE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29093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5275A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78E4E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F3670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0C59A2C" w14:textId="77777777" w:rsidR="006E40C9" w:rsidRDefault="006E40C9">
            <w:pPr>
              <w:pStyle w:val="MeasureTableTextRightAligned"/>
            </w:pPr>
            <w:r>
              <w:t>*</w:t>
            </w:r>
          </w:p>
        </w:tc>
      </w:tr>
      <w:tr w:rsidR="006E40C9" w14:paraId="49522F99" w14:textId="77777777">
        <w:trPr>
          <w:cantSplit/>
          <w:jc w:val="center"/>
        </w:trPr>
        <w:tc>
          <w:tcPr>
            <w:tcW w:w="1934" w:type="dxa"/>
            <w:gridSpan w:val="2"/>
            <w:tcBorders>
              <w:top w:val="single" w:sz="2" w:space="0" w:color="auto"/>
              <w:bottom w:val="nil"/>
            </w:tcBorders>
          </w:tcPr>
          <w:p w14:paraId="311AD50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6C27B7" w14:textId="77777777" w:rsidR="006E40C9" w:rsidRDefault="006E40C9">
            <w:pPr>
              <w:pStyle w:val="MeasureTableTextLeftAligned"/>
            </w:pPr>
            <w:r>
              <w:t>Exemption</w:t>
            </w:r>
          </w:p>
        </w:tc>
        <w:tc>
          <w:tcPr>
            <w:tcW w:w="1500" w:type="dxa"/>
            <w:gridSpan w:val="2"/>
            <w:tcBorders>
              <w:top w:val="single" w:sz="2" w:space="0" w:color="auto"/>
              <w:bottom w:val="nil"/>
            </w:tcBorders>
          </w:tcPr>
          <w:p w14:paraId="693C8912" w14:textId="03C5EC3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2635F77" w14:textId="77777777" w:rsidR="006E40C9" w:rsidRDefault="006E40C9">
            <w:pPr>
              <w:pStyle w:val="MeasureTableTextLeftAligned"/>
            </w:pPr>
            <w:r>
              <w:t>D2</w:t>
            </w:r>
          </w:p>
        </w:tc>
      </w:tr>
      <w:tr w:rsidR="006E40C9" w14:paraId="6046E7C1" w14:textId="77777777">
        <w:trPr>
          <w:cantSplit/>
          <w:jc w:val="center"/>
        </w:trPr>
        <w:tc>
          <w:tcPr>
            <w:tcW w:w="1934" w:type="dxa"/>
            <w:gridSpan w:val="2"/>
            <w:tcBorders>
              <w:top w:val="nil"/>
              <w:bottom w:val="nil"/>
            </w:tcBorders>
          </w:tcPr>
          <w:p w14:paraId="70F8D27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4AF809E" w14:textId="77777777" w:rsidR="006E40C9" w:rsidRPr="00584CA7" w:rsidRDefault="006E40C9">
            <w:pPr>
              <w:pStyle w:val="MeasureTableTextLeftAligned"/>
            </w:pPr>
            <w:r>
              <w:t>Not Applicable</w:t>
            </w:r>
          </w:p>
        </w:tc>
        <w:tc>
          <w:tcPr>
            <w:tcW w:w="1500" w:type="dxa"/>
            <w:gridSpan w:val="2"/>
            <w:tcBorders>
              <w:top w:val="nil"/>
              <w:bottom w:val="nil"/>
            </w:tcBorders>
          </w:tcPr>
          <w:p w14:paraId="2BE5EF43" w14:textId="77777777" w:rsidR="006E40C9" w:rsidRDefault="006E40C9">
            <w:pPr>
              <w:pStyle w:val="MeasureTableTextItalic"/>
            </w:pPr>
            <w:r>
              <w:t>* Category</w:t>
            </w:r>
          </w:p>
        </w:tc>
        <w:tc>
          <w:tcPr>
            <w:tcW w:w="1124" w:type="dxa"/>
            <w:gridSpan w:val="2"/>
            <w:tcBorders>
              <w:top w:val="nil"/>
              <w:bottom w:val="nil"/>
            </w:tcBorders>
          </w:tcPr>
          <w:p w14:paraId="2F18AA38" w14:textId="77777777" w:rsidR="006E40C9" w:rsidRDefault="006E40C9">
            <w:pPr>
              <w:pStyle w:val="MeasureTableTextLeftAligned"/>
            </w:pPr>
            <w:r>
              <w:t>1+</w:t>
            </w:r>
          </w:p>
        </w:tc>
      </w:tr>
      <w:tr w:rsidR="006E40C9" w14:paraId="7FF830C1" w14:textId="77777777">
        <w:trPr>
          <w:cantSplit/>
          <w:jc w:val="center"/>
        </w:trPr>
        <w:tc>
          <w:tcPr>
            <w:tcW w:w="1934" w:type="dxa"/>
            <w:gridSpan w:val="2"/>
            <w:tcBorders>
              <w:top w:val="nil"/>
              <w:bottom w:val="nil"/>
            </w:tcBorders>
          </w:tcPr>
          <w:p w14:paraId="1B35C6E9" w14:textId="77777777" w:rsidR="006E40C9" w:rsidRDefault="006E40C9">
            <w:pPr>
              <w:pStyle w:val="MeasureTableTextItalic"/>
            </w:pPr>
            <w:r>
              <w:t>Commencement date:</w:t>
            </w:r>
          </w:p>
        </w:tc>
        <w:tc>
          <w:tcPr>
            <w:tcW w:w="3179" w:type="dxa"/>
            <w:gridSpan w:val="4"/>
            <w:tcBorders>
              <w:top w:val="nil"/>
              <w:bottom w:val="nil"/>
            </w:tcBorders>
          </w:tcPr>
          <w:p w14:paraId="791C8C6B" w14:textId="77777777" w:rsidR="006E40C9" w:rsidRDefault="006E40C9">
            <w:pPr>
              <w:pStyle w:val="MeasureTableTextLeftAligned"/>
            </w:pPr>
            <w:r>
              <w:t>1986</w:t>
            </w:r>
          </w:p>
        </w:tc>
        <w:tc>
          <w:tcPr>
            <w:tcW w:w="1500" w:type="dxa"/>
            <w:gridSpan w:val="2"/>
            <w:tcBorders>
              <w:top w:val="nil"/>
              <w:bottom w:val="nil"/>
            </w:tcBorders>
          </w:tcPr>
          <w:p w14:paraId="5743D26A" w14:textId="77777777" w:rsidR="006E40C9" w:rsidRPr="00F32057" w:rsidRDefault="006E40C9">
            <w:pPr>
              <w:pStyle w:val="MeasureTableTextItalic"/>
            </w:pPr>
            <w:r>
              <w:t>Expiry date:</w:t>
            </w:r>
          </w:p>
        </w:tc>
        <w:tc>
          <w:tcPr>
            <w:tcW w:w="1124" w:type="dxa"/>
            <w:gridSpan w:val="2"/>
            <w:tcBorders>
              <w:top w:val="nil"/>
              <w:bottom w:val="nil"/>
            </w:tcBorders>
          </w:tcPr>
          <w:p w14:paraId="5FEC1BED" w14:textId="77777777" w:rsidR="006E40C9" w:rsidRPr="00F32057" w:rsidRDefault="006E40C9">
            <w:pPr>
              <w:pStyle w:val="MeasureTableTextLeftAligned"/>
            </w:pPr>
          </w:p>
        </w:tc>
      </w:tr>
      <w:tr w:rsidR="006E40C9" w14:paraId="2B287693" w14:textId="77777777">
        <w:trPr>
          <w:cantSplit/>
          <w:jc w:val="center"/>
        </w:trPr>
        <w:tc>
          <w:tcPr>
            <w:tcW w:w="1934" w:type="dxa"/>
            <w:gridSpan w:val="2"/>
            <w:tcBorders>
              <w:top w:val="nil"/>
            </w:tcBorders>
          </w:tcPr>
          <w:p w14:paraId="6F735E43" w14:textId="77777777" w:rsidR="006E40C9" w:rsidRDefault="006E40C9">
            <w:pPr>
              <w:pStyle w:val="MeasureTableTextItalic"/>
            </w:pPr>
            <w:r>
              <w:t>Legislative reference:</w:t>
            </w:r>
          </w:p>
        </w:tc>
        <w:tc>
          <w:tcPr>
            <w:tcW w:w="5803" w:type="dxa"/>
            <w:gridSpan w:val="8"/>
            <w:tcBorders>
              <w:top w:val="nil"/>
            </w:tcBorders>
          </w:tcPr>
          <w:p w14:paraId="37F41DD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58R of the </w:t>
            </w:r>
            <w:r>
              <w:rPr>
                <w:rFonts w:ascii="Arial" w:hAnsi="Arial" w:cs="Arial"/>
                <w:i/>
                <w:iCs/>
                <w:color w:val="000000"/>
                <w:sz w:val="16"/>
                <w:szCs w:val="16"/>
              </w:rPr>
              <w:t>Fringe Benefits Tax Assessment Act 1986</w:t>
            </w:r>
          </w:p>
        </w:tc>
      </w:tr>
    </w:tbl>
    <w:p w14:paraId="4A59C037" w14:textId="77777777" w:rsidR="006E40C9" w:rsidRPr="00540040" w:rsidRDefault="006E40C9" w:rsidP="006E40C9">
      <w:pPr>
        <w:pStyle w:val="MeasureTableHeading"/>
      </w:pPr>
    </w:p>
    <w:p w14:paraId="702FDD83" w14:textId="77777777" w:rsidR="006E40C9" w:rsidRDefault="006E40C9" w:rsidP="006E40C9">
      <w:r>
        <w:t>Under the income tax benchmark, fringe benefits are classified as individual employee income, with the grossed-up value taxed at the employee’s marginal income tax rate. However, an award related to occupational health</w:t>
      </w:r>
      <w:r>
        <w:fldChar w:fldCharType="begin"/>
      </w:r>
      <w:r>
        <w:instrText xml:space="preserve"> XE "Occupational health or safety awards" </w:instrText>
      </w:r>
      <w:r>
        <w:fldChar w:fldCharType="end"/>
      </w:r>
      <w:r>
        <w:t xml:space="preserve"> or an occupational safety achievement that is granted to an employee is exempt from fringe benefits tax if its value does not exceed $200 per year.</w:t>
      </w:r>
    </w:p>
    <w:p w14:paraId="7751DB21" w14:textId="77777777" w:rsidR="006E40C9" w:rsidRDefault="006E40C9" w:rsidP="00130689">
      <w:pPr>
        <w:pStyle w:val="Heading4"/>
      </w:pPr>
      <w:r>
        <w:t>D3</w:t>
      </w:r>
      <w:r>
        <w:tab/>
        <w:t>Reduction in taxable value for car expenses incurred for occupational health and counselling services and some training courses</w:t>
      </w:r>
    </w:p>
    <w:p w14:paraId="1A507A99" w14:textId="77777777" w:rsidR="006E40C9" w:rsidRDefault="006E40C9" w:rsidP="006E40C9">
      <w:pPr>
        <w:pStyle w:val="MeasureTableHeading"/>
      </w:pPr>
      <w:r>
        <w:t>Public order and safety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3CC1D8F" w14:textId="77777777">
        <w:trPr>
          <w:cantSplit/>
          <w:jc w:val="center"/>
        </w:trPr>
        <w:tc>
          <w:tcPr>
            <w:tcW w:w="967" w:type="dxa"/>
            <w:tcBorders>
              <w:top w:val="single" w:sz="2" w:space="0" w:color="auto"/>
              <w:bottom w:val="single" w:sz="2" w:space="0" w:color="auto"/>
            </w:tcBorders>
          </w:tcPr>
          <w:p w14:paraId="1C7C11E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C8A2D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1BE19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AAC67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8B62F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A60AB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99A34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D70AF5" w14:textId="77777777" w:rsidR="006E40C9" w:rsidRDefault="006E40C9">
            <w:pPr>
              <w:pStyle w:val="MeasureTableTextRightAligned"/>
            </w:pPr>
            <w:r>
              <w:t>2027-28</w:t>
            </w:r>
          </w:p>
        </w:tc>
      </w:tr>
      <w:tr w:rsidR="006E40C9" w14:paraId="22E7B1EF" w14:textId="77777777">
        <w:trPr>
          <w:cantSplit/>
          <w:jc w:val="center"/>
        </w:trPr>
        <w:tc>
          <w:tcPr>
            <w:tcW w:w="967" w:type="dxa"/>
            <w:tcBorders>
              <w:top w:val="single" w:sz="2" w:space="0" w:color="auto"/>
              <w:bottom w:val="single" w:sz="2" w:space="0" w:color="auto"/>
            </w:tcBorders>
          </w:tcPr>
          <w:p w14:paraId="7896FEDE"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BC77A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47C00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9F7F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FA77D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3D460C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926F5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C53DFB" w14:textId="77777777" w:rsidR="006E40C9" w:rsidRDefault="006E40C9">
            <w:pPr>
              <w:pStyle w:val="MeasureTableTextRightAligned"/>
            </w:pPr>
            <w:r>
              <w:t>*</w:t>
            </w:r>
          </w:p>
        </w:tc>
      </w:tr>
      <w:tr w:rsidR="006E40C9" w14:paraId="28DBF933" w14:textId="77777777">
        <w:trPr>
          <w:cantSplit/>
          <w:jc w:val="center"/>
        </w:trPr>
        <w:tc>
          <w:tcPr>
            <w:tcW w:w="1934" w:type="dxa"/>
            <w:gridSpan w:val="2"/>
            <w:tcBorders>
              <w:top w:val="single" w:sz="2" w:space="0" w:color="auto"/>
              <w:bottom w:val="nil"/>
            </w:tcBorders>
          </w:tcPr>
          <w:p w14:paraId="2DA1D8F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50C7B74"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AE8EC2E" w14:textId="0CEA197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B96ECA" w14:textId="77777777" w:rsidR="006E40C9" w:rsidRDefault="006E40C9">
            <w:pPr>
              <w:pStyle w:val="MeasureTableTextLeftAligned"/>
            </w:pPr>
            <w:r>
              <w:t>D3</w:t>
            </w:r>
          </w:p>
        </w:tc>
      </w:tr>
      <w:tr w:rsidR="006E40C9" w14:paraId="7109B7D6" w14:textId="77777777">
        <w:trPr>
          <w:cantSplit/>
          <w:jc w:val="center"/>
        </w:trPr>
        <w:tc>
          <w:tcPr>
            <w:tcW w:w="1934" w:type="dxa"/>
            <w:gridSpan w:val="2"/>
            <w:tcBorders>
              <w:top w:val="nil"/>
              <w:bottom w:val="nil"/>
            </w:tcBorders>
          </w:tcPr>
          <w:p w14:paraId="19F3ED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DF49885" w14:textId="77777777" w:rsidR="006E40C9" w:rsidRPr="00584CA7" w:rsidRDefault="006E40C9">
            <w:pPr>
              <w:pStyle w:val="MeasureTableTextLeftAligned"/>
            </w:pPr>
            <w:r>
              <w:t>Not Applicable</w:t>
            </w:r>
          </w:p>
        </w:tc>
        <w:tc>
          <w:tcPr>
            <w:tcW w:w="1500" w:type="dxa"/>
            <w:gridSpan w:val="2"/>
            <w:tcBorders>
              <w:top w:val="nil"/>
              <w:bottom w:val="nil"/>
            </w:tcBorders>
          </w:tcPr>
          <w:p w14:paraId="6B8C01E0" w14:textId="77777777" w:rsidR="006E40C9" w:rsidRDefault="006E40C9">
            <w:pPr>
              <w:pStyle w:val="MeasureTableTextItalic"/>
            </w:pPr>
            <w:r>
              <w:t>* Category</w:t>
            </w:r>
          </w:p>
        </w:tc>
        <w:tc>
          <w:tcPr>
            <w:tcW w:w="1124" w:type="dxa"/>
            <w:gridSpan w:val="2"/>
            <w:tcBorders>
              <w:top w:val="nil"/>
              <w:bottom w:val="nil"/>
            </w:tcBorders>
          </w:tcPr>
          <w:p w14:paraId="7530ED3A" w14:textId="77777777" w:rsidR="006E40C9" w:rsidRDefault="006E40C9">
            <w:pPr>
              <w:pStyle w:val="MeasureTableTextLeftAligned"/>
            </w:pPr>
            <w:r>
              <w:t>1+</w:t>
            </w:r>
          </w:p>
        </w:tc>
      </w:tr>
      <w:tr w:rsidR="006E40C9" w14:paraId="6D347C78" w14:textId="77777777">
        <w:trPr>
          <w:cantSplit/>
          <w:jc w:val="center"/>
        </w:trPr>
        <w:tc>
          <w:tcPr>
            <w:tcW w:w="1934" w:type="dxa"/>
            <w:gridSpan w:val="2"/>
            <w:tcBorders>
              <w:top w:val="nil"/>
              <w:bottom w:val="nil"/>
            </w:tcBorders>
          </w:tcPr>
          <w:p w14:paraId="1CDE90FE" w14:textId="77777777" w:rsidR="006E40C9" w:rsidRDefault="006E40C9">
            <w:pPr>
              <w:pStyle w:val="MeasureTableTextItalic"/>
            </w:pPr>
            <w:r>
              <w:t>Commencement date:</w:t>
            </w:r>
          </w:p>
        </w:tc>
        <w:tc>
          <w:tcPr>
            <w:tcW w:w="3179" w:type="dxa"/>
            <w:gridSpan w:val="4"/>
            <w:tcBorders>
              <w:top w:val="nil"/>
              <w:bottom w:val="nil"/>
            </w:tcBorders>
          </w:tcPr>
          <w:p w14:paraId="216D2AAE" w14:textId="77777777" w:rsidR="006E40C9" w:rsidRDefault="006E40C9">
            <w:pPr>
              <w:pStyle w:val="MeasureTableTextLeftAligned"/>
            </w:pPr>
            <w:r>
              <w:t>1986</w:t>
            </w:r>
          </w:p>
        </w:tc>
        <w:tc>
          <w:tcPr>
            <w:tcW w:w="1500" w:type="dxa"/>
            <w:gridSpan w:val="2"/>
            <w:tcBorders>
              <w:top w:val="nil"/>
              <w:bottom w:val="nil"/>
            </w:tcBorders>
          </w:tcPr>
          <w:p w14:paraId="740B16D8" w14:textId="77777777" w:rsidR="006E40C9" w:rsidRPr="00F32057" w:rsidRDefault="006E40C9">
            <w:pPr>
              <w:pStyle w:val="MeasureTableTextItalic"/>
            </w:pPr>
            <w:r>
              <w:t>Expiry date:</w:t>
            </w:r>
          </w:p>
        </w:tc>
        <w:tc>
          <w:tcPr>
            <w:tcW w:w="1124" w:type="dxa"/>
            <w:gridSpan w:val="2"/>
            <w:tcBorders>
              <w:top w:val="nil"/>
              <w:bottom w:val="nil"/>
            </w:tcBorders>
          </w:tcPr>
          <w:p w14:paraId="6878612A" w14:textId="77777777" w:rsidR="006E40C9" w:rsidRPr="00F32057" w:rsidRDefault="006E40C9">
            <w:pPr>
              <w:pStyle w:val="MeasureTableTextLeftAligned"/>
            </w:pPr>
          </w:p>
        </w:tc>
      </w:tr>
      <w:tr w:rsidR="006E40C9" w14:paraId="7465B533" w14:textId="77777777">
        <w:trPr>
          <w:cantSplit/>
          <w:jc w:val="center"/>
        </w:trPr>
        <w:tc>
          <w:tcPr>
            <w:tcW w:w="1934" w:type="dxa"/>
            <w:gridSpan w:val="2"/>
            <w:tcBorders>
              <w:top w:val="nil"/>
            </w:tcBorders>
          </w:tcPr>
          <w:p w14:paraId="1197FD3C" w14:textId="77777777" w:rsidR="006E40C9" w:rsidRDefault="006E40C9">
            <w:pPr>
              <w:pStyle w:val="MeasureTableTextItalic"/>
            </w:pPr>
            <w:r>
              <w:t>Legislative reference:</w:t>
            </w:r>
          </w:p>
        </w:tc>
        <w:tc>
          <w:tcPr>
            <w:tcW w:w="5803" w:type="dxa"/>
            <w:gridSpan w:val="8"/>
            <w:tcBorders>
              <w:top w:val="nil"/>
            </w:tcBorders>
          </w:tcPr>
          <w:p w14:paraId="0EDAA1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61F of the </w:t>
            </w:r>
            <w:r>
              <w:rPr>
                <w:rFonts w:ascii="Arial" w:hAnsi="Arial" w:cs="Arial"/>
                <w:i/>
                <w:iCs/>
                <w:color w:val="000000"/>
                <w:sz w:val="16"/>
                <w:szCs w:val="16"/>
              </w:rPr>
              <w:t>Fringe Benefits Tax Assessment Act 1986</w:t>
            </w:r>
          </w:p>
        </w:tc>
      </w:tr>
    </w:tbl>
    <w:p w14:paraId="7CE569C6" w14:textId="77777777" w:rsidR="006E40C9" w:rsidRPr="00540040" w:rsidRDefault="006E40C9" w:rsidP="006E40C9">
      <w:pPr>
        <w:pStyle w:val="MeasureTableHeading"/>
      </w:pPr>
    </w:p>
    <w:p w14:paraId="0817C1B3" w14:textId="5D73C85D" w:rsidR="006E40C9" w:rsidRDefault="006E40C9" w:rsidP="006E40C9">
      <w:r>
        <w:t>Under the income tax benchmark, fringe benefits are classified as individual employee income, with the grossed-up value taxed at the employee’s marginal income tax rate. However, the taxable value of a fringe benefit may be reduced where an employee travels in their own car for the purpose of attending a work-related medical examination, screening, preventative health care or counselling session, or for migrant language training and is reimbursed for the car expenses incurred calculated based on the distance travelled by the car.</w:t>
      </w:r>
      <w:r>
        <w:fldChar w:fldCharType="begin"/>
      </w:r>
      <w:r>
        <w:instrText xml:space="preserve"> XE "</w:instrText>
      </w:r>
      <w:r>
        <w:rPr>
          <w:lang w:val="en-US"/>
        </w:rPr>
        <w:instrText>Occupational health and counselling services</w:instrText>
      </w:r>
      <w:r>
        <w:instrText xml:space="preserve">" </w:instrText>
      </w:r>
      <w:r>
        <w:fldChar w:fldCharType="end"/>
      </w:r>
      <w:r>
        <w:fldChar w:fldCharType="begin"/>
      </w:r>
      <w:r>
        <w:instrText xml:space="preserve"> XE "</w:instrText>
      </w:r>
      <w:r>
        <w:rPr>
          <w:lang w:val="en-US"/>
        </w:rPr>
        <w:instrText>Training courses</w:instrText>
      </w:r>
      <w:r>
        <w:instrText xml:space="preserve">" </w:instrText>
      </w:r>
      <w:r>
        <w:fldChar w:fldCharType="end"/>
      </w:r>
      <w:r>
        <w:fldChar w:fldCharType="begin"/>
      </w:r>
      <w:r>
        <w:instrText xml:space="preserve"> XE "</w:instrText>
      </w:r>
      <w:r>
        <w:rPr>
          <w:lang w:val="en-US"/>
        </w:rPr>
        <w:instrText>Fringe benefits tax:Car benefits</w:instrText>
      </w:r>
      <w:r>
        <w:instrText xml:space="preserve">" </w:instrText>
      </w:r>
      <w:r>
        <w:fldChar w:fldCharType="end"/>
      </w:r>
    </w:p>
    <w:p w14:paraId="126EB1BE" w14:textId="77777777" w:rsidR="006E40C9" w:rsidRDefault="006E40C9" w:rsidP="00D9255A">
      <w:pPr>
        <w:pStyle w:val="Heading3"/>
      </w:pPr>
      <w:r>
        <w:t>Tax expenditures for general public services</w:t>
      </w:r>
    </w:p>
    <w:p w14:paraId="3BA584F7" w14:textId="77777777" w:rsidR="006E40C9" w:rsidRDefault="006E40C9" w:rsidP="00130689">
      <w:pPr>
        <w:pStyle w:val="Heading4"/>
      </w:pPr>
      <w:r>
        <w:t>D4</w:t>
      </w:r>
      <w:r>
        <w:tab/>
        <w:t>Exemption for benefits provided by certain international organisations</w:t>
      </w:r>
    </w:p>
    <w:p w14:paraId="57EAC162" w14:textId="5485AF85"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25326B" w14:textId="77777777">
        <w:trPr>
          <w:cantSplit/>
          <w:jc w:val="center"/>
        </w:trPr>
        <w:tc>
          <w:tcPr>
            <w:tcW w:w="967" w:type="dxa"/>
            <w:tcBorders>
              <w:top w:val="single" w:sz="2" w:space="0" w:color="auto"/>
              <w:bottom w:val="single" w:sz="2" w:space="0" w:color="auto"/>
            </w:tcBorders>
          </w:tcPr>
          <w:p w14:paraId="6409BBA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708A1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C6FB7A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4E56D3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9ABD6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5FFE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AB44B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178B0D9" w14:textId="77777777" w:rsidR="006E40C9" w:rsidRDefault="006E40C9">
            <w:pPr>
              <w:pStyle w:val="MeasureTableTextRightAligned"/>
            </w:pPr>
            <w:r>
              <w:t>2027-28</w:t>
            </w:r>
          </w:p>
        </w:tc>
      </w:tr>
      <w:tr w:rsidR="006E40C9" w14:paraId="12E42C83" w14:textId="77777777">
        <w:trPr>
          <w:cantSplit/>
          <w:jc w:val="center"/>
        </w:trPr>
        <w:tc>
          <w:tcPr>
            <w:tcW w:w="967" w:type="dxa"/>
            <w:tcBorders>
              <w:top w:val="single" w:sz="2" w:space="0" w:color="auto"/>
              <w:bottom w:val="single" w:sz="2" w:space="0" w:color="auto"/>
            </w:tcBorders>
          </w:tcPr>
          <w:p w14:paraId="740C3EE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4D65D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C2E87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5CDCC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8E4C9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51DA46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3827C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E5AF7E0" w14:textId="77777777" w:rsidR="006E40C9" w:rsidRDefault="006E40C9">
            <w:pPr>
              <w:pStyle w:val="MeasureTableTextRightAligned"/>
            </w:pPr>
            <w:r>
              <w:t>*</w:t>
            </w:r>
          </w:p>
        </w:tc>
      </w:tr>
      <w:tr w:rsidR="006E40C9" w14:paraId="1893AE11" w14:textId="77777777">
        <w:trPr>
          <w:cantSplit/>
          <w:jc w:val="center"/>
        </w:trPr>
        <w:tc>
          <w:tcPr>
            <w:tcW w:w="1934" w:type="dxa"/>
            <w:gridSpan w:val="2"/>
            <w:tcBorders>
              <w:top w:val="single" w:sz="2" w:space="0" w:color="auto"/>
              <w:bottom w:val="nil"/>
            </w:tcBorders>
          </w:tcPr>
          <w:p w14:paraId="568C52C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50E7DF" w14:textId="77777777" w:rsidR="006E40C9" w:rsidRDefault="006E40C9">
            <w:pPr>
              <w:pStyle w:val="MeasureTableTextLeftAligned"/>
            </w:pPr>
            <w:r>
              <w:t>Exemption</w:t>
            </w:r>
          </w:p>
        </w:tc>
        <w:tc>
          <w:tcPr>
            <w:tcW w:w="1500" w:type="dxa"/>
            <w:gridSpan w:val="2"/>
            <w:tcBorders>
              <w:top w:val="single" w:sz="2" w:space="0" w:color="auto"/>
              <w:bottom w:val="nil"/>
            </w:tcBorders>
          </w:tcPr>
          <w:p w14:paraId="1ADC43B6" w14:textId="7F580C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F1E4D99" w14:textId="77777777" w:rsidR="006E40C9" w:rsidRDefault="006E40C9">
            <w:pPr>
              <w:pStyle w:val="MeasureTableTextLeftAligned"/>
            </w:pPr>
            <w:r>
              <w:t>D4</w:t>
            </w:r>
          </w:p>
        </w:tc>
      </w:tr>
      <w:tr w:rsidR="006E40C9" w14:paraId="0AFE60EA" w14:textId="77777777">
        <w:trPr>
          <w:cantSplit/>
          <w:jc w:val="center"/>
        </w:trPr>
        <w:tc>
          <w:tcPr>
            <w:tcW w:w="1934" w:type="dxa"/>
            <w:gridSpan w:val="2"/>
            <w:tcBorders>
              <w:top w:val="nil"/>
              <w:bottom w:val="nil"/>
            </w:tcBorders>
          </w:tcPr>
          <w:p w14:paraId="7489809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A170675" w14:textId="77777777" w:rsidR="006E40C9" w:rsidRPr="00584CA7" w:rsidRDefault="006E40C9">
            <w:pPr>
              <w:pStyle w:val="MeasureTableTextLeftAligned"/>
            </w:pPr>
            <w:r>
              <w:t>Not Applicable</w:t>
            </w:r>
          </w:p>
        </w:tc>
        <w:tc>
          <w:tcPr>
            <w:tcW w:w="1500" w:type="dxa"/>
            <w:gridSpan w:val="2"/>
            <w:tcBorders>
              <w:top w:val="nil"/>
              <w:bottom w:val="nil"/>
            </w:tcBorders>
          </w:tcPr>
          <w:p w14:paraId="405F9C08" w14:textId="77777777" w:rsidR="006E40C9" w:rsidRDefault="006E40C9">
            <w:pPr>
              <w:pStyle w:val="MeasureTableTextItalic"/>
            </w:pPr>
            <w:r>
              <w:t>* Category</w:t>
            </w:r>
          </w:p>
        </w:tc>
        <w:tc>
          <w:tcPr>
            <w:tcW w:w="1124" w:type="dxa"/>
            <w:gridSpan w:val="2"/>
            <w:tcBorders>
              <w:top w:val="nil"/>
              <w:bottom w:val="nil"/>
            </w:tcBorders>
          </w:tcPr>
          <w:p w14:paraId="2EF1BD78" w14:textId="77777777" w:rsidR="006E40C9" w:rsidRDefault="006E40C9">
            <w:pPr>
              <w:pStyle w:val="MeasureTableTextLeftAligned"/>
            </w:pPr>
            <w:r>
              <w:t>1+</w:t>
            </w:r>
          </w:p>
        </w:tc>
      </w:tr>
      <w:tr w:rsidR="006E40C9" w14:paraId="20DF8CA2" w14:textId="77777777">
        <w:trPr>
          <w:cantSplit/>
          <w:jc w:val="center"/>
        </w:trPr>
        <w:tc>
          <w:tcPr>
            <w:tcW w:w="1934" w:type="dxa"/>
            <w:gridSpan w:val="2"/>
            <w:tcBorders>
              <w:top w:val="nil"/>
              <w:bottom w:val="nil"/>
            </w:tcBorders>
          </w:tcPr>
          <w:p w14:paraId="5BD8ACF3" w14:textId="77777777" w:rsidR="006E40C9" w:rsidRDefault="006E40C9">
            <w:pPr>
              <w:pStyle w:val="MeasureTableTextItalic"/>
            </w:pPr>
            <w:r>
              <w:t>Commencement date:</w:t>
            </w:r>
          </w:p>
        </w:tc>
        <w:tc>
          <w:tcPr>
            <w:tcW w:w="3179" w:type="dxa"/>
            <w:gridSpan w:val="4"/>
            <w:tcBorders>
              <w:top w:val="nil"/>
              <w:bottom w:val="nil"/>
            </w:tcBorders>
          </w:tcPr>
          <w:p w14:paraId="226FCC1B" w14:textId="77777777" w:rsidR="006E40C9" w:rsidRDefault="006E40C9">
            <w:pPr>
              <w:pStyle w:val="MeasureTableTextLeftAligned"/>
            </w:pPr>
            <w:r>
              <w:t>1 July 1986</w:t>
            </w:r>
          </w:p>
        </w:tc>
        <w:tc>
          <w:tcPr>
            <w:tcW w:w="1500" w:type="dxa"/>
            <w:gridSpan w:val="2"/>
            <w:tcBorders>
              <w:top w:val="nil"/>
              <w:bottom w:val="nil"/>
            </w:tcBorders>
          </w:tcPr>
          <w:p w14:paraId="35F5FBE1" w14:textId="77777777" w:rsidR="006E40C9" w:rsidRPr="00F32057" w:rsidRDefault="006E40C9">
            <w:pPr>
              <w:pStyle w:val="MeasureTableTextItalic"/>
            </w:pPr>
            <w:r>
              <w:t>Expiry date:</w:t>
            </w:r>
          </w:p>
        </w:tc>
        <w:tc>
          <w:tcPr>
            <w:tcW w:w="1124" w:type="dxa"/>
            <w:gridSpan w:val="2"/>
            <w:tcBorders>
              <w:top w:val="nil"/>
              <w:bottom w:val="nil"/>
            </w:tcBorders>
          </w:tcPr>
          <w:p w14:paraId="38CCB8EF" w14:textId="77777777" w:rsidR="006E40C9" w:rsidRPr="00F32057" w:rsidRDefault="006E40C9">
            <w:pPr>
              <w:pStyle w:val="MeasureTableTextLeftAligned"/>
            </w:pPr>
          </w:p>
        </w:tc>
      </w:tr>
      <w:tr w:rsidR="006E40C9" w14:paraId="796343E3" w14:textId="77777777">
        <w:trPr>
          <w:cantSplit/>
          <w:jc w:val="center"/>
        </w:trPr>
        <w:tc>
          <w:tcPr>
            <w:tcW w:w="1934" w:type="dxa"/>
            <w:gridSpan w:val="2"/>
            <w:tcBorders>
              <w:top w:val="nil"/>
            </w:tcBorders>
          </w:tcPr>
          <w:p w14:paraId="3B22D43B" w14:textId="77777777" w:rsidR="006E40C9" w:rsidRDefault="006E40C9">
            <w:pPr>
              <w:pStyle w:val="MeasureTableTextItalic"/>
            </w:pPr>
            <w:r>
              <w:t>Legislative reference:</w:t>
            </w:r>
          </w:p>
        </w:tc>
        <w:tc>
          <w:tcPr>
            <w:tcW w:w="5803" w:type="dxa"/>
            <w:gridSpan w:val="8"/>
            <w:tcBorders>
              <w:top w:val="nil"/>
            </w:tcBorders>
          </w:tcPr>
          <w:p w14:paraId="4234A9C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Sections 55 and 56 of the</w:t>
            </w:r>
            <w:r>
              <w:rPr>
                <w:rFonts w:ascii="Arial" w:hAnsi="Arial" w:cs="Arial"/>
                <w:i/>
                <w:iCs/>
                <w:color w:val="000000"/>
                <w:sz w:val="16"/>
                <w:szCs w:val="16"/>
              </w:rPr>
              <w:t xml:space="preserve"> Fringe Benefits Tax Assessment Act 1986</w:t>
            </w:r>
          </w:p>
        </w:tc>
      </w:tr>
    </w:tbl>
    <w:p w14:paraId="70304590" w14:textId="77777777" w:rsidR="006E40C9" w:rsidRPr="00540040" w:rsidRDefault="006E40C9" w:rsidP="006E40C9">
      <w:pPr>
        <w:pStyle w:val="MeasureTableHeading"/>
      </w:pPr>
    </w:p>
    <w:p w14:paraId="06E986F3" w14:textId="77777777" w:rsidR="006E40C9" w:rsidRDefault="006E40C9" w:rsidP="006E40C9">
      <w:pPr>
        <w:spacing w:line="240" w:lineRule="auto"/>
      </w:pPr>
      <w:r>
        <w:t>Under the income tax benchmark, fringe benefits are classified as individual employee income, with the grossed-up value taxed at the employee’s marginal income tax rate. However, an exemption from fringe benefits tax applies to benefits provided by certain international organisations</w:t>
      </w:r>
      <w:r>
        <w:fldChar w:fldCharType="begin"/>
      </w:r>
      <w:r>
        <w:instrText xml:space="preserve"> XE "International organisations" </w:instrText>
      </w:r>
      <w:r>
        <w:fldChar w:fldCharType="end"/>
      </w:r>
      <w:r>
        <w:t xml:space="preserve"> that are exempt from income tax and other taxes by virtue of the </w:t>
      </w:r>
      <w:r w:rsidRPr="00EF06F7">
        <w:rPr>
          <w:i/>
          <w:iCs/>
        </w:rPr>
        <w:t>International Organisations (Privileges and Immunities) Act 1963</w:t>
      </w:r>
      <w:r w:rsidRPr="00F772D5">
        <w:t xml:space="preserve">, the </w:t>
      </w:r>
      <w:r w:rsidRPr="00EF06F7">
        <w:rPr>
          <w:i/>
          <w:iCs/>
        </w:rPr>
        <w:t>Consular Privileges and Immunities Act 1972</w:t>
      </w:r>
      <w:r w:rsidRPr="00F772D5">
        <w:t xml:space="preserve"> or the </w:t>
      </w:r>
      <w:r w:rsidRPr="00EF06F7">
        <w:rPr>
          <w:i/>
          <w:iCs/>
        </w:rPr>
        <w:t>Diplomatic Privileges and Immunities Act 1967</w:t>
      </w:r>
      <w:r>
        <w:t xml:space="preserve"> and by organisations established under international agreements which oblige Australia to grant the organisation a general tax exemption.</w:t>
      </w:r>
      <w:r w:rsidRPr="00F772D5">
        <w:t xml:space="preserve"> </w:t>
      </w:r>
    </w:p>
    <w:p w14:paraId="47EABF77" w14:textId="77777777" w:rsidR="006E40C9" w:rsidRDefault="006E40C9" w:rsidP="00D9255A">
      <w:pPr>
        <w:pStyle w:val="Heading3"/>
      </w:pPr>
      <w:r>
        <w:t>Tax expenditures for defence</w:t>
      </w:r>
    </w:p>
    <w:p w14:paraId="13C011FF" w14:textId="77777777" w:rsidR="006E40C9" w:rsidRPr="00130689" w:rsidRDefault="006E40C9" w:rsidP="00130689">
      <w:pPr>
        <w:pStyle w:val="Heading4"/>
      </w:pPr>
      <w:r w:rsidRPr="00130689">
        <w:t>D5</w:t>
      </w:r>
      <w:r w:rsidRPr="00130689">
        <w:tab/>
        <w:t>Exemption for benefits received by Australian Government employees in receipt of military compensation payments</w:t>
      </w:r>
    </w:p>
    <w:p w14:paraId="4A7F2E57" w14:textId="77777777" w:rsidR="006E40C9" w:rsidRDefault="006E40C9" w:rsidP="006E40C9">
      <w:pPr>
        <w:pStyle w:val="MeasureTableHeading"/>
      </w:pPr>
      <w:r>
        <w:t>Defence ($m)</w:t>
      </w:r>
    </w:p>
    <w:tbl>
      <w:tblPr>
        <w:tblW w:w="7737" w:type="dxa"/>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70D768" w14:textId="77777777">
        <w:trPr>
          <w:cantSplit/>
          <w:jc w:val="center"/>
        </w:trPr>
        <w:tc>
          <w:tcPr>
            <w:tcW w:w="967" w:type="dxa"/>
            <w:tcBorders>
              <w:top w:val="single" w:sz="2" w:space="0" w:color="auto"/>
              <w:bottom w:val="single" w:sz="2" w:space="0" w:color="auto"/>
            </w:tcBorders>
          </w:tcPr>
          <w:p w14:paraId="0C219D1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9555C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0776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547A4C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88B77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FF315E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B9C890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409A6C" w14:textId="77777777" w:rsidR="006E40C9" w:rsidRDefault="006E40C9">
            <w:pPr>
              <w:pStyle w:val="MeasureTableTextRightAligned"/>
            </w:pPr>
            <w:r>
              <w:t>2027-28</w:t>
            </w:r>
          </w:p>
        </w:tc>
      </w:tr>
      <w:tr w:rsidR="006E40C9" w14:paraId="5B26D1D6" w14:textId="77777777">
        <w:trPr>
          <w:cantSplit/>
          <w:jc w:val="center"/>
        </w:trPr>
        <w:tc>
          <w:tcPr>
            <w:tcW w:w="7737" w:type="dxa"/>
            <w:gridSpan w:val="10"/>
            <w:tcBorders>
              <w:top w:val="single" w:sz="2" w:space="0" w:color="auto"/>
              <w:bottom w:val="single" w:sz="2" w:space="0" w:color="auto"/>
            </w:tcBorders>
          </w:tcPr>
          <w:p w14:paraId="50049722" w14:textId="77777777" w:rsidR="006E40C9" w:rsidRDefault="006E40C9">
            <w:pPr>
              <w:pStyle w:val="MeasureTableTextRightAligned"/>
              <w:jc w:val="center"/>
            </w:pPr>
            <w:r>
              <w:t>Included in D9</w:t>
            </w:r>
          </w:p>
        </w:tc>
      </w:tr>
      <w:tr w:rsidR="006E40C9" w14:paraId="1E508576" w14:textId="77777777">
        <w:trPr>
          <w:cantSplit/>
          <w:jc w:val="center"/>
        </w:trPr>
        <w:tc>
          <w:tcPr>
            <w:tcW w:w="1934" w:type="dxa"/>
            <w:gridSpan w:val="2"/>
            <w:tcBorders>
              <w:top w:val="single" w:sz="2" w:space="0" w:color="auto"/>
              <w:bottom w:val="nil"/>
            </w:tcBorders>
          </w:tcPr>
          <w:p w14:paraId="7B4CDA7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657A91" w14:textId="77777777" w:rsidR="006E40C9" w:rsidRDefault="006E40C9">
            <w:pPr>
              <w:pStyle w:val="MeasureTableTextLeftAligned"/>
            </w:pPr>
            <w:r>
              <w:t>Exemption</w:t>
            </w:r>
          </w:p>
        </w:tc>
        <w:tc>
          <w:tcPr>
            <w:tcW w:w="1500" w:type="dxa"/>
            <w:gridSpan w:val="2"/>
            <w:tcBorders>
              <w:top w:val="single" w:sz="2" w:space="0" w:color="auto"/>
              <w:bottom w:val="nil"/>
            </w:tcBorders>
          </w:tcPr>
          <w:p w14:paraId="261BF235" w14:textId="0FB4C62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9279374" w14:textId="77777777" w:rsidR="006E40C9" w:rsidRDefault="006E40C9">
            <w:pPr>
              <w:pStyle w:val="MeasureTableTextLeftAligned"/>
            </w:pPr>
            <w:r>
              <w:t>D5</w:t>
            </w:r>
          </w:p>
        </w:tc>
      </w:tr>
      <w:tr w:rsidR="006E40C9" w14:paraId="39EFF20E" w14:textId="77777777">
        <w:trPr>
          <w:cantSplit/>
          <w:jc w:val="center"/>
        </w:trPr>
        <w:tc>
          <w:tcPr>
            <w:tcW w:w="1934" w:type="dxa"/>
            <w:gridSpan w:val="2"/>
            <w:tcBorders>
              <w:top w:val="nil"/>
              <w:bottom w:val="nil"/>
            </w:tcBorders>
          </w:tcPr>
          <w:p w14:paraId="121CBBD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5DDA06" w14:textId="77777777" w:rsidR="006E40C9" w:rsidRPr="00584CA7" w:rsidRDefault="006E40C9">
            <w:pPr>
              <w:pStyle w:val="MeasureTableTextLeftAligned"/>
            </w:pPr>
          </w:p>
        </w:tc>
        <w:tc>
          <w:tcPr>
            <w:tcW w:w="1500" w:type="dxa"/>
            <w:gridSpan w:val="2"/>
            <w:tcBorders>
              <w:top w:val="nil"/>
              <w:bottom w:val="nil"/>
            </w:tcBorders>
          </w:tcPr>
          <w:p w14:paraId="7282129C" w14:textId="77777777" w:rsidR="006E40C9" w:rsidRDefault="006E40C9">
            <w:pPr>
              <w:pStyle w:val="MeasureTableTextItalic"/>
            </w:pPr>
          </w:p>
        </w:tc>
        <w:tc>
          <w:tcPr>
            <w:tcW w:w="1124" w:type="dxa"/>
            <w:gridSpan w:val="2"/>
            <w:tcBorders>
              <w:top w:val="nil"/>
              <w:bottom w:val="nil"/>
            </w:tcBorders>
          </w:tcPr>
          <w:p w14:paraId="0310E363" w14:textId="77777777" w:rsidR="006E40C9" w:rsidRDefault="006E40C9">
            <w:pPr>
              <w:pStyle w:val="MeasureTableTextLeftAligned"/>
            </w:pPr>
          </w:p>
        </w:tc>
      </w:tr>
      <w:tr w:rsidR="006E40C9" w14:paraId="667F59D4" w14:textId="77777777">
        <w:trPr>
          <w:cantSplit/>
          <w:jc w:val="center"/>
        </w:trPr>
        <w:tc>
          <w:tcPr>
            <w:tcW w:w="1934" w:type="dxa"/>
            <w:gridSpan w:val="2"/>
            <w:tcBorders>
              <w:top w:val="nil"/>
              <w:bottom w:val="nil"/>
            </w:tcBorders>
          </w:tcPr>
          <w:p w14:paraId="4525D98E" w14:textId="77777777" w:rsidR="006E40C9" w:rsidRDefault="006E40C9">
            <w:pPr>
              <w:pStyle w:val="MeasureTableTextItalic"/>
            </w:pPr>
            <w:r>
              <w:t>Commencement date:</w:t>
            </w:r>
          </w:p>
        </w:tc>
        <w:tc>
          <w:tcPr>
            <w:tcW w:w="3179" w:type="dxa"/>
            <w:gridSpan w:val="4"/>
            <w:tcBorders>
              <w:top w:val="nil"/>
              <w:bottom w:val="nil"/>
            </w:tcBorders>
          </w:tcPr>
          <w:p w14:paraId="5817FE97" w14:textId="77777777" w:rsidR="006E40C9" w:rsidRDefault="006E40C9">
            <w:pPr>
              <w:pStyle w:val="MeasureTableTextLeftAligned"/>
            </w:pPr>
            <w:r>
              <w:t>1995</w:t>
            </w:r>
          </w:p>
        </w:tc>
        <w:tc>
          <w:tcPr>
            <w:tcW w:w="1500" w:type="dxa"/>
            <w:gridSpan w:val="2"/>
            <w:tcBorders>
              <w:top w:val="nil"/>
              <w:bottom w:val="nil"/>
            </w:tcBorders>
          </w:tcPr>
          <w:p w14:paraId="2B8ED72D" w14:textId="77777777" w:rsidR="006E40C9" w:rsidRPr="00F32057" w:rsidRDefault="006E40C9">
            <w:pPr>
              <w:pStyle w:val="MeasureTableTextItalic"/>
            </w:pPr>
            <w:r>
              <w:t>Expiry date:</w:t>
            </w:r>
          </w:p>
        </w:tc>
        <w:tc>
          <w:tcPr>
            <w:tcW w:w="1124" w:type="dxa"/>
            <w:gridSpan w:val="2"/>
            <w:tcBorders>
              <w:top w:val="nil"/>
              <w:bottom w:val="nil"/>
            </w:tcBorders>
          </w:tcPr>
          <w:p w14:paraId="21E1978A" w14:textId="77777777" w:rsidR="006E40C9" w:rsidRPr="00F32057" w:rsidRDefault="006E40C9">
            <w:pPr>
              <w:pStyle w:val="MeasureTableTextLeftAligned"/>
            </w:pPr>
          </w:p>
        </w:tc>
      </w:tr>
      <w:tr w:rsidR="006E40C9" w14:paraId="08D979BB" w14:textId="77777777">
        <w:trPr>
          <w:cantSplit/>
          <w:jc w:val="center"/>
        </w:trPr>
        <w:tc>
          <w:tcPr>
            <w:tcW w:w="1934" w:type="dxa"/>
            <w:gridSpan w:val="2"/>
            <w:tcBorders>
              <w:top w:val="nil"/>
            </w:tcBorders>
          </w:tcPr>
          <w:p w14:paraId="3EA60BE8" w14:textId="77777777" w:rsidR="006E40C9" w:rsidRDefault="006E40C9">
            <w:pPr>
              <w:pStyle w:val="MeasureTableTextItalic"/>
            </w:pPr>
            <w:r>
              <w:t>Legislative reference:</w:t>
            </w:r>
          </w:p>
        </w:tc>
        <w:tc>
          <w:tcPr>
            <w:tcW w:w="5803" w:type="dxa"/>
            <w:gridSpan w:val="8"/>
            <w:tcBorders>
              <w:top w:val="nil"/>
            </w:tcBorders>
          </w:tcPr>
          <w:p w14:paraId="0323A0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6AA and 6AB of the </w:t>
            </w:r>
            <w:r>
              <w:rPr>
                <w:rFonts w:ascii="Arial" w:hAnsi="Arial" w:cs="Arial"/>
                <w:i/>
                <w:iCs/>
                <w:color w:val="000000"/>
                <w:sz w:val="16"/>
                <w:szCs w:val="16"/>
              </w:rPr>
              <w:t>Fringe Benefits Tax (Application to the Commonwealth) Act 1986</w:t>
            </w:r>
          </w:p>
        </w:tc>
      </w:tr>
    </w:tbl>
    <w:p w14:paraId="1A1FA7F8" w14:textId="77777777" w:rsidR="006E40C9" w:rsidRPr="00540040" w:rsidRDefault="006E40C9" w:rsidP="006E40C9">
      <w:pPr>
        <w:pStyle w:val="MeasureTableHeading"/>
      </w:pPr>
    </w:p>
    <w:p w14:paraId="4B7BA5EE" w14:textId="77777777" w:rsidR="006E40C9" w:rsidRDefault="006E40C9" w:rsidP="006E40C9">
      <w:r>
        <w:t>Under the income tax benchmark, fringe benefits are classified as individual employee income, with the grossed-up value taxed at the employee’s marginal income tax rate. However, benefits provided to Australian Government employees in receipt of military compensation payments are exempt from fringe benefits tax.</w:t>
      </w:r>
      <w:r>
        <w:fldChar w:fldCharType="begin"/>
      </w:r>
      <w:r>
        <w:instrText xml:space="preserve"> XE "Military compensation payments" </w:instrText>
      </w:r>
      <w:r>
        <w:fldChar w:fldCharType="end"/>
      </w:r>
    </w:p>
    <w:p w14:paraId="61998C0A" w14:textId="77777777" w:rsidR="006E40C9" w:rsidRPr="00130689" w:rsidRDefault="006E40C9" w:rsidP="00130689">
      <w:pPr>
        <w:pStyle w:val="Heading4"/>
      </w:pPr>
      <w:r w:rsidRPr="00130689">
        <w:t>D6</w:t>
      </w:r>
      <w:r w:rsidRPr="00130689">
        <w:tab/>
        <w:t>Exemption for war service loans</w:t>
      </w:r>
    </w:p>
    <w:p w14:paraId="5A9E456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AF26A06" w14:textId="77777777">
        <w:trPr>
          <w:cantSplit/>
          <w:jc w:val="center"/>
        </w:trPr>
        <w:tc>
          <w:tcPr>
            <w:tcW w:w="967" w:type="dxa"/>
            <w:tcBorders>
              <w:top w:val="single" w:sz="2" w:space="0" w:color="auto"/>
              <w:bottom w:val="single" w:sz="2" w:space="0" w:color="auto"/>
            </w:tcBorders>
          </w:tcPr>
          <w:p w14:paraId="04DA79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63F89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448A2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74D71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6BFD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CD971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F5C7F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C04B075" w14:textId="77777777" w:rsidR="006E40C9" w:rsidRDefault="006E40C9">
            <w:pPr>
              <w:pStyle w:val="MeasureTableTextRightAligned"/>
            </w:pPr>
            <w:r>
              <w:t>2027-28</w:t>
            </w:r>
          </w:p>
        </w:tc>
      </w:tr>
      <w:tr w:rsidR="006E40C9" w14:paraId="2A1665F4" w14:textId="77777777">
        <w:trPr>
          <w:cantSplit/>
          <w:jc w:val="center"/>
        </w:trPr>
        <w:tc>
          <w:tcPr>
            <w:tcW w:w="967" w:type="dxa"/>
            <w:tcBorders>
              <w:top w:val="single" w:sz="2" w:space="0" w:color="auto"/>
              <w:bottom w:val="single" w:sz="2" w:space="0" w:color="auto"/>
            </w:tcBorders>
          </w:tcPr>
          <w:p w14:paraId="10DA22DA"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77C14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3F01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2119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8D63E4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E2006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DAB2A5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A848CB2" w14:textId="77777777" w:rsidR="006E40C9" w:rsidRDefault="006E40C9">
            <w:pPr>
              <w:pStyle w:val="MeasureTableTextRightAligned"/>
            </w:pPr>
            <w:r>
              <w:t>..</w:t>
            </w:r>
          </w:p>
        </w:tc>
      </w:tr>
      <w:tr w:rsidR="006E40C9" w14:paraId="7B79E833" w14:textId="77777777">
        <w:trPr>
          <w:cantSplit/>
          <w:jc w:val="center"/>
        </w:trPr>
        <w:tc>
          <w:tcPr>
            <w:tcW w:w="1934" w:type="dxa"/>
            <w:gridSpan w:val="2"/>
            <w:tcBorders>
              <w:top w:val="single" w:sz="2" w:space="0" w:color="auto"/>
              <w:bottom w:val="nil"/>
            </w:tcBorders>
          </w:tcPr>
          <w:p w14:paraId="3851FA9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072821" w14:textId="77777777" w:rsidR="006E40C9" w:rsidRDefault="006E40C9">
            <w:pPr>
              <w:pStyle w:val="MeasureTableTextLeftAligned"/>
            </w:pPr>
            <w:r>
              <w:t>Exemption</w:t>
            </w:r>
          </w:p>
        </w:tc>
        <w:tc>
          <w:tcPr>
            <w:tcW w:w="1500" w:type="dxa"/>
            <w:gridSpan w:val="2"/>
            <w:tcBorders>
              <w:top w:val="single" w:sz="2" w:space="0" w:color="auto"/>
              <w:bottom w:val="nil"/>
            </w:tcBorders>
          </w:tcPr>
          <w:p w14:paraId="799B5972" w14:textId="6351FDE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C353FD" w14:textId="77777777" w:rsidR="006E40C9" w:rsidRDefault="006E40C9">
            <w:pPr>
              <w:pStyle w:val="MeasureTableTextLeftAligned"/>
            </w:pPr>
            <w:r>
              <w:t>D6</w:t>
            </w:r>
          </w:p>
        </w:tc>
      </w:tr>
      <w:tr w:rsidR="006E40C9" w14:paraId="668A65EF" w14:textId="77777777">
        <w:trPr>
          <w:cantSplit/>
          <w:jc w:val="center"/>
        </w:trPr>
        <w:tc>
          <w:tcPr>
            <w:tcW w:w="1934" w:type="dxa"/>
            <w:gridSpan w:val="2"/>
            <w:tcBorders>
              <w:top w:val="nil"/>
              <w:bottom w:val="nil"/>
            </w:tcBorders>
          </w:tcPr>
          <w:p w14:paraId="0ECDDDD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C38D58" w14:textId="7253B08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0B122A76" w14:textId="77777777" w:rsidR="006E40C9" w:rsidRDefault="006E40C9">
            <w:pPr>
              <w:pStyle w:val="MeasureTableTextItalic"/>
            </w:pPr>
          </w:p>
        </w:tc>
        <w:tc>
          <w:tcPr>
            <w:tcW w:w="1124" w:type="dxa"/>
            <w:gridSpan w:val="2"/>
            <w:tcBorders>
              <w:top w:val="nil"/>
              <w:bottom w:val="nil"/>
            </w:tcBorders>
          </w:tcPr>
          <w:p w14:paraId="52F39AE7" w14:textId="77777777" w:rsidR="006E40C9" w:rsidRDefault="006E40C9">
            <w:pPr>
              <w:pStyle w:val="MeasureTableTextLeftAligned"/>
            </w:pPr>
          </w:p>
        </w:tc>
      </w:tr>
      <w:tr w:rsidR="006E40C9" w14:paraId="28A70161" w14:textId="77777777">
        <w:trPr>
          <w:cantSplit/>
          <w:jc w:val="center"/>
        </w:trPr>
        <w:tc>
          <w:tcPr>
            <w:tcW w:w="1934" w:type="dxa"/>
            <w:gridSpan w:val="2"/>
            <w:tcBorders>
              <w:top w:val="nil"/>
              <w:bottom w:val="nil"/>
            </w:tcBorders>
          </w:tcPr>
          <w:p w14:paraId="66756FBE" w14:textId="77777777" w:rsidR="006E40C9" w:rsidRDefault="006E40C9">
            <w:pPr>
              <w:pStyle w:val="MeasureTableTextItalic"/>
            </w:pPr>
            <w:r>
              <w:t>Commencement date:</w:t>
            </w:r>
          </w:p>
        </w:tc>
        <w:tc>
          <w:tcPr>
            <w:tcW w:w="3179" w:type="dxa"/>
            <w:gridSpan w:val="4"/>
            <w:tcBorders>
              <w:top w:val="nil"/>
              <w:bottom w:val="nil"/>
            </w:tcBorders>
          </w:tcPr>
          <w:p w14:paraId="424CB7C5" w14:textId="77777777" w:rsidR="006E40C9" w:rsidRDefault="006E40C9">
            <w:pPr>
              <w:pStyle w:val="MeasureTableTextLeftAligned"/>
            </w:pPr>
            <w:r>
              <w:t>1986</w:t>
            </w:r>
          </w:p>
        </w:tc>
        <w:tc>
          <w:tcPr>
            <w:tcW w:w="1500" w:type="dxa"/>
            <w:gridSpan w:val="2"/>
            <w:tcBorders>
              <w:top w:val="nil"/>
              <w:bottom w:val="nil"/>
            </w:tcBorders>
          </w:tcPr>
          <w:p w14:paraId="1432E20D" w14:textId="77777777" w:rsidR="006E40C9" w:rsidRPr="00F32057" w:rsidRDefault="006E40C9">
            <w:pPr>
              <w:pStyle w:val="MeasureTableTextItalic"/>
            </w:pPr>
            <w:r>
              <w:t>Expiry date:</w:t>
            </w:r>
          </w:p>
        </w:tc>
        <w:tc>
          <w:tcPr>
            <w:tcW w:w="1124" w:type="dxa"/>
            <w:gridSpan w:val="2"/>
            <w:tcBorders>
              <w:top w:val="nil"/>
              <w:bottom w:val="nil"/>
            </w:tcBorders>
          </w:tcPr>
          <w:p w14:paraId="7F16CC42" w14:textId="77777777" w:rsidR="006E40C9" w:rsidRPr="00F32057" w:rsidRDefault="006E40C9">
            <w:pPr>
              <w:pStyle w:val="MeasureTableTextLeftAligned"/>
            </w:pPr>
          </w:p>
        </w:tc>
      </w:tr>
      <w:tr w:rsidR="006E40C9" w14:paraId="0A8999A3" w14:textId="77777777">
        <w:trPr>
          <w:cantSplit/>
          <w:jc w:val="center"/>
        </w:trPr>
        <w:tc>
          <w:tcPr>
            <w:tcW w:w="1934" w:type="dxa"/>
            <w:gridSpan w:val="2"/>
            <w:tcBorders>
              <w:top w:val="nil"/>
            </w:tcBorders>
          </w:tcPr>
          <w:p w14:paraId="29ECB464" w14:textId="77777777" w:rsidR="006E40C9" w:rsidRDefault="006E40C9">
            <w:pPr>
              <w:pStyle w:val="MeasureTableTextItalic"/>
            </w:pPr>
            <w:r>
              <w:t>Legislative reference:</w:t>
            </w:r>
          </w:p>
        </w:tc>
        <w:tc>
          <w:tcPr>
            <w:tcW w:w="5803" w:type="dxa"/>
            <w:gridSpan w:val="8"/>
            <w:tcBorders>
              <w:top w:val="nil"/>
            </w:tcBorders>
          </w:tcPr>
          <w:p w14:paraId="78D125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6 of the</w:t>
            </w:r>
            <w:r>
              <w:rPr>
                <w:rFonts w:ascii="Arial" w:hAnsi="Arial" w:cs="Arial"/>
                <w:i/>
                <w:iCs/>
                <w:color w:val="000000"/>
                <w:sz w:val="16"/>
                <w:szCs w:val="16"/>
              </w:rPr>
              <w:t xml:space="preserve"> Fringe Benefits Tax (Application to the Commonwealth) Act 1986</w:t>
            </w:r>
          </w:p>
        </w:tc>
      </w:tr>
    </w:tbl>
    <w:p w14:paraId="5BD7BC6F" w14:textId="77777777" w:rsidR="006E40C9" w:rsidRPr="00540040" w:rsidRDefault="006E40C9" w:rsidP="006E40C9">
      <w:pPr>
        <w:pStyle w:val="MeasureTableHeading"/>
      </w:pPr>
    </w:p>
    <w:p w14:paraId="7E64CD54" w14:textId="77777777" w:rsidR="006E40C9" w:rsidRDefault="006E40C9" w:rsidP="006E40C9">
      <w:r>
        <w:t xml:space="preserve">Under the income tax benchmark, fringe benefits are classified as individual employee income, with the grossed-up value taxed at the employee’s marginal income tax rate. However, loan concessions authorised under the </w:t>
      </w:r>
      <w:r>
        <w:rPr>
          <w:i/>
        </w:rPr>
        <w:t>Defence Service Homes Act 1918</w:t>
      </w:r>
      <w:r>
        <w:rPr>
          <w:i/>
        </w:rPr>
        <w:fldChar w:fldCharType="begin"/>
      </w:r>
      <w:r>
        <w:instrText xml:space="preserve"> XE "Defence Service Homes" </w:instrText>
      </w:r>
      <w:r>
        <w:rPr>
          <w:i/>
        </w:rPr>
        <w:fldChar w:fldCharType="end"/>
      </w:r>
      <w:r>
        <w:t xml:space="preserve"> and made by virtue of an employee’s war service are exempt from fringe benefits tax.</w:t>
      </w:r>
    </w:p>
    <w:p w14:paraId="7C261C01" w14:textId="77777777" w:rsidR="006E40C9" w:rsidRDefault="006E40C9" w:rsidP="00D9255A">
      <w:pPr>
        <w:pStyle w:val="Heading3"/>
      </w:pPr>
      <w:r>
        <w:t>Tax expenditures for education</w:t>
      </w:r>
    </w:p>
    <w:p w14:paraId="5D0D4261" w14:textId="77777777" w:rsidR="006E40C9" w:rsidRDefault="006E40C9" w:rsidP="00D9255A">
      <w:pPr>
        <w:pStyle w:val="TESHeading5"/>
      </w:pPr>
      <w:r>
        <w:t>D7</w:t>
      </w:r>
      <w:r>
        <w:tab/>
        <w:t>Exemption for certain retraining and reskilling benefits</w:t>
      </w:r>
    </w:p>
    <w:p w14:paraId="60B8725B"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60E859" w14:textId="77777777">
        <w:trPr>
          <w:cantSplit/>
          <w:jc w:val="center"/>
        </w:trPr>
        <w:tc>
          <w:tcPr>
            <w:tcW w:w="967" w:type="dxa"/>
            <w:tcBorders>
              <w:top w:val="single" w:sz="2" w:space="0" w:color="auto"/>
              <w:bottom w:val="single" w:sz="2" w:space="0" w:color="auto"/>
            </w:tcBorders>
          </w:tcPr>
          <w:p w14:paraId="1F07F53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56DE8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A3A69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B3A44D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56F09F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FDD8B1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12CD24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F8BFC75" w14:textId="77777777" w:rsidR="006E40C9" w:rsidRDefault="006E40C9">
            <w:pPr>
              <w:pStyle w:val="MeasureTableTextRightAligned"/>
            </w:pPr>
            <w:r>
              <w:t>2027-28</w:t>
            </w:r>
          </w:p>
        </w:tc>
      </w:tr>
      <w:tr w:rsidR="006E40C9" w14:paraId="4CA7B004" w14:textId="77777777">
        <w:trPr>
          <w:cantSplit/>
          <w:jc w:val="center"/>
        </w:trPr>
        <w:tc>
          <w:tcPr>
            <w:tcW w:w="967" w:type="dxa"/>
            <w:tcBorders>
              <w:top w:val="single" w:sz="2" w:space="0" w:color="auto"/>
              <w:bottom w:val="single" w:sz="2" w:space="0" w:color="auto"/>
            </w:tcBorders>
          </w:tcPr>
          <w:p w14:paraId="18BE81FD" w14:textId="77777777" w:rsidR="006E40C9" w:rsidRDefault="006E40C9">
            <w:pPr>
              <w:pStyle w:val="MeasureTableTextRightAligned"/>
            </w:pPr>
            <w:r>
              <w:t>1</w:t>
            </w:r>
          </w:p>
        </w:tc>
        <w:tc>
          <w:tcPr>
            <w:tcW w:w="967" w:type="dxa"/>
            <w:tcBorders>
              <w:top w:val="single" w:sz="2" w:space="0" w:color="auto"/>
              <w:bottom w:val="single" w:sz="2" w:space="0" w:color="auto"/>
            </w:tcBorders>
          </w:tcPr>
          <w:p w14:paraId="5F8D90B7"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54F59319"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C18FF0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15FC53F6"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C2DC2A3"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52909884"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1037EDBA" w14:textId="77777777" w:rsidR="006E40C9" w:rsidRDefault="006E40C9">
            <w:pPr>
              <w:pStyle w:val="MeasureTableTextRightAligned"/>
            </w:pPr>
            <w:r>
              <w:t>1</w:t>
            </w:r>
          </w:p>
        </w:tc>
      </w:tr>
      <w:tr w:rsidR="006E40C9" w14:paraId="7042E627" w14:textId="77777777">
        <w:trPr>
          <w:cantSplit/>
          <w:jc w:val="center"/>
        </w:trPr>
        <w:tc>
          <w:tcPr>
            <w:tcW w:w="1934" w:type="dxa"/>
            <w:gridSpan w:val="2"/>
            <w:tcBorders>
              <w:top w:val="single" w:sz="2" w:space="0" w:color="auto"/>
              <w:bottom w:val="nil"/>
            </w:tcBorders>
          </w:tcPr>
          <w:p w14:paraId="581873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076A80" w14:textId="77777777" w:rsidR="006E40C9" w:rsidRDefault="006E40C9">
            <w:pPr>
              <w:pStyle w:val="MeasureTableTextLeftAligned"/>
            </w:pPr>
            <w:r>
              <w:t>Exemption</w:t>
            </w:r>
          </w:p>
        </w:tc>
        <w:tc>
          <w:tcPr>
            <w:tcW w:w="1500" w:type="dxa"/>
            <w:gridSpan w:val="2"/>
            <w:tcBorders>
              <w:top w:val="single" w:sz="2" w:space="0" w:color="auto"/>
              <w:bottom w:val="nil"/>
            </w:tcBorders>
          </w:tcPr>
          <w:p w14:paraId="608D9294" w14:textId="44506AD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23D2F0D" w14:textId="77777777" w:rsidR="006E40C9" w:rsidRDefault="006E40C9">
            <w:pPr>
              <w:pStyle w:val="MeasureTableTextLeftAligned"/>
            </w:pPr>
            <w:r>
              <w:t>D7</w:t>
            </w:r>
          </w:p>
        </w:tc>
      </w:tr>
      <w:tr w:rsidR="006E40C9" w14:paraId="55124D90" w14:textId="77777777">
        <w:trPr>
          <w:cantSplit/>
          <w:jc w:val="center"/>
        </w:trPr>
        <w:tc>
          <w:tcPr>
            <w:tcW w:w="1934" w:type="dxa"/>
            <w:gridSpan w:val="2"/>
            <w:tcBorders>
              <w:top w:val="nil"/>
              <w:bottom w:val="nil"/>
            </w:tcBorders>
          </w:tcPr>
          <w:p w14:paraId="51845D9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07CB77" w14:textId="77777777" w:rsidR="006E40C9" w:rsidRPr="00584CA7" w:rsidRDefault="006E40C9">
            <w:pPr>
              <w:pStyle w:val="MeasureTableTextLeftAligned"/>
            </w:pPr>
            <w:r>
              <w:t>Low</w:t>
            </w:r>
          </w:p>
        </w:tc>
        <w:tc>
          <w:tcPr>
            <w:tcW w:w="1500" w:type="dxa"/>
            <w:gridSpan w:val="2"/>
            <w:tcBorders>
              <w:top w:val="nil"/>
              <w:bottom w:val="nil"/>
            </w:tcBorders>
          </w:tcPr>
          <w:p w14:paraId="6C156AFF" w14:textId="77777777" w:rsidR="006E40C9" w:rsidRDefault="006E40C9">
            <w:pPr>
              <w:pStyle w:val="MeasureTableTextItalic"/>
            </w:pPr>
          </w:p>
        </w:tc>
        <w:tc>
          <w:tcPr>
            <w:tcW w:w="1124" w:type="dxa"/>
            <w:gridSpan w:val="2"/>
            <w:tcBorders>
              <w:top w:val="nil"/>
              <w:bottom w:val="nil"/>
            </w:tcBorders>
          </w:tcPr>
          <w:p w14:paraId="0CB69F84" w14:textId="77777777" w:rsidR="006E40C9" w:rsidRDefault="006E40C9">
            <w:pPr>
              <w:pStyle w:val="MeasureTableTextLeftAligned"/>
            </w:pPr>
          </w:p>
        </w:tc>
      </w:tr>
      <w:tr w:rsidR="006E40C9" w14:paraId="028D5405" w14:textId="77777777">
        <w:trPr>
          <w:cantSplit/>
          <w:jc w:val="center"/>
        </w:trPr>
        <w:tc>
          <w:tcPr>
            <w:tcW w:w="1934" w:type="dxa"/>
            <w:gridSpan w:val="2"/>
            <w:tcBorders>
              <w:top w:val="nil"/>
              <w:bottom w:val="nil"/>
            </w:tcBorders>
          </w:tcPr>
          <w:p w14:paraId="3A367982" w14:textId="77777777" w:rsidR="006E40C9" w:rsidRDefault="006E40C9">
            <w:pPr>
              <w:pStyle w:val="MeasureTableTextItalic"/>
            </w:pPr>
            <w:r>
              <w:t>Commencement date:</w:t>
            </w:r>
          </w:p>
        </w:tc>
        <w:tc>
          <w:tcPr>
            <w:tcW w:w="3179" w:type="dxa"/>
            <w:gridSpan w:val="4"/>
            <w:tcBorders>
              <w:top w:val="nil"/>
              <w:bottom w:val="nil"/>
            </w:tcBorders>
          </w:tcPr>
          <w:p w14:paraId="56E05527" w14:textId="77777777" w:rsidR="006E40C9" w:rsidRDefault="006E40C9">
            <w:pPr>
              <w:pStyle w:val="MeasureTableTextLeftAligned"/>
            </w:pPr>
            <w:r>
              <w:t>2 October 2020</w:t>
            </w:r>
          </w:p>
        </w:tc>
        <w:tc>
          <w:tcPr>
            <w:tcW w:w="1500" w:type="dxa"/>
            <w:gridSpan w:val="2"/>
            <w:tcBorders>
              <w:top w:val="nil"/>
              <w:bottom w:val="nil"/>
            </w:tcBorders>
          </w:tcPr>
          <w:p w14:paraId="772FACB4" w14:textId="77777777" w:rsidR="006E40C9" w:rsidRPr="00F32057" w:rsidRDefault="006E40C9">
            <w:pPr>
              <w:pStyle w:val="MeasureTableTextItalic"/>
            </w:pPr>
            <w:r>
              <w:t>Expiry date:</w:t>
            </w:r>
          </w:p>
        </w:tc>
        <w:tc>
          <w:tcPr>
            <w:tcW w:w="1124" w:type="dxa"/>
            <w:gridSpan w:val="2"/>
            <w:tcBorders>
              <w:top w:val="nil"/>
              <w:bottom w:val="nil"/>
            </w:tcBorders>
          </w:tcPr>
          <w:p w14:paraId="7B017909" w14:textId="77777777" w:rsidR="006E40C9" w:rsidRPr="00F32057" w:rsidRDefault="006E40C9">
            <w:pPr>
              <w:pStyle w:val="MeasureTableTextLeftAligned"/>
            </w:pPr>
          </w:p>
        </w:tc>
      </w:tr>
      <w:tr w:rsidR="006E40C9" w14:paraId="044EFBDC" w14:textId="77777777">
        <w:trPr>
          <w:cantSplit/>
          <w:jc w:val="center"/>
        </w:trPr>
        <w:tc>
          <w:tcPr>
            <w:tcW w:w="1934" w:type="dxa"/>
            <w:gridSpan w:val="2"/>
            <w:tcBorders>
              <w:top w:val="nil"/>
            </w:tcBorders>
          </w:tcPr>
          <w:p w14:paraId="02DD0023" w14:textId="77777777" w:rsidR="006E40C9" w:rsidRDefault="006E40C9">
            <w:pPr>
              <w:pStyle w:val="MeasureTableTextItalic"/>
            </w:pPr>
            <w:r>
              <w:t>Legislative reference:</w:t>
            </w:r>
          </w:p>
        </w:tc>
        <w:tc>
          <w:tcPr>
            <w:tcW w:w="5803" w:type="dxa"/>
            <w:gridSpan w:val="8"/>
            <w:tcBorders>
              <w:top w:val="nil"/>
            </w:tcBorders>
          </w:tcPr>
          <w:p w14:paraId="735AFA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58ZE of the </w:t>
            </w:r>
            <w:r>
              <w:rPr>
                <w:rFonts w:ascii="Arial" w:hAnsi="Arial" w:cs="Arial"/>
                <w:i/>
                <w:iCs/>
                <w:color w:val="000000"/>
                <w:sz w:val="16"/>
                <w:szCs w:val="16"/>
              </w:rPr>
              <w:t>Fringe Benefits Tax Assessment Act 1986</w:t>
            </w:r>
          </w:p>
        </w:tc>
      </w:tr>
    </w:tbl>
    <w:p w14:paraId="6520EA6E" w14:textId="77777777" w:rsidR="006E40C9" w:rsidRPr="00540040" w:rsidRDefault="006E40C9" w:rsidP="006E40C9">
      <w:pPr>
        <w:pStyle w:val="MeasureTableHeading"/>
      </w:pPr>
    </w:p>
    <w:p w14:paraId="3ACE710D" w14:textId="77777777" w:rsidR="006E40C9" w:rsidRDefault="006E40C9" w:rsidP="006E40C9">
      <w:r>
        <w:t>Under the income tax benchmark, fringe benefits are classified as individual employee income, with the grossed-up value taxed at the employee’s marginal income tax rate. However, retraining and reskilling benefits</w:t>
      </w:r>
      <w:r>
        <w:fldChar w:fldCharType="begin"/>
      </w:r>
      <w:r>
        <w:instrText xml:space="preserve"> XE "R</w:instrText>
      </w:r>
      <w:r w:rsidRPr="00B573A0">
        <w:instrText>etraining and reskilling benefits</w:instrText>
      </w:r>
      <w:r>
        <w:instrText xml:space="preserve">" </w:instrText>
      </w:r>
      <w:r>
        <w:fldChar w:fldCharType="end"/>
      </w:r>
      <w:r>
        <w:t xml:space="preserve"> provided by employers to redundant, or soon to be redundant employees, where the benefits may not be related to their current employment are exempt from fringe benefits tax. This measure commenced from 2 October 2020. </w:t>
      </w:r>
    </w:p>
    <w:p w14:paraId="1CD3D990" w14:textId="77777777" w:rsidR="006E40C9" w:rsidRDefault="006E40C9" w:rsidP="00D9255A">
      <w:pPr>
        <w:pStyle w:val="TESHeading5"/>
      </w:pPr>
      <w:r>
        <w:t>D8</w:t>
      </w:r>
      <w:r>
        <w:tab/>
        <w:t>Reduction in taxable value for education costs of children of employees posted overseas</w:t>
      </w:r>
    </w:p>
    <w:p w14:paraId="064E3AFD"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2D732D" w14:textId="77777777">
        <w:trPr>
          <w:cantSplit/>
          <w:jc w:val="center"/>
        </w:trPr>
        <w:tc>
          <w:tcPr>
            <w:tcW w:w="967" w:type="dxa"/>
            <w:tcBorders>
              <w:top w:val="single" w:sz="2" w:space="0" w:color="auto"/>
              <w:bottom w:val="single" w:sz="2" w:space="0" w:color="auto"/>
            </w:tcBorders>
          </w:tcPr>
          <w:p w14:paraId="0239AEF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9F8FB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D1DD4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122365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8ABF9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DE572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6C463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2CF5646" w14:textId="77777777" w:rsidR="006E40C9" w:rsidRDefault="006E40C9">
            <w:pPr>
              <w:pStyle w:val="MeasureTableTextRightAligned"/>
            </w:pPr>
            <w:r>
              <w:t>2027-28</w:t>
            </w:r>
          </w:p>
        </w:tc>
      </w:tr>
      <w:tr w:rsidR="006E40C9" w14:paraId="325C1342" w14:textId="77777777">
        <w:trPr>
          <w:cantSplit/>
          <w:jc w:val="center"/>
        </w:trPr>
        <w:tc>
          <w:tcPr>
            <w:tcW w:w="967" w:type="dxa"/>
            <w:tcBorders>
              <w:top w:val="single" w:sz="2" w:space="0" w:color="auto"/>
              <w:bottom w:val="single" w:sz="2" w:space="0" w:color="auto"/>
            </w:tcBorders>
          </w:tcPr>
          <w:p w14:paraId="65A86494" w14:textId="77777777" w:rsidR="006E40C9" w:rsidRDefault="006E40C9">
            <w:pPr>
              <w:pStyle w:val="MeasureTableTextRightAligned"/>
            </w:pPr>
            <w:r>
              <w:t>*</w:t>
            </w:r>
          </w:p>
        </w:tc>
        <w:tc>
          <w:tcPr>
            <w:tcW w:w="967" w:type="dxa"/>
            <w:tcBorders>
              <w:top w:val="single" w:sz="2" w:space="0" w:color="auto"/>
              <w:bottom w:val="single" w:sz="2" w:space="0" w:color="auto"/>
            </w:tcBorders>
          </w:tcPr>
          <w:p w14:paraId="08277C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EB81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DB26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52E7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8625C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8643EE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8CED8B2" w14:textId="77777777" w:rsidR="006E40C9" w:rsidRDefault="006E40C9">
            <w:pPr>
              <w:pStyle w:val="MeasureTableTextRightAligned"/>
            </w:pPr>
            <w:r>
              <w:t>*</w:t>
            </w:r>
          </w:p>
        </w:tc>
      </w:tr>
      <w:tr w:rsidR="006E40C9" w14:paraId="1EC1B384" w14:textId="77777777">
        <w:trPr>
          <w:cantSplit/>
          <w:jc w:val="center"/>
        </w:trPr>
        <w:tc>
          <w:tcPr>
            <w:tcW w:w="1934" w:type="dxa"/>
            <w:gridSpan w:val="2"/>
            <w:tcBorders>
              <w:top w:val="single" w:sz="2" w:space="0" w:color="auto"/>
              <w:bottom w:val="nil"/>
            </w:tcBorders>
          </w:tcPr>
          <w:p w14:paraId="115BA8B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6430E0"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2B3C44A" w14:textId="3899EE6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57E063B" w14:textId="77777777" w:rsidR="006E40C9" w:rsidRDefault="006E40C9">
            <w:pPr>
              <w:pStyle w:val="MeasureTableTextLeftAligned"/>
            </w:pPr>
            <w:r>
              <w:t>D8</w:t>
            </w:r>
          </w:p>
        </w:tc>
      </w:tr>
      <w:tr w:rsidR="006E40C9" w14:paraId="151A7AF4" w14:textId="77777777">
        <w:trPr>
          <w:cantSplit/>
          <w:jc w:val="center"/>
        </w:trPr>
        <w:tc>
          <w:tcPr>
            <w:tcW w:w="1934" w:type="dxa"/>
            <w:gridSpan w:val="2"/>
            <w:tcBorders>
              <w:top w:val="nil"/>
              <w:bottom w:val="nil"/>
            </w:tcBorders>
          </w:tcPr>
          <w:p w14:paraId="08109D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7BF8B1" w14:textId="77777777" w:rsidR="006E40C9" w:rsidRPr="00584CA7" w:rsidRDefault="006E40C9">
            <w:pPr>
              <w:pStyle w:val="MeasureTableTextLeftAligned"/>
            </w:pPr>
            <w:r>
              <w:t>Not Applicable</w:t>
            </w:r>
          </w:p>
        </w:tc>
        <w:tc>
          <w:tcPr>
            <w:tcW w:w="1500" w:type="dxa"/>
            <w:gridSpan w:val="2"/>
            <w:tcBorders>
              <w:top w:val="nil"/>
              <w:bottom w:val="nil"/>
            </w:tcBorders>
          </w:tcPr>
          <w:p w14:paraId="2F00518E" w14:textId="77777777" w:rsidR="006E40C9" w:rsidRDefault="006E40C9">
            <w:pPr>
              <w:pStyle w:val="MeasureTableTextItalic"/>
            </w:pPr>
            <w:r>
              <w:t>* Category</w:t>
            </w:r>
          </w:p>
        </w:tc>
        <w:tc>
          <w:tcPr>
            <w:tcW w:w="1124" w:type="dxa"/>
            <w:gridSpan w:val="2"/>
            <w:tcBorders>
              <w:top w:val="nil"/>
              <w:bottom w:val="nil"/>
            </w:tcBorders>
          </w:tcPr>
          <w:p w14:paraId="3A45715B" w14:textId="77777777" w:rsidR="006E40C9" w:rsidRDefault="006E40C9">
            <w:pPr>
              <w:pStyle w:val="MeasureTableTextLeftAligned"/>
            </w:pPr>
            <w:r>
              <w:t>1+</w:t>
            </w:r>
          </w:p>
        </w:tc>
      </w:tr>
      <w:tr w:rsidR="006E40C9" w14:paraId="158AB729" w14:textId="77777777">
        <w:trPr>
          <w:cantSplit/>
          <w:jc w:val="center"/>
        </w:trPr>
        <w:tc>
          <w:tcPr>
            <w:tcW w:w="1934" w:type="dxa"/>
            <w:gridSpan w:val="2"/>
            <w:tcBorders>
              <w:top w:val="nil"/>
              <w:bottom w:val="nil"/>
            </w:tcBorders>
          </w:tcPr>
          <w:p w14:paraId="33EB97FE" w14:textId="77777777" w:rsidR="006E40C9" w:rsidRDefault="006E40C9">
            <w:pPr>
              <w:pStyle w:val="MeasureTableTextItalic"/>
            </w:pPr>
            <w:r>
              <w:t>Commencement date:</w:t>
            </w:r>
          </w:p>
        </w:tc>
        <w:tc>
          <w:tcPr>
            <w:tcW w:w="3179" w:type="dxa"/>
            <w:gridSpan w:val="4"/>
            <w:tcBorders>
              <w:top w:val="nil"/>
              <w:bottom w:val="nil"/>
            </w:tcBorders>
          </w:tcPr>
          <w:p w14:paraId="7032AB56" w14:textId="77777777" w:rsidR="006E40C9" w:rsidRDefault="006E40C9">
            <w:pPr>
              <w:pStyle w:val="MeasureTableTextLeftAligned"/>
            </w:pPr>
            <w:r>
              <w:t>1987</w:t>
            </w:r>
          </w:p>
        </w:tc>
        <w:tc>
          <w:tcPr>
            <w:tcW w:w="1500" w:type="dxa"/>
            <w:gridSpan w:val="2"/>
            <w:tcBorders>
              <w:top w:val="nil"/>
              <w:bottom w:val="nil"/>
            </w:tcBorders>
          </w:tcPr>
          <w:p w14:paraId="62E3E7B1" w14:textId="77777777" w:rsidR="006E40C9" w:rsidRPr="00F32057" w:rsidRDefault="006E40C9">
            <w:pPr>
              <w:pStyle w:val="MeasureTableTextItalic"/>
            </w:pPr>
            <w:r>
              <w:t>Expiry date:</w:t>
            </w:r>
          </w:p>
        </w:tc>
        <w:tc>
          <w:tcPr>
            <w:tcW w:w="1124" w:type="dxa"/>
            <w:gridSpan w:val="2"/>
            <w:tcBorders>
              <w:top w:val="nil"/>
              <w:bottom w:val="nil"/>
            </w:tcBorders>
          </w:tcPr>
          <w:p w14:paraId="5C3C6F67" w14:textId="77777777" w:rsidR="006E40C9" w:rsidRPr="00F32057" w:rsidRDefault="006E40C9">
            <w:pPr>
              <w:pStyle w:val="MeasureTableTextLeftAligned"/>
            </w:pPr>
          </w:p>
        </w:tc>
      </w:tr>
      <w:tr w:rsidR="006E40C9" w14:paraId="0E6051B0" w14:textId="77777777">
        <w:trPr>
          <w:cantSplit/>
          <w:jc w:val="center"/>
        </w:trPr>
        <w:tc>
          <w:tcPr>
            <w:tcW w:w="1934" w:type="dxa"/>
            <w:gridSpan w:val="2"/>
            <w:tcBorders>
              <w:top w:val="nil"/>
            </w:tcBorders>
          </w:tcPr>
          <w:p w14:paraId="05A15339" w14:textId="77777777" w:rsidR="006E40C9" w:rsidRDefault="006E40C9">
            <w:pPr>
              <w:pStyle w:val="MeasureTableTextItalic"/>
            </w:pPr>
            <w:r>
              <w:t>Legislative reference:</w:t>
            </w:r>
          </w:p>
        </w:tc>
        <w:tc>
          <w:tcPr>
            <w:tcW w:w="5803" w:type="dxa"/>
            <w:gridSpan w:val="8"/>
            <w:tcBorders>
              <w:top w:val="nil"/>
            </w:tcBorders>
          </w:tcPr>
          <w:p w14:paraId="1902757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65A of the </w:t>
            </w:r>
            <w:r>
              <w:rPr>
                <w:rFonts w:ascii="Arial" w:hAnsi="Arial" w:cs="Arial"/>
                <w:i/>
                <w:iCs/>
                <w:color w:val="000000"/>
                <w:sz w:val="16"/>
                <w:szCs w:val="16"/>
              </w:rPr>
              <w:t>Fringe Benefits Tax Assessment Act 1986</w:t>
            </w:r>
          </w:p>
        </w:tc>
      </w:tr>
    </w:tbl>
    <w:p w14:paraId="202A740D" w14:textId="77777777" w:rsidR="006E40C9" w:rsidRPr="00540040" w:rsidRDefault="006E40C9" w:rsidP="006E40C9">
      <w:pPr>
        <w:pStyle w:val="MeasureTableHeading"/>
      </w:pPr>
    </w:p>
    <w:p w14:paraId="17B2E985" w14:textId="77777777" w:rsidR="006E40C9" w:rsidRDefault="006E40C9" w:rsidP="006E40C9">
      <w:r w:rsidRPr="00234A19">
        <w:t xml:space="preserve"> </w:t>
      </w:r>
      <w:r>
        <w:t>Under the income tax benchmark, fringe benefits are classified as individual employee income, with the grossed-up value taxed at the employee’s marginal income tax rate. However, the taxable value of fringe benefits</w:t>
      </w:r>
      <w:r>
        <w:fldChar w:fldCharType="begin"/>
      </w:r>
      <w:r>
        <w:instrText xml:space="preserve"> XE "Education:Expenses" </w:instrText>
      </w:r>
      <w:r>
        <w:fldChar w:fldCharType="end"/>
      </w:r>
      <w:r>
        <w:t xml:space="preserve"> (including a car, expense payment, property or residual benefit) in respect of full</w:t>
      </w:r>
      <w:r>
        <w:noBreakHyphen/>
        <w:t>time education of children of employees posted overseas may be reduced. The extent of the reduction relates to the period of the employee’s service overseas.</w:t>
      </w:r>
    </w:p>
    <w:p w14:paraId="45B56224" w14:textId="77777777" w:rsidR="006E40C9" w:rsidRDefault="006E40C9" w:rsidP="00D9255A">
      <w:pPr>
        <w:pStyle w:val="Heading3"/>
      </w:pPr>
      <w:r>
        <w:t>Tax expenditures for health</w:t>
      </w:r>
    </w:p>
    <w:p w14:paraId="5A82DC36" w14:textId="77777777" w:rsidR="006E40C9" w:rsidRDefault="006E40C9" w:rsidP="00D9255A">
      <w:pPr>
        <w:pStyle w:val="TESHeading5"/>
      </w:pPr>
      <w:r>
        <w:t>D9</w:t>
      </w:r>
      <w:r>
        <w:tab/>
        <w:t>Exemption for health care benefits provided to members of the Defence Force</w:t>
      </w:r>
    </w:p>
    <w:p w14:paraId="6946FB5A"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590A07F" w14:textId="77777777">
        <w:trPr>
          <w:cantSplit/>
          <w:jc w:val="center"/>
        </w:trPr>
        <w:tc>
          <w:tcPr>
            <w:tcW w:w="967" w:type="dxa"/>
            <w:tcBorders>
              <w:top w:val="single" w:sz="2" w:space="0" w:color="auto"/>
              <w:bottom w:val="single" w:sz="2" w:space="0" w:color="auto"/>
            </w:tcBorders>
          </w:tcPr>
          <w:p w14:paraId="63258F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301D9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F2F7C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18DA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812DF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6CE364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05F75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FEDEC58" w14:textId="77777777" w:rsidR="006E40C9" w:rsidRDefault="006E40C9">
            <w:pPr>
              <w:pStyle w:val="MeasureTableTextRightAligned"/>
            </w:pPr>
            <w:r>
              <w:t>2027-28</w:t>
            </w:r>
          </w:p>
        </w:tc>
      </w:tr>
      <w:tr w:rsidR="006E40C9" w14:paraId="6A197809" w14:textId="77777777">
        <w:trPr>
          <w:cantSplit/>
          <w:jc w:val="center"/>
        </w:trPr>
        <w:tc>
          <w:tcPr>
            <w:tcW w:w="967" w:type="dxa"/>
            <w:tcBorders>
              <w:top w:val="single" w:sz="2" w:space="0" w:color="auto"/>
              <w:bottom w:val="single" w:sz="2" w:space="0" w:color="auto"/>
            </w:tcBorders>
          </w:tcPr>
          <w:p w14:paraId="0869E847" w14:textId="77777777" w:rsidR="006E40C9" w:rsidRDefault="006E40C9">
            <w:pPr>
              <w:pStyle w:val="MeasureTableTextRightAligned"/>
            </w:pPr>
            <w:r>
              <w:t>450</w:t>
            </w:r>
          </w:p>
        </w:tc>
        <w:tc>
          <w:tcPr>
            <w:tcW w:w="967" w:type="dxa"/>
            <w:tcBorders>
              <w:top w:val="single" w:sz="2" w:space="0" w:color="auto"/>
              <w:bottom w:val="single" w:sz="2" w:space="0" w:color="auto"/>
            </w:tcBorders>
          </w:tcPr>
          <w:p w14:paraId="6200B1D9" w14:textId="77777777" w:rsidR="006E40C9" w:rsidRDefault="006E40C9">
            <w:pPr>
              <w:pStyle w:val="MeasureTableTextRightAligned"/>
            </w:pPr>
            <w:r>
              <w:t>540</w:t>
            </w:r>
          </w:p>
        </w:tc>
        <w:tc>
          <w:tcPr>
            <w:tcW w:w="967" w:type="dxa"/>
            <w:tcBorders>
              <w:top w:val="single" w:sz="2" w:space="0" w:color="auto"/>
              <w:bottom w:val="single" w:sz="2" w:space="0" w:color="auto"/>
            </w:tcBorders>
            <w:vAlign w:val="bottom"/>
          </w:tcPr>
          <w:p w14:paraId="4FB3CBAA" w14:textId="77777777" w:rsidR="006E40C9" w:rsidRDefault="006E40C9">
            <w:pPr>
              <w:pStyle w:val="MeasureTableTextRightAligned"/>
            </w:pPr>
            <w:r>
              <w:t>730</w:t>
            </w:r>
          </w:p>
        </w:tc>
        <w:tc>
          <w:tcPr>
            <w:tcW w:w="967" w:type="dxa"/>
            <w:tcBorders>
              <w:top w:val="single" w:sz="2" w:space="0" w:color="auto"/>
              <w:bottom w:val="single" w:sz="2" w:space="0" w:color="auto"/>
            </w:tcBorders>
            <w:vAlign w:val="bottom"/>
          </w:tcPr>
          <w:p w14:paraId="3F991FEF" w14:textId="77777777" w:rsidR="006E40C9" w:rsidRDefault="006E40C9">
            <w:pPr>
              <w:pStyle w:val="MeasureTableTextRightAligned"/>
            </w:pPr>
            <w:r>
              <w:t>790</w:t>
            </w:r>
          </w:p>
        </w:tc>
        <w:tc>
          <w:tcPr>
            <w:tcW w:w="967" w:type="dxa"/>
            <w:tcBorders>
              <w:top w:val="single" w:sz="2" w:space="0" w:color="auto"/>
              <w:bottom w:val="single" w:sz="2" w:space="0" w:color="auto"/>
            </w:tcBorders>
            <w:vAlign w:val="bottom"/>
          </w:tcPr>
          <w:p w14:paraId="706AF23B" w14:textId="77777777" w:rsidR="006E40C9" w:rsidRDefault="006E40C9">
            <w:pPr>
              <w:pStyle w:val="MeasureTableTextRightAligned"/>
            </w:pPr>
            <w:r>
              <w:t>730</w:t>
            </w:r>
          </w:p>
        </w:tc>
        <w:tc>
          <w:tcPr>
            <w:tcW w:w="967" w:type="dxa"/>
            <w:gridSpan w:val="2"/>
            <w:tcBorders>
              <w:top w:val="single" w:sz="2" w:space="0" w:color="auto"/>
              <w:bottom w:val="single" w:sz="2" w:space="0" w:color="auto"/>
            </w:tcBorders>
            <w:vAlign w:val="bottom"/>
          </w:tcPr>
          <w:p w14:paraId="51DBBC8A" w14:textId="77777777" w:rsidR="006E40C9" w:rsidRDefault="006E40C9">
            <w:pPr>
              <w:pStyle w:val="MeasureTableTextRightAligned"/>
            </w:pPr>
            <w:r>
              <w:t>760</w:t>
            </w:r>
          </w:p>
        </w:tc>
        <w:tc>
          <w:tcPr>
            <w:tcW w:w="967" w:type="dxa"/>
            <w:gridSpan w:val="2"/>
            <w:tcBorders>
              <w:top w:val="single" w:sz="2" w:space="0" w:color="auto"/>
              <w:bottom w:val="single" w:sz="2" w:space="0" w:color="auto"/>
            </w:tcBorders>
            <w:vAlign w:val="bottom"/>
          </w:tcPr>
          <w:p w14:paraId="75DCE4C1" w14:textId="77777777" w:rsidR="006E40C9" w:rsidRDefault="006E40C9">
            <w:pPr>
              <w:pStyle w:val="MeasureTableTextRightAligned"/>
            </w:pPr>
            <w:r>
              <w:t>810</w:t>
            </w:r>
          </w:p>
        </w:tc>
        <w:tc>
          <w:tcPr>
            <w:tcW w:w="968" w:type="dxa"/>
            <w:tcBorders>
              <w:top w:val="single" w:sz="2" w:space="0" w:color="auto"/>
              <w:bottom w:val="single" w:sz="2" w:space="0" w:color="auto"/>
            </w:tcBorders>
            <w:vAlign w:val="bottom"/>
          </w:tcPr>
          <w:p w14:paraId="3640AC29" w14:textId="77777777" w:rsidR="006E40C9" w:rsidRDefault="006E40C9">
            <w:pPr>
              <w:pStyle w:val="MeasureTableTextRightAligned"/>
            </w:pPr>
            <w:r>
              <w:t>860</w:t>
            </w:r>
          </w:p>
        </w:tc>
      </w:tr>
      <w:tr w:rsidR="006E40C9" w14:paraId="34C1A650" w14:textId="77777777">
        <w:trPr>
          <w:cantSplit/>
          <w:jc w:val="center"/>
        </w:trPr>
        <w:tc>
          <w:tcPr>
            <w:tcW w:w="1934" w:type="dxa"/>
            <w:gridSpan w:val="2"/>
            <w:tcBorders>
              <w:top w:val="single" w:sz="2" w:space="0" w:color="auto"/>
              <w:bottom w:val="nil"/>
            </w:tcBorders>
          </w:tcPr>
          <w:p w14:paraId="6E1ED49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CFD26C" w14:textId="77777777" w:rsidR="006E40C9" w:rsidRDefault="006E40C9">
            <w:pPr>
              <w:pStyle w:val="MeasureTableTextLeftAligned"/>
            </w:pPr>
            <w:r>
              <w:t>Exemption</w:t>
            </w:r>
          </w:p>
        </w:tc>
        <w:tc>
          <w:tcPr>
            <w:tcW w:w="1500" w:type="dxa"/>
            <w:gridSpan w:val="2"/>
            <w:tcBorders>
              <w:top w:val="single" w:sz="2" w:space="0" w:color="auto"/>
              <w:bottom w:val="nil"/>
            </w:tcBorders>
          </w:tcPr>
          <w:p w14:paraId="52C83A0C" w14:textId="40827CE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667BCC4" w14:textId="77777777" w:rsidR="006E40C9" w:rsidRDefault="006E40C9">
            <w:pPr>
              <w:pStyle w:val="MeasureTableTextLeftAligned"/>
            </w:pPr>
            <w:r>
              <w:t>D9</w:t>
            </w:r>
          </w:p>
        </w:tc>
      </w:tr>
      <w:tr w:rsidR="006E40C9" w14:paraId="1C0E3EBA" w14:textId="77777777">
        <w:trPr>
          <w:cantSplit/>
          <w:jc w:val="center"/>
        </w:trPr>
        <w:tc>
          <w:tcPr>
            <w:tcW w:w="1934" w:type="dxa"/>
            <w:gridSpan w:val="2"/>
            <w:tcBorders>
              <w:top w:val="nil"/>
              <w:bottom w:val="nil"/>
            </w:tcBorders>
          </w:tcPr>
          <w:p w14:paraId="04160F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D53C8F7" w14:textId="77777777" w:rsidR="006E40C9" w:rsidRPr="00584CA7" w:rsidRDefault="006E40C9">
            <w:pPr>
              <w:pStyle w:val="MeasureTableTextLeftAligned"/>
            </w:pPr>
            <w:r>
              <w:t>Medium</w:t>
            </w:r>
          </w:p>
        </w:tc>
        <w:tc>
          <w:tcPr>
            <w:tcW w:w="1500" w:type="dxa"/>
            <w:gridSpan w:val="2"/>
            <w:tcBorders>
              <w:top w:val="nil"/>
              <w:bottom w:val="nil"/>
            </w:tcBorders>
          </w:tcPr>
          <w:p w14:paraId="725186D7" w14:textId="77777777" w:rsidR="006E40C9" w:rsidRDefault="006E40C9">
            <w:pPr>
              <w:pStyle w:val="MeasureTableTextItalic"/>
            </w:pPr>
          </w:p>
        </w:tc>
        <w:tc>
          <w:tcPr>
            <w:tcW w:w="1124" w:type="dxa"/>
            <w:gridSpan w:val="2"/>
            <w:tcBorders>
              <w:top w:val="nil"/>
              <w:bottom w:val="nil"/>
            </w:tcBorders>
          </w:tcPr>
          <w:p w14:paraId="3CAEE183" w14:textId="77777777" w:rsidR="006E40C9" w:rsidRDefault="006E40C9">
            <w:pPr>
              <w:pStyle w:val="MeasureTableTextLeftAligned"/>
            </w:pPr>
          </w:p>
        </w:tc>
      </w:tr>
      <w:tr w:rsidR="006E40C9" w14:paraId="5248EEFB" w14:textId="77777777">
        <w:trPr>
          <w:cantSplit/>
          <w:jc w:val="center"/>
        </w:trPr>
        <w:tc>
          <w:tcPr>
            <w:tcW w:w="1934" w:type="dxa"/>
            <w:gridSpan w:val="2"/>
            <w:tcBorders>
              <w:top w:val="nil"/>
              <w:bottom w:val="nil"/>
            </w:tcBorders>
          </w:tcPr>
          <w:p w14:paraId="69891AC4" w14:textId="77777777" w:rsidR="006E40C9" w:rsidRDefault="006E40C9">
            <w:pPr>
              <w:pStyle w:val="MeasureTableTextItalic"/>
            </w:pPr>
            <w:r>
              <w:t>Commencement date:</w:t>
            </w:r>
          </w:p>
        </w:tc>
        <w:tc>
          <w:tcPr>
            <w:tcW w:w="3179" w:type="dxa"/>
            <w:gridSpan w:val="4"/>
            <w:tcBorders>
              <w:top w:val="nil"/>
              <w:bottom w:val="nil"/>
            </w:tcBorders>
          </w:tcPr>
          <w:p w14:paraId="4BD4D00E" w14:textId="77777777" w:rsidR="006E40C9" w:rsidRDefault="006E40C9">
            <w:pPr>
              <w:pStyle w:val="MeasureTableTextLeftAligned"/>
            </w:pPr>
            <w:r>
              <w:t>1995</w:t>
            </w:r>
          </w:p>
        </w:tc>
        <w:tc>
          <w:tcPr>
            <w:tcW w:w="1500" w:type="dxa"/>
            <w:gridSpan w:val="2"/>
            <w:tcBorders>
              <w:top w:val="nil"/>
              <w:bottom w:val="nil"/>
            </w:tcBorders>
          </w:tcPr>
          <w:p w14:paraId="3E3E96C8" w14:textId="77777777" w:rsidR="006E40C9" w:rsidRPr="00F32057" w:rsidRDefault="006E40C9">
            <w:pPr>
              <w:pStyle w:val="MeasureTableTextItalic"/>
            </w:pPr>
            <w:r>
              <w:t>Expiry date:</w:t>
            </w:r>
          </w:p>
        </w:tc>
        <w:tc>
          <w:tcPr>
            <w:tcW w:w="1124" w:type="dxa"/>
            <w:gridSpan w:val="2"/>
            <w:tcBorders>
              <w:top w:val="nil"/>
              <w:bottom w:val="nil"/>
            </w:tcBorders>
          </w:tcPr>
          <w:p w14:paraId="022B4D81" w14:textId="77777777" w:rsidR="006E40C9" w:rsidRPr="00F32057" w:rsidRDefault="006E40C9">
            <w:pPr>
              <w:pStyle w:val="MeasureTableTextLeftAligned"/>
            </w:pPr>
          </w:p>
        </w:tc>
      </w:tr>
      <w:tr w:rsidR="006E40C9" w14:paraId="04C4F0EC" w14:textId="77777777">
        <w:trPr>
          <w:cantSplit/>
          <w:jc w:val="center"/>
        </w:trPr>
        <w:tc>
          <w:tcPr>
            <w:tcW w:w="1934" w:type="dxa"/>
            <w:gridSpan w:val="2"/>
            <w:tcBorders>
              <w:top w:val="nil"/>
            </w:tcBorders>
          </w:tcPr>
          <w:p w14:paraId="5304F7F7" w14:textId="77777777" w:rsidR="006E40C9" w:rsidRDefault="006E40C9">
            <w:pPr>
              <w:pStyle w:val="MeasureTableTextItalic"/>
            </w:pPr>
            <w:r>
              <w:t>Legislative reference:</w:t>
            </w:r>
          </w:p>
        </w:tc>
        <w:tc>
          <w:tcPr>
            <w:tcW w:w="5803" w:type="dxa"/>
            <w:gridSpan w:val="8"/>
            <w:tcBorders>
              <w:top w:val="nil"/>
            </w:tcBorders>
          </w:tcPr>
          <w:p w14:paraId="00A994F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6AC of the </w:t>
            </w:r>
            <w:r>
              <w:rPr>
                <w:rFonts w:ascii="Arial" w:hAnsi="Arial" w:cs="Arial"/>
                <w:i/>
                <w:iCs/>
                <w:color w:val="000000"/>
                <w:sz w:val="16"/>
                <w:szCs w:val="16"/>
              </w:rPr>
              <w:t>Fringe Benefits Tax (Application to the Commonwealth) Act 1986</w:t>
            </w:r>
          </w:p>
        </w:tc>
      </w:tr>
    </w:tbl>
    <w:p w14:paraId="125B46C2" w14:textId="1F3F25C0" w:rsidR="006E40C9" w:rsidRDefault="006E40C9" w:rsidP="006E40C9">
      <w:pPr>
        <w:pStyle w:val="Source"/>
      </w:pPr>
      <w:r>
        <w:t>Note: estimates include tax expenditures D9 and D5</w:t>
      </w:r>
    </w:p>
    <w:p w14:paraId="52B64837" w14:textId="77777777" w:rsidR="006E40C9" w:rsidRPr="00540040" w:rsidRDefault="006E40C9" w:rsidP="006E40C9">
      <w:pPr>
        <w:pStyle w:val="MeasureTableHeading"/>
      </w:pPr>
    </w:p>
    <w:p w14:paraId="35FD4858" w14:textId="77777777" w:rsidR="006E40C9" w:rsidRDefault="006E40C9" w:rsidP="006E40C9">
      <w:r>
        <w:t>Under the income tax benchmark, fringe benefits are classified as individual employee income, with the grossed-up value taxed at the employee’s marginal income tax rate. However, all health care benefits provided by the Australian Government to members of the Australian Defence Force</w:t>
      </w:r>
      <w:r>
        <w:fldChar w:fldCharType="begin"/>
      </w:r>
      <w:r>
        <w:instrText xml:space="preserve"> XE "Australian Defence Force personnel" </w:instrText>
      </w:r>
      <w:r>
        <w:fldChar w:fldCharType="end"/>
      </w:r>
      <w:r>
        <w:t xml:space="preserve"> (because of their membership) are exempt from fringe benefits tax.</w:t>
      </w:r>
    </w:p>
    <w:p w14:paraId="50CD2645" w14:textId="77777777" w:rsidR="006E40C9" w:rsidRDefault="006E40C9" w:rsidP="00D9255A">
      <w:pPr>
        <w:pStyle w:val="TESHeading5"/>
      </w:pPr>
      <w:r>
        <w:t>D10</w:t>
      </w:r>
      <w:r>
        <w:tab/>
        <w:t>Exemption for charities promoting the prevention or control of disease in human beings</w:t>
      </w:r>
    </w:p>
    <w:p w14:paraId="6941F7C9"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67EEDB4" w14:textId="77777777">
        <w:trPr>
          <w:cantSplit/>
          <w:jc w:val="center"/>
        </w:trPr>
        <w:tc>
          <w:tcPr>
            <w:tcW w:w="967" w:type="dxa"/>
            <w:tcBorders>
              <w:top w:val="single" w:sz="2" w:space="0" w:color="auto"/>
              <w:bottom w:val="single" w:sz="2" w:space="0" w:color="auto"/>
            </w:tcBorders>
          </w:tcPr>
          <w:p w14:paraId="22CBC8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CDAD6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382B2D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14D62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675D8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7C88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7ED2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26F64E9" w14:textId="77777777" w:rsidR="006E40C9" w:rsidRDefault="006E40C9">
            <w:pPr>
              <w:pStyle w:val="MeasureTableTextRightAligned"/>
            </w:pPr>
            <w:r>
              <w:t>2027-28</w:t>
            </w:r>
          </w:p>
        </w:tc>
      </w:tr>
      <w:tr w:rsidR="006E40C9" w14:paraId="780C777B" w14:textId="77777777">
        <w:trPr>
          <w:cantSplit/>
          <w:jc w:val="center"/>
        </w:trPr>
        <w:tc>
          <w:tcPr>
            <w:tcW w:w="967" w:type="dxa"/>
            <w:tcBorders>
              <w:top w:val="single" w:sz="2" w:space="0" w:color="auto"/>
              <w:bottom w:val="single" w:sz="2" w:space="0" w:color="auto"/>
            </w:tcBorders>
          </w:tcPr>
          <w:p w14:paraId="4E71C891" w14:textId="77777777" w:rsidR="006E40C9" w:rsidRDefault="006E40C9">
            <w:pPr>
              <w:pStyle w:val="MeasureTableTextRightAligned"/>
            </w:pPr>
            <w:r>
              <w:t>140</w:t>
            </w:r>
          </w:p>
        </w:tc>
        <w:tc>
          <w:tcPr>
            <w:tcW w:w="967" w:type="dxa"/>
            <w:tcBorders>
              <w:top w:val="single" w:sz="2" w:space="0" w:color="auto"/>
              <w:bottom w:val="single" w:sz="2" w:space="0" w:color="auto"/>
            </w:tcBorders>
          </w:tcPr>
          <w:p w14:paraId="7E2839A8"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6838CE86"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6657EB7B" w14:textId="77777777" w:rsidR="006E40C9" w:rsidRDefault="006E40C9">
            <w:pPr>
              <w:pStyle w:val="MeasureTableTextRightAligned"/>
            </w:pPr>
            <w:r>
              <w:t>230</w:t>
            </w:r>
          </w:p>
        </w:tc>
        <w:tc>
          <w:tcPr>
            <w:tcW w:w="967" w:type="dxa"/>
            <w:tcBorders>
              <w:top w:val="single" w:sz="2" w:space="0" w:color="auto"/>
              <w:bottom w:val="single" w:sz="2" w:space="0" w:color="auto"/>
            </w:tcBorders>
            <w:vAlign w:val="bottom"/>
          </w:tcPr>
          <w:p w14:paraId="55F1B0BD"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34162172"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500DE3A3" w14:textId="77777777" w:rsidR="006E40C9" w:rsidRDefault="006E40C9">
            <w:pPr>
              <w:pStyle w:val="MeasureTableTextRightAligned"/>
            </w:pPr>
            <w:r>
              <w:t>240</w:t>
            </w:r>
          </w:p>
        </w:tc>
        <w:tc>
          <w:tcPr>
            <w:tcW w:w="968" w:type="dxa"/>
            <w:tcBorders>
              <w:top w:val="single" w:sz="2" w:space="0" w:color="auto"/>
              <w:bottom w:val="single" w:sz="2" w:space="0" w:color="auto"/>
            </w:tcBorders>
            <w:vAlign w:val="bottom"/>
          </w:tcPr>
          <w:p w14:paraId="3FE2BA28" w14:textId="77777777" w:rsidR="006E40C9" w:rsidRDefault="006E40C9">
            <w:pPr>
              <w:pStyle w:val="MeasureTableTextRightAligned"/>
            </w:pPr>
            <w:r>
              <w:t>250</w:t>
            </w:r>
          </w:p>
        </w:tc>
      </w:tr>
      <w:tr w:rsidR="006E40C9" w14:paraId="0BBE3FCA" w14:textId="77777777">
        <w:trPr>
          <w:cantSplit/>
          <w:jc w:val="center"/>
        </w:trPr>
        <w:tc>
          <w:tcPr>
            <w:tcW w:w="1934" w:type="dxa"/>
            <w:gridSpan w:val="2"/>
            <w:tcBorders>
              <w:top w:val="single" w:sz="2" w:space="0" w:color="auto"/>
              <w:bottom w:val="nil"/>
            </w:tcBorders>
          </w:tcPr>
          <w:p w14:paraId="1150998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C1F9767" w14:textId="77777777" w:rsidR="006E40C9" w:rsidRDefault="006E40C9">
            <w:pPr>
              <w:pStyle w:val="MeasureTableTextLeftAligned"/>
            </w:pPr>
            <w:r>
              <w:t>Exemption</w:t>
            </w:r>
          </w:p>
        </w:tc>
        <w:tc>
          <w:tcPr>
            <w:tcW w:w="1500" w:type="dxa"/>
            <w:gridSpan w:val="2"/>
            <w:tcBorders>
              <w:top w:val="single" w:sz="2" w:space="0" w:color="auto"/>
              <w:bottom w:val="nil"/>
            </w:tcBorders>
          </w:tcPr>
          <w:p w14:paraId="43003ACF" w14:textId="7833A65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DD02B8" w14:textId="77777777" w:rsidR="006E40C9" w:rsidRDefault="006E40C9">
            <w:pPr>
              <w:pStyle w:val="MeasureTableTextLeftAligned"/>
            </w:pPr>
            <w:r>
              <w:t>D10</w:t>
            </w:r>
          </w:p>
        </w:tc>
      </w:tr>
      <w:tr w:rsidR="006E40C9" w14:paraId="65D38569" w14:textId="77777777">
        <w:trPr>
          <w:cantSplit/>
          <w:jc w:val="center"/>
        </w:trPr>
        <w:tc>
          <w:tcPr>
            <w:tcW w:w="1934" w:type="dxa"/>
            <w:gridSpan w:val="2"/>
            <w:tcBorders>
              <w:top w:val="nil"/>
              <w:bottom w:val="nil"/>
            </w:tcBorders>
          </w:tcPr>
          <w:p w14:paraId="1CA1CE1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6B7065" w14:textId="43C34849"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62C37CB9" w14:textId="77777777" w:rsidR="006E40C9" w:rsidRDefault="006E40C9">
            <w:pPr>
              <w:pStyle w:val="MeasureTableTextItalic"/>
            </w:pPr>
          </w:p>
        </w:tc>
        <w:tc>
          <w:tcPr>
            <w:tcW w:w="1124" w:type="dxa"/>
            <w:gridSpan w:val="2"/>
            <w:tcBorders>
              <w:top w:val="nil"/>
              <w:bottom w:val="nil"/>
            </w:tcBorders>
          </w:tcPr>
          <w:p w14:paraId="0094C198" w14:textId="77777777" w:rsidR="006E40C9" w:rsidRDefault="006E40C9">
            <w:pPr>
              <w:pStyle w:val="MeasureTableTextLeftAligned"/>
            </w:pPr>
          </w:p>
        </w:tc>
      </w:tr>
      <w:tr w:rsidR="006E40C9" w14:paraId="26531A6E" w14:textId="77777777">
        <w:trPr>
          <w:cantSplit/>
          <w:jc w:val="center"/>
        </w:trPr>
        <w:tc>
          <w:tcPr>
            <w:tcW w:w="1934" w:type="dxa"/>
            <w:gridSpan w:val="2"/>
            <w:tcBorders>
              <w:top w:val="nil"/>
              <w:bottom w:val="nil"/>
            </w:tcBorders>
          </w:tcPr>
          <w:p w14:paraId="7EB1F8E4" w14:textId="77777777" w:rsidR="006E40C9" w:rsidRDefault="006E40C9">
            <w:pPr>
              <w:pStyle w:val="MeasureTableTextItalic"/>
            </w:pPr>
            <w:r>
              <w:t>Commencement date:</w:t>
            </w:r>
          </w:p>
        </w:tc>
        <w:tc>
          <w:tcPr>
            <w:tcW w:w="3179" w:type="dxa"/>
            <w:gridSpan w:val="4"/>
            <w:tcBorders>
              <w:top w:val="nil"/>
              <w:bottom w:val="nil"/>
            </w:tcBorders>
          </w:tcPr>
          <w:p w14:paraId="0CA62FC7" w14:textId="77777777" w:rsidR="006E40C9" w:rsidRDefault="006E40C9">
            <w:pPr>
              <w:pStyle w:val="MeasureTableTextLeftAligned"/>
            </w:pPr>
            <w:r>
              <w:t>2001</w:t>
            </w:r>
          </w:p>
        </w:tc>
        <w:tc>
          <w:tcPr>
            <w:tcW w:w="1500" w:type="dxa"/>
            <w:gridSpan w:val="2"/>
            <w:tcBorders>
              <w:top w:val="nil"/>
              <w:bottom w:val="nil"/>
            </w:tcBorders>
          </w:tcPr>
          <w:p w14:paraId="5E839CF7" w14:textId="77777777" w:rsidR="006E40C9" w:rsidRPr="00F32057" w:rsidRDefault="006E40C9">
            <w:pPr>
              <w:pStyle w:val="MeasureTableTextItalic"/>
            </w:pPr>
            <w:r>
              <w:t>Expiry date:</w:t>
            </w:r>
          </w:p>
        </w:tc>
        <w:tc>
          <w:tcPr>
            <w:tcW w:w="1124" w:type="dxa"/>
            <w:gridSpan w:val="2"/>
            <w:tcBorders>
              <w:top w:val="nil"/>
              <w:bottom w:val="nil"/>
            </w:tcBorders>
          </w:tcPr>
          <w:p w14:paraId="7A2987FE" w14:textId="77777777" w:rsidR="006E40C9" w:rsidRPr="00F32057" w:rsidRDefault="006E40C9">
            <w:pPr>
              <w:pStyle w:val="MeasureTableTextLeftAligned"/>
            </w:pPr>
          </w:p>
        </w:tc>
      </w:tr>
      <w:tr w:rsidR="006E40C9" w14:paraId="20EC1C09" w14:textId="77777777">
        <w:trPr>
          <w:cantSplit/>
          <w:jc w:val="center"/>
        </w:trPr>
        <w:tc>
          <w:tcPr>
            <w:tcW w:w="1934" w:type="dxa"/>
            <w:gridSpan w:val="2"/>
            <w:tcBorders>
              <w:top w:val="nil"/>
            </w:tcBorders>
          </w:tcPr>
          <w:p w14:paraId="5D29AAE0" w14:textId="77777777" w:rsidR="006E40C9" w:rsidRDefault="006E40C9">
            <w:pPr>
              <w:pStyle w:val="MeasureTableTextItalic"/>
            </w:pPr>
            <w:r>
              <w:t>Legislative reference:</w:t>
            </w:r>
          </w:p>
        </w:tc>
        <w:tc>
          <w:tcPr>
            <w:tcW w:w="5803" w:type="dxa"/>
            <w:gridSpan w:val="8"/>
            <w:tcBorders>
              <w:top w:val="nil"/>
            </w:tcBorders>
          </w:tcPr>
          <w:p w14:paraId="228D47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5B and Subsection 57A(5) of the </w:t>
            </w:r>
            <w:r>
              <w:rPr>
                <w:rFonts w:ascii="Arial" w:hAnsi="Arial" w:cs="Arial"/>
                <w:i/>
                <w:iCs/>
                <w:color w:val="000000"/>
                <w:sz w:val="16"/>
                <w:szCs w:val="16"/>
              </w:rPr>
              <w:t>Fringe Benefits Tax Assessment Act 1986</w:t>
            </w:r>
          </w:p>
        </w:tc>
      </w:tr>
    </w:tbl>
    <w:p w14:paraId="1CFC5C57" w14:textId="77777777" w:rsidR="006E40C9" w:rsidRPr="00540040" w:rsidRDefault="006E40C9" w:rsidP="006E40C9">
      <w:pPr>
        <w:pStyle w:val="MeasureTableHeading"/>
      </w:pPr>
    </w:p>
    <w:p w14:paraId="186F2BA2" w14:textId="3DDA7812" w:rsidR="006E40C9" w:rsidRDefault="006E40C9" w:rsidP="006E40C9">
      <w:r>
        <w:t xml:space="preserve">Under the income tax benchmark, fringe benefits are classified as individual employee income, with the grossed-up value taxed at the employee’s marginal income tax rate. However, charities whose principal activity is to promote the prevention or control of diseases in human beings are provided with an exemption from fringe benefits tax for up to $30,000 of the grossed up taxable value of fringe benefits per employee in each fringe benefits tax year. </w:t>
      </w:r>
    </w:p>
    <w:p w14:paraId="7BE997E6" w14:textId="77777777" w:rsidR="006E40C9" w:rsidRDefault="006E40C9" w:rsidP="00D9255A">
      <w:pPr>
        <w:pStyle w:val="TESHeading5"/>
      </w:pPr>
      <w:r>
        <w:t>D11</w:t>
      </w:r>
      <w:r>
        <w:tab/>
        <w:t>Exemption for public and not-for-profit hospitals and public ambulance services</w:t>
      </w:r>
    </w:p>
    <w:p w14:paraId="4B755FA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6617AC" w14:textId="77777777">
        <w:trPr>
          <w:cantSplit/>
          <w:jc w:val="center"/>
        </w:trPr>
        <w:tc>
          <w:tcPr>
            <w:tcW w:w="967" w:type="dxa"/>
            <w:tcBorders>
              <w:top w:val="single" w:sz="2" w:space="0" w:color="auto"/>
              <w:bottom w:val="single" w:sz="2" w:space="0" w:color="auto"/>
            </w:tcBorders>
          </w:tcPr>
          <w:p w14:paraId="70E317F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31BC64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91B6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00BB07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7EA9D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5457AC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58546E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FE789D" w14:textId="77777777" w:rsidR="006E40C9" w:rsidRDefault="006E40C9">
            <w:pPr>
              <w:pStyle w:val="MeasureTableTextRightAligned"/>
            </w:pPr>
            <w:r>
              <w:t>2027-28</w:t>
            </w:r>
          </w:p>
        </w:tc>
      </w:tr>
      <w:tr w:rsidR="006E40C9" w14:paraId="042F2173" w14:textId="77777777">
        <w:trPr>
          <w:cantSplit/>
          <w:jc w:val="center"/>
        </w:trPr>
        <w:tc>
          <w:tcPr>
            <w:tcW w:w="967" w:type="dxa"/>
            <w:tcBorders>
              <w:top w:val="single" w:sz="2" w:space="0" w:color="auto"/>
              <w:bottom w:val="single" w:sz="2" w:space="0" w:color="auto"/>
            </w:tcBorders>
          </w:tcPr>
          <w:p w14:paraId="14A6E5E6" w14:textId="77777777" w:rsidR="006E40C9" w:rsidRDefault="006E40C9">
            <w:pPr>
              <w:pStyle w:val="MeasureTableTextRightAligned"/>
            </w:pPr>
            <w:r>
              <w:t>1,500</w:t>
            </w:r>
          </w:p>
        </w:tc>
        <w:tc>
          <w:tcPr>
            <w:tcW w:w="967" w:type="dxa"/>
            <w:tcBorders>
              <w:top w:val="single" w:sz="2" w:space="0" w:color="auto"/>
              <w:bottom w:val="single" w:sz="2" w:space="0" w:color="auto"/>
            </w:tcBorders>
          </w:tcPr>
          <w:p w14:paraId="61CE55CF" w14:textId="77777777" w:rsidR="006E40C9" w:rsidRDefault="006E40C9">
            <w:pPr>
              <w:pStyle w:val="MeasureTableTextRightAligned"/>
            </w:pPr>
            <w:r>
              <w:t>1,650</w:t>
            </w:r>
          </w:p>
        </w:tc>
        <w:tc>
          <w:tcPr>
            <w:tcW w:w="967" w:type="dxa"/>
            <w:tcBorders>
              <w:top w:val="single" w:sz="2" w:space="0" w:color="auto"/>
              <w:bottom w:val="single" w:sz="2" w:space="0" w:color="auto"/>
            </w:tcBorders>
            <w:vAlign w:val="bottom"/>
          </w:tcPr>
          <w:p w14:paraId="43BEDB50" w14:textId="77777777" w:rsidR="006E40C9" w:rsidRDefault="006E40C9">
            <w:pPr>
              <w:pStyle w:val="MeasureTableTextRightAligned"/>
            </w:pPr>
            <w:r>
              <w:t>1,750</w:t>
            </w:r>
          </w:p>
        </w:tc>
        <w:tc>
          <w:tcPr>
            <w:tcW w:w="967" w:type="dxa"/>
            <w:tcBorders>
              <w:top w:val="single" w:sz="2" w:space="0" w:color="auto"/>
              <w:bottom w:val="single" w:sz="2" w:space="0" w:color="auto"/>
            </w:tcBorders>
            <w:vAlign w:val="bottom"/>
          </w:tcPr>
          <w:p w14:paraId="0BF0623C" w14:textId="77777777" w:rsidR="006E40C9" w:rsidRDefault="006E40C9">
            <w:pPr>
              <w:pStyle w:val="MeasureTableTextRightAligned"/>
            </w:pPr>
            <w:r>
              <w:t>1,850</w:t>
            </w:r>
          </w:p>
        </w:tc>
        <w:tc>
          <w:tcPr>
            <w:tcW w:w="967" w:type="dxa"/>
            <w:tcBorders>
              <w:top w:val="single" w:sz="2" w:space="0" w:color="auto"/>
              <w:bottom w:val="single" w:sz="2" w:space="0" w:color="auto"/>
            </w:tcBorders>
            <w:vAlign w:val="bottom"/>
          </w:tcPr>
          <w:p w14:paraId="1FF546EE" w14:textId="77777777" w:rsidR="006E40C9" w:rsidRDefault="006E40C9">
            <w:pPr>
              <w:pStyle w:val="MeasureTableTextRightAligned"/>
            </w:pPr>
            <w:r>
              <w:t>1,750</w:t>
            </w:r>
          </w:p>
        </w:tc>
        <w:tc>
          <w:tcPr>
            <w:tcW w:w="967" w:type="dxa"/>
            <w:gridSpan w:val="2"/>
            <w:tcBorders>
              <w:top w:val="single" w:sz="2" w:space="0" w:color="auto"/>
              <w:bottom w:val="single" w:sz="2" w:space="0" w:color="auto"/>
            </w:tcBorders>
            <w:vAlign w:val="bottom"/>
          </w:tcPr>
          <w:p w14:paraId="1FAED59B" w14:textId="77777777" w:rsidR="006E40C9" w:rsidRDefault="006E40C9">
            <w:pPr>
              <w:pStyle w:val="MeasureTableTextRightAligned"/>
            </w:pPr>
            <w:r>
              <w:t>1,850</w:t>
            </w:r>
          </w:p>
        </w:tc>
        <w:tc>
          <w:tcPr>
            <w:tcW w:w="967" w:type="dxa"/>
            <w:gridSpan w:val="2"/>
            <w:tcBorders>
              <w:top w:val="single" w:sz="2" w:space="0" w:color="auto"/>
              <w:bottom w:val="single" w:sz="2" w:space="0" w:color="auto"/>
            </w:tcBorders>
            <w:vAlign w:val="bottom"/>
          </w:tcPr>
          <w:p w14:paraId="1145572E" w14:textId="77777777" w:rsidR="006E40C9" w:rsidRDefault="006E40C9">
            <w:pPr>
              <w:pStyle w:val="MeasureTableTextRightAligned"/>
            </w:pPr>
            <w:r>
              <w:t>1,900</w:t>
            </w:r>
          </w:p>
        </w:tc>
        <w:tc>
          <w:tcPr>
            <w:tcW w:w="968" w:type="dxa"/>
            <w:tcBorders>
              <w:top w:val="single" w:sz="2" w:space="0" w:color="auto"/>
              <w:bottom w:val="single" w:sz="2" w:space="0" w:color="auto"/>
            </w:tcBorders>
            <w:vAlign w:val="bottom"/>
          </w:tcPr>
          <w:p w14:paraId="2C2E3835" w14:textId="77777777" w:rsidR="006E40C9" w:rsidRDefault="006E40C9">
            <w:pPr>
              <w:pStyle w:val="MeasureTableTextRightAligned"/>
            </w:pPr>
            <w:r>
              <w:t>2,000</w:t>
            </w:r>
          </w:p>
        </w:tc>
      </w:tr>
      <w:tr w:rsidR="006E40C9" w14:paraId="144B5249" w14:textId="77777777">
        <w:trPr>
          <w:cantSplit/>
          <w:jc w:val="center"/>
        </w:trPr>
        <w:tc>
          <w:tcPr>
            <w:tcW w:w="1934" w:type="dxa"/>
            <w:gridSpan w:val="2"/>
            <w:tcBorders>
              <w:top w:val="single" w:sz="2" w:space="0" w:color="auto"/>
              <w:bottom w:val="nil"/>
            </w:tcBorders>
          </w:tcPr>
          <w:p w14:paraId="1F22E43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89AB920" w14:textId="77777777" w:rsidR="006E40C9" w:rsidRDefault="006E40C9">
            <w:pPr>
              <w:pStyle w:val="MeasureTableTextLeftAligned"/>
            </w:pPr>
            <w:r>
              <w:t>Exemption</w:t>
            </w:r>
          </w:p>
        </w:tc>
        <w:tc>
          <w:tcPr>
            <w:tcW w:w="1500" w:type="dxa"/>
            <w:gridSpan w:val="2"/>
            <w:tcBorders>
              <w:top w:val="single" w:sz="2" w:space="0" w:color="auto"/>
              <w:bottom w:val="nil"/>
            </w:tcBorders>
          </w:tcPr>
          <w:p w14:paraId="02BCC69D" w14:textId="5C4C920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1C1B2D" w14:textId="77777777" w:rsidR="006E40C9" w:rsidRDefault="006E40C9">
            <w:pPr>
              <w:pStyle w:val="MeasureTableTextLeftAligned"/>
            </w:pPr>
            <w:r>
              <w:t>D11</w:t>
            </w:r>
          </w:p>
        </w:tc>
      </w:tr>
      <w:tr w:rsidR="006E40C9" w14:paraId="650117D3" w14:textId="77777777">
        <w:trPr>
          <w:cantSplit/>
          <w:jc w:val="center"/>
        </w:trPr>
        <w:tc>
          <w:tcPr>
            <w:tcW w:w="1934" w:type="dxa"/>
            <w:gridSpan w:val="2"/>
            <w:tcBorders>
              <w:top w:val="nil"/>
              <w:bottom w:val="nil"/>
            </w:tcBorders>
          </w:tcPr>
          <w:p w14:paraId="28A089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BC125D" w14:textId="77777777" w:rsidR="006E40C9" w:rsidRPr="00584CA7" w:rsidRDefault="006E40C9">
            <w:pPr>
              <w:pStyle w:val="MeasureTableTextLeftAligned"/>
            </w:pPr>
            <w:r>
              <w:t>Medium</w:t>
            </w:r>
          </w:p>
        </w:tc>
        <w:tc>
          <w:tcPr>
            <w:tcW w:w="1500" w:type="dxa"/>
            <w:gridSpan w:val="2"/>
            <w:tcBorders>
              <w:top w:val="nil"/>
              <w:bottom w:val="nil"/>
            </w:tcBorders>
          </w:tcPr>
          <w:p w14:paraId="17195367" w14:textId="77777777" w:rsidR="006E40C9" w:rsidRDefault="006E40C9">
            <w:pPr>
              <w:pStyle w:val="MeasureTableTextItalic"/>
            </w:pPr>
          </w:p>
        </w:tc>
        <w:tc>
          <w:tcPr>
            <w:tcW w:w="1124" w:type="dxa"/>
            <w:gridSpan w:val="2"/>
            <w:tcBorders>
              <w:top w:val="nil"/>
              <w:bottom w:val="nil"/>
            </w:tcBorders>
          </w:tcPr>
          <w:p w14:paraId="41A1532F" w14:textId="77777777" w:rsidR="006E40C9" w:rsidRDefault="006E40C9">
            <w:pPr>
              <w:pStyle w:val="MeasureTableTextLeftAligned"/>
            </w:pPr>
          </w:p>
        </w:tc>
      </w:tr>
      <w:tr w:rsidR="006E40C9" w14:paraId="1EA362EA" w14:textId="77777777">
        <w:trPr>
          <w:cantSplit/>
          <w:jc w:val="center"/>
        </w:trPr>
        <w:tc>
          <w:tcPr>
            <w:tcW w:w="1934" w:type="dxa"/>
            <w:gridSpan w:val="2"/>
            <w:tcBorders>
              <w:top w:val="nil"/>
              <w:bottom w:val="nil"/>
            </w:tcBorders>
          </w:tcPr>
          <w:p w14:paraId="75FBED1D" w14:textId="77777777" w:rsidR="006E40C9" w:rsidRDefault="006E40C9">
            <w:pPr>
              <w:pStyle w:val="MeasureTableTextItalic"/>
            </w:pPr>
            <w:r>
              <w:t>Commencement date:</w:t>
            </w:r>
          </w:p>
        </w:tc>
        <w:tc>
          <w:tcPr>
            <w:tcW w:w="3179" w:type="dxa"/>
            <w:gridSpan w:val="4"/>
            <w:tcBorders>
              <w:top w:val="nil"/>
              <w:bottom w:val="nil"/>
            </w:tcBorders>
          </w:tcPr>
          <w:p w14:paraId="5CC46E37" w14:textId="77777777" w:rsidR="006E40C9" w:rsidRDefault="006E40C9">
            <w:pPr>
              <w:pStyle w:val="MeasureTableTextLeftAligned"/>
            </w:pPr>
            <w:r>
              <w:t>2000</w:t>
            </w:r>
          </w:p>
        </w:tc>
        <w:tc>
          <w:tcPr>
            <w:tcW w:w="1500" w:type="dxa"/>
            <w:gridSpan w:val="2"/>
            <w:tcBorders>
              <w:top w:val="nil"/>
              <w:bottom w:val="nil"/>
            </w:tcBorders>
          </w:tcPr>
          <w:p w14:paraId="76C51768" w14:textId="77777777" w:rsidR="006E40C9" w:rsidRPr="00F32057" w:rsidRDefault="006E40C9">
            <w:pPr>
              <w:pStyle w:val="MeasureTableTextItalic"/>
            </w:pPr>
            <w:r>
              <w:t>Expiry date:</w:t>
            </w:r>
          </w:p>
        </w:tc>
        <w:tc>
          <w:tcPr>
            <w:tcW w:w="1124" w:type="dxa"/>
            <w:gridSpan w:val="2"/>
            <w:tcBorders>
              <w:top w:val="nil"/>
              <w:bottom w:val="nil"/>
            </w:tcBorders>
          </w:tcPr>
          <w:p w14:paraId="021FF269" w14:textId="77777777" w:rsidR="006E40C9" w:rsidRPr="00F32057" w:rsidRDefault="006E40C9">
            <w:pPr>
              <w:pStyle w:val="MeasureTableTextLeftAligned"/>
            </w:pPr>
          </w:p>
        </w:tc>
      </w:tr>
      <w:tr w:rsidR="006E40C9" w14:paraId="7BD88524" w14:textId="77777777">
        <w:trPr>
          <w:cantSplit/>
          <w:jc w:val="center"/>
        </w:trPr>
        <w:tc>
          <w:tcPr>
            <w:tcW w:w="1934" w:type="dxa"/>
            <w:gridSpan w:val="2"/>
            <w:tcBorders>
              <w:top w:val="nil"/>
            </w:tcBorders>
          </w:tcPr>
          <w:p w14:paraId="7D166A65" w14:textId="77777777" w:rsidR="006E40C9" w:rsidRDefault="006E40C9">
            <w:pPr>
              <w:pStyle w:val="MeasureTableTextItalic"/>
            </w:pPr>
            <w:r>
              <w:t>Legislative reference:</w:t>
            </w:r>
          </w:p>
        </w:tc>
        <w:tc>
          <w:tcPr>
            <w:tcW w:w="5803" w:type="dxa"/>
            <w:gridSpan w:val="8"/>
            <w:tcBorders>
              <w:top w:val="nil"/>
            </w:tcBorders>
          </w:tcPr>
          <w:p w14:paraId="5FFCAF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57A(3) and 57A(4) of the </w:t>
            </w:r>
            <w:r>
              <w:rPr>
                <w:rFonts w:ascii="Arial" w:hAnsi="Arial" w:cs="Arial"/>
                <w:i/>
                <w:iCs/>
                <w:color w:val="000000"/>
                <w:sz w:val="16"/>
                <w:szCs w:val="16"/>
              </w:rPr>
              <w:t>Fringe Benefits Tax Assessment Act 1986</w:t>
            </w:r>
          </w:p>
        </w:tc>
      </w:tr>
    </w:tbl>
    <w:p w14:paraId="3C78C0B2" w14:textId="77777777" w:rsidR="006E40C9" w:rsidRPr="00540040" w:rsidRDefault="006E40C9" w:rsidP="006E40C9">
      <w:pPr>
        <w:pStyle w:val="MeasureTableHeading"/>
      </w:pPr>
    </w:p>
    <w:p w14:paraId="7F854800" w14:textId="013D0DAE" w:rsidR="006E40C9" w:rsidRDefault="006E40C9" w:rsidP="006E40C9">
      <w:r>
        <w:t>Under the income tax benchmark, fringe benefits are classified as individual employee income, with the grossed-up value taxed at the employee’s marginal income tax rate. However, public and not</w:t>
      </w:r>
      <w:r>
        <w:noBreakHyphen/>
        <w:t>for</w:t>
      </w:r>
      <w:r>
        <w:noBreakHyphen/>
        <w:t>profit hospitals</w:t>
      </w:r>
      <w:r>
        <w:fldChar w:fldCharType="begin"/>
      </w:r>
      <w:r>
        <w:instrText xml:space="preserve"> XE "Hospitals" </w:instrText>
      </w:r>
      <w:r>
        <w:fldChar w:fldCharType="end"/>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t xml:space="preserve"> and public ambulance services are provided with an exemption from fringe benefits tax for up to $17,000 of the grossed</w:t>
      </w:r>
      <w:r>
        <w:noBreakHyphen/>
        <w:t xml:space="preserve">up taxable value of fringe benefits per employee in each fringe benefits tax year. </w:t>
      </w:r>
    </w:p>
    <w:p w14:paraId="372811F3" w14:textId="77777777" w:rsidR="006E40C9" w:rsidRDefault="006E40C9" w:rsidP="00D9255A">
      <w:pPr>
        <w:pStyle w:val="TESHeading5"/>
      </w:pPr>
      <w:r>
        <w:t>D12</w:t>
      </w:r>
      <w:r>
        <w:tab/>
        <w:t>Exemption for travel costs of employees and their families associated with overseas medical treatment</w:t>
      </w:r>
    </w:p>
    <w:p w14:paraId="17456B20"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5FC390" w14:textId="77777777">
        <w:trPr>
          <w:cantSplit/>
          <w:jc w:val="center"/>
        </w:trPr>
        <w:tc>
          <w:tcPr>
            <w:tcW w:w="967" w:type="dxa"/>
            <w:tcBorders>
              <w:top w:val="single" w:sz="2" w:space="0" w:color="auto"/>
              <w:bottom w:val="single" w:sz="2" w:space="0" w:color="auto"/>
            </w:tcBorders>
          </w:tcPr>
          <w:p w14:paraId="5D2B67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3E6C2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C8D0F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1056CA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26CD4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9D67D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8A4B87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24634AF" w14:textId="77777777" w:rsidR="006E40C9" w:rsidRDefault="006E40C9">
            <w:pPr>
              <w:pStyle w:val="MeasureTableTextRightAligned"/>
            </w:pPr>
            <w:r>
              <w:t>2027-28</w:t>
            </w:r>
          </w:p>
        </w:tc>
      </w:tr>
      <w:tr w:rsidR="006E40C9" w14:paraId="2DE30A1F" w14:textId="77777777">
        <w:trPr>
          <w:cantSplit/>
          <w:jc w:val="center"/>
        </w:trPr>
        <w:tc>
          <w:tcPr>
            <w:tcW w:w="967" w:type="dxa"/>
            <w:tcBorders>
              <w:top w:val="single" w:sz="2" w:space="0" w:color="auto"/>
              <w:bottom w:val="single" w:sz="2" w:space="0" w:color="auto"/>
            </w:tcBorders>
          </w:tcPr>
          <w:p w14:paraId="26DE48AD" w14:textId="77777777" w:rsidR="006E40C9" w:rsidRDefault="006E40C9">
            <w:pPr>
              <w:pStyle w:val="MeasureTableTextRightAligned"/>
            </w:pPr>
            <w:r>
              <w:t>*</w:t>
            </w:r>
          </w:p>
        </w:tc>
        <w:tc>
          <w:tcPr>
            <w:tcW w:w="967" w:type="dxa"/>
            <w:tcBorders>
              <w:top w:val="single" w:sz="2" w:space="0" w:color="auto"/>
              <w:bottom w:val="single" w:sz="2" w:space="0" w:color="auto"/>
            </w:tcBorders>
          </w:tcPr>
          <w:p w14:paraId="3896EBC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DF8CA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23C35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092D2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152D1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C6EDC7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C7B4D" w14:textId="77777777" w:rsidR="006E40C9" w:rsidRDefault="006E40C9">
            <w:pPr>
              <w:pStyle w:val="MeasureTableTextRightAligned"/>
            </w:pPr>
            <w:r>
              <w:t>*</w:t>
            </w:r>
          </w:p>
        </w:tc>
      </w:tr>
      <w:tr w:rsidR="006E40C9" w14:paraId="53B5384F" w14:textId="77777777">
        <w:trPr>
          <w:cantSplit/>
          <w:jc w:val="center"/>
        </w:trPr>
        <w:tc>
          <w:tcPr>
            <w:tcW w:w="1934" w:type="dxa"/>
            <w:gridSpan w:val="2"/>
            <w:tcBorders>
              <w:top w:val="single" w:sz="2" w:space="0" w:color="auto"/>
              <w:bottom w:val="nil"/>
            </w:tcBorders>
          </w:tcPr>
          <w:p w14:paraId="7A08163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49E6DF" w14:textId="77777777" w:rsidR="006E40C9" w:rsidRDefault="006E40C9">
            <w:pPr>
              <w:pStyle w:val="MeasureTableTextLeftAligned"/>
            </w:pPr>
            <w:r>
              <w:t>Exemption</w:t>
            </w:r>
          </w:p>
        </w:tc>
        <w:tc>
          <w:tcPr>
            <w:tcW w:w="1500" w:type="dxa"/>
            <w:gridSpan w:val="2"/>
            <w:tcBorders>
              <w:top w:val="single" w:sz="2" w:space="0" w:color="auto"/>
              <w:bottom w:val="nil"/>
            </w:tcBorders>
          </w:tcPr>
          <w:p w14:paraId="652AC237" w14:textId="4701A93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69A394" w14:textId="77777777" w:rsidR="006E40C9" w:rsidRDefault="006E40C9">
            <w:pPr>
              <w:pStyle w:val="MeasureTableTextLeftAligned"/>
            </w:pPr>
            <w:r>
              <w:t>D12</w:t>
            </w:r>
          </w:p>
        </w:tc>
      </w:tr>
      <w:tr w:rsidR="006E40C9" w14:paraId="1CECCA5D" w14:textId="77777777">
        <w:trPr>
          <w:cantSplit/>
          <w:jc w:val="center"/>
        </w:trPr>
        <w:tc>
          <w:tcPr>
            <w:tcW w:w="1934" w:type="dxa"/>
            <w:gridSpan w:val="2"/>
            <w:tcBorders>
              <w:top w:val="nil"/>
              <w:bottom w:val="nil"/>
            </w:tcBorders>
          </w:tcPr>
          <w:p w14:paraId="6A3E1CD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E564C1" w14:textId="77777777" w:rsidR="006E40C9" w:rsidRPr="00584CA7" w:rsidRDefault="006E40C9">
            <w:pPr>
              <w:pStyle w:val="MeasureTableTextLeftAligned"/>
            </w:pPr>
            <w:r>
              <w:t>Not Applicable</w:t>
            </w:r>
          </w:p>
        </w:tc>
        <w:tc>
          <w:tcPr>
            <w:tcW w:w="1500" w:type="dxa"/>
            <w:gridSpan w:val="2"/>
            <w:tcBorders>
              <w:top w:val="nil"/>
              <w:bottom w:val="nil"/>
            </w:tcBorders>
          </w:tcPr>
          <w:p w14:paraId="5A573B98" w14:textId="77777777" w:rsidR="006E40C9" w:rsidRDefault="006E40C9">
            <w:pPr>
              <w:pStyle w:val="MeasureTableTextItalic"/>
            </w:pPr>
            <w:r>
              <w:t>* Category</w:t>
            </w:r>
          </w:p>
        </w:tc>
        <w:tc>
          <w:tcPr>
            <w:tcW w:w="1124" w:type="dxa"/>
            <w:gridSpan w:val="2"/>
            <w:tcBorders>
              <w:top w:val="nil"/>
              <w:bottom w:val="nil"/>
            </w:tcBorders>
          </w:tcPr>
          <w:p w14:paraId="5F961D3E" w14:textId="77777777" w:rsidR="006E40C9" w:rsidRDefault="006E40C9">
            <w:pPr>
              <w:pStyle w:val="MeasureTableTextLeftAligned"/>
            </w:pPr>
            <w:r>
              <w:t>1+</w:t>
            </w:r>
          </w:p>
        </w:tc>
      </w:tr>
      <w:tr w:rsidR="006E40C9" w14:paraId="5895E4E5" w14:textId="77777777">
        <w:trPr>
          <w:cantSplit/>
          <w:jc w:val="center"/>
        </w:trPr>
        <w:tc>
          <w:tcPr>
            <w:tcW w:w="1934" w:type="dxa"/>
            <w:gridSpan w:val="2"/>
            <w:tcBorders>
              <w:top w:val="nil"/>
              <w:bottom w:val="nil"/>
            </w:tcBorders>
          </w:tcPr>
          <w:p w14:paraId="431C0868" w14:textId="77777777" w:rsidR="006E40C9" w:rsidRDefault="006E40C9">
            <w:pPr>
              <w:pStyle w:val="MeasureTableTextItalic"/>
            </w:pPr>
            <w:r>
              <w:t>Commencement date:</w:t>
            </w:r>
          </w:p>
        </w:tc>
        <w:tc>
          <w:tcPr>
            <w:tcW w:w="3179" w:type="dxa"/>
            <w:gridSpan w:val="4"/>
            <w:tcBorders>
              <w:top w:val="nil"/>
              <w:bottom w:val="nil"/>
            </w:tcBorders>
          </w:tcPr>
          <w:p w14:paraId="257B6795" w14:textId="77777777" w:rsidR="006E40C9" w:rsidRDefault="006E40C9">
            <w:pPr>
              <w:pStyle w:val="MeasureTableTextLeftAligned"/>
            </w:pPr>
            <w:r>
              <w:t>1986</w:t>
            </w:r>
          </w:p>
        </w:tc>
        <w:tc>
          <w:tcPr>
            <w:tcW w:w="1500" w:type="dxa"/>
            <w:gridSpan w:val="2"/>
            <w:tcBorders>
              <w:top w:val="nil"/>
              <w:bottom w:val="nil"/>
            </w:tcBorders>
          </w:tcPr>
          <w:p w14:paraId="0A4184E4" w14:textId="77777777" w:rsidR="006E40C9" w:rsidRPr="00F32057" w:rsidRDefault="006E40C9">
            <w:pPr>
              <w:pStyle w:val="MeasureTableTextItalic"/>
            </w:pPr>
            <w:r>
              <w:t>Expiry date:</w:t>
            </w:r>
          </w:p>
        </w:tc>
        <w:tc>
          <w:tcPr>
            <w:tcW w:w="1124" w:type="dxa"/>
            <w:gridSpan w:val="2"/>
            <w:tcBorders>
              <w:top w:val="nil"/>
              <w:bottom w:val="nil"/>
            </w:tcBorders>
          </w:tcPr>
          <w:p w14:paraId="0E93D66E" w14:textId="77777777" w:rsidR="006E40C9" w:rsidRPr="00F32057" w:rsidRDefault="006E40C9">
            <w:pPr>
              <w:pStyle w:val="MeasureTableTextLeftAligned"/>
            </w:pPr>
          </w:p>
        </w:tc>
      </w:tr>
      <w:tr w:rsidR="006E40C9" w14:paraId="2DEEA7AC" w14:textId="77777777">
        <w:trPr>
          <w:cantSplit/>
          <w:jc w:val="center"/>
        </w:trPr>
        <w:tc>
          <w:tcPr>
            <w:tcW w:w="1934" w:type="dxa"/>
            <w:gridSpan w:val="2"/>
            <w:tcBorders>
              <w:top w:val="nil"/>
            </w:tcBorders>
          </w:tcPr>
          <w:p w14:paraId="097B021B" w14:textId="77777777" w:rsidR="006E40C9" w:rsidRDefault="006E40C9">
            <w:pPr>
              <w:pStyle w:val="MeasureTableTextItalic"/>
            </w:pPr>
            <w:r>
              <w:t>Legislative reference:</w:t>
            </w:r>
          </w:p>
        </w:tc>
        <w:tc>
          <w:tcPr>
            <w:tcW w:w="5803" w:type="dxa"/>
            <w:gridSpan w:val="8"/>
            <w:tcBorders>
              <w:top w:val="nil"/>
            </w:tcBorders>
          </w:tcPr>
          <w:p w14:paraId="4F0C824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58L of the </w:t>
            </w:r>
            <w:r>
              <w:rPr>
                <w:rFonts w:ascii="Arial" w:hAnsi="Arial" w:cs="Arial"/>
                <w:i/>
                <w:iCs/>
                <w:color w:val="000000"/>
                <w:sz w:val="16"/>
                <w:szCs w:val="16"/>
              </w:rPr>
              <w:t>Fringe Benefits Tax Assessment Act 1986</w:t>
            </w:r>
          </w:p>
        </w:tc>
      </w:tr>
    </w:tbl>
    <w:p w14:paraId="37A34F12" w14:textId="77777777" w:rsidR="006E40C9" w:rsidRPr="00540040" w:rsidRDefault="006E40C9" w:rsidP="006E40C9">
      <w:pPr>
        <w:pStyle w:val="MeasureTableHeading"/>
      </w:pPr>
    </w:p>
    <w:p w14:paraId="0F1D3A5C" w14:textId="77777777" w:rsidR="006E40C9" w:rsidRDefault="006E40C9" w:rsidP="006E40C9">
      <w:r>
        <w:t>Under the income tax benchmark, fringe benefits are classified as individual employee income, with the grossed-up value taxed at the employee’s marginal income tax rate. However, benefits that meet the costs of travel away from a workplace located in a foreign country in order to obtain medical treatment are exempt from fringe benefits tax. Accommodation and meals are also exempt if provided en route.</w:t>
      </w:r>
      <w:r>
        <w:fldChar w:fldCharType="begin"/>
      </w:r>
      <w:r>
        <w:instrText xml:space="preserve"> XE "Overseas medical treatment" </w:instrText>
      </w:r>
      <w:r>
        <w:fldChar w:fldCharType="end"/>
      </w:r>
    </w:p>
    <w:p w14:paraId="6F54A693" w14:textId="77777777" w:rsidR="006E40C9" w:rsidRDefault="006E40C9" w:rsidP="00D9255A">
      <w:pPr>
        <w:pStyle w:val="Heading3"/>
      </w:pPr>
      <w:r>
        <w:t>Tax expenditures for social security and welfare</w:t>
      </w:r>
    </w:p>
    <w:p w14:paraId="1D87365D" w14:textId="77777777" w:rsidR="006E40C9" w:rsidRDefault="006E40C9" w:rsidP="00D9255A">
      <w:pPr>
        <w:pStyle w:val="TESHeading5"/>
      </w:pPr>
      <w:r>
        <w:t>D13</w:t>
      </w:r>
      <w:r>
        <w:tab/>
        <w:t>Exemption for accommodation, fuel and meals for live-in employees caring for the elderly or disadvantaged</w:t>
      </w:r>
    </w:p>
    <w:p w14:paraId="673D430F" w14:textId="13E01D77" w:rsidR="006E40C9" w:rsidRDefault="006E40C9" w:rsidP="006E40C9">
      <w:pPr>
        <w:pStyle w:val="MeasureTableHeading"/>
      </w:pPr>
      <w:r>
        <w:t>General public services</w:t>
      </w:r>
      <w:r w:rsidR="009F5E3D">
        <w:t xml:space="preserve"> – </w:t>
      </w:r>
      <w:r>
        <w:t>Government superannuation benefits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423FD2C" w14:textId="77777777">
        <w:trPr>
          <w:cantSplit/>
          <w:jc w:val="center"/>
        </w:trPr>
        <w:tc>
          <w:tcPr>
            <w:tcW w:w="967" w:type="dxa"/>
            <w:tcBorders>
              <w:top w:val="single" w:sz="2" w:space="0" w:color="auto"/>
              <w:bottom w:val="single" w:sz="2" w:space="0" w:color="auto"/>
            </w:tcBorders>
          </w:tcPr>
          <w:p w14:paraId="344275E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4B22ED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2BC5E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F8CBC4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51ED9D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B98BB5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D58D4F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3EE32EA" w14:textId="77777777" w:rsidR="006E40C9" w:rsidRDefault="006E40C9">
            <w:pPr>
              <w:pStyle w:val="MeasureTableTextRightAligned"/>
            </w:pPr>
            <w:r>
              <w:t>2027-28</w:t>
            </w:r>
          </w:p>
        </w:tc>
      </w:tr>
      <w:tr w:rsidR="006E40C9" w14:paraId="30F4B48F" w14:textId="77777777">
        <w:trPr>
          <w:cantSplit/>
          <w:jc w:val="center"/>
        </w:trPr>
        <w:tc>
          <w:tcPr>
            <w:tcW w:w="967" w:type="dxa"/>
            <w:tcBorders>
              <w:top w:val="single" w:sz="2" w:space="0" w:color="auto"/>
              <w:bottom w:val="single" w:sz="2" w:space="0" w:color="auto"/>
            </w:tcBorders>
          </w:tcPr>
          <w:p w14:paraId="73B4435E" w14:textId="77777777" w:rsidR="006E40C9" w:rsidRDefault="006E40C9">
            <w:pPr>
              <w:pStyle w:val="MeasureTableTextRightAligned"/>
            </w:pPr>
            <w:r>
              <w:t>*</w:t>
            </w:r>
          </w:p>
        </w:tc>
        <w:tc>
          <w:tcPr>
            <w:tcW w:w="967" w:type="dxa"/>
            <w:tcBorders>
              <w:top w:val="single" w:sz="2" w:space="0" w:color="auto"/>
              <w:bottom w:val="single" w:sz="2" w:space="0" w:color="auto"/>
            </w:tcBorders>
          </w:tcPr>
          <w:p w14:paraId="65896A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3D32B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45AA2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9C715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AB580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1C3DE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67E93B1" w14:textId="77777777" w:rsidR="006E40C9" w:rsidRDefault="006E40C9">
            <w:pPr>
              <w:pStyle w:val="MeasureTableTextRightAligned"/>
            </w:pPr>
            <w:r>
              <w:t>*</w:t>
            </w:r>
          </w:p>
        </w:tc>
      </w:tr>
      <w:tr w:rsidR="006E40C9" w14:paraId="4D9DF089" w14:textId="77777777">
        <w:trPr>
          <w:cantSplit/>
          <w:jc w:val="center"/>
        </w:trPr>
        <w:tc>
          <w:tcPr>
            <w:tcW w:w="1934" w:type="dxa"/>
            <w:gridSpan w:val="2"/>
            <w:tcBorders>
              <w:top w:val="single" w:sz="2" w:space="0" w:color="auto"/>
              <w:bottom w:val="nil"/>
            </w:tcBorders>
          </w:tcPr>
          <w:p w14:paraId="36BFA1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AFE741" w14:textId="77777777" w:rsidR="006E40C9" w:rsidRDefault="006E40C9">
            <w:pPr>
              <w:pStyle w:val="MeasureTableTextLeftAligned"/>
            </w:pPr>
            <w:r>
              <w:t>Exemption</w:t>
            </w:r>
          </w:p>
        </w:tc>
        <w:tc>
          <w:tcPr>
            <w:tcW w:w="1500" w:type="dxa"/>
            <w:gridSpan w:val="2"/>
            <w:tcBorders>
              <w:top w:val="single" w:sz="2" w:space="0" w:color="auto"/>
              <w:bottom w:val="nil"/>
            </w:tcBorders>
          </w:tcPr>
          <w:p w14:paraId="27478D05" w14:textId="4954B72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EF9BB93" w14:textId="77777777" w:rsidR="006E40C9" w:rsidRDefault="006E40C9">
            <w:pPr>
              <w:pStyle w:val="MeasureTableTextLeftAligned"/>
            </w:pPr>
            <w:r>
              <w:t>D13</w:t>
            </w:r>
          </w:p>
        </w:tc>
      </w:tr>
      <w:tr w:rsidR="006E40C9" w14:paraId="56F399D1" w14:textId="77777777">
        <w:trPr>
          <w:cantSplit/>
          <w:jc w:val="center"/>
        </w:trPr>
        <w:tc>
          <w:tcPr>
            <w:tcW w:w="1934" w:type="dxa"/>
            <w:gridSpan w:val="2"/>
            <w:tcBorders>
              <w:top w:val="nil"/>
              <w:bottom w:val="nil"/>
            </w:tcBorders>
          </w:tcPr>
          <w:p w14:paraId="3F2194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4EDA2D" w14:textId="77777777" w:rsidR="006E40C9" w:rsidRPr="00584CA7" w:rsidRDefault="006E40C9">
            <w:pPr>
              <w:pStyle w:val="MeasureTableTextLeftAligned"/>
            </w:pPr>
            <w:r>
              <w:t>Not Applicable</w:t>
            </w:r>
          </w:p>
        </w:tc>
        <w:tc>
          <w:tcPr>
            <w:tcW w:w="1500" w:type="dxa"/>
            <w:gridSpan w:val="2"/>
            <w:tcBorders>
              <w:top w:val="nil"/>
              <w:bottom w:val="nil"/>
            </w:tcBorders>
          </w:tcPr>
          <w:p w14:paraId="1A1497FD" w14:textId="77777777" w:rsidR="006E40C9" w:rsidRDefault="006E40C9">
            <w:pPr>
              <w:pStyle w:val="MeasureTableTextItalic"/>
            </w:pPr>
            <w:r>
              <w:t>* Category</w:t>
            </w:r>
          </w:p>
        </w:tc>
        <w:tc>
          <w:tcPr>
            <w:tcW w:w="1124" w:type="dxa"/>
            <w:gridSpan w:val="2"/>
            <w:tcBorders>
              <w:top w:val="nil"/>
              <w:bottom w:val="nil"/>
            </w:tcBorders>
          </w:tcPr>
          <w:p w14:paraId="23177BC2" w14:textId="77777777" w:rsidR="006E40C9" w:rsidRDefault="006E40C9">
            <w:pPr>
              <w:pStyle w:val="MeasureTableTextLeftAligned"/>
            </w:pPr>
            <w:r>
              <w:t>1+</w:t>
            </w:r>
          </w:p>
        </w:tc>
      </w:tr>
      <w:tr w:rsidR="006E40C9" w14:paraId="3D0300DD" w14:textId="77777777">
        <w:trPr>
          <w:cantSplit/>
          <w:jc w:val="center"/>
        </w:trPr>
        <w:tc>
          <w:tcPr>
            <w:tcW w:w="1934" w:type="dxa"/>
            <w:gridSpan w:val="2"/>
            <w:tcBorders>
              <w:top w:val="nil"/>
              <w:bottom w:val="nil"/>
            </w:tcBorders>
          </w:tcPr>
          <w:p w14:paraId="5A60C6AF" w14:textId="77777777" w:rsidR="006E40C9" w:rsidRDefault="006E40C9">
            <w:pPr>
              <w:pStyle w:val="MeasureTableTextItalic"/>
            </w:pPr>
            <w:r>
              <w:t>Commencement date:</w:t>
            </w:r>
          </w:p>
        </w:tc>
        <w:tc>
          <w:tcPr>
            <w:tcW w:w="3179" w:type="dxa"/>
            <w:gridSpan w:val="4"/>
            <w:tcBorders>
              <w:top w:val="nil"/>
              <w:bottom w:val="nil"/>
            </w:tcBorders>
          </w:tcPr>
          <w:p w14:paraId="4DB306A8" w14:textId="77777777" w:rsidR="006E40C9" w:rsidRDefault="006E40C9">
            <w:pPr>
              <w:pStyle w:val="MeasureTableTextLeftAligned"/>
            </w:pPr>
            <w:r>
              <w:t>1986</w:t>
            </w:r>
          </w:p>
        </w:tc>
        <w:tc>
          <w:tcPr>
            <w:tcW w:w="1500" w:type="dxa"/>
            <w:gridSpan w:val="2"/>
            <w:tcBorders>
              <w:top w:val="nil"/>
              <w:bottom w:val="nil"/>
            </w:tcBorders>
          </w:tcPr>
          <w:p w14:paraId="68134820" w14:textId="77777777" w:rsidR="006E40C9" w:rsidRPr="00F32057" w:rsidRDefault="006E40C9">
            <w:pPr>
              <w:pStyle w:val="MeasureTableTextItalic"/>
            </w:pPr>
            <w:r>
              <w:t>Expiry date:</w:t>
            </w:r>
          </w:p>
        </w:tc>
        <w:tc>
          <w:tcPr>
            <w:tcW w:w="1124" w:type="dxa"/>
            <w:gridSpan w:val="2"/>
            <w:tcBorders>
              <w:top w:val="nil"/>
              <w:bottom w:val="nil"/>
            </w:tcBorders>
          </w:tcPr>
          <w:p w14:paraId="46C2DF72" w14:textId="77777777" w:rsidR="006E40C9" w:rsidRPr="00F32057" w:rsidRDefault="006E40C9">
            <w:pPr>
              <w:pStyle w:val="MeasureTableTextLeftAligned"/>
            </w:pPr>
          </w:p>
        </w:tc>
      </w:tr>
      <w:tr w:rsidR="006E40C9" w14:paraId="0F32D66A" w14:textId="77777777">
        <w:trPr>
          <w:cantSplit/>
          <w:jc w:val="center"/>
        </w:trPr>
        <w:tc>
          <w:tcPr>
            <w:tcW w:w="1934" w:type="dxa"/>
            <w:gridSpan w:val="2"/>
            <w:tcBorders>
              <w:top w:val="nil"/>
            </w:tcBorders>
          </w:tcPr>
          <w:p w14:paraId="37450011" w14:textId="77777777" w:rsidR="006E40C9" w:rsidRDefault="006E40C9">
            <w:pPr>
              <w:pStyle w:val="MeasureTableTextItalic"/>
            </w:pPr>
            <w:r>
              <w:t>Legislative reference:</w:t>
            </w:r>
          </w:p>
        </w:tc>
        <w:tc>
          <w:tcPr>
            <w:tcW w:w="5803" w:type="dxa"/>
            <w:gridSpan w:val="8"/>
            <w:tcBorders>
              <w:top w:val="nil"/>
            </w:tcBorders>
          </w:tcPr>
          <w:p w14:paraId="6D20679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 and 58U of the </w:t>
            </w:r>
            <w:r>
              <w:rPr>
                <w:rFonts w:ascii="Arial" w:hAnsi="Arial" w:cs="Arial"/>
                <w:i/>
                <w:iCs/>
                <w:color w:val="000000"/>
                <w:sz w:val="16"/>
                <w:szCs w:val="16"/>
              </w:rPr>
              <w:t>Fringe Benefits Tax Assessment Act 1986</w:t>
            </w:r>
          </w:p>
        </w:tc>
      </w:tr>
    </w:tbl>
    <w:p w14:paraId="2C5849CB" w14:textId="77777777" w:rsidR="006E40C9" w:rsidRPr="00540040" w:rsidRDefault="006E40C9" w:rsidP="006E40C9">
      <w:pPr>
        <w:pStyle w:val="MeasureTableHeading"/>
      </w:pPr>
    </w:p>
    <w:p w14:paraId="5213CDCE" w14:textId="77777777" w:rsidR="006E40C9" w:rsidRDefault="006E40C9" w:rsidP="006E40C9">
      <w:r>
        <w:t>Under the income tax benchmark, fringe benefits are classified as individual employee income, with the grossed-up value taxed at the employee’s marginal income tax rate. However, certain benefits that are provided to people employed in caring for elderly or disadvantaged persons and who reside with them in their own homes are exempt from fringe benefits tax. The benefits that are exempt are accommodation, residential fuel, meals and other food and drink provided in the home to the employee.</w:t>
      </w:r>
      <w:r>
        <w:fldChar w:fldCharType="begin"/>
      </w:r>
      <w:r>
        <w:instrText xml:space="preserve"> XE "Live-in employees" </w:instrText>
      </w:r>
      <w:r>
        <w:fldChar w:fldCharType="end"/>
      </w:r>
    </w:p>
    <w:p w14:paraId="5CCB489A" w14:textId="77777777" w:rsidR="006E40C9" w:rsidRDefault="006E40C9" w:rsidP="00D9255A">
      <w:pPr>
        <w:pStyle w:val="TESHeading5"/>
      </w:pPr>
      <w:r>
        <w:t>D14</w:t>
      </w:r>
      <w:r>
        <w:tab/>
        <w:t>Exemption for emergency assistance</w:t>
      </w:r>
    </w:p>
    <w:p w14:paraId="7DAD23F1"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6192A0" w14:textId="77777777">
        <w:trPr>
          <w:cantSplit/>
          <w:jc w:val="center"/>
        </w:trPr>
        <w:tc>
          <w:tcPr>
            <w:tcW w:w="967" w:type="dxa"/>
            <w:tcBorders>
              <w:top w:val="single" w:sz="2" w:space="0" w:color="auto"/>
              <w:bottom w:val="single" w:sz="2" w:space="0" w:color="auto"/>
            </w:tcBorders>
          </w:tcPr>
          <w:p w14:paraId="7648D93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C33A1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98C6C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0F414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F48DB8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197DA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1F5C2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C38BAC3" w14:textId="77777777" w:rsidR="006E40C9" w:rsidRDefault="006E40C9">
            <w:pPr>
              <w:pStyle w:val="MeasureTableTextRightAligned"/>
            </w:pPr>
            <w:r>
              <w:t>2027-28</w:t>
            </w:r>
          </w:p>
        </w:tc>
      </w:tr>
      <w:tr w:rsidR="006E40C9" w14:paraId="27EDDF58" w14:textId="77777777">
        <w:trPr>
          <w:cantSplit/>
          <w:jc w:val="center"/>
        </w:trPr>
        <w:tc>
          <w:tcPr>
            <w:tcW w:w="967" w:type="dxa"/>
            <w:tcBorders>
              <w:top w:val="single" w:sz="2" w:space="0" w:color="auto"/>
              <w:bottom w:val="single" w:sz="2" w:space="0" w:color="auto"/>
            </w:tcBorders>
          </w:tcPr>
          <w:p w14:paraId="1542B80E" w14:textId="77777777" w:rsidR="006E40C9" w:rsidRDefault="006E40C9">
            <w:pPr>
              <w:pStyle w:val="MeasureTableTextRightAligned"/>
            </w:pPr>
            <w:r>
              <w:t>*</w:t>
            </w:r>
          </w:p>
        </w:tc>
        <w:tc>
          <w:tcPr>
            <w:tcW w:w="967" w:type="dxa"/>
            <w:tcBorders>
              <w:top w:val="single" w:sz="2" w:space="0" w:color="auto"/>
              <w:bottom w:val="single" w:sz="2" w:space="0" w:color="auto"/>
            </w:tcBorders>
          </w:tcPr>
          <w:p w14:paraId="3B9B9FD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4FE22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A302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B035A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20698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05771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B63A78" w14:textId="77777777" w:rsidR="006E40C9" w:rsidRDefault="006E40C9">
            <w:pPr>
              <w:pStyle w:val="MeasureTableTextRightAligned"/>
            </w:pPr>
            <w:r>
              <w:t>*</w:t>
            </w:r>
          </w:p>
        </w:tc>
      </w:tr>
      <w:tr w:rsidR="006E40C9" w14:paraId="6A24EAC2" w14:textId="77777777">
        <w:trPr>
          <w:cantSplit/>
          <w:jc w:val="center"/>
        </w:trPr>
        <w:tc>
          <w:tcPr>
            <w:tcW w:w="1934" w:type="dxa"/>
            <w:gridSpan w:val="2"/>
            <w:tcBorders>
              <w:top w:val="single" w:sz="2" w:space="0" w:color="auto"/>
              <w:bottom w:val="nil"/>
            </w:tcBorders>
          </w:tcPr>
          <w:p w14:paraId="6B9DECF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9889D6" w14:textId="77777777" w:rsidR="006E40C9" w:rsidRDefault="006E40C9">
            <w:pPr>
              <w:pStyle w:val="MeasureTableTextLeftAligned"/>
            </w:pPr>
            <w:r>
              <w:t>Exemption</w:t>
            </w:r>
          </w:p>
        </w:tc>
        <w:tc>
          <w:tcPr>
            <w:tcW w:w="1500" w:type="dxa"/>
            <w:gridSpan w:val="2"/>
            <w:tcBorders>
              <w:top w:val="single" w:sz="2" w:space="0" w:color="auto"/>
              <w:bottom w:val="nil"/>
            </w:tcBorders>
          </w:tcPr>
          <w:p w14:paraId="0AECA2F3" w14:textId="7440A14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33ED57" w14:textId="77777777" w:rsidR="006E40C9" w:rsidRDefault="006E40C9">
            <w:pPr>
              <w:pStyle w:val="MeasureTableTextLeftAligned"/>
            </w:pPr>
            <w:r>
              <w:t>D14</w:t>
            </w:r>
          </w:p>
        </w:tc>
      </w:tr>
      <w:tr w:rsidR="006E40C9" w14:paraId="1433B4A0" w14:textId="77777777">
        <w:trPr>
          <w:cantSplit/>
          <w:jc w:val="center"/>
        </w:trPr>
        <w:tc>
          <w:tcPr>
            <w:tcW w:w="1934" w:type="dxa"/>
            <w:gridSpan w:val="2"/>
            <w:tcBorders>
              <w:top w:val="nil"/>
              <w:bottom w:val="nil"/>
            </w:tcBorders>
          </w:tcPr>
          <w:p w14:paraId="254F119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5634E2F" w14:textId="77777777" w:rsidR="006E40C9" w:rsidRPr="00584CA7" w:rsidRDefault="006E40C9">
            <w:pPr>
              <w:pStyle w:val="MeasureTableTextLeftAligned"/>
            </w:pPr>
            <w:r>
              <w:t>Not Applicable</w:t>
            </w:r>
          </w:p>
        </w:tc>
        <w:tc>
          <w:tcPr>
            <w:tcW w:w="1500" w:type="dxa"/>
            <w:gridSpan w:val="2"/>
            <w:tcBorders>
              <w:top w:val="nil"/>
              <w:bottom w:val="nil"/>
            </w:tcBorders>
          </w:tcPr>
          <w:p w14:paraId="2DBB49FA" w14:textId="77777777" w:rsidR="006E40C9" w:rsidRDefault="006E40C9">
            <w:pPr>
              <w:pStyle w:val="MeasureTableTextItalic"/>
            </w:pPr>
            <w:r>
              <w:t>* Category</w:t>
            </w:r>
          </w:p>
        </w:tc>
        <w:tc>
          <w:tcPr>
            <w:tcW w:w="1124" w:type="dxa"/>
            <w:gridSpan w:val="2"/>
            <w:tcBorders>
              <w:top w:val="nil"/>
              <w:bottom w:val="nil"/>
            </w:tcBorders>
          </w:tcPr>
          <w:p w14:paraId="0511BAB0" w14:textId="77777777" w:rsidR="006E40C9" w:rsidRDefault="006E40C9">
            <w:pPr>
              <w:pStyle w:val="MeasureTableTextLeftAligned"/>
            </w:pPr>
            <w:r>
              <w:t>1+</w:t>
            </w:r>
          </w:p>
        </w:tc>
      </w:tr>
      <w:tr w:rsidR="006E40C9" w14:paraId="3FC8FE26" w14:textId="77777777">
        <w:trPr>
          <w:cantSplit/>
          <w:jc w:val="center"/>
        </w:trPr>
        <w:tc>
          <w:tcPr>
            <w:tcW w:w="1934" w:type="dxa"/>
            <w:gridSpan w:val="2"/>
            <w:tcBorders>
              <w:top w:val="nil"/>
              <w:bottom w:val="nil"/>
            </w:tcBorders>
          </w:tcPr>
          <w:p w14:paraId="1EA52AEE" w14:textId="77777777" w:rsidR="006E40C9" w:rsidRDefault="006E40C9">
            <w:pPr>
              <w:pStyle w:val="MeasureTableTextItalic"/>
            </w:pPr>
            <w:r>
              <w:t>Commencement date:</w:t>
            </w:r>
          </w:p>
        </w:tc>
        <w:tc>
          <w:tcPr>
            <w:tcW w:w="3179" w:type="dxa"/>
            <w:gridSpan w:val="4"/>
            <w:tcBorders>
              <w:top w:val="nil"/>
              <w:bottom w:val="nil"/>
            </w:tcBorders>
          </w:tcPr>
          <w:p w14:paraId="416CA6E8" w14:textId="77777777" w:rsidR="006E40C9" w:rsidRDefault="006E40C9">
            <w:pPr>
              <w:pStyle w:val="MeasureTableTextLeftAligned"/>
            </w:pPr>
            <w:r>
              <w:t>1986</w:t>
            </w:r>
          </w:p>
        </w:tc>
        <w:tc>
          <w:tcPr>
            <w:tcW w:w="1500" w:type="dxa"/>
            <w:gridSpan w:val="2"/>
            <w:tcBorders>
              <w:top w:val="nil"/>
              <w:bottom w:val="nil"/>
            </w:tcBorders>
          </w:tcPr>
          <w:p w14:paraId="004BDFD6" w14:textId="77777777" w:rsidR="006E40C9" w:rsidRPr="00F32057" w:rsidRDefault="006E40C9">
            <w:pPr>
              <w:pStyle w:val="MeasureTableTextItalic"/>
            </w:pPr>
            <w:r>
              <w:t>Expiry date:</w:t>
            </w:r>
          </w:p>
        </w:tc>
        <w:tc>
          <w:tcPr>
            <w:tcW w:w="1124" w:type="dxa"/>
            <w:gridSpan w:val="2"/>
            <w:tcBorders>
              <w:top w:val="nil"/>
              <w:bottom w:val="nil"/>
            </w:tcBorders>
          </w:tcPr>
          <w:p w14:paraId="79D6C824" w14:textId="77777777" w:rsidR="006E40C9" w:rsidRPr="00F32057" w:rsidRDefault="006E40C9">
            <w:pPr>
              <w:pStyle w:val="MeasureTableTextLeftAligned"/>
            </w:pPr>
          </w:p>
        </w:tc>
      </w:tr>
      <w:tr w:rsidR="006E40C9" w14:paraId="02B149F3" w14:textId="77777777">
        <w:trPr>
          <w:cantSplit/>
          <w:jc w:val="center"/>
        </w:trPr>
        <w:tc>
          <w:tcPr>
            <w:tcW w:w="1934" w:type="dxa"/>
            <w:gridSpan w:val="2"/>
            <w:tcBorders>
              <w:top w:val="nil"/>
            </w:tcBorders>
          </w:tcPr>
          <w:p w14:paraId="1CCABD6A" w14:textId="77777777" w:rsidR="006E40C9" w:rsidRDefault="006E40C9">
            <w:pPr>
              <w:pStyle w:val="MeasureTableTextItalic"/>
            </w:pPr>
            <w:r>
              <w:t>Legislative reference:</w:t>
            </w:r>
          </w:p>
        </w:tc>
        <w:tc>
          <w:tcPr>
            <w:tcW w:w="5803" w:type="dxa"/>
            <w:gridSpan w:val="8"/>
            <w:tcBorders>
              <w:top w:val="nil"/>
            </w:tcBorders>
          </w:tcPr>
          <w:p w14:paraId="28D15B8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58N of the </w:t>
            </w:r>
            <w:r>
              <w:rPr>
                <w:rFonts w:ascii="Arial" w:hAnsi="Arial" w:cs="Arial"/>
                <w:i/>
                <w:iCs/>
                <w:color w:val="000000"/>
                <w:sz w:val="16"/>
                <w:szCs w:val="16"/>
              </w:rPr>
              <w:t>Fringe Benefits Tax Assessment Act 1986</w:t>
            </w:r>
          </w:p>
        </w:tc>
      </w:tr>
    </w:tbl>
    <w:p w14:paraId="666EA513" w14:textId="77777777" w:rsidR="006E40C9" w:rsidRPr="00540040" w:rsidRDefault="006E40C9" w:rsidP="006E40C9">
      <w:pPr>
        <w:pStyle w:val="MeasureTableHeading"/>
      </w:pPr>
    </w:p>
    <w:p w14:paraId="3DBFB3C7" w14:textId="77777777" w:rsidR="006E40C9" w:rsidRDefault="006E40C9" w:rsidP="006E40C9">
      <w:r>
        <w:t>Under the income tax benchmark, fringe benefits are classified as individual employee income, with the grossed-up value taxed at the employee’s marginal income tax rate. However, certain benefits provided by way of emergency assistance</w:t>
      </w:r>
      <w:r>
        <w:fldChar w:fldCharType="begin"/>
      </w:r>
      <w:r>
        <w:instrText xml:space="preserve"> XE "Emergency assistance" </w:instrText>
      </w:r>
      <w:r>
        <w:fldChar w:fldCharType="end"/>
      </w:r>
      <w:r>
        <w:t xml:space="preserve"> to employees are exempt from fringe benefits tax. Emergency assistance includes certain first aid or other emergency health care; emergency meals, food supplies, clothing, accommodation, transport, or use of household goods; temporary repairs; and any other similar benefit.</w:t>
      </w:r>
    </w:p>
    <w:p w14:paraId="7E60BD05" w14:textId="77777777" w:rsidR="006E40C9" w:rsidRDefault="006E40C9" w:rsidP="00D9255A">
      <w:pPr>
        <w:pStyle w:val="TESHeading5"/>
      </w:pPr>
      <w:r>
        <w:t>D15</w:t>
      </w:r>
      <w:r>
        <w:tab/>
        <w:t>Exemption for public benevolent institutions (excluding hospitals)</w:t>
      </w:r>
    </w:p>
    <w:p w14:paraId="60405FF3"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B9BA31" w14:textId="77777777">
        <w:trPr>
          <w:cantSplit/>
          <w:jc w:val="center"/>
        </w:trPr>
        <w:tc>
          <w:tcPr>
            <w:tcW w:w="967" w:type="dxa"/>
            <w:tcBorders>
              <w:top w:val="single" w:sz="2" w:space="0" w:color="auto"/>
              <w:bottom w:val="single" w:sz="2" w:space="0" w:color="auto"/>
            </w:tcBorders>
          </w:tcPr>
          <w:p w14:paraId="20ADE64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6865C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151B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DDE38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6EE9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080C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AE21A6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F1CC4E0" w14:textId="77777777" w:rsidR="006E40C9" w:rsidRDefault="006E40C9">
            <w:pPr>
              <w:pStyle w:val="MeasureTableTextRightAligned"/>
            </w:pPr>
            <w:r>
              <w:t>2027-28</w:t>
            </w:r>
          </w:p>
        </w:tc>
      </w:tr>
      <w:tr w:rsidR="006E40C9" w14:paraId="1D5B2B7B" w14:textId="77777777">
        <w:trPr>
          <w:cantSplit/>
          <w:jc w:val="center"/>
        </w:trPr>
        <w:tc>
          <w:tcPr>
            <w:tcW w:w="967" w:type="dxa"/>
            <w:tcBorders>
              <w:top w:val="single" w:sz="2" w:space="0" w:color="auto"/>
              <w:bottom w:val="single" w:sz="2" w:space="0" w:color="auto"/>
            </w:tcBorders>
          </w:tcPr>
          <w:p w14:paraId="2928A42C" w14:textId="77777777" w:rsidR="006E40C9" w:rsidRDefault="006E40C9">
            <w:pPr>
              <w:pStyle w:val="MeasureTableTextRightAligned"/>
            </w:pPr>
            <w:r>
              <w:t>2,200</w:t>
            </w:r>
          </w:p>
        </w:tc>
        <w:tc>
          <w:tcPr>
            <w:tcW w:w="967" w:type="dxa"/>
            <w:tcBorders>
              <w:top w:val="single" w:sz="2" w:space="0" w:color="auto"/>
              <w:bottom w:val="single" w:sz="2" w:space="0" w:color="auto"/>
            </w:tcBorders>
          </w:tcPr>
          <w:p w14:paraId="172EF292" w14:textId="77777777" w:rsidR="006E40C9" w:rsidRDefault="006E40C9">
            <w:pPr>
              <w:pStyle w:val="MeasureTableTextRightAligned"/>
            </w:pPr>
            <w:r>
              <w:t>2,300</w:t>
            </w:r>
          </w:p>
        </w:tc>
        <w:tc>
          <w:tcPr>
            <w:tcW w:w="967" w:type="dxa"/>
            <w:tcBorders>
              <w:top w:val="single" w:sz="2" w:space="0" w:color="auto"/>
              <w:bottom w:val="single" w:sz="2" w:space="0" w:color="auto"/>
            </w:tcBorders>
            <w:vAlign w:val="bottom"/>
          </w:tcPr>
          <w:p w14:paraId="7F1C828F" w14:textId="77777777" w:rsidR="006E40C9" w:rsidRDefault="006E40C9">
            <w:pPr>
              <w:pStyle w:val="MeasureTableTextRightAligned"/>
            </w:pPr>
            <w:r>
              <w:t>2,700</w:t>
            </w:r>
          </w:p>
        </w:tc>
        <w:tc>
          <w:tcPr>
            <w:tcW w:w="967" w:type="dxa"/>
            <w:tcBorders>
              <w:top w:val="single" w:sz="2" w:space="0" w:color="auto"/>
              <w:bottom w:val="single" w:sz="2" w:space="0" w:color="auto"/>
            </w:tcBorders>
            <w:vAlign w:val="bottom"/>
          </w:tcPr>
          <w:p w14:paraId="03C998A5" w14:textId="77777777" w:rsidR="006E40C9" w:rsidRDefault="006E40C9">
            <w:pPr>
              <w:pStyle w:val="MeasureTableTextRightAligned"/>
            </w:pPr>
            <w:r>
              <w:t>3,050</w:t>
            </w:r>
          </w:p>
        </w:tc>
        <w:tc>
          <w:tcPr>
            <w:tcW w:w="967" w:type="dxa"/>
            <w:tcBorders>
              <w:top w:val="single" w:sz="2" w:space="0" w:color="auto"/>
              <w:bottom w:val="single" w:sz="2" w:space="0" w:color="auto"/>
            </w:tcBorders>
            <w:vAlign w:val="bottom"/>
          </w:tcPr>
          <w:p w14:paraId="67F1AC9C" w14:textId="77777777" w:rsidR="006E40C9" w:rsidRDefault="006E40C9">
            <w:pPr>
              <w:pStyle w:val="MeasureTableTextRightAligned"/>
            </w:pPr>
            <w:r>
              <w:t>2,950</w:t>
            </w:r>
          </w:p>
        </w:tc>
        <w:tc>
          <w:tcPr>
            <w:tcW w:w="967" w:type="dxa"/>
            <w:gridSpan w:val="2"/>
            <w:tcBorders>
              <w:top w:val="single" w:sz="2" w:space="0" w:color="auto"/>
              <w:bottom w:val="single" w:sz="2" w:space="0" w:color="auto"/>
            </w:tcBorders>
            <w:vAlign w:val="bottom"/>
          </w:tcPr>
          <w:p w14:paraId="3D77BF21" w14:textId="77777777" w:rsidR="006E40C9" w:rsidRDefault="006E40C9">
            <w:pPr>
              <w:pStyle w:val="MeasureTableTextRightAligned"/>
            </w:pPr>
            <w:r>
              <w:t>3,100</w:t>
            </w:r>
          </w:p>
        </w:tc>
        <w:tc>
          <w:tcPr>
            <w:tcW w:w="967" w:type="dxa"/>
            <w:gridSpan w:val="2"/>
            <w:tcBorders>
              <w:top w:val="single" w:sz="2" w:space="0" w:color="auto"/>
              <w:bottom w:val="single" w:sz="2" w:space="0" w:color="auto"/>
            </w:tcBorders>
            <w:vAlign w:val="bottom"/>
          </w:tcPr>
          <w:p w14:paraId="35EC2264" w14:textId="77777777" w:rsidR="006E40C9" w:rsidRDefault="006E40C9">
            <w:pPr>
              <w:pStyle w:val="MeasureTableTextRightAligned"/>
            </w:pPr>
            <w:r>
              <w:t>3,250</w:t>
            </w:r>
          </w:p>
        </w:tc>
        <w:tc>
          <w:tcPr>
            <w:tcW w:w="968" w:type="dxa"/>
            <w:tcBorders>
              <w:top w:val="single" w:sz="2" w:space="0" w:color="auto"/>
              <w:bottom w:val="single" w:sz="2" w:space="0" w:color="auto"/>
            </w:tcBorders>
            <w:vAlign w:val="bottom"/>
          </w:tcPr>
          <w:p w14:paraId="3EF02228" w14:textId="77777777" w:rsidR="006E40C9" w:rsidRDefault="006E40C9">
            <w:pPr>
              <w:pStyle w:val="MeasureTableTextRightAligned"/>
            </w:pPr>
            <w:r>
              <w:t>3,450</w:t>
            </w:r>
          </w:p>
        </w:tc>
      </w:tr>
      <w:tr w:rsidR="006E40C9" w14:paraId="5A994FA3" w14:textId="77777777">
        <w:trPr>
          <w:cantSplit/>
          <w:jc w:val="center"/>
        </w:trPr>
        <w:tc>
          <w:tcPr>
            <w:tcW w:w="1934" w:type="dxa"/>
            <w:gridSpan w:val="2"/>
            <w:tcBorders>
              <w:top w:val="single" w:sz="2" w:space="0" w:color="auto"/>
              <w:bottom w:val="nil"/>
            </w:tcBorders>
          </w:tcPr>
          <w:p w14:paraId="4D9FC41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322E87" w14:textId="77777777" w:rsidR="006E40C9" w:rsidRDefault="006E40C9">
            <w:pPr>
              <w:pStyle w:val="MeasureTableTextLeftAligned"/>
            </w:pPr>
            <w:r>
              <w:t>Exemption</w:t>
            </w:r>
          </w:p>
        </w:tc>
        <w:tc>
          <w:tcPr>
            <w:tcW w:w="1500" w:type="dxa"/>
            <w:gridSpan w:val="2"/>
            <w:tcBorders>
              <w:top w:val="single" w:sz="2" w:space="0" w:color="auto"/>
              <w:bottom w:val="nil"/>
            </w:tcBorders>
          </w:tcPr>
          <w:p w14:paraId="712F9CCC" w14:textId="2054DE8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A9F414F" w14:textId="77777777" w:rsidR="006E40C9" w:rsidRDefault="006E40C9">
            <w:pPr>
              <w:pStyle w:val="MeasureTableTextLeftAligned"/>
            </w:pPr>
            <w:r>
              <w:t>D15</w:t>
            </w:r>
          </w:p>
        </w:tc>
      </w:tr>
      <w:tr w:rsidR="006E40C9" w14:paraId="7B356724" w14:textId="77777777">
        <w:trPr>
          <w:cantSplit/>
          <w:jc w:val="center"/>
        </w:trPr>
        <w:tc>
          <w:tcPr>
            <w:tcW w:w="1934" w:type="dxa"/>
            <w:gridSpan w:val="2"/>
            <w:tcBorders>
              <w:top w:val="nil"/>
              <w:bottom w:val="nil"/>
            </w:tcBorders>
          </w:tcPr>
          <w:p w14:paraId="4690F52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21AE52A" w14:textId="348C535C"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1CD654FA" w14:textId="77777777" w:rsidR="006E40C9" w:rsidRDefault="006E40C9">
            <w:pPr>
              <w:pStyle w:val="MeasureTableTextItalic"/>
            </w:pPr>
          </w:p>
        </w:tc>
        <w:tc>
          <w:tcPr>
            <w:tcW w:w="1124" w:type="dxa"/>
            <w:gridSpan w:val="2"/>
            <w:tcBorders>
              <w:top w:val="nil"/>
              <w:bottom w:val="nil"/>
            </w:tcBorders>
          </w:tcPr>
          <w:p w14:paraId="6586B0B1" w14:textId="77777777" w:rsidR="006E40C9" w:rsidRDefault="006E40C9">
            <w:pPr>
              <w:pStyle w:val="MeasureTableTextLeftAligned"/>
            </w:pPr>
          </w:p>
        </w:tc>
      </w:tr>
      <w:tr w:rsidR="006E40C9" w14:paraId="06F822D1" w14:textId="77777777">
        <w:trPr>
          <w:cantSplit/>
          <w:jc w:val="center"/>
        </w:trPr>
        <w:tc>
          <w:tcPr>
            <w:tcW w:w="1934" w:type="dxa"/>
            <w:gridSpan w:val="2"/>
            <w:tcBorders>
              <w:top w:val="nil"/>
              <w:bottom w:val="nil"/>
            </w:tcBorders>
          </w:tcPr>
          <w:p w14:paraId="4AC2BF0C" w14:textId="77777777" w:rsidR="006E40C9" w:rsidRDefault="006E40C9">
            <w:pPr>
              <w:pStyle w:val="MeasureTableTextItalic"/>
            </w:pPr>
            <w:r>
              <w:t>Commencement date:</w:t>
            </w:r>
          </w:p>
        </w:tc>
        <w:tc>
          <w:tcPr>
            <w:tcW w:w="3179" w:type="dxa"/>
            <w:gridSpan w:val="4"/>
            <w:tcBorders>
              <w:top w:val="nil"/>
              <w:bottom w:val="nil"/>
            </w:tcBorders>
          </w:tcPr>
          <w:p w14:paraId="2C2809A6" w14:textId="77777777" w:rsidR="006E40C9" w:rsidRDefault="006E40C9">
            <w:pPr>
              <w:pStyle w:val="MeasureTableTextLeftAligned"/>
            </w:pPr>
            <w:r>
              <w:t>2001</w:t>
            </w:r>
          </w:p>
        </w:tc>
        <w:tc>
          <w:tcPr>
            <w:tcW w:w="1500" w:type="dxa"/>
            <w:gridSpan w:val="2"/>
            <w:tcBorders>
              <w:top w:val="nil"/>
              <w:bottom w:val="nil"/>
            </w:tcBorders>
          </w:tcPr>
          <w:p w14:paraId="1706FA6D" w14:textId="77777777" w:rsidR="006E40C9" w:rsidRPr="00F32057" w:rsidRDefault="006E40C9">
            <w:pPr>
              <w:pStyle w:val="MeasureTableTextItalic"/>
            </w:pPr>
            <w:r>
              <w:t>Expiry date:</w:t>
            </w:r>
          </w:p>
        </w:tc>
        <w:tc>
          <w:tcPr>
            <w:tcW w:w="1124" w:type="dxa"/>
            <w:gridSpan w:val="2"/>
            <w:tcBorders>
              <w:top w:val="nil"/>
              <w:bottom w:val="nil"/>
            </w:tcBorders>
          </w:tcPr>
          <w:p w14:paraId="01C1E844" w14:textId="77777777" w:rsidR="006E40C9" w:rsidRPr="00F32057" w:rsidRDefault="006E40C9">
            <w:pPr>
              <w:pStyle w:val="MeasureTableTextLeftAligned"/>
            </w:pPr>
          </w:p>
        </w:tc>
      </w:tr>
      <w:tr w:rsidR="006E40C9" w14:paraId="54A2FB83" w14:textId="77777777">
        <w:trPr>
          <w:cantSplit/>
          <w:jc w:val="center"/>
        </w:trPr>
        <w:tc>
          <w:tcPr>
            <w:tcW w:w="1934" w:type="dxa"/>
            <w:gridSpan w:val="2"/>
            <w:tcBorders>
              <w:top w:val="nil"/>
            </w:tcBorders>
          </w:tcPr>
          <w:p w14:paraId="785C628C" w14:textId="77777777" w:rsidR="006E40C9" w:rsidRDefault="006E40C9">
            <w:pPr>
              <w:pStyle w:val="MeasureTableTextItalic"/>
            </w:pPr>
            <w:r>
              <w:t>Legislative reference:</w:t>
            </w:r>
          </w:p>
        </w:tc>
        <w:tc>
          <w:tcPr>
            <w:tcW w:w="5803" w:type="dxa"/>
            <w:gridSpan w:val="8"/>
            <w:tcBorders>
              <w:top w:val="nil"/>
            </w:tcBorders>
          </w:tcPr>
          <w:p w14:paraId="0B3D95A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57A(1) of the </w:t>
            </w:r>
            <w:r>
              <w:rPr>
                <w:rFonts w:ascii="Arial" w:hAnsi="Arial" w:cs="Arial"/>
                <w:i/>
                <w:iCs/>
                <w:color w:val="000000"/>
                <w:sz w:val="16"/>
                <w:szCs w:val="16"/>
              </w:rPr>
              <w:t>Fringe Benefits Tax Assessment Act 1986</w:t>
            </w:r>
          </w:p>
        </w:tc>
      </w:tr>
    </w:tbl>
    <w:p w14:paraId="0B97B43F" w14:textId="77777777" w:rsidR="006E40C9" w:rsidRPr="00540040" w:rsidRDefault="006E40C9" w:rsidP="006E40C9">
      <w:pPr>
        <w:pStyle w:val="MeasureTableHeading"/>
      </w:pPr>
    </w:p>
    <w:p w14:paraId="55EA9EB1" w14:textId="77777777" w:rsidR="006E40C9" w:rsidRDefault="006E40C9" w:rsidP="006E40C9">
      <w:r>
        <w:t>Under the income tax benchmark, fringe benefits are classified as individual employee income, with the grossed-up value taxed at the employee’s marginal income tax rate. However,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up to $30,000 of the grossed</w:t>
      </w:r>
      <w:r>
        <w:noBreakHyphen/>
        <w:t>up taxable value of fringe benefits per employee.</w:t>
      </w:r>
    </w:p>
    <w:p w14:paraId="24D6C2EB" w14:textId="77777777" w:rsidR="006E40C9" w:rsidRDefault="006E40C9" w:rsidP="00D9255A">
      <w:pPr>
        <w:pStyle w:val="TESHeading5"/>
      </w:pPr>
      <w:r>
        <w:t>D16</w:t>
      </w:r>
      <w:r>
        <w:tab/>
        <w:t>Exemption from the fringe benefit cap for meal entertainment and entertainment facility leasing expenses</w:t>
      </w:r>
    </w:p>
    <w:p w14:paraId="5E008A4F"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8EC86A" w14:textId="77777777">
        <w:trPr>
          <w:cantSplit/>
          <w:jc w:val="center"/>
        </w:trPr>
        <w:tc>
          <w:tcPr>
            <w:tcW w:w="967" w:type="dxa"/>
            <w:tcBorders>
              <w:top w:val="single" w:sz="2" w:space="0" w:color="auto"/>
              <w:bottom w:val="single" w:sz="2" w:space="0" w:color="auto"/>
            </w:tcBorders>
          </w:tcPr>
          <w:p w14:paraId="55C6E9D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B05C19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E0613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FE975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A015B1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1117E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3527C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431BD0" w14:textId="77777777" w:rsidR="006E40C9" w:rsidRDefault="006E40C9">
            <w:pPr>
              <w:pStyle w:val="MeasureTableTextRightAligned"/>
            </w:pPr>
            <w:r>
              <w:t>2027-28</w:t>
            </w:r>
          </w:p>
        </w:tc>
      </w:tr>
      <w:tr w:rsidR="006E40C9" w14:paraId="55E73E45" w14:textId="77777777">
        <w:trPr>
          <w:cantSplit/>
          <w:jc w:val="center"/>
        </w:trPr>
        <w:tc>
          <w:tcPr>
            <w:tcW w:w="967" w:type="dxa"/>
            <w:tcBorders>
              <w:top w:val="single" w:sz="2" w:space="0" w:color="auto"/>
              <w:bottom w:val="single" w:sz="2" w:space="0" w:color="auto"/>
            </w:tcBorders>
          </w:tcPr>
          <w:p w14:paraId="5AAB59C8" w14:textId="77777777" w:rsidR="006E40C9" w:rsidRDefault="006E40C9">
            <w:pPr>
              <w:pStyle w:val="MeasureTableTextRightAligned"/>
            </w:pPr>
            <w:r>
              <w:t>280</w:t>
            </w:r>
          </w:p>
        </w:tc>
        <w:tc>
          <w:tcPr>
            <w:tcW w:w="967" w:type="dxa"/>
            <w:tcBorders>
              <w:top w:val="single" w:sz="2" w:space="0" w:color="auto"/>
              <w:bottom w:val="single" w:sz="2" w:space="0" w:color="auto"/>
            </w:tcBorders>
          </w:tcPr>
          <w:p w14:paraId="7AA02E3C"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6E1AB92B" w14:textId="77777777" w:rsidR="006E40C9" w:rsidRDefault="006E40C9">
            <w:pPr>
              <w:pStyle w:val="MeasureTableTextRightAligned"/>
            </w:pPr>
            <w:r>
              <w:t>350</w:t>
            </w:r>
          </w:p>
        </w:tc>
        <w:tc>
          <w:tcPr>
            <w:tcW w:w="967" w:type="dxa"/>
            <w:tcBorders>
              <w:top w:val="single" w:sz="2" w:space="0" w:color="auto"/>
              <w:bottom w:val="single" w:sz="2" w:space="0" w:color="auto"/>
            </w:tcBorders>
            <w:vAlign w:val="bottom"/>
          </w:tcPr>
          <w:p w14:paraId="123E8CC0" w14:textId="77777777" w:rsidR="006E40C9" w:rsidRDefault="006E40C9">
            <w:pPr>
              <w:pStyle w:val="MeasureTableTextRightAligned"/>
            </w:pPr>
            <w:r>
              <w:t>400</w:t>
            </w:r>
          </w:p>
        </w:tc>
        <w:tc>
          <w:tcPr>
            <w:tcW w:w="967" w:type="dxa"/>
            <w:tcBorders>
              <w:top w:val="single" w:sz="2" w:space="0" w:color="auto"/>
              <w:bottom w:val="single" w:sz="2" w:space="0" w:color="auto"/>
            </w:tcBorders>
            <w:vAlign w:val="bottom"/>
          </w:tcPr>
          <w:p w14:paraId="04AA6B69" w14:textId="77777777" w:rsidR="006E40C9" w:rsidRDefault="006E40C9">
            <w:pPr>
              <w:pStyle w:val="MeasureTableTextRightAligned"/>
            </w:pPr>
            <w:r>
              <w:t>380</w:t>
            </w:r>
          </w:p>
        </w:tc>
        <w:tc>
          <w:tcPr>
            <w:tcW w:w="967" w:type="dxa"/>
            <w:gridSpan w:val="2"/>
            <w:tcBorders>
              <w:top w:val="single" w:sz="2" w:space="0" w:color="auto"/>
              <w:bottom w:val="single" w:sz="2" w:space="0" w:color="auto"/>
            </w:tcBorders>
            <w:vAlign w:val="bottom"/>
          </w:tcPr>
          <w:p w14:paraId="18E73D77"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7A2DB90C" w14:textId="77777777" w:rsidR="006E40C9" w:rsidRDefault="006E40C9">
            <w:pPr>
              <w:pStyle w:val="MeasureTableTextRightAligned"/>
            </w:pPr>
            <w:r>
              <w:t>420</w:t>
            </w:r>
          </w:p>
        </w:tc>
        <w:tc>
          <w:tcPr>
            <w:tcW w:w="968" w:type="dxa"/>
            <w:tcBorders>
              <w:top w:val="single" w:sz="2" w:space="0" w:color="auto"/>
              <w:bottom w:val="single" w:sz="2" w:space="0" w:color="auto"/>
            </w:tcBorders>
            <w:vAlign w:val="bottom"/>
          </w:tcPr>
          <w:p w14:paraId="4720F1C0" w14:textId="77777777" w:rsidR="006E40C9" w:rsidRDefault="006E40C9">
            <w:pPr>
              <w:pStyle w:val="MeasureTableTextRightAligned"/>
            </w:pPr>
            <w:r>
              <w:t>440</w:t>
            </w:r>
          </w:p>
        </w:tc>
      </w:tr>
      <w:tr w:rsidR="006E40C9" w14:paraId="0D06CECC" w14:textId="77777777">
        <w:trPr>
          <w:cantSplit/>
          <w:jc w:val="center"/>
        </w:trPr>
        <w:tc>
          <w:tcPr>
            <w:tcW w:w="1934" w:type="dxa"/>
            <w:gridSpan w:val="2"/>
            <w:tcBorders>
              <w:top w:val="single" w:sz="2" w:space="0" w:color="auto"/>
              <w:bottom w:val="nil"/>
            </w:tcBorders>
          </w:tcPr>
          <w:p w14:paraId="234CD00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4D4A8A1" w14:textId="77777777" w:rsidR="006E40C9" w:rsidRDefault="006E40C9">
            <w:pPr>
              <w:pStyle w:val="MeasureTableTextLeftAligned"/>
            </w:pPr>
            <w:r>
              <w:t>Exemption</w:t>
            </w:r>
          </w:p>
        </w:tc>
        <w:tc>
          <w:tcPr>
            <w:tcW w:w="1500" w:type="dxa"/>
            <w:gridSpan w:val="2"/>
            <w:tcBorders>
              <w:top w:val="single" w:sz="2" w:space="0" w:color="auto"/>
              <w:bottom w:val="nil"/>
            </w:tcBorders>
          </w:tcPr>
          <w:p w14:paraId="7D560266" w14:textId="68E452A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7A7020E" w14:textId="77777777" w:rsidR="006E40C9" w:rsidRDefault="006E40C9">
            <w:pPr>
              <w:pStyle w:val="MeasureTableTextLeftAligned"/>
            </w:pPr>
            <w:r>
              <w:t>D16</w:t>
            </w:r>
          </w:p>
        </w:tc>
      </w:tr>
      <w:tr w:rsidR="006E40C9" w14:paraId="5E2C3A20" w14:textId="77777777">
        <w:trPr>
          <w:cantSplit/>
          <w:jc w:val="center"/>
        </w:trPr>
        <w:tc>
          <w:tcPr>
            <w:tcW w:w="1934" w:type="dxa"/>
            <w:gridSpan w:val="2"/>
            <w:tcBorders>
              <w:top w:val="nil"/>
              <w:bottom w:val="nil"/>
            </w:tcBorders>
          </w:tcPr>
          <w:p w14:paraId="5938175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E34289" w14:textId="31A94FA8"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447C5FE1" w14:textId="77777777" w:rsidR="006E40C9" w:rsidRDefault="006E40C9">
            <w:pPr>
              <w:pStyle w:val="MeasureTableTextItalic"/>
            </w:pPr>
          </w:p>
        </w:tc>
        <w:tc>
          <w:tcPr>
            <w:tcW w:w="1124" w:type="dxa"/>
            <w:gridSpan w:val="2"/>
            <w:tcBorders>
              <w:top w:val="nil"/>
              <w:bottom w:val="nil"/>
            </w:tcBorders>
          </w:tcPr>
          <w:p w14:paraId="727719F8" w14:textId="77777777" w:rsidR="006E40C9" w:rsidRDefault="006E40C9">
            <w:pPr>
              <w:pStyle w:val="MeasureTableTextLeftAligned"/>
            </w:pPr>
          </w:p>
        </w:tc>
      </w:tr>
      <w:tr w:rsidR="006E40C9" w14:paraId="662AE480" w14:textId="77777777">
        <w:trPr>
          <w:cantSplit/>
          <w:jc w:val="center"/>
        </w:trPr>
        <w:tc>
          <w:tcPr>
            <w:tcW w:w="1934" w:type="dxa"/>
            <w:gridSpan w:val="2"/>
            <w:tcBorders>
              <w:top w:val="nil"/>
              <w:bottom w:val="nil"/>
            </w:tcBorders>
          </w:tcPr>
          <w:p w14:paraId="61BEC15A" w14:textId="77777777" w:rsidR="006E40C9" w:rsidRDefault="006E40C9">
            <w:pPr>
              <w:pStyle w:val="MeasureTableTextItalic"/>
            </w:pPr>
            <w:r>
              <w:t>Commencement date:</w:t>
            </w:r>
          </w:p>
        </w:tc>
        <w:tc>
          <w:tcPr>
            <w:tcW w:w="3179" w:type="dxa"/>
            <w:gridSpan w:val="4"/>
            <w:tcBorders>
              <w:top w:val="nil"/>
              <w:bottom w:val="nil"/>
            </w:tcBorders>
          </w:tcPr>
          <w:p w14:paraId="6E0C90D4" w14:textId="77777777" w:rsidR="006E40C9" w:rsidRDefault="006E40C9">
            <w:pPr>
              <w:pStyle w:val="MeasureTableTextLeftAligned"/>
            </w:pPr>
            <w:r>
              <w:t>1 January 2001</w:t>
            </w:r>
          </w:p>
        </w:tc>
        <w:tc>
          <w:tcPr>
            <w:tcW w:w="1500" w:type="dxa"/>
            <w:gridSpan w:val="2"/>
            <w:tcBorders>
              <w:top w:val="nil"/>
              <w:bottom w:val="nil"/>
            </w:tcBorders>
          </w:tcPr>
          <w:p w14:paraId="731D0DDF" w14:textId="77777777" w:rsidR="006E40C9" w:rsidRPr="00F32057" w:rsidRDefault="006E40C9">
            <w:pPr>
              <w:pStyle w:val="MeasureTableTextItalic"/>
            </w:pPr>
            <w:r>
              <w:t>Expiry date:</w:t>
            </w:r>
          </w:p>
        </w:tc>
        <w:tc>
          <w:tcPr>
            <w:tcW w:w="1124" w:type="dxa"/>
            <w:gridSpan w:val="2"/>
            <w:tcBorders>
              <w:top w:val="nil"/>
              <w:bottom w:val="nil"/>
            </w:tcBorders>
          </w:tcPr>
          <w:p w14:paraId="3CAA23C4" w14:textId="77777777" w:rsidR="006E40C9" w:rsidRPr="00F32057" w:rsidRDefault="006E40C9">
            <w:pPr>
              <w:pStyle w:val="MeasureTableTextLeftAligned"/>
            </w:pPr>
          </w:p>
        </w:tc>
      </w:tr>
      <w:tr w:rsidR="006E40C9" w14:paraId="41B54497" w14:textId="77777777">
        <w:trPr>
          <w:cantSplit/>
          <w:jc w:val="center"/>
        </w:trPr>
        <w:tc>
          <w:tcPr>
            <w:tcW w:w="1934" w:type="dxa"/>
            <w:gridSpan w:val="2"/>
            <w:tcBorders>
              <w:top w:val="nil"/>
            </w:tcBorders>
          </w:tcPr>
          <w:p w14:paraId="168CFB96" w14:textId="77777777" w:rsidR="006E40C9" w:rsidRDefault="006E40C9">
            <w:pPr>
              <w:pStyle w:val="MeasureTableTextItalic"/>
            </w:pPr>
            <w:r>
              <w:t>Legislative reference:</w:t>
            </w:r>
          </w:p>
        </w:tc>
        <w:tc>
          <w:tcPr>
            <w:tcW w:w="5803" w:type="dxa"/>
            <w:gridSpan w:val="8"/>
            <w:tcBorders>
              <w:top w:val="nil"/>
            </w:tcBorders>
          </w:tcPr>
          <w:p w14:paraId="399C715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5B and Subsections 57A(1) and 57A(5) of the </w:t>
            </w:r>
            <w:r>
              <w:rPr>
                <w:rFonts w:ascii="Arial" w:hAnsi="Arial" w:cs="Arial"/>
                <w:i/>
                <w:iCs/>
                <w:color w:val="000000"/>
                <w:sz w:val="16"/>
                <w:szCs w:val="16"/>
              </w:rPr>
              <w:t>Fringe Benefits Tax Assessment Act 1986</w:t>
            </w:r>
          </w:p>
        </w:tc>
      </w:tr>
    </w:tbl>
    <w:p w14:paraId="621525DA" w14:textId="77777777" w:rsidR="006E40C9" w:rsidRPr="00540040" w:rsidRDefault="006E40C9" w:rsidP="006E40C9">
      <w:pPr>
        <w:pStyle w:val="MeasureTableHeading"/>
      </w:pPr>
    </w:p>
    <w:p w14:paraId="605A0398" w14:textId="1E427619" w:rsidR="006E40C9" w:rsidRDefault="006E40C9" w:rsidP="006E40C9">
      <w:r>
        <w:t>Under the income tax benchmark, fringe benefits are classified as individual employee income, with the grossed-up value taxed at the employee’s marginal income tax rate. However, charitable institutions</w:t>
      </w:r>
      <w:r>
        <w:fldChar w:fldCharType="begin"/>
      </w:r>
      <w:r>
        <w:instrText xml:space="preserve"> XE "Charitable institutions" </w:instrText>
      </w:r>
      <w:r>
        <w:fldChar w:fldCharType="end"/>
      </w:r>
      <w:r>
        <w:t xml:space="preserve"> whose principal activity is to promote the prevention or control of diseases in human beings, public and not</w:t>
      </w:r>
      <w:r>
        <w:noBreakHyphen/>
        <w:t>for</w:t>
      </w:r>
      <w:r>
        <w:noBreakHyphen/>
        <w:t>profit hospitals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fldChar w:fldCharType="begin"/>
      </w:r>
      <w:r>
        <w:instrText xml:space="preserve"> XE "Hospitals" </w:instrText>
      </w:r>
      <w:r>
        <w:fldChar w:fldCharType="end"/>
      </w:r>
      <w:r>
        <w:t>, public ambulance services, and public benevolent institutions</w:t>
      </w:r>
      <w:r>
        <w:fldChar w:fldCharType="begin"/>
      </w:r>
      <w:r>
        <w:instrText xml:space="preserve"> XE "Public benevolent institutions" </w:instrText>
      </w:r>
      <w:r>
        <w:fldChar w:fldCharType="end"/>
      </w:r>
      <w:r>
        <w:t xml:space="preserve"> (excluding hospital activities) are provided with an exemption from fringe benefits tax for meal entertainment</w:t>
      </w:r>
      <w:r>
        <w:fldChar w:fldCharType="begin"/>
      </w:r>
      <w:r>
        <w:instrText xml:space="preserve"> XE "</w:instrText>
      </w:r>
      <w:r w:rsidRPr="00CC167A">
        <w:instrText>Fringe benefits tax:</w:instrText>
      </w:r>
      <w:r>
        <w:instrText>Allowances, a</w:instrText>
      </w:r>
      <w:r w:rsidRPr="00CC167A">
        <w:instrText>ccommodation and food benefits</w:instrText>
      </w:r>
      <w:r>
        <w:instrText xml:space="preserve">" </w:instrText>
      </w:r>
      <w:r>
        <w:fldChar w:fldCharType="end"/>
      </w:r>
      <w:r>
        <w:t xml:space="preserve"> and entertainment facility leasing expenses. The fringe benefits tax exemption on these items is subject to a $5,000 cap on the grossed</w:t>
      </w:r>
      <w:r>
        <w:noBreakHyphen/>
        <w:t>up taxable value of fringe benefits per employee imposed.</w:t>
      </w:r>
    </w:p>
    <w:p w14:paraId="7848D188" w14:textId="77777777" w:rsidR="006E40C9" w:rsidRDefault="006E40C9" w:rsidP="00D9255A">
      <w:pPr>
        <w:pStyle w:val="Heading3"/>
      </w:pPr>
      <w:r>
        <w:t>Tax expenditures for housing and community amenities</w:t>
      </w:r>
    </w:p>
    <w:p w14:paraId="1C9B3D27" w14:textId="77777777" w:rsidR="006E40C9" w:rsidRDefault="006E40C9" w:rsidP="00D9255A">
      <w:pPr>
        <w:pStyle w:val="TESHeading5"/>
      </w:pPr>
      <w:r>
        <w:t>D17</w:t>
      </w:r>
      <w:r>
        <w:tab/>
        <w:t>Exemption for meals for primary production employees in remote areas</w:t>
      </w:r>
    </w:p>
    <w:p w14:paraId="0A85C6A1"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903357" w14:textId="77777777">
        <w:trPr>
          <w:cantSplit/>
          <w:jc w:val="center"/>
        </w:trPr>
        <w:tc>
          <w:tcPr>
            <w:tcW w:w="967" w:type="dxa"/>
            <w:tcBorders>
              <w:top w:val="single" w:sz="2" w:space="0" w:color="auto"/>
              <w:bottom w:val="single" w:sz="2" w:space="0" w:color="auto"/>
            </w:tcBorders>
          </w:tcPr>
          <w:p w14:paraId="4921D0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4B792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774DB7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1514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8D2174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D4E16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D907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0107AB" w14:textId="77777777" w:rsidR="006E40C9" w:rsidRDefault="006E40C9">
            <w:pPr>
              <w:pStyle w:val="MeasureTableTextRightAligned"/>
            </w:pPr>
            <w:r>
              <w:t>2027-28</w:t>
            </w:r>
          </w:p>
        </w:tc>
      </w:tr>
      <w:tr w:rsidR="006E40C9" w14:paraId="700C4992" w14:textId="77777777">
        <w:trPr>
          <w:cantSplit/>
          <w:jc w:val="center"/>
        </w:trPr>
        <w:tc>
          <w:tcPr>
            <w:tcW w:w="967" w:type="dxa"/>
            <w:tcBorders>
              <w:top w:val="single" w:sz="2" w:space="0" w:color="auto"/>
              <w:bottom w:val="single" w:sz="2" w:space="0" w:color="auto"/>
            </w:tcBorders>
          </w:tcPr>
          <w:p w14:paraId="0D0E7324" w14:textId="77777777" w:rsidR="006E40C9" w:rsidRDefault="006E40C9">
            <w:pPr>
              <w:pStyle w:val="MeasureTableTextRightAligned"/>
            </w:pPr>
            <w:r>
              <w:t>*</w:t>
            </w:r>
          </w:p>
        </w:tc>
        <w:tc>
          <w:tcPr>
            <w:tcW w:w="967" w:type="dxa"/>
            <w:tcBorders>
              <w:top w:val="single" w:sz="2" w:space="0" w:color="auto"/>
              <w:bottom w:val="single" w:sz="2" w:space="0" w:color="auto"/>
            </w:tcBorders>
          </w:tcPr>
          <w:p w14:paraId="7E63DA1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7B245B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28B76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118A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F8F3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6A56F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3B34934" w14:textId="77777777" w:rsidR="006E40C9" w:rsidRDefault="006E40C9">
            <w:pPr>
              <w:pStyle w:val="MeasureTableTextRightAligned"/>
            </w:pPr>
            <w:r>
              <w:t>*</w:t>
            </w:r>
          </w:p>
        </w:tc>
      </w:tr>
      <w:tr w:rsidR="006E40C9" w14:paraId="146F4E92" w14:textId="77777777">
        <w:trPr>
          <w:cantSplit/>
          <w:jc w:val="center"/>
        </w:trPr>
        <w:tc>
          <w:tcPr>
            <w:tcW w:w="1934" w:type="dxa"/>
            <w:gridSpan w:val="2"/>
            <w:tcBorders>
              <w:top w:val="single" w:sz="2" w:space="0" w:color="auto"/>
              <w:bottom w:val="nil"/>
            </w:tcBorders>
          </w:tcPr>
          <w:p w14:paraId="226F65A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9B2B4F" w14:textId="77777777" w:rsidR="006E40C9" w:rsidRDefault="006E40C9">
            <w:pPr>
              <w:pStyle w:val="MeasureTableTextLeftAligned"/>
            </w:pPr>
            <w:r>
              <w:t>Exemption</w:t>
            </w:r>
          </w:p>
        </w:tc>
        <w:tc>
          <w:tcPr>
            <w:tcW w:w="1500" w:type="dxa"/>
            <w:gridSpan w:val="2"/>
            <w:tcBorders>
              <w:top w:val="single" w:sz="2" w:space="0" w:color="auto"/>
              <w:bottom w:val="nil"/>
            </w:tcBorders>
          </w:tcPr>
          <w:p w14:paraId="29D92A4D" w14:textId="5EEEFD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B389315" w14:textId="77777777" w:rsidR="006E40C9" w:rsidRDefault="006E40C9">
            <w:pPr>
              <w:pStyle w:val="MeasureTableTextLeftAligned"/>
            </w:pPr>
            <w:r>
              <w:t>D17</w:t>
            </w:r>
          </w:p>
        </w:tc>
      </w:tr>
      <w:tr w:rsidR="006E40C9" w14:paraId="7DE0A9F1" w14:textId="77777777">
        <w:trPr>
          <w:cantSplit/>
          <w:jc w:val="center"/>
        </w:trPr>
        <w:tc>
          <w:tcPr>
            <w:tcW w:w="1934" w:type="dxa"/>
            <w:gridSpan w:val="2"/>
            <w:tcBorders>
              <w:top w:val="nil"/>
              <w:bottom w:val="nil"/>
            </w:tcBorders>
          </w:tcPr>
          <w:p w14:paraId="0D25E4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BCA5FA" w14:textId="77777777" w:rsidR="006E40C9" w:rsidRPr="00584CA7" w:rsidRDefault="006E40C9">
            <w:pPr>
              <w:pStyle w:val="MeasureTableTextLeftAligned"/>
            </w:pPr>
            <w:r>
              <w:t>Not Applicable</w:t>
            </w:r>
          </w:p>
        </w:tc>
        <w:tc>
          <w:tcPr>
            <w:tcW w:w="1500" w:type="dxa"/>
            <w:gridSpan w:val="2"/>
            <w:tcBorders>
              <w:top w:val="nil"/>
              <w:bottom w:val="nil"/>
            </w:tcBorders>
          </w:tcPr>
          <w:p w14:paraId="3D380B43" w14:textId="77777777" w:rsidR="006E40C9" w:rsidRDefault="006E40C9">
            <w:pPr>
              <w:pStyle w:val="MeasureTableTextItalic"/>
            </w:pPr>
            <w:r>
              <w:t>* Category</w:t>
            </w:r>
          </w:p>
        </w:tc>
        <w:tc>
          <w:tcPr>
            <w:tcW w:w="1124" w:type="dxa"/>
            <w:gridSpan w:val="2"/>
            <w:tcBorders>
              <w:top w:val="nil"/>
              <w:bottom w:val="nil"/>
            </w:tcBorders>
          </w:tcPr>
          <w:p w14:paraId="2A14DFF6" w14:textId="77777777" w:rsidR="006E40C9" w:rsidRDefault="006E40C9">
            <w:pPr>
              <w:pStyle w:val="MeasureTableTextLeftAligned"/>
            </w:pPr>
            <w:r>
              <w:t>2+</w:t>
            </w:r>
          </w:p>
        </w:tc>
      </w:tr>
      <w:tr w:rsidR="006E40C9" w14:paraId="18CADD94" w14:textId="77777777">
        <w:trPr>
          <w:cantSplit/>
          <w:jc w:val="center"/>
        </w:trPr>
        <w:tc>
          <w:tcPr>
            <w:tcW w:w="1934" w:type="dxa"/>
            <w:gridSpan w:val="2"/>
            <w:tcBorders>
              <w:top w:val="nil"/>
              <w:bottom w:val="nil"/>
            </w:tcBorders>
          </w:tcPr>
          <w:p w14:paraId="2EE490FE" w14:textId="77777777" w:rsidR="006E40C9" w:rsidRDefault="006E40C9">
            <w:pPr>
              <w:pStyle w:val="MeasureTableTextItalic"/>
            </w:pPr>
            <w:r>
              <w:t>Commencement date:</w:t>
            </w:r>
          </w:p>
        </w:tc>
        <w:tc>
          <w:tcPr>
            <w:tcW w:w="3179" w:type="dxa"/>
            <w:gridSpan w:val="4"/>
            <w:tcBorders>
              <w:top w:val="nil"/>
              <w:bottom w:val="nil"/>
            </w:tcBorders>
          </w:tcPr>
          <w:p w14:paraId="119B1F4B" w14:textId="77777777" w:rsidR="006E40C9" w:rsidRDefault="006E40C9">
            <w:pPr>
              <w:pStyle w:val="MeasureTableTextLeftAligned"/>
            </w:pPr>
            <w:r>
              <w:t>1 April 2000</w:t>
            </w:r>
          </w:p>
        </w:tc>
        <w:tc>
          <w:tcPr>
            <w:tcW w:w="1500" w:type="dxa"/>
            <w:gridSpan w:val="2"/>
            <w:tcBorders>
              <w:top w:val="nil"/>
              <w:bottom w:val="nil"/>
            </w:tcBorders>
          </w:tcPr>
          <w:p w14:paraId="070C2A82" w14:textId="77777777" w:rsidR="006E40C9" w:rsidRPr="00F32057" w:rsidRDefault="006E40C9">
            <w:pPr>
              <w:pStyle w:val="MeasureTableTextItalic"/>
            </w:pPr>
            <w:r>
              <w:t>Expiry date:</w:t>
            </w:r>
          </w:p>
        </w:tc>
        <w:tc>
          <w:tcPr>
            <w:tcW w:w="1124" w:type="dxa"/>
            <w:gridSpan w:val="2"/>
            <w:tcBorders>
              <w:top w:val="nil"/>
              <w:bottom w:val="nil"/>
            </w:tcBorders>
          </w:tcPr>
          <w:p w14:paraId="78C781C8" w14:textId="77777777" w:rsidR="006E40C9" w:rsidRPr="00F32057" w:rsidRDefault="006E40C9">
            <w:pPr>
              <w:pStyle w:val="MeasureTableTextLeftAligned"/>
            </w:pPr>
          </w:p>
        </w:tc>
      </w:tr>
      <w:tr w:rsidR="006E40C9" w14:paraId="0DCC6191" w14:textId="77777777">
        <w:trPr>
          <w:cantSplit/>
          <w:jc w:val="center"/>
        </w:trPr>
        <w:tc>
          <w:tcPr>
            <w:tcW w:w="1934" w:type="dxa"/>
            <w:gridSpan w:val="2"/>
            <w:tcBorders>
              <w:top w:val="nil"/>
            </w:tcBorders>
          </w:tcPr>
          <w:p w14:paraId="39A33D6C" w14:textId="77777777" w:rsidR="006E40C9" w:rsidRDefault="006E40C9">
            <w:pPr>
              <w:pStyle w:val="MeasureTableTextItalic"/>
            </w:pPr>
            <w:r>
              <w:t>Legislative reference:</w:t>
            </w:r>
          </w:p>
        </w:tc>
        <w:tc>
          <w:tcPr>
            <w:tcW w:w="5803" w:type="dxa"/>
            <w:gridSpan w:val="8"/>
            <w:tcBorders>
              <w:top w:val="nil"/>
            </w:tcBorders>
          </w:tcPr>
          <w:p w14:paraId="46783D1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58ZD of the</w:t>
            </w:r>
            <w:r>
              <w:rPr>
                <w:rFonts w:ascii="Arial" w:hAnsi="Arial" w:cs="Arial"/>
                <w:i/>
                <w:iCs/>
                <w:color w:val="000000"/>
                <w:sz w:val="16"/>
                <w:szCs w:val="16"/>
              </w:rPr>
              <w:t xml:space="preserve"> Fringe Benefits Tax Assessment Act 1986</w:t>
            </w:r>
          </w:p>
        </w:tc>
      </w:tr>
    </w:tbl>
    <w:p w14:paraId="74C7B2B7" w14:textId="77777777" w:rsidR="006E40C9" w:rsidRPr="00540040" w:rsidRDefault="006E40C9" w:rsidP="006E40C9">
      <w:pPr>
        <w:pStyle w:val="MeasureTableHeading"/>
      </w:pPr>
    </w:p>
    <w:p w14:paraId="2C201BC8" w14:textId="77777777" w:rsidR="006E40C9" w:rsidRDefault="006E40C9" w:rsidP="006E40C9">
      <w:r>
        <w:t>Under the income tax benchmark, fringe benefits are classified as individual employee income, with the grossed-up value taxed at the employee’s marginal income tax rate. However, certain meals provided on working days to employees of primary producers in remote areas are exempt from fringe benefits tax</w:t>
      </w:r>
      <w:r>
        <w:fldChar w:fldCharType="begin"/>
      </w:r>
      <w:r>
        <w:instrText xml:space="preserve"> XE "</w:instrText>
      </w:r>
      <w:r w:rsidRPr="00CC167A">
        <w:instrText>Fringe benefits tax:</w:instrText>
      </w:r>
      <w:r>
        <w:instrText>Allowances, accommodation</w:instrText>
      </w:r>
      <w:r w:rsidRPr="00CC167A">
        <w:instrText xml:space="preserve"> and food benefits</w:instrText>
      </w:r>
      <w:r>
        <w:instrText xml:space="preserve">" </w:instrText>
      </w:r>
      <w:r>
        <w:fldChar w:fldCharType="end"/>
      </w:r>
      <w:r>
        <w:t>.</w:t>
      </w:r>
    </w:p>
    <w:p w14:paraId="66D68086" w14:textId="77777777" w:rsidR="006E40C9" w:rsidRDefault="006E40C9" w:rsidP="00D9255A">
      <w:pPr>
        <w:pStyle w:val="TESHeading5"/>
      </w:pPr>
      <w:r>
        <w:t>D18</w:t>
      </w:r>
      <w:r>
        <w:tab/>
        <w:t>Exemption for remote area housing and reduction in taxable value for housing assistance</w:t>
      </w:r>
    </w:p>
    <w:p w14:paraId="4E0D8FB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845D21" w14:textId="77777777">
        <w:trPr>
          <w:cantSplit/>
          <w:jc w:val="center"/>
        </w:trPr>
        <w:tc>
          <w:tcPr>
            <w:tcW w:w="967" w:type="dxa"/>
            <w:tcBorders>
              <w:top w:val="single" w:sz="2" w:space="0" w:color="auto"/>
              <w:bottom w:val="single" w:sz="2" w:space="0" w:color="auto"/>
            </w:tcBorders>
          </w:tcPr>
          <w:p w14:paraId="794F1CB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B0CC1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76160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437BCD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5399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736D18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D11D6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05CFDE1" w14:textId="77777777" w:rsidR="006E40C9" w:rsidRDefault="006E40C9">
            <w:pPr>
              <w:pStyle w:val="MeasureTableTextRightAligned"/>
            </w:pPr>
            <w:r>
              <w:t>2027-28</w:t>
            </w:r>
          </w:p>
        </w:tc>
      </w:tr>
      <w:tr w:rsidR="006E40C9" w14:paraId="1909566F" w14:textId="77777777">
        <w:trPr>
          <w:cantSplit/>
          <w:jc w:val="center"/>
        </w:trPr>
        <w:tc>
          <w:tcPr>
            <w:tcW w:w="967" w:type="dxa"/>
            <w:tcBorders>
              <w:top w:val="single" w:sz="2" w:space="0" w:color="auto"/>
              <w:bottom w:val="single" w:sz="2" w:space="0" w:color="auto"/>
            </w:tcBorders>
          </w:tcPr>
          <w:p w14:paraId="22F5A44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4AB800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25C20C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3634D8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A169C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645B0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03E9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10F165" w14:textId="77777777" w:rsidR="006E40C9" w:rsidRDefault="006E40C9">
            <w:pPr>
              <w:pStyle w:val="MeasureTableTextRightAligned"/>
            </w:pPr>
            <w:r>
              <w:t>*</w:t>
            </w:r>
          </w:p>
        </w:tc>
      </w:tr>
      <w:tr w:rsidR="006E40C9" w14:paraId="2E31E9B8" w14:textId="77777777">
        <w:trPr>
          <w:cantSplit/>
          <w:jc w:val="center"/>
        </w:trPr>
        <w:tc>
          <w:tcPr>
            <w:tcW w:w="1934" w:type="dxa"/>
            <w:gridSpan w:val="2"/>
            <w:tcBorders>
              <w:top w:val="single" w:sz="2" w:space="0" w:color="auto"/>
              <w:bottom w:val="nil"/>
            </w:tcBorders>
          </w:tcPr>
          <w:p w14:paraId="1645904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5BCD73A"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389980F8" w14:textId="1CDE5EA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3F58D12" w14:textId="77777777" w:rsidR="006E40C9" w:rsidRDefault="006E40C9">
            <w:pPr>
              <w:pStyle w:val="MeasureTableTextLeftAligned"/>
            </w:pPr>
            <w:r>
              <w:t>D18</w:t>
            </w:r>
          </w:p>
        </w:tc>
      </w:tr>
      <w:tr w:rsidR="006E40C9" w14:paraId="21108D4D" w14:textId="77777777">
        <w:trPr>
          <w:cantSplit/>
          <w:jc w:val="center"/>
        </w:trPr>
        <w:tc>
          <w:tcPr>
            <w:tcW w:w="1934" w:type="dxa"/>
            <w:gridSpan w:val="2"/>
            <w:tcBorders>
              <w:top w:val="nil"/>
              <w:bottom w:val="nil"/>
            </w:tcBorders>
          </w:tcPr>
          <w:p w14:paraId="4BE00D3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66C001" w14:textId="77777777" w:rsidR="006E40C9" w:rsidRPr="00584CA7" w:rsidRDefault="006E40C9">
            <w:pPr>
              <w:pStyle w:val="MeasureTableTextLeftAligned"/>
            </w:pPr>
            <w:r>
              <w:t>Not Applicable</w:t>
            </w:r>
          </w:p>
        </w:tc>
        <w:tc>
          <w:tcPr>
            <w:tcW w:w="1500" w:type="dxa"/>
            <w:gridSpan w:val="2"/>
            <w:tcBorders>
              <w:top w:val="nil"/>
              <w:bottom w:val="nil"/>
            </w:tcBorders>
          </w:tcPr>
          <w:p w14:paraId="19E0D0D7" w14:textId="77777777" w:rsidR="006E40C9" w:rsidRDefault="006E40C9">
            <w:pPr>
              <w:pStyle w:val="MeasureTableTextItalic"/>
            </w:pPr>
            <w:r>
              <w:t>* Category</w:t>
            </w:r>
          </w:p>
        </w:tc>
        <w:tc>
          <w:tcPr>
            <w:tcW w:w="1124" w:type="dxa"/>
            <w:gridSpan w:val="2"/>
            <w:tcBorders>
              <w:top w:val="nil"/>
              <w:bottom w:val="nil"/>
            </w:tcBorders>
          </w:tcPr>
          <w:p w14:paraId="60B87FED" w14:textId="77777777" w:rsidR="006E40C9" w:rsidRDefault="006E40C9">
            <w:pPr>
              <w:pStyle w:val="MeasureTableTextLeftAligned"/>
            </w:pPr>
            <w:r>
              <w:t>3+</w:t>
            </w:r>
          </w:p>
        </w:tc>
      </w:tr>
      <w:tr w:rsidR="006E40C9" w14:paraId="555F92A0" w14:textId="77777777">
        <w:trPr>
          <w:cantSplit/>
          <w:jc w:val="center"/>
        </w:trPr>
        <w:tc>
          <w:tcPr>
            <w:tcW w:w="1934" w:type="dxa"/>
            <w:gridSpan w:val="2"/>
            <w:tcBorders>
              <w:top w:val="nil"/>
              <w:bottom w:val="nil"/>
            </w:tcBorders>
          </w:tcPr>
          <w:p w14:paraId="13099386" w14:textId="77777777" w:rsidR="006E40C9" w:rsidRDefault="006E40C9">
            <w:pPr>
              <w:pStyle w:val="MeasureTableTextItalic"/>
            </w:pPr>
            <w:r>
              <w:t>Commencement date:</w:t>
            </w:r>
          </w:p>
        </w:tc>
        <w:tc>
          <w:tcPr>
            <w:tcW w:w="3179" w:type="dxa"/>
            <w:gridSpan w:val="4"/>
            <w:tcBorders>
              <w:top w:val="nil"/>
              <w:bottom w:val="nil"/>
            </w:tcBorders>
          </w:tcPr>
          <w:p w14:paraId="716D3945" w14:textId="77777777" w:rsidR="006E40C9" w:rsidRDefault="006E40C9">
            <w:pPr>
              <w:pStyle w:val="MeasureTableTextLeftAligned"/>
            </w:pPr>
            <w:r>
              <w:t>1986, 1988, 2000</w:t>
            </w:r>
          </w:p>
        </w:tc>
        <w:tc>
          <w:tcPr>
            <w:tcW w:w="1500" w:type="dxa"/>
            <w:gridSpan w:val="2"/>
            <w:tcBorders>
              <w:top w:val="nil"/>
              <w:bottom w:val="nil"/>
            </w:tcBorders>
          </w:tcPr>
          <w:p w14:paraId="063AF1BF" w14:textId="77777777" w:rsidR="006E40C9" w:rsidRPr="00F32057" w:rsidRDefault="006E40C9">
            <w:pPr>
              <w:pStyle w:val="MeasureTableTextItalic"/>
            </w:pPr>
            <w:r>
              <w:t>Expiry date:</w:t>
            </w:r>
          </w:p>
        </w:tc>
        <w:tc>
          <w:tcPr>
            <w:tcW w:w="1124" w:type="dxa"/>
            <w:gridSpan w:val="2"/>
            <w:tcBorders>
              <w:top w:val="nil"/>
              <w:bottom w:val="nil"/>
            </w:tcBorders>
          </w:tcPr>
          <w:p w14:paraId="1E58F299" w14:textId="77777777" w:rsidR="006E40C9" w:rsidRPr="00F32057" w:rsidRDefault="006E40C9">
            <w:pPr>
              <w:pStyle w:val="MeasureTableTextLeftAligned"/>
            </w:pPr>
          </w:p>
        </w:tc>
      </w:tr>
      <w:tr w:rsidR="006E40C9" w14:paraId="44274F5F" w14:textId="77777777">
        <w:trPr>
          <w:cantSplit/>
          <w:jc w:val="center"/>
        </w:trPr>
        <w:tc>
          <w:tcPr>
            <w:tcW w:w="1934" w:type="dxa"/>
            <w:gridSpan w:val="2"/>
            <w:tcBorders>
              <w:top w:val="nil"/>
            </w:tcBorders>
          </w:tcPr>
          <w:p w14:paraId="4E88E30F" w14:textId="77777777" w:rsidR="006E40C9" w:rsidRDefault="006E40C9">
            <w:pPr>
              <w:pStyle w:val="MeasureTableTextItalic"/>
            </w:pPr>
            <w:r>
              <w:t>Legislative reference:</w:t>
            </w:r>
          </w:p>
        </w:tc>
        <w:tc>
          <w:tcPr>
            <w:tcW w:w="5803" w:type="dxa"/>
            <w:gridSpan w:val="8"/>
            <w:tcBorders>
              <w:top w:val="nil"/>
            </w:tcBorders>
          </w:tcPr>
          <w:p w14:paraId="747B959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58ZC, 59, 60, and 65CC of the </w:t>
            </w:r>
            <w:r>
              <w:rPr>
                <w:rFonts w:ascii="Arial" w:hAnsi="Arial" w:cs="Arial"/>
                <w:i/>
                <w:iCs/>
                <w:color w:val="000000"/>
                <w:sz w:val="16"/>
                <w:szCs w:val="16"/>
              </w:rPr>
              <w:t>Fringe Benefits Tax Assessment Act 1986</w:t>
            </w:r>
          </w:p>
        </w:tc>
      </w:tr>
    </w:tbl>
    <w:p w14:paraId="331CD74A" w14:textId="77777777" w:rsidR="006E40C9" w:rsidRPr="00540040" w:rsidRDefault="006E40C9" w:rsidP="006E40C9">
      <w:pPr>
        <w:pStyle w:val="MeasureTableHeading"/>
      </w:pPr>
    </w:p>
    <w:p w14:paraId="747BFB4F" w14:textId="77777777" w:rsidR="006E40C9" w:rsidRDefault="006E40C9" w:rsidP="006E40C9">
      <w:r>
        <w:t>Under the income tax benchmark, fringe benefits are classified as individual employee income, with the grossed up value taxed at the employee’s marginal income tax rate. However, housing benefits (the right to use accommodation as a usual place of residence) provided to employees in remote areas are exempt from fringe benefits tax. The taxable value of housing assistance provided to employees in remote areas is generally reduced by 50 per cent.</w:t>
      </w:r>
      <w:r>
        <w:fldChar w:fldCharType="begin"/>
      </w:r>
      <w:r>
        <w:instrText xml:space="preserve"> XE "Housing benefits" </w:instrText>
      </w:r>
      <w:r>
        <w:fldChar w:fldCharType="end"/>
      </w:r>
      <w:r>
        <w:t xml:space="preserve"> Housing assistance may include housing loans or the reimbursement of rent paid by an employee. </w:t>
      </w:r>
    </w:p>
    <w:p w14:paraId="53650633" w14:textId="77777777" w:rsidR="006E40C9" w:rsidRDefault="006E40C9" w:rsidP="00D9255A">
      <w:pPr>
        <w:pStyle w:val="Heading3"/>
      </w:pPr>
      <w:r>
        <w:t>Tax expenditures for recreation and culture</w:t>
      </w:r>
    </w:p>
    <w:p w14:paraId="65ABC025" w14:textId="77777777" w:rsidR="006E40C9" w:rsidRDefault="006E40C9" w:rsidP="00D9255A">
      <w:pPr>
        <w:pStyle w:val="TESHeading5"/>
      </w:pPr>
      <w:r>
        <w:t>D19</w:t>
      </w:r>
      <w:r>
        <w:tab/>
        <w:t>Exemption for certain fringe benefits provided to live-in employees providing domestic services to religious institutions and practitioners</w:t>
      </w:r>
    </w:p>
    <w:p w14:paraId="08F741AF"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6E0102" w14:textId="77777777">
        <w:trPr>
          <w:cantSplit/>
          <w:jc w:val="center"/>
        </w:trPr>
        <w:tc>
          <w:tcPr>
            <w:tcW w:w="967" w:type="dxa"/>
            <w:tcBorders>
              <w:top w:val="single" w:sz="2" w:space="0" w:color="auto"/>
              <w:bottom w:val="single" w:sz="2" w:space="0" w:color="auto"/>
            </w:tcBorders>
          </w:tcPr>
          <w:p w14:paraId="109F7B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15DBEF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73F2D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F388F5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DF663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060A6D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6EC762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7E2C15" w14:textId="77777777" w:rsidR="006E40C9" w:rsidRDefault="006E40C9">
            <w:pPr>
              <w:pStyle w:val="MeasureTableTextRightAligned"/>
            </w:pPr>
            <w:r>
              <w:t>2027-28</w:t>
            </w:r>
          </w:p>
        </w:tc>
      </w:tr>
      <w:tr w:rsidR="006E40C9" w14:paraId="3DD83931" w14:textId="77777777">
        <w:trPr>
          <w:cantSplit/>
          <w:jc w:val="center"/>
        </w:trPr>
        <w:tc>
          <w:tcPr>
            <w:tcW w:w="967" w:type="dxa"/>
            <w:tcBorders>
              <w:top w:val="single" w:sz="2" w:space="0" w:color="auto"/>
              <w:bottom w:val="single" w:sz="2" w:space="0" w:color="auto"/>
            </w:tcBorders>
          </w:tcPr>
          <w:p w14:paraId="4629B2B2" w14:textId="77777777" w:rsidR="006E40C9" w:rsidRDefault="006E40C9">
            <w:pPr>
              <w:pStyle w:val="MeasureTableTextRightAligned"/>
            </w:pPr>
            <w:r>
              <w:t>*</w:t>
            </w:r>
          </w:p>
        </w:tc>
        <w:tc>
          <w:tcPr>
            <w:tcW w:w="967" w:type="dxa"/>
            <w:tcBorders>
              <w:top w:val="single" w:sz="2" w:space="0" w:color="auto"/>
              <w:bottom w:val="single" w:sz="2" w:space="0" w:color="auto"/>
            </w:tcBorders>
          </w:tcPr>
          <w:p w14:paraId="48B9320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C013F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CA24F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F93A2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39A26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117D29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F59815" w14:textId="77777777" w:rsidR="006E40C9" w:rsidRDefault="006E40C9">
            <w:pPr>
              <w:pStyle w:val="MeasureTableTextRightAligned"/>
            </w:pPr>
            <w:r>
              <w:t>*</w:t>
            </w:r>
          </w:p>
        </w:tc>
      </w:tr>
      <w:tr w:rsidR="006E40C9" w14:paraId="140371F3" w14:textId="77777777">
        <w:trPr>
          <w:cantSplit/>
          <w:jc w:val="center"/>
        </w:trPr>
        <w:tc>
          <w:tcPr>
            <w:tcW w:w="1934" w:type="dxa"/>
            <w:gridSpan w:val="2"/>
            <w:tcBorders>
              <w:top w:val="single" w:sz="2" w:space="0" w:color="auto"/>
              <w:bottom w:val="nil"/>
            </w:tcBorders>
          </w:tcPr>
          <w:p w14:paraId="2B16E54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673594" w14:textId="77777777" w:rsidR="006E40C9" w:rsidRDefault="006E40C9">
            <w:pPr>
              <w:pStyle w:val="MeasureTableTextLeftAligned"/>
            </w:pPr>
            <w:r>
              <w:t>Exemption</w:t>
            </w:r>
          </w:p>
        </w:tc>
        <w:tc>
          <w:tcPr>
            <w:tcW w:w="1500" w:type="dxa"/>
            <w:gridSpan w:val="2"/>
            <w:tcBorders>
              <w:top w:val="single" w:sz="2" w:space="0" w:color="auto"/>
              <w:bottom w:val="nil"/>
            </w:tcBorders>
          </w:tcPr>
          <w:p w14:paraId="1A7F459C" w14:textId="29C2C82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9E3928" w14:textId="77777777" w:rsidR="006E40C9" w:rsidRDefault="006E40C9">
            <w:pPr>
              <w:pStyle w:val="MeasureTableTextLeftAligned"/>
            </w:pPr>
            <w:r>
              <w:t>D19</w:t>
            </w:r>
          </w:p>
        </w:tc>
      </w:tr>
      <w:tr w:rsidR="006E40C9" w14:paraId="33D5F233" w14:textId="77777777">
        <w:trPr>
          <w:cantSplit/>
          <w:jc w:val="center"/>
        </w:trPr>
        <w:tc>
          <w:tcPr>
            <w:tcW w:w="1934" w:type="dxa"/>
            <w:gridSpan w:val="2"/>
            <w:tcBorders>
              <w:top w:val="nil"/>
              <w:bottom w:val="nil"/>
            </w:tcBorders>
          </w:tcPr>
          <w:p w14:paraId="6337368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334B7B" w14:textId="77777777" w:rsidR="006E40C9" w:rsidRPr="00584CA7" w:rsidRDefault="006E40C9">
            <w:pPr>
              <w:pStyle w:val="MeasureTableTextLeftAligned"/>
            </w:pPr>
            <w:r>
              <w:t>Not Applicable</w:t>
            </w:r>
          </w:p>
        </w:tc>
        <w:tc>
          <w:tcPr>
            <w:tcW w:w="1500" w:type="dxa"/>
            <w:gridSpan w:val="2"/>
            <w:tcBorders>
              <w:top w:val="nil"/>
              <w:bottom w:val="nil"/>
            </w:tcBorders>
          </w:tcPr>
          <w:p w14:paraId="42E38C3E" w14:textId="77777777" w:rsidR="006E40C9" w:rsidRDefault="006E40C9">
            <w:pPr>
              <w:pStyle w:val="MeasureTableTextItalic"/>
            </w:pPr>
            <w:r>
              <w:t>* Category</w:t>
            </w:r>
          </w:p>
        </w:tc>
        <w:tc>
          <w:tcPr>
            <w:tcW w:w="1124" w:type="dxa"/>
            <w:gridSpan w:val="2"/>
            <w:tcBorders>
              <w:top w:val="nil"/>
              <w:bottom w:val="nil"/>
            </w:tcBorders>
          </w:tcPr>
          <w:p w14:paraId="2E880935" w14:textId="77777777" w:rsidR="006E40C9" w:rsidRDefault="006E40C9">
            <w:pPr>
              <w:pStyle w:val="MeasureTableTextLeftAligned"/>
            </w:pPr>
            <w:r>
              <w:t>2+</w:t>
            </w:r>
          </w:p>
        </w:tc>
      </w:tr>
      <w:tr w:rsidR="006E40C9" w14:paraId="3F48338E" w14:textId="77777777">
        <w:trPr>
          <w:cantSplit/>
          <w:jc w:val="center"/>
        </w:trPr>
        <w:tc>
          <w:tcPr>
            <w:tcW w:w="1934" w:type="dxa"/>
            <w:gridSpan w:val="2"/>
            <w:tcBorders>
              <w:top w:val="nil"/>
              <w:bottom w:val="nil"/>
            </w:tcBorders>
          </w:tcPr>
          <w:p w14:paraId="31B94DFE" w14:textId="77777777" w:rsidR="006E40C9" w:rsidRDefault="006E40C9">
            <w:pPr>
              <w:pStyle w:val="MeasureTableTextItalic"/>
            </w:pPr>
            <w:r>
              <w:t>Commencement date:</w:t>
            </w:r>
          </w:p>
        </w:tc>
        <w:tc>
          <w:tcPr>
            <w:tcW w:w="3179" w:type="dxa"/>
            <w:gridSpan w:val="4"/>
            <w:tcBorders>
              <w:top w:val="nil"/>
              <w:bottom w:val="nil"/>
            </w:tcBorders>
          </w:tcPr>
          <w:p w14:paraId="2CF1DD58" w14:textId="77777777" w:rsidR="006E40C9" w:rsidRDefault="006E40C9">
            <w:pPr>
              <w:pStyle w:val="MeasureTableTextLeftAligned"/>
            </w:pPr>
            <w:r>
              <w:t>1986</w:t>
            </w:r>
          </w:p>
        </w:tc>
        <w:tc>
          <w:tcPr>
            <w:tcW w:w="1500" w:type="dxa"/>
            <w:gridSpan w:val="2"/>
            <w:tcBorders>
              <w:top w:val="nil"/>
              <w:bottom w:val="nil"/>
            </w:tcBorders>
          </w:tcPr>
          <w:p w14:paraId="55C54B2A" w14:textId="77777777" w:rsidR="006E40C9" w:rsidRPr="00F32057" w:rsidRDefault="006E40C9">
            <w:pPr>
              <w:pStyle w:val="MeasureTableTextItalic"/>
            </w:pPr>
            <w:r>
              <w:t>Expiry date:</w:t>
            </w:r>
          </w:p>
        </w:tc>
        <w:tc>
          <w:tcPr>
            <w:tcW w:w="1124" w:type="dxa"/>
            <w:gridSpan w:val="2"/>
            <w:tcBorders>
              <w:top w:val="nil"/>
              <w:bottom w:val="nil"/>
            </w:tcBorders>
          </w:tcPr>
          <w:p w14:paraId="0CE16E11" w14:textId="77777777" w:rsidR="006E40C9" w:rsidRPr="00F32057" w:rsidRDefault="006E40C9">
            <w:pPr>
              <w:pStyle w:val="MeasureTableTextLeftAligned"/>
            </w:pPr>
          </w:p>
        </w:tc>
      </w:tr>
      <w:tr w:rsidR="006E40C9" w14:paraId="2CCCFA30" w14:textId="77777777">
        <w:trPr>
          <w:cantSplit/>
          <w:jc w:val="center"/>
        </w:trPr>
        <w:tc>
          <w:tcPr>
            <w:tcW w:w="1934" w:type="dxa"/>
            <w:gridSpan w:val="2"/>
            <w:tcBorders>
              <w:top w:val="nil"/>
            </w:tcBorders>
          </w:tcPr>
          <w:p w14:paraId="4FEE9CF6" w14:textId="77777777" w:rsidR="006E40C9" w:rsidRDefault="006E40C9">
            <w:pPr>
              <w:pStyle w:val="MeasureTableTextItalic"/>
            </w:pPr>
            <w:r>
              <w:t>Legislative reference:</w:t>
            </w:r>
          </w:p>
        </w:tc>
        <w:tc>
          <w:tcPr>
            <w:tcW w:w="5803" w:type="dxa"/>
            <w:gridSpan w:val="8"/>
            <w:tcBorders>
              <w:top w:val="nil"/>
            </w:tcBorders>
          </w:tcPr>
          <w:p w14:paraId="1008630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58T of the </w:t>
            </w:r>
            <w:r>
              <w:rPr>
                <w:rFonts w:ascii="Arial" w:hAnsi="Arial" w:cs="Arial"/>
                <w:i/>
                <w:iCs/>
                <w:color w:val="000000"/>
                <w:sz w:val="16"/>
                <w:szCs w:val="16"/>
              </w:rPr>
              <w:t>Fringe Benefits Tax Assessment Act 1986</w:t>
            </w:r>
          </w:p>
        </w:tc>
      </w:tr>
    </w:tbl>
    <w:p w14:paraId="4EA6BEB5" w14:textId="77777777" w:rsidR="006E40C9" w:rsidRPr="00540040" w:rsidRDefault="006E40C9" w:rsidP="006E40C9">
      <w:pPr>
        <w:pStyle w:val="MeasureTableHeading"/>
      </w:pPr>
    </w:p>
    <w:p w14:paraId="6DEEF33A" w14:textId="77777777" w:rsidR="006E40C9" w:rsidRDefault="006E40C9" w:rsidP="006E40C9">
      <w:r>
        <w:t>Under the income tax benchmark, fringe benefits are classified as individual employee income, with the grossed-up value taxed at the employee’s marginal income tax rate. However, accommodation, residential fuel, meals and other food and drink provided to live</w:t>
      </w:r>
      <w:r>
        <w:noBreakHyphen/>
        <w:t>in employees who provide domestic services and are employed by religious institutions</w:t>
      </w:r>
      <w:r>
        <w:fldChar w:fldCharType="begin"/>
      </w:r>
      <w:r>
        <w:instrText xml:space="preserve"> XE "Religious institutions or practitioners" </w:instrText>
      </w:r>
      <w:r>
        <w:fldChar w:fldCharType="end"/>
      </w:r>
      <w:r>
        <w:t xml:space="preserve"> or religious practitioners are exempt from fringe benefits tax.</w:t>
      </w:r>
    </w:p>
    <w:p w14:paraId="02F5F13C" w14:textId="77777777" w:rsidR="006E40C9" w:rsidRDefault="006E40C9" w:rsidP="00D9255A">
      <w:pPr>
        <w:pStyle w:val="TESHeading5"/>
      </w:pPr>
      <w:r>
        <w:t>D20</w:t>
      </w:r>
      <w:r>
        <w:tab/>
        <w:t>Exemption for fringe benefits provided to certain employees of religious institutions</w:t>
      </w:r>
    </w:p>
    <w:p w14:paraId="30343356"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7DA5F0A" w14:textId="77777777">
        <w:trPr>
          <w:cantSplit/>
          <w:jc w:val="center"/>
        </w:trPr>
        <w:tc>
          <w:tcPr>
            <w:tcW w:w="967" w:type="dxa"/>
            <w:tcBorders>
              <w:top w:val="single" w:sz="2" w:space="0" w:color="auto"/>
              <w:bottom w:val="single" w:sz="2" w:space="0" w:color="auto"/>
            </w:tcBorders>
          </w:tcPr>
          <w:p w14:paraId="5DA227F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0E4D2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577DDA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27F7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F3B09B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F0AC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25608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6F4C947" w14:textId="77777777" w:rsidR="006E40C9" w:rsidRDefault="006E40C9">
            <w:pPr>
              <w:pStyle w:val="MeasureTableTextRightAligned"/>
            </w:pPr>
            <w:r>
              <w:t>2027-28</w:t>
            </w:r>
          </w:p>
        </w:tc>
      </w:tr>
      <w:tr w:rsidR="006E40C9" w14:paraId="7D8EBBBC" w14:textId="77777777">
        <w:trPr>
          <w:cantSplit/>
          <w:jc w:val="center"/>
        </w:trPr>
        <w:tc>
          <w:tcPr>
            <w:tcW w:w="967" w:type="dxa"/>
            <w:tcBorders>
              <w:top w:val="single" w:sz="2" w:space="0" w:color="auto"/>
              <w:bottom w:val="single" w:sz="2" w:space="0" w:color="auto"/>
            </w:tcBorders>
          </w:tcPr>
          <w:p w14:paraId="1F7CEFF5" w14:textId="77777777" w:rsidR="006E40C9" w:rsidRDefault="006E40C9">
            <w:pPr>
              <w:pStyle w:val="MeasureTableTextRightAligned"/>
            </w:pPr>
            <w:r>
              <w:t>80</w:t>
            </w:r>
          </w:p>
        </w:tc>
        <w:tc>
          <w:tcPr>
            <w:tcW w:w="967" w:type="dxa"/>
            <w:tcBorders>
              <w:top w:val="single" w:sz="2" w:space="0" w:color="auto"/>
              <w:bottom w:val="single" w:sz="2" w:space="0" w:color="auto"/>
            </w:tcBorders>
          </w:tcPr>
          <w:p w14:paraId="170E3E02"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186D8874"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3D1886AF" w14:textId="77777777" w:rsidR="006E40C9" w:rsidRDefault="006E40C9">
            <w:pPr>
              <w:pStyle w:val="MeasureTableTextRightAligned"/>
            </w:pPr>
            <w:r>
              <w:t>85</w:t>
            </w:r>
          </w:p>
        </w:tc>
        <w:tc>
          <w:tcPr>
            <w:tcW w:w="967" w:type="dxa"/>
            <w:tcBorders>
              <w:top w:val="single" w:sz="2" w:space="0" w:color="auto"/>
              <w:bottom w:val="single" w:sz="2" w:space="0" w:color="auto"/>
            </w:tcBorders>
            <w:vAlign w:val="bottom"/>
          </w:tcPr>
          <w:p w14:paraId="70F3B86B"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50F6E0B3" w14:textId="77777777" w:rsidR="006E40C9" w:rsidRDefault="006E40C9">
            <w:pPr>
              <w:pStyle w:val="MeasureTableTextRightAligned"/>
            </w:pPr>
            <w:r>
              <w:t>80</w:t>
            </w:r>
          </w:p>
        </w:tc>
        <w:tc>
          <w:tcPr>
            <w:tcW w:w="967" w:type="dxa"/>
            <w:gridSpan w:val="2"/>
            <w:tcBorders>
              <w:top w:val="single" w:sz="2" w:space="0" w:color="auto"/>
              <w:bottom w:val="single" w:sz="2" w:space="0" w:color="auto"/>
            </w:tcBorders>
            <w:vAlign w:val="bottom"/>
          </w:tcPr>
          <w:p w14:paraId="2A17085F" w14:textId="77777777" w:rsidR="006E40C9" w:rsidRDefault="006E40C9">
            <w:pPr>
              <w:pStyle w:val="MeasureTableTextRightAligned"/>
            </w:pPr>
            <w:r>
              <w:t>85</w:t>
            </w:r>
          </w:p>
        </w:tc>
        <w:tc>
          <w:tcPr>
            <w:tcW w:w="968" w:type="dxa"/>
            <w:tcBorders>
              <w:top w:val="single" w:sz="2" w:space="0" w:color="auto"/>
              <w:bottom w:val="single" w:sz="2" w:space="0" w:color="auto"/>
            </w:tcBorders>
            <w:vAlign w:val="bottom"/>
          </w:tcPr>
          <w:p w14:paraId="50A8FA14" w14:textId="77777777" w:rsidR="006E40C9" w:rsidRDefault="006E40C9">
            <w:pPr>
              <w:pStyle w:val="MeasureTableTextRightAligned"/>
            </w:pPr>
            <w:r>
              <w:t>85</w:t>
            </w:r>
          </w:p>
        </w:tc>
      </w:tr>
      <w:tr w:rsidR="006E40C9" w14:paraId="5020363B" w14:textId="77777777">
        <w:trPr>
          <w:cantSplit/>
          <w:jc w:val="center"/>
        </w:trPr>
        <w:tc>
          <w:tcPr>
            <w:tcW w:w="1934" w:type="dxa"/>
            <w:gridSpan w:val="2"/>
            <w:tcBorders>
              <w:top w:val="single" w:sz="2" w:space="0" w:color="auto"/>
              <w:bottom w:val="nil"/>
            </w:tcBorders>
          </w:tcPr>
          <w:p w14:paraId="67C51FC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060A7CE" w14:textId="77777777" w:rsidR="006E40C9" w:rsidRDefault="006E40C9">
            <w:pPr>
              <w:pStyle w:val="MeasureTableTextLeftAligned"/>
            </w:pPr>
            <w:r>
              <w:t>Exemption</w:t>
            </w:r>
          </w:p>
        </w:tc>
        <w:tc>
          <w:tcPr>
            <w:tcW w:w="1500" w:type="dxa"/>
            <w:gridSpan w:val="2"/>
            <w:tcBorders>
              <w:top w:val="single" w:sz="2" w:space="0" w:color="auto"/>
              <w:bottom w:val="nil"/>
            </w:tcBorders>
          </w:tcPr>
          <w:p w14:paraId="67123824" w14:textId="70EA0D1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00A0A8" w14:textId="77777777" w:rsidR="006E40C9" w:rsidRDefault="006E40C9">
            <w:pPr>
              <w:pStyle w:val="MeasureTableTextLeftAligned"/>
            </w:pPr>
            <w:r>
              <w:t>D20</w:t>
            </w:r>
          </w:p>
        </w:tc>
      </w:tr>
      <w:tr w:rsidR="006E40C9" w14:paraId="08AE1D0F" w14:textId="77777777">
        <w:trPr>
          <w:cantSplit/>
          <w:jc w:val="center"/>
        </w:trPr>
        <w:tc>
          <w:tcPr>
            <w:tcW w:w="1934" w:type="dxa"/>
            <w:gridSpan w:val="2"/>
            <w:tcBorders>
              <w:top w:val="nil"/>
              <w:bottom w:val="nil"/>
            </w:tcBorders>
          </w:tcPr>
          <w:p w14:paraId="7ECD50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89808D" w14:textId="0B834D6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7156FAD" w14:textId="77777777" w:rsidR="006E40C9" w:rsidRDefault="006E40C9">
            <w:pPr>
              <w:pStyle w:val="MeasureTableTextItalic"/>
            </w:pPr>
          </w:p>
        </w:tc>
        <w:tc>
          <w:tcPr>
            <w:tcW w:w="1124" w:type="dxa"/>
            <w:gridSpan w:val="2"/>
            <w:tcBorders>
              <w:top w:val="nil"/>
              <w:bottom w:val="nil"/>
            </w:tcBorders>
          </w:tcPr>
          <w:p w14:paraId="7C69FA23" w14:textId="77777777" w:rsidR="006E40C9" w:rsidRDefault="006E40C9">
            <w:pPr>
              <w:pStyle w:val="MeasureTableTextLeftAligned"/>
            </w:pPr>
          </w:p>
        </w:tc>
      </w:tr>
      <w:tr w:rsidR="006E40C9" w14:paraId="3CFF60ED" w14:textId="77777777">
        <w:trPr>
          <w:cantSplit/>
          <w:jc w:val="center"/>
        </w:trPr>
        <w:tc>
          <w:tcPr>
            <w:tcW w:w="1934" w:type="dxa"/>
            <w:gridSpan w:val="2"/>
            <w:tcBorders>
              <w:top w:val="nil"/>
              <w:bottom w:val="nil"/>
            </w:tcBorders>
          </w:tcPr>
          <w:p w14:paraId="1A9D842B" w14:textId="77777777" w:rsidR="006E40C9" w:rsidRDefault="006E40C9">
            <w:pPr>
              <w:pStyle w:val="MeasureTableTextItalic"/>
            </w:pPr>
            <w:r>
              <w:t>Commencement date:</w:t>
            </w:r>
          </w:p>
        </w:tc>
        <w:tc>
          <w:tcPr>
            <w:tcW w:w="3179" w:type="dxa"/>
            <w:gridSpan w:val="4"/>
            <w:tcBorders>
              <w:top w:val="nil"/>
              <w:bottom w:val="nil"/>
            </w:tcBorders>
          </w:tcPr>
          <w:p w14:paraId="27E4368C" w14:textId="77777777" w:rsidR="006E40C9" w:rsidRDefault="006E40C9">
            <w:pPr>
              <w:pStyle w:val="MeasureTableTextLeftAligned"/>
            </w:pPr>
            <w:r>
              <w:t>1986</w:t>
            </w:r>
          </w:p>
        </w:tc>
        <w:tc>
          <w:tcPr>
            <w:tcW w:w="1500" w:type="dxa"/>
            <w:gridSpan w:val="2"/>
            <w:tcBorders>
              <w:top w:val="nil"/>
              <w:bottom w:val="nil"/>
            </w:tcBorders>
          </w:tcPr>
          <w:p w14:paraId="790D52ED" w14:textId="77777777" w:rsidR="006E40C9" w:rsidRPr="00F32057" w:rsidRDefault="006E40C9">
            <w:pPr>
              <w:pStyle w:val="MeasureTableTextItalic"/>
            </w:pPr>
            <w:r>
              <w:t>Expiry date:</w:t>
            </w:r>
          </w:p>
        </w:tc>
        <w:tc>
          <w:tcPr>
            <w:tcW w:w="1124" w:type="dxa"/>
            <w:gridSpan w:val="2"/>
            <w:tcBorders>
              <w:top w:val="nil"/>
              <w:bottom w:val="nil"/>
            </w:tcBorders>
          </w:tcPr>
          <w:p w14:paraId="0F334589" w14:textId="77777777" w:rsidR="006E40C9" w:rsidRPr="00F32057" w:rsidRDefault="006E40C9">
            <w:pPr>
              <w:pStyle w:val="MeasureTableTextLeftAligned"/>
            </w:pPr>
          </w:p>
        </w:tc>
      </w:tr>
      <w:tr w:rsidR="006E40C9" w14:paraId="54EE68CB" w14:textId="77777777">
        <w:trPr>
          <w:cantSplit/>
          <w:jc w:val="center"/>
        </w:trPr>
        <w:tc>
          <w:tcPr>
            <w:tcW w:w="1934" w:type="dxa"/>
            <w:gridSpan w:val="2"/>
            <w:tcBorders>
              <w:top w:val="nil"/>
            </w:tcBorders>
          </w:tcPr>
          <w:p w14:paraId="2C363ADE" w14:textId="77777777" w:rsidR="006E40C9" w:rsidRDefault="006E40C9">
            <w:pPr>
              <w:pStyle w:val="MeasureTableTextItalic"/>
            </w:pPr>
            <w:r>
              <w:t>Legislative reference:</w:t>
            </w:r>
          </w:p>
        </w:tc>
        <w:tc>
          <w:tcPr>
            <w:tcW w:w="5803" w:type="dxa"/>
            <w:gridSpan w:val="8"/>
            <w:tcBorders>
              <w:top w:val="nil"/>
            </w:tcBorders>
          </w:tcPr>
          <w:p w14:paraId="377D172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57 of the </w:t>
            </w:r>
            <w:r>
              <w:rPr>
                <w:rFonts w:ascii="Arial" w:hAnsi="Arial" w:cs="Arial"/>
                <w:i/>
                <w:iCs/>
                <w:color w:val="000000"/>
                <w:sz w:val="16"/>
                <w:szCs w:val="16"/>
              </w:rPr>
              <w:t>Fringe Benefits Tax Assessment Act 1986</w:t>
            </w:r>
          </w:p>
        </w:tc>
      </w:tr>
    </w:tbl>
    <w:p w14:paraId="593718F9" w14:textId="77777777" w:rsidR="006E40C9" w:rsidRPr="00540040" w:rsidRDefault="006E40C9" w:rsidP="006E40C9">
      <w:pPr>
        <w:pStyle w:val="MeasureTableHeading"/>
      </w:pPr>
    </w:p>
    <w:p w14:paraId="31C5F182" w14:textId="77777777" w:rsidR="006E40C9" w:rsidRDefault="006E40C9" w:rsidP="006E40C9">
      <w:r>
        <w:t>Under the income tax benchmark, fringe benefits are classified as individual employee income, with the grossed-up value taxed at the employee’s marginal income tax rate. However, benefits provided to an employee, or to a spouse or child of the employee, of a religious institution are exempt from fringe benefits tax if the employee is a religious practitioner</w:t>
      </w:r>
      <w:r>
        <w:fldChar w:fldCharType="begin"/>
      </w:r>
      <w:r>
        <w:instrText xml:space="preserve"> XE "Religious institutions or practitioners" </w:instrText>
      </w:r>
      <w:r>
        <w:fldChar w:fldCharType="end"/>
      </w:r>
      <w:r>
        <w:t xml:space="preserve"> and only if the benefit is provided principally in respect of pastoral duties or any other duties or activities that are directly related to the practice, study, teaching or propagation of religious beliefs.</w:t>
      </w:r>
    </w:p>
    <w:p w14:paraId="11CED508" w14:textId="77777777" w:rsidR="006E40C9" w:rsidRDefault="006E40C9" w:rsidP="00D9255A">
      <w:pPr>
        <w:pStyle w:val="Heading3"/>
      </w:pPr>
      <w:r>
        <w:t>Tax expenditures for other economic affairs</w:t>
      </w:r>
    </w:p>
    <w:p w14:paraId="46CF4E5A" w14:textId="77777777" w:rsidR="006E40C9" w:rsidRDefault="006E40C9" w:rsidP="00D9255A">
      <w:pPr>
        <w:pStyle w:val="TESHeading5"/>
      </w:pPr>
      <w:r>
        <w:t>D21</w:t>
      </w:r>
      <w:r>
        <w:tab/>
        <w:t>Application of statutory formula to value car benefits</w:t>
      </w:r>
    </w:p>
    <w:p w14:paraId="19FDA040" w14:textId="27EF6BA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40ED9A" w14:textId="77777777">
        <w:trPr>
          <w:cantSplit/>
          <w:jc w:val="center"/>
        </w:trPr>
        <w:tc>
          <w:tcPr>
            <w:tcW w:w="967" w:type="dxa"/>
            <w:tcBorders>
              <w:top w:val="single" w:sz="2" w:space="0" w:color="auto"/>
              <w:bottom w:val="single" w:sz="2" w:space="0" w:color="auto"/>
            </w:tcBorders>
          </w:tcPr>
          <w:p w14:paraId="31F96AA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87D535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AF441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6F510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4846F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AA184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72D44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45A7BE" w14:textId="77777777" w:rsidR="006E40C9" w:rsidRDefault="006E40C9">
            <w:pPr>
              <w:pStyle w:val="MeasureTableTextRightAligned"/>
            </w:pPr>
            <w:r>
              <w:t>2027-28</w:t>
            </w:r>
          </w:p>
        </w:tc>
      </w:tr>
      <w:tr w:rsidR="006E40C9" w14:paraId="03D07EA1" w14:textId="77777777">
        <w:trPr>
          <w:cantSplit/>
          <w:jc w:val="center"/>
        </w:trPr>
        <w:tc>
          <w:tcPr>
            <w:tcW w:w="967" w:type="dxa"/>
            <w:tcBorders>
              <w:top w:val="single" w:sz="2" w:space="0" w:color="auto"/>
              <w:bottom w:val="single" w:sz="2" w:space="0" w:color="auto"/>
            </w:tcBorders>
          </w:tcPr>
          <w:p w14:paraId="13E81506" w14:textId="77777777" w:rsidR="006E40C9" w:rsidRDefault="006E40C9">
            <w:pPr>
              <w:pStyle w:val="MeasureTableTextRightAligned"/>
            </w:pPr>
            <w:r>
              <w:t>620</w:t>
            </w:r>
          </w:p>
        </w:tc>
        <w:tc>
          <w:tcPr>
            <w:tcW w:w="967" w:type="dxa"/>
            <w:tcBorders>
              <w:top w:val="single" w:sz="2" w:space="0" w:color="auto"/>
              <w:bottom w:val="single" w:sz="2" w:space="0" w:color="auto"/>
            </w:tcBorders>
          </w:tcPr>
          <w:p w14:paraId="497B461F" w14:textId="77777777" w:rsidR="006E40C9" w:rsidRDefault="006E40C9">
            <w:pPr>
              <w:pStyle w:val="MeasureTableTextRightAligned"/>
            </w:pPr>
            <w:r>
              <w:t>810</w:t>
            </w:r>
          </w:p>
        </w:tc>
        <w:tc>
          <w:tcPr>
            <w:tcW w:w="967" w:type="dxa"/>
            <w:tcBorders>
              <w:top w:val="single" w:sz="2" w:space="0" w:color="auto"/>
              <w:bottom w:val="single" w:sz="2" w:space="0" w:color="auto"/>
            </w:tcBorders>
            <w:vAlign w:val="bottom"/>
          </w:tcPr>
          <w:p w14:paraId="193DDCEB" w14:textId="77777777" w:rsidR="006E40C9" w:rsidRDefault="006E40C9">
            <w:pPr>
              <w:pStyle w:val="MeasureTableTextRightAligned"/>
            </w:pPr>
            <w:r>
              <w:t>980</w:t>
            </w:r>
          </w:p>
        </w:tc>
        <w:tc>
          <w:tcPr>
            <w:tcW w:w="967" w:type="dxa"/>
            <w:tcBorders>
              <w:top w:val="single" w:sz="2" w:space="0" w:color="auto"/>
              <w:bottom w:val="single" w:sz="2" w:space="0" w:color="auto"/>
            </w:tcBorders>
            <w:vAlign w:val="bottom"/>
          </w:tcPr>
          <w:p w14:paraId="7550EC0C"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3C7C8FE8" w14:textId="77777777" w:rsidR="006E40C9" w:rsidRDefault="006E40C9">
            <w:pPr>
              <w:pStyle w:val="MeasureTableTextRightAligned"/>
            </w:pPr>
            <w:r>
              <w:t>1,050</w:t>
            </w:r>
          </w:p>
        </w:tc>
        <w:tc>
          <w:tcPr>
            <w:tcW w:w="967" w:type="dxa"/>
            <w:gridSpan w:val="2"/>
            <w:tcBorders>
              <w:top w:val="single" w:sz="2" w:space="0" w:color="auto"/>
              <w:bottom w:val="single" w:sz="2" w:space="0" w:color="auto"/>
            </w:tcBorders>
            <w:vAlign w:val="bottom"/>
          </w:tcPr>
          <w:p w14:paraId="11A98163" w14:textId="77777777" w:rsidR="006E40C9" w:rsidRDefault="006E40C9">
            <w:pPr>
              <w:pStyle w:val="MeasureTableTextRightAligned"/>
            </w:pPr>
            <w:r>
              <w:t>1,100</w:t>
            </w:r>
          </w:p>
        </w:tc>
        <w:tc>
          <w:tcPr>
            <w:tcW w:w="967" w:type="dxa"/>
            <w:gridSpan w:val="2"/>
            <w:tcBorders>
              <w:top w:val="single" w:sz="2" w:space="0" w:color="auto"/>
              <w:bottom w:val="single" w:sz="2" w:space="0" w:color="auto"/>
            </w:tcBorders>
            <w:vAlign w:val="bottom"/>
          </w:tcPr>
          <w:p w14:paraId="2ED57F18" w14:textId="77777777" w:rsidR="006E40C9" w:rsidRDefault="006E40C9">
            <w:pPr>
              <w:pStyle w:val="MeasureTableTextRightAligned"/>
            </w:pPr>
            <w:r>
              <w:t>1,150</w:t>
            </w:r>
          </w:p>
        </w:tc>
        <w:tc>
          <w:tcPr>
            <w:tcW w:w="968" w:type="dxa"/>
            <w:tcBorders>
              <w:top w:val="single" w:sz="2" w:space="0" w:color="auto"/>
              <w:bottom w:val="single" w:sz="2" w:space="0" w:color="auto"/>
            </w:tcBorders>
            <w:vAlign w:val="bottom"/>
          </w:tcPr>
          <w:p w14:paraId="4F79842C" w14:textId="77777777" w:rsidR="006E40C9" w:rsidRDefault="006E40C9">
            <w:pPr>
              <w:pStyle w:val="MeasureTableTextRightAligned"/>
            </w:pPr>
            <w:r>
              <w:t>1,200</w:t>
            </w:r>
          </w:p>
        </w:tc>
      </w:tr>
      <w:tr w:rsidR="006E40C9" w14:paraId="54B3AF60" w14:textId="77777777">
        <w:trPr>
          <w:cantSplit/>
          <w:jc w:val="center"/>
        </w:trPr>
        <w:tc>
          <w:tcPr>
            <w:tcW w:w="1934" w:type="dxa"/>
            <w:gridSpan w:val="2"/>
            <w:tcBorders>
              <w:top w:val="single" w:sz="2" w:space="0" w:color="auto"/>
              <w:bottom w:val="nil"/>
            </w:tcBorders>
          </w:tcPr>
          <w:p w14:paraId="7096968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C19305A"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4D60C3D6" w14:textId="1243618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45CC1A" w14:textId="77777777" w:rsidR="006E40C9" w:rsidRDefault="006E40C9">
            <w:pPr>
              <w:pStyle w:val="MeasureTableTextLeftAligned"/>
            </w:pPr>
            <w:r>
              <w:t>D21</w:t>
            </w:r>
          </w:p>
        </w:tc>
      </w:tr>
      <w:tr w:rsidR="006E40C9" w14:paraId="37706C6A" w14:textId="77777777">
        <w:trPr>
          <w:cantSplit/>
          <w:jc w:val="center"/>
        </w:trPr>
        <w:tc>
          <w:tcPr>
            <w:tcW w:w="1934" w:type="dxa"/>
            <w:gridSpan w:val="2"/>
            <w:tcBorders>
              <w:top w:val="nil"/>
              <w:bottom w:val="nil"/>
            </w:tcBorders>
          </w:tcPr>
          <w:p w14:paraId="0C5BDCF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393A43" w14:textId="01156C5F"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D7CF535" w14:textId="77777777" w:rsidR="006E40C9" w:rsidRDefault="006E40C9">
            <w:pPr>
              <w:pStyle w:val="MeasureTableTextItalic"/>
            </w:pPr>
          </w:p>
        </w:tc>
        <w:tc>
          <w:tcPr>
            <w:tcW w:w="1124" w:type="dxa"/>
            <w:gridSpan w:val="2"/>
            <w:tcBorders>
              <w:top w:val="nil"/>
              <w:bottom w:val="nil"/>
            </w:tcBorders>
          </w:tcPr>
          <w:p w14:paraId="5DD7B610" w14:textId="77777777" w:rsidR="006E40C9" w:rsidRDefault="006E40C9">
            <w:pPr>
              <w:pStyle w:val="MeasureTableTextLeftAligned"/>
            </w:pPr>
          </w:p>
        </w:tc>
      </w:tr>
      <w:tr w:rsidR="006E40C9" w14:paraId="56E99CF6" w14:textId="77777777">
        <w:trPr>
          <w:cantSplit/>
          <w:jc w:val="center"/>
        </w:trPr>
        <w:tc>
          <w:tcPr>
            <w:tcW w:w="1934" w:type="dxa"/>
            <w:gridSpan w:val="2"/>
            <w:tcBorders>
              <w:top w:val="nil"/>
              <w:bottom w:val="nil"/>
            </w:tcBorders>
          </w:tcPr>
          <w:p w14:paraId="6EFBE7DC" w14:textId="77777777" w:rsidR="006E40C9" w:rsidRDefault="006E40C9">
            <w:pPr>
              <w:pStyle w:val="MeasureTableTextItalic"/>
            </w:pPr>
            <w:r>
              <w:t>Commencement date:</w:t>
            </w:r>
          </w:p>
        </w:tc>
        <w:tc>
          <w:tcPr>
            <w:tcW w:w="3179" w:type="dxa"/>
            <w:gridSpan w:val="4"/>
            <w:tcBorders>
              <w:top w:val="nil"/>
              <w:bottom w:val="nil"/>
            </w:tcBorders>
          </w:tcPr>
          <w:p w14:paraId="50FADC74" w14:textId="77777777" w:rsidR="006E40C9" w:rsidRDefault="006E40C9">
            <w:pPr>
              <w:pStyle w:val="MeasureTableTextLeftAligned"/>
            </w:pPr>
            <w:r>
              <w:t>1986</w:t>
            </w:r>
          </w:p>
        </w:tc>
        <w:tc>
          <w:tcPr>
            <w:tcW w:w="1500" w:type="dxa"/>
            <w:gridSpan w:val="2"/>
            <w:tcBorders>
              <w:top w:val="nil"/>
              <w:bottom w:val="nil"/>
            </w:tcBorders>
          </w:tcPr>
          <w:p w14:paraId="42E83FF5" w14:textId="77777777" w:rsidR="006E40C9" w:rsidRPr="00F32057" w:rsidRDefault="006E40C9">
            <w:pPr>
              <w:pStyle w:val="MeasureTableTextItalic"/>
            </w:pPr>
            <w:r>
              <w:t>Expiry date:</w:t>
            </w:r>
          </w:p>
        </w:tc>
        <w:tc>
          <w:tcPr>
            <w:tcW w:w="1124" w:type="dxa"/>
            <w:gridSpan w:val="2"/>
            <w:tcBorders>
              <w:top w:val="nil"/>
              <w:bottom w:val="nil"/>
            </w:tcBorders>
          </w:tcPr>
          <w:p w14:paraId="62EA7078" w14:textId="77777777" w:rsidR="006E40C9" w:rsidRPr="00F32057" w:rsidRDefault="006E40C9">
            <w:pPr>
              <w:pStyle w:val="MeasureTableTextLeftAligned"/>
            </w:pPr>
          </w:p>
        </w:tc>
      </w:tr>
      <w:tr w:rsidR="006E40C9" w14:paraId="3312EE70" w14:textId="77777777">
        <w:trPr>
          <w:cantSplit/>
          <w:jc w:val="center"/>
        </w:trPr>
        <w:tc>
          <w:tcPr>
            <w:tcW w:w="1934" w:type="dxa"/>
            <w:gridSpan w:val="2"/>
            <w:tcBorders>
              <w:top w:val="nil"/>
            </w:tcBorders>
          </w:tcPr>
          <w:p w14:paraId="5B375C63" w14:textId="77777777" w:rsidR="006E40C9" w:rsidRDefault="006E40C9">
            <w:pPr>
              <w:pStyle w:val="MeasureTableTextItalic"/>
            </w:pPr>
            <w:r>
              <w:t>Legislative reference:</w:t>
            </w:r>
          </w:p>
        </w:tc>
        <w:tc>
          <w:tcPr>
            <w:tcW w:w="5803" w:type="dxa"/>
            <w:gridSpan w:val="8"/>
            <w:tcBorders>
              <w:top w:val="nil"/>
            </w:tcBorders>
          </w:tcPr>
          <w:p w14:paraId="75E025B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9 of the </w:t>
            </w:r>
            <w:r>
              <w:rPr>
                <w:rFonts w:ascii="Arial" w:hAnsi="Arial" w:cs="Arial"/>
                <w:i/>
                <w:iCs/>
                <w:color w:val="000000"/>
                <w:sz w:val="16"/>
                <w:szCs w:val="16"/>
              </w:rPr>
              <w:t>Fringe Benefits Tax Assessment Act 1986</w:t>
            </w:r>
          </w:p>
        </w:tc>
      </w:tr>
    </w:tbl>
    <w:p w14:paraId="78521155" w14:textId="77777777" w:rsidR="006E40C9" w:rsidRPr="00540040" w:rsidRDefault="006E40C9" w:rsidP="006E40C9">
      <w:pPr>
        <w:pStyle w:val="MeasureTableHeading"/>
      </w:pPr>
    </w:p>
    <w:p w14:paraId="7F6FD120" w14:textId="77777777" w:rsidR="006E40C9" w:rsidRDefault="006E40C9" w:rsidP="006E40C9">
      <w:r>
        <w:t>Under the income tax benchmark, fringe benefits are classified as individual employee income, with the grossed-up value taxed at the employee’s marginal income tax rate. A fringe benefit arises where an employee is provided with a car for private use. A car fringe benefit can be valued using the statutory formula method, under which the value of a person’s car fringe benefit is determined by multiplying the cost of the car by the proportion of days the vehicle is used privately by the statutory rate of 20 per cent.</w:t>
      </w:r>
      <w:r>
        <w:fldChar w:fldCharType="begin"/>
      </w:r>
      <w:r>
        <w:instrText xml:space="preserve"> XE "Fringe benefits tax:Car benefits" </w:instrText>
      </w:r>
      <w:r>
        <w:fldChar w:fldCharType="end"/>
      </w:r>
    </w:p>
    <w:p w14:paraId="7FB6C483" w14:textId="77777777" w:rsidR="006E40C9" w:rsidRDefault="006E40C9" w:rsidP="00D9255A">
      <w:pPr>
        <w:pStyle w:val="TESHeading5"/>
      </w:pPr>
      <w:r>
        <w:t>D22</w:t>
      </w:r>
      <w:r>
        <w:tab/>
        <w:t>Approved worker entitlement fund payment exemption</w:t>
      </w:r>
    </w:p>
    <w:p w14:paraId="219DDA97" w14:textId="30D5882A"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9694506" w14:textId="77777777">
        <w:trPr>
          <w:cantSplit/>
          <w:jc w:val="center"/>
        </w:trPr>
        <w:tc>
          <w:tcPr>
            <w:tcW w:w="967" w:type="dxa"/>
            <w:tcBorders>
              <w:top w:val="single" w:sz="2" w:space="0" w:color="auto"/>
              <w:bottom w:val="single" w:sz="2" w:space="0" w:color="auto"/>
            </w:tcBorders>
          </w:tcPr>
          <w:p w14:paraId="3FD796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CAAA12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8F4776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596AE3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0A787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FF25D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85C574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8DA114" w14:textId="77777777" w:rsidR="006E40C9" w:rsidRDefault="006E40C9">
            <w:pPr>
              <w:pStyle w:val="MeasureTableTextRightAligned"/>
            </w:pPr>
            <w:r>
              <w:t>2027-28</w:t>
            </w:r>
          </w:p>
        </w:tc>
      </w:tr>
      <w:tr w:rsidR="006E40C9" w14:paraId="77690B9E" w14:textId="77777777">
        <w:trPr>
          <w:cantSplit/>
          <w:jc w:val="center"/>
        </w:trPr>
        <w:tc>
          <w:tcPr>
            <w:tcW w:w="967" w:type="dxa"/>
            <w:tcBorders>
              <w:top w:val="single" w:sz="2" w:space="0" w:color="auto"/>
              <w:bottom w:val="single" w:sz="2" w:space="0" w:color="auto"/>
            </w:tcBorders>
          </w:tcPr>
          <w:p w14:paraId="7689B8F7" w14:textId="77777777" w:rsidR="006E40C9" w:rsidRDefault="006E40C9">
            <w:pPr>
              <w:pStyle w:val="MeasureTableTextRightAligned"/>
            </w:pPr>
            <w:r>
              <w:t>145</w:t>
            </w:r>
          </w:p>
        </w:tc>
        <w:tc>
          <w:tcPr>
            <w:tcW w:w="967" w:type="dxa"/>
            <w:tcBorders>
              <w:top w:val="single" w:sz="2" w:space="0" w:color="auto"/>
              <w:bottom w:val="single" w:sz="2" w:space="0" w:color="auto"/>
            </w:tcBorders>
          </w:tcPr>
          <w:p w14:paraId="1C89C801"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6CCA93F8"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329B877B"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13A9533A" w14:textId="77777777" w:rsidR="006E40C9" w:rsidRDefault="006E40C9">
            <w:pPr>
              <w:pStyle w:val="MeasureTableTextRightAligned"/>
            </w:pPr>
            <w:r>
              <w:t>145</w:t>
            </w:r>
          </w:p>
        </w:tc>
        <w:tc>
          <w:tcPr>
            <w:tcW w:w="967" w:type="dxa"/>
            <w:gridSpan w:val="2"/>
            <w:tcBorders>
              <w:top w:val="single" w:sz="2" w:space="0" w:color="auto"/>
              <w:bottom w:val="single" w:sz="2" w:space="0" w:color="auto"/>
            </w:tcBorders>
            <w:vAlign w:val="bottom"/>
          </w:tcPr>
          <w:p w14:paraId="61EA8DDE" w14:textId="77777777" w:rsidR="006E40C9" w:rsidRDefault="006E40C9">
            <w:pPr>
              <w:pStyle w:val="MeasureTableTextRightAligned"/>
            </w:pPr>
            <w:r>
              <w:t>145</w:t>
            </w:r>
          </w:p>
        </w:tc>
        <w:tc>
          <w:tcPr>
            <w:tcW w:w="967" w:type="dxa"/>
            <w:gridSpan w:val="2"/>
            <w:tcBorders>
              <w:top w:val="single" w:sz="2" w:space="0" w:color="auto"/>
              <w:bottom w:val="single" w:sz="2" w:space="0" w:color="auto"/>
            </w:tcBorders>
            <w:vAlign w:val="bottom"/>
          </w:tcPr>
          <w:p w14:paraId="7E516785" w14:textId="77777777" w:rsidR="006E40C9" w:rsidRDefault="006E40C9">
            <w:pPr>
              <w:pStyle w:val="MeasureTableTextRightAligned"/>
            </w:pPr>
            <w:r>
              <w:t>150</w:t>
            </w:r>
          </w:p>
        </w:tc>
        <w:tc>
          <w:tcPr>
            <w:tcW w:w="968" w:type="dxa"/>
            <w:tcBorders>
              <w:top w:val="single" w:sz="2" w:space="0" w:color="auto"/>
              <w:bottom w:val="single" w:sz="2" w:space="0" w:color="auto"/>
            </w:tcBorders>
            <w:vAlign w:val="bottom"/>
          </w:tcPr>
          <w:p w14:paraId="13FD4C69" w14:textId="77777777" w:rsidR="006E40C9" w:rsidRDefault="006E40C9">
            <w:pPr>
              <w:pStyle w:val="MeasureTableTextRightAligned"/>
            </w:pPr>
            <w:r>
              <w:t>150</w:t>
            </w:r>
          </w:p>
        </w:tc>
      </w:tr>
      <w:tr w:rsidR="006E40C9" w14:paraId="59D4DB59" w14:textId="77777777">
        <w:trPr>
          <w:cantSplit/>
          <w:jc w:val="center"/>
        </w:trPr>
        <w:tc>
          <w:tcPr>
            <w:tcW w:w="1934" w:type="dxa"/>
            <w:gridSpan w:val="2"/>
            <w:tcBorders>
              <w:top w:val="single" w:sz="2" w:space="0" w:color="auto"/>
              <w:bottom w:val="nil"/>
            </w:tcBorders>
          </w:tcPr>
          <w:p w14:paraId="13EFA47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840FDC" w14:textId="77777777" w:rsidR="006E40C9" w:rsidRDefault="006E40C9">
            <w:pPr>
              <w:pStyle w:val="MeasureTableTextLeftAligned"/>
            </w:pPr>
            <w:r>
              <w:t>Exemption</w:t>
            </w:r>
          </w:p>
        </w:tc>
        <w:tc>
          <w:tcPr>
            <w:tcW w:w="1500" w:type="dxa"/>
            <w:gridSpan w:val="2"/>
            <w:tcBorders>
              <w:top w:val="single" w:sz="2" w:space="0" w:color="auto"/>
              <w:bottom w:val="nil"/>
            </w:tcBorders>
          </w:tcPr>
          <w:p w14:paraId="44616D72" w14:textId="38017B9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B0986F" w14:textId="77777777" w:rsidR="006E40C9" w:rsidRDefault="006E40C9">
            <w:pPr>
              <w:pStyle w:val="MeasureTableTextLeftAligned"/>
            </w:pPr>
            <w:r>
              <w:t>D22</w:t>
            </w:r>
          </w:p>
        </w:tc>
      </w:tr>
      <w:tr w:rsidR="006E40C9" w14:paraId="430F27E7" w14:textId="77777777">
        <w:trPr>
          <w:cantSplit/>
          <w:jc w:val="center"/>
        </w:trPr>
        <w:tc>
          <w:tcPr>
            <w:tcW w:w="1934" w:type="dxa"/>
            <w:gridSpan w:val="2"/>
            <w:tcBorders>
              <w:top w:val="nil"/>
              <w:bottom w:val="nil"/>
            </w:tcBorders>
          </w:tcPr>
          <w:p w14:paraId="55EFDD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E0958AA" w14:textId="77777777" w:rsidR="006E40C9" w:rsidRPr="00584CA7" w:rsidRDefault="006E40C9">
            <w:pPr>
              <w:pStyle w:val="MeasureTableTextLeftAligned"/>
            </w:pPr>
            <w:r>
              <w:t>Low</w:t>
            </w:r>
          </w:p>
        </w:tc>
        <w:tc>
          <w:tcPr>
            <w:tcW w:w="1500" w:type="dxa"/>
            <w:gridSpan w:val="2"/>
            <w:tcBorders>
              <w:top w:val="nil"/>
              <w:bottom w:val="nil"/>
            </w:tcBorders>
          </w:tcPr>
          <w:p w14:paraId="779B6A77" w14:textId="77777777" w:rsidR="006E40C9" w:rsidRDefault="006E40C9">
            <w:pPr>
              <w:pStyle w:val="MeasureTableTextItalic"/>
            </w:pPr>
          </w:p>
        </w:tc>
        <w:tc>
          <w:tcPr>
            <w:tcW w:w="1124" w:type="dxa"/>
            <w:gridSpan w:val="2"/>
            <w:tcBorders>
              <w:top w:val="nil"/>
              <w:bottom w:val="nil"/>
            </w:tcBorders>
          </w:tcPr>
          <w:p w14:paraId="2050490C" w14:textId="77777777" w:rsidR="006E40C9" w:rsidRDefault="006E40C9">
            <w:pPr>
              <w:pStyle w:val="MeasureTableTextLeftAligned"/>
            </w:pPr>
          </w:p>
        </w:tc>
      </w:tr>
      <w:tr w:rsidR="006E40C9" w14:paraId="7436E768" w14:textId="77777777">
        <w:trPr>
          <w:cantSplit/>
          <w:jc w:val="center"/>
        </w:trPr>
        <w:tc>
          <w:tcPr>
            <w:tcW w:w="1934" w:type="dxa"/>
            <w:gridSpan w:val="2"/>
            <w:tcBorders>
              <w:top w:val="nil"/>
              <w:bottom w:val="nil"/>
            </w:tcBorders>
          </w:tcPr>
          <w:p w14:paraId="377A9AE4" w14:textId="77777777" w:rsidR="006E40C9" w:rsidRDefault="006E40C9">
            <w:pPr>
              <w:pStyle w:val="MeasureTableTextItalic"/>
            </w:pPr>
            <w:r>
              <w:t>Commencement date:</w:t>
            </w:r>
          </w:p>
        </w:tc>
        <w:tc>
          <w:tcPr>
            <w:tcW w:w="3179" w:type="dxa"/>
            <w:gridSpan w:val="4"/>
            <w:tcBorders>
              <w:top w:val="nil"/>
              <w:bottom w:val="nil"/>
            </w:tcBorders>
          </w:tcPr>
          <w:p w14:paraId="7594EBBA" w14:textId="77777777" w:rsidR="006E40C9" w:rsidRDefault="006E40C9">
            <w:pPr>
              <w:pStyle w:val="MeasureTableTextLeftAligned"/>
            </w:pPr>
            <w:r>
              <w:t>1 April 2003</w:t>
            </w:r>
          </w:p>
        </w:tc>
        <w:tc>
          <w:tcPr>
            <w:tcW w:w="1500" w:type="dxa"/>
            <w:gridSpan w:val="2"/>
            <w:tcBorders>
              <w:top w:val="nil"/>
              <w:bottom w:val="nil"/>
            </w:tcBorders>
          </w:tcPr>
          <w:p w14:paraId="6D2422AC" w14:textId="77777777" w:rsidR="006E40C9" w:rsidRPr="00F32057" w:rsidRDefault="006E40C9">
            <w:pPr>
              <w:pStyle w:val="MeasureTableTextItalic"/>
            </w:pPr>
            <w:r>
              <w:t>Expiry date:</w:t>
            </w:r>
          </w:p>
        </w:tc>
        <w:tc>
          <w:tcPr>
            <w:tcW w:w="1124" w:type="dxa"/>
            <w:gridSpan w:val="2"/>
            <w:tcBorders>
              <w:top w:val="nil"/>
              <w:bottom w:val="nil"/>
            </w:tcBorders>
          </w:tcPr>
          <w:p w14:paraId="1E53141A" w14:textId="77777777" w:rsidR="006E40C9" w:rsidRPr="00F32057" w:rsidRDefault="006E40C9">
            <w:pPr>
              <w:pStyle w:val="MeasureTableTextLeftAligned"/>
            </w:pPr>
          </w:p>
        </w:tc>
      </w:tr>
      <w:tr w:rsidR="006E40C9" w14:paraId="6C1D8869" w14:textId="77777777">
        <w:trPr>
          <w:cantSplit/>
          <w:jc w:val="center"/>
        </w:trPr>
        <w:tc>
          <w:tcPr>
            <w:tcW w:w="1934" w:type="dxa"/>
            <w:gridSpan w:val="2"/>
            <w:tcBorders>
              <w:top w:val="nil"/>
            </w:tcBorders>
          </w:tcPr>
          <w:p w14:paraId="7958894C" w14:textId="77777777" w:rsidR="006E40C9" w:rsidRDefault="006E40C9">
            <w:pPr>
              <w:pStyle w:val="MeasureTableTextItalic"/>
            </w:pPr>
            <w:r>
              <w:t>Legislative reference:</w:t>
            </w:r>
          </w:p>
        </w:tc>
        <w:tc>
          <w:tcPr>
            <w:tcW w:w="5803" w:type="dxa"/>
            <w:gridSpan w:val="8"/>
            <w:tcBorders>
              <w:top w:val="nil"/>
            </w:tcBorders>
          </w:tcPr>
          <w:p w14:paraId="5498270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58PA and 58PB of the </w:t>
            </w:r>
            <w:r>
              <w:rPr>
                <w:rFonts w:ascii="Arial" w:hAnsi="Arial" w:cs="Arial"/>
                <w:i/>
                <w:iCs/>
                <w:color w:val="000000"/>
                <w:sz w:val="16"/>
                <w:szCs w:val="16"/>
              </w:rPr>
              <w:t>Fringe Benefits Tax Assessment Act 1986</w:t>
            </w:r>
          </w:p>
        </w:tc>
      </w:tr>
    </w:tbl>
    <w:p w14:paraId="44071AAE" w14:textId="77777777" w:rsidR="006E40C9" w:rsidRPr="00540040" w:rsidRDefault="006E40C9" w:rsidP="006E40C9">
      <w:pPr>
        <w:pStyle w:val="MeasureTableHeading"/>
      </w:pPr>
    </w:p>
    <w:p w14:paraId="5F976CD6" w14:textId="77777777" w:rsidR="006E40C9" w:rsidRDefault="006E40C9" w:rsidP="006E40C9">
      <w:r>
        <w:t>Under the income tax benchmark, fringe benefits are classified as individual employee income, with the grossed-up value taxed at the employee’s marginal income tax rate. However, payments to approved worker entitlement funds</w:t>
      </w:r>
      <w:r>
        <w:fldChar w:fldCharType="begin"/>
      </w:r>
      <w:r>
        <w:instrText xml:space="preserve"> XE "Worker entitlement funds" </w:instrText>
      </w:r>
      <w:r>
        <w:fldChar w:fldCharType="end"/>
      </w:r>
      <w:r>
        <w:t xml:space="preserve"> providing for entitlements such as redundancy and long service leave of employees are exempt from fringe benefits tax. The funds must be either endorsed by the Commissioner of Taxation or be a long service leave fund established under a Commonwealth, State or Territory law.</w:t>
      </w:r>
    </w:p>
    <w:p w14:paraId="4F372F99" w14:textId="77777777" w:rsidR="006E40C9" w:rsidRDefault="006E40C9" w:rsidP="00D9255A">
      <w:pPr>
        <w:pStyle w:val="TESHeading5"/>
      </w:pPr>
      <w:r>
        <w:t>D23</w:t>
      </w:r>
      <w:r>
        <w:tab/>
        <w:t>Australian Traineeship System – exemptions for certain employees</w:t>
      </w:r>
    </w:p>
    <w:p w14:paraId="1329E2F7" w14:textId="3B16166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BD5A93" w14:textId="77777777">
        <w:trPr>
          <w:cantSplit/>
          <w:jc w:val="center"/>
        </w:trPr>
        <w:tc>
          <w:tcPr>
            <w:tcW w:w="967" w:type="dxa"/>
            <w:tcBorders>
              <w:top w:val="single" w:sz="2" w:space="0" w:color="auto"/>
              <w:bottom w:val="single" w:sz="2" w:space="0" w:color="auto"/>
            </w:tcBorders>
          </w:tcPr>
          <w:p w14:paraId="48F4E42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5E1EF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7A296D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80FD1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7A062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4A62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AA077F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2655FB" w14:textId="77777777" w:rsidR="006E40C9" w:rsidRDefault="006E40C9">
            <w:pPr>
              <w:pStyle w:val="MeasureTableTextRightAligned"/>
            </w:pPr>
            <w:r>
              <w:t>2027-28</w:t>
            </w:r>
          </w:p>
        </w:tc>
      </w:tr>
      <w:tr w:rsidR="006E40C9" w14:paraId="32C907D8" w14:textId="77777777">
        <w:trPr>
          <w:cantSplit/>
          <w:jc w:val="center"/>
        </w:trPr>
        <w:tc>
          <w:tcPr>
            <w:tcW w:w="967" w:type="dxa"/>
            <w:tcBorders>
              <w:top w:val="single" w:sz="2" w:space="0" w:color="auto"/>
              <w:bottom w:val="single" w:sz="2" w:space="0" w:color="auto"/>
            </w:tcBorders>
          </w:tcPr>
          <w:p w14:paraId="11486B75" w14:textId="77777777" w:rsidR="006E40C9" w:rsidRDefault="006E40C9">
            <w:pPr>
              <w:pStyle w:val="MeasureTableTextRightAligned"/>
            </w:pPr>
            <w:r>
              <w:t>*</w:t>
            </w:r>
          </w:p>
        </w:tc>
        <w:tc>
          <w:tcPr>
            <w:tcW w:w="967" w:type="dxa"/>
            <w:tcBorders>
              <w:top w:val="single" w:sz="2" w:space="0" w:color="auto"/>
              <w:bottom w:val="single" w:sz="2" w:space="0" w:color="auto"/>
            </w:tcBorders>
          </w:tcPr>
          <w:p w14:paraId="224F27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B94A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70302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6F3BD6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FB5061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EB7374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D0B554" w14:textId="77777777" w:rsidR="006E40C9" w:rsidRDefault="006E40C9">
            <w:pPr>
              <w:pStyle w:val="MeasureTableTextRightAligned"/>
            </w:pPr>
            <w:r>
              <w:t>*</w:t>
            </w:r>
          </w:p>
        </w:tc>
      </w:tr>
      <w:tr w:rsidR="006E40C9" w14:paraId="1B6AB016" w14:textId="77777777">
        <w:trPr>
          <w:cantSplit/>
          <w:jc w:val="center"/>
        </w:trPr>
        <w:tc>
          <w:tcPr>
            <w:tcW w:w="1934" w:type="dxa"/>
            <w:gridSpan w:val="2"/>
            <w:tcBorders>
              <w:top w:val="single" w:sz="2" w:space="0" w:color="auto"/>
              <w:bottom w:val="nil"/>
            </w:tcBorders>
          </w:tcPr>
          <w:p w14:paraId="653EC96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C054E6" w14:textId="77777777" w:rsidR="006E40C9" w:rsidRDefault="006E40C9">
            <w:pPr>
              <w:pStyle w:val="MeasureTableTextLeftAligned"/>
            </w:pPr>
            <w:r>
              <w:t>Exemption</w:t>
            </w:r>
          </w:p>
        </w:tc>
        <w:tc>
          <w:tcPr>
            <w:tcW w:w="1500" w:type="dxa"/>
            <w:gridSpan w:val="2"/>
            <w:tcBorders>
              <w:top w:val="single" w:sz="2" w:space="0" w:color="auto"/>
              <w:bottom w:val="nil"/>
            </w:tcBorders>
          </w:tcPr>
          <w:p w14:paraId="5185BA0B" w14:textId="67A221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23F2492" w14:textId="77777777" w:rsidR="006E40C9" w:rsidRDefault="006E40C9">
            <w:pPr>
              <w:pStyle w:val="MeasureTableTextLeftAligned"/>
            </w:pPr>
            <w:r>
              <w:t>D23</w:t>
            </w:r>
          </w:p>
        </w:tc>
      </w:tr>
      <w:tr w:rsidR="006E40C9" w14:paraId="30EE2CA1" w14:textId="77777777">
        <w:trPr>
          <w:cantSplit/>
          <w:jc w:val="center"/>
        </w:trPr>
        <w:tc>
          <w:tcPr>
            <w:tcW w:w="1934" w:type="dxa"/>
            <w:gridSpan w:val="2"/>
            <w:tcBorders>
              <w:top w:val="nil"/>
              <w:bottom w:val="nil"/>
            </w:tcBorders>
          </w:tcPr>
          <w:p w14:paraId="66F1F49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B401778" w14:textId="77777777" w:rsidR="006E40C9" w:rsidRPr="00584CA7" w:rsidRDefault="006E40C9">
            <w:pPr>
              <w:pStyle w:val="MeasureTableTextLeftAligned"/>
            </w:pPr>
            <w:r>
              <w:t>Not Applicable</w:t>
            </w:r>
          </w:p>
        </w:tc>
        <w:tc>
          <w:tcPr>
            <w:tcW w:w="1500" w:type="dxa"/>
            <w:gridSpan w:val="2"/>
            <w:tcBorders>
              <w:top w:val="nil"/>
              <w:bottom w:val="nil"/>
            </w:tcBorders>
          </w:tcPr>
          <w:p w14:paraId="14D14AA9" w14:textId="77777777" w:rsidR="006E40C9" w:rsidRDefault="006E40C9">
            <w:pPr>
              <w:pStyle w:val="MeasureTableTextItalic"/>
            </w:pPr>
            <w:r>
              <w:t>* Category</w:t>
            </w:r>
          </w:p>
        </w:tc>
        <w:tc>
          <w:tcPr>
            <w:tcW w:w="1124" w:type="dxa"/>
            <w:gridSpan w:val="2"/>
            <w:tcBorders>
              <w:top w:val="nil"/>
              <w:bottom w:val="nil"/>
            </w:tcBorders>
          </w:tcPr>
          <w:p w14:paraId="3C29F6CF" w14:textId="77777777" w:rsidR="006E40C9" w:rsidRDefault="006E40C9">
            <w:pPr>
              <w:pStyle w:val="MeasureTableTextLeftAligned"/>
            </w:pPr>
            <w:r>
              <w:t>1+</w:t>
            </w:r>
          </w:p>
        </w:tc>
      </w:tr>
      <w:tr w:rsidR="006E40C9" w14:paraId="360E92C1" w14:textId="77777777">
        <w:trPr>
          <w:cantSplit/>
          <w:jc w:val="center"/>
        </w:trPr>
        <w:tc>
          <w:tcPr>
            <w:tcW w:w="1934" w:type="dxa"/>
            <w:gridSpan w:val="2"/>
            <w:tcBorders>
              <w:top w:val="nil"/>
              <w:bottom w:val="nil"/>
            </w:tcBorders>
          </w:tcPr>
          <w:p w14:paraId="3C32F6A1" w14:textId="77777777" w:rsidR="006E40C9" w:rsidRDefault="006E40C9">
            <w:pPr>
              <w:pStyle w:val="MeasureTableTextItalic"/>
            </w:pPr>
            <w:r>
              <w:t>Commencement date:</w:t>
            </w:r>
          </w:p>
        </w:tc>
        <w:tc>
          <w:tcPr>
            <w:tcW w:w="3179" w:type="dxa"/>
            <w:gridSpan w:val="4"/>
            <w:tcBorders>
              <w:top w:val="nil"/>
              <w:bottom w:val="nil"/>
            </w:tcBorders>
          </w:tcPr>
          <w:p w14:paraId="0A2C45AC" w14:textId="77777777" w:rsidR="006E40C9" w:rsidRDefault="006E40C9">
            <w:pPr>
              <w:pStyle w:val="MeasureTableTextLeftAligned"/>
            </w:pPr>
            <w:r>
              <w:t>1986</w:t>
            </w:r>
          </w:p>
        </w:tc>
        <w:tc>
          <w:tcPr>
            <w:tcW w:w="1500" w:type="dxa"/>
            <w:gridSpan w:val="2"/>
            <w:tcBorders>
              <w:top w:val="nil"/>
              <w:bottom w:val="nil"/>
            </w:tcBorders>
          </w:tcPr>
          <w:p w14:paraId="5F79A063" w14:textId="77777777" w:rsidR="006E40C9" w:rsidRPr="00F32057" w:rsidRDefault="006E40C9">
            <w:pPr>
              <w:pStyle w:val="MeasureTableTextItalic"/>
            </w:pPr>
            <w:r>
              <w:t>Expiry date:</w:t>
            </w:r>
          </w:p>
        </w:tc>
        <w:tc>
          <w:tcPr>
            <w:tcW w:w="1124" w:type="dxa"/>
            <w:gridSpan w:val="2"/>
            <w:tcBorders>
              <w:top w:val="nil"/>
              <w:bottom w:val="nil"/>
            </w:tcBorders>
          </w:tcPr>
          <w:p w14:paraId="580AEC0D" w14:textId="77777777" w:rsidR="006E40C9" w:rsidRPr="00F32057" w:rsidRDefault="006E40C9">
            <w:pPr>
              <w:pStyle w:val="MeasureTableTextLeftAligned"/>
            </w:pPr>
          </w:p>
        </w:tc>
      </w:tr>
      <w:tr w:rsidR="006E40C9" w14:paraId="4E6101FD" w14:textId="77777777">
        <w:trPr>
          <w:cantSplit/>
          <w:jc w:val="center"/>
        </w:trPr>
        <w:tc>
          <w:tcPr>
            <w:tcW w:w="1934" w:type="dxa"/>
            <w:gridSpan w:val="2"/>
            <w:tcBorders>
              <w:top w:val="nil"/>
            </w:tcBorders>
          </w:tcPr>
          <w:p w14:paraId="6820BC65" w14:textId="77777777" w:rsidR="006E40C9" w:rsidRDefault="006E40C9">
            <w:pPr>
              <w:pStyle w:val="MeasureTableTextItalic"/>
            </w:pPr>
            <w:r>
              <w:t>Legislative reference:</w:t>
            </w:r>
          </w:p>
        </w:tc>
        <w:tc>
          <w:tcPr>
            <w:tcW w:w="5803" w:type="dxa"/>
            <w:gridSpan w:val="8"/>
            <w:tcBorders>
              <w:top w:val="nil"/>
            </w:tcBorders>
          </w:tcPr>
          <w:p w14:paraId="4AE857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58S of the </w:t>
            </w:r>
            <w:r>
              <w:rPr>
                <w:rFonts w:ascii="Arial" w:hAnsi="Arial" w:cs="Arial"/>
                <w:i/>
                <w:iCs/>
                <w:color w:val="000000"/>
                <w:sz w:val="16"/>
                <w:szCs w:val="16"/>
              </w:rPr>
              <w:t>Fringe Benefits Tax Assessment Act 1986</w:t>
            </w:r>
          </w:p>
        </w:tc>
      </w:tr>
    </w:tbl>
    <w:p w14:paraId="7A962671" w14:textId="77777777" w:rsidR="006E40C9" w:rsidRPr="00540040" w:rsidRDefault="006E40C9" w:rsidP="006E40C9">
      <w:pPr>
        <w:pStyle w:val="MeasureTableHeading"/>
      </w:pPr>
    </w:p>
    <w:p w14:paraId="6D4DAD97" w14:textId="77777777" w:rsidR="006E40C9" w:rsidRDefault="006E40C9" w:rsidP="006E40C9">
      <w:r>
        <w:t>Under the income tax benchmark, fringe benefits are classified as individual employee income, with the grossed-up value taxed at the employee’s marginal income tax rate. However, food, drink and accommodation provided to people training under the Australian Traineeship System</w:t>
      </w:r>
      <w:r>
        <w:fldChar w:fldCharType="begin"/>
      </w:r>
      <w:r>
        <w:instrText xml:space="preserve"> XE "Australian Traineeship System" </w:instrText>
      </w:r>
      <w:r>
        <w:fldChar w:fldCharType="end"/>
      </w:r>
      <w:r>
        <w:t xml:space="preserve"> may be exempt from fringe benefits tax if the benefit is provided in accordance with an award or an industry custom. Benefits relating to food or drink must not be provided at a party, reception or other social function.</w:t>
      </w:r>
    </w:p>
    <w:p w14:paraId="58097377" w14:textId="77777777" w:rsidR="006E40C9" w:rsidRDefault="006E40C9" w:rsidP="00D9255A">
      <w:pPr>
        <w:pStyle w:val="TESHeading5"/>
      </w:pPr>
      <w:r>
        <w:t>D24</w:t>
      </w:r>
      <w:r>
        <w:tab/>
        <w:t>Car parking benefits</w:t>
      </w:r>
    </w:p>
    <w:p w14:paraId="7D9F6E93" w14:textId="3FA8202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9F25C5" w14:textId="77777777">
        <w:trPr>
          <w:cantSplit/>
          <w:jc w:val="center"/>
        </w:trPr>
        <w:tc>
          <w:tcPr>
            <w:tcW w:w="967" w:type="dxa"/>
            <w:tcBorders>
              <w:top w:val="single" w:sz="2" w:space="0" w:color="auto"/>
              <w:bottom w:val="single" w:sz="2" w:space="0" w:color="auto"/>
            </w:tcBorders>
          </w:tcPr>
          <w:p w14:paraId="6861EF2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202E1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95056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FDA44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593F96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8D4CF4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21646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714F246" w14:textId="77777777" w:rsidR="006E40C9" w:rsidRDefault="006E40C9">
            <w:pPr>
              <w:pStyle w:val="MeasureTableTextRightAligned"/>
            </w:pPr>
            <w:r>
              <w:t>2027-28</w:t>
            </w:r>
          </w:p>
        </w:tc>
      </w:tr>
      <w:tr w:rsidR="006E40C9" w14:paraId="063F08E5" w14:textId="77777777">
        <w:trPr>
          <w:cantSplit/>
          <w:jc w:val="center"/>
        </w:trPr>
        <w:tc>
          <w:tcPr>
            <w:tcW w:w="967" w:type="dxa"/>
            <w:tcBorders>
              <w:top w:val="single" w:sz="2" w:space="0" w:color="auto"/>
              <w:bottom w:val="single" w:sz="2" w:space="0" w:color="auto"/>
            </w:tcBorders>
          </w:tcPr>
          <w:p w14:paraId="1978D53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B97EF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EBF6F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269A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06233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81FF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D2BEC4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9149904" w14:textId="77777777" w:rsidR="006E40C9" w:rsidRDefault="006E40C9">
            <w:pPr>
              <w:pStyle w:val="MeasureTableTextRightAligned"/>
            </w:pPr>
            <w:r>
              <w:t>*</w:t>
            </w:r>
          </w:p>
        </w:tc>
      </w:tr>
      <w:tr w:rsidR="006E40C9" w14:paraId="60F9CDB0" w14:textId="77777777">
        <w:trPr>
          <w:cantSplit/>
          <w:jc w:val="center"/>
        </w:trPr>
        <w:tc>
          <w:tcPr>
            <w:tcW w:w="1934" w:type="dxa"/>
            <w:gridSpan w:val="2"/>
            <w:tcBorders>
              <w:top w:val="single" w:sz="2" w:space="0" w:color="auto"/>
              <w:bottom w:val="nil"/>
            </w:tcBorders>
          </w:tcPr>
          <w:p w14:paraId="3B44F5E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F99BDE2"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28167EB0" w14:textId="25A87ED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06FBE2" w14:textId="77777777" w:rsidR="006E40C9" w:rsidRDefault="006E40C9">
            <w:pPr>
              <w:pStyle w:val="MeasureTableTextLeftAligned"/>
            </w:pPr>
            <w:r>
              <w:t>D24</w:t>
            </w:r>
          </w:p>
        </w:tc>
      </w:tr>
      <w:tr w:rsidR="006E40C9" w14:paraId="7903D8E5" w14:textId="77777777">
        <w:trPr>
          <w:cantSplit/>
          <w:jc w:val="center"/>
        </w:trPr>
        <w:tc>
          <w:tcPr>
            <w:tcW w:w="1934" w:type="dxa"/>
            <w:gridSpan w:val="2"/>
            <w:tcBorders>
              <w:top w:val="nil"/>
              <w:bottom w:val="nil"/>
            </w:tcBorders>
          </w:tcPr>
          <w:p w14:paraId="6A54C8C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A87EF2" w14:textId="77777777" w:rsidR="006E40C9" w:rsidRPr="00584CA7" w:rsidRDefault="006E40C9">
            <w:pPr>
              <w:pStyle w:val="MeasureTableTextLeftAligned"/>
            </w:pPr>
            <w:r>
              <w:t>Not Applicable</w:t>
            </w:r>
          </w:p>
        </w:tc>
        <w:tc>
          <w:tcPr>
            <w:tcW w:w="1500" w:type="dxa"/>
            <w:gridSpan w:val="2"/>
            <w:tcBorders>
              <w:top w:val="nil"/>
              <w:bottom w:val="nil"/>
            </w:tcBorders>
          </w:tcPr>
          <w:p w14:paraId="481AEA46" w14:textId="77777777" w:rsidR="006E40C9" w:rsidRDefault="006E40C9">
            <w:pPr>
              <w:pStyle w:val="MeasureTableTextItalic"/>
            </w:pPr>
            <w:r>
              <w:t>* Category</w:t>
            </w:r>
          </w:p>
        </w:tc>
        <w:tc>
          <w:tcPr>
            <w:tcW w:w="1124" w:type="dxa"/>
            <w:gridSpan w:val="2"/>
            <w:tcBorders>
              <w:top w:val="nil"/>
              <w:bottom w:val="nil"/>
            </w:tcBorders>
          </w:tcPr>
          <w:p w14:paraId="4B9A4989" w14:textId="77777777" w:rsidR="006E40C9" w:rsidRDefault="006E40C9">
            <w:pPr>
              <w:pStyle w:val="MeasureTableTextLeftAligned"/>
            </w:pPr>
            <w:r>
              <w:t>2+</w:t>
            </w:r>
          </w:p>
        </w:tc>
      </w:tr>
      <w:tr w:rsidR="006E40C9" w14:paraId="5F8D8B37" w14:textId="77777777">
        <w:trPr>
          <w:cantSplit/>
          <w:jc w:val="center"/>
        </w:trPr>
        <w:tc>
          <w:tcPr>
            <w:tcW w:w="1934" w:type="dxa"/>
            <w:gridSpan w:val="2"/>
            <w:tcBorders>
              <w:top w:val="nil"/>
              <w:bottom w:val="nil"/>
            </w:tcBorders>
          </w:tcPr>
          <w:p w14:paraId="23A4B803" w14:textId="77777777" w:rsidR="006E40C9" w:rsidRDefault="006E40C9">
            <w:pPr>
              <w:pStyle w:val="MeasureTableTextItalic"/>
            </w:pPr>
            <w:r>
              <w:t>Commencement date:</w:t>
            </w:r>
          </w:p>
        </w:tc>
        <w:tc>
          <w:tcPr>
            <w:tcW w:w="3179" w:type="dxa"/>
            <w:gridSpan w:val="4"/>
            <w:tcBorders>
              <w:top w:val="nil"/>
              <w:bottom w:val="nil"/>
            </w:tcBorders>
          </w:tcPr>
          <w:p w14:paraId="01341772" w14:textId="77777777" w:rsidR="006E40C9" w:rsidRDefault="006E40C9">
            <w:pPr>
              <w:pStyle w:val="MeasureTableTextLeftAligned"/>
            </w:pPr>
            <w:r>
              <w:t>1 April 1993</w:t>
            </w:r>
          </w:p>
        </w:tc>
        <w:tc>
          <w:tcPr>
            <w:tcW w:w="1500" w:type="dxa"/>
            <w:gridSpan w:val="2"/>
            <w:tcBorders>
              <w:top w:val="nil"/>
              <w:bottom w:val="nil"/>
            </w:tcBorders>
          </w:tcPr>
          <w:p w14:paraId="46742769" w14:textId="77777777" w:rsidR="006E40C9" w:rsidRPr="00F32057" w:rsidRDefault="006E40C9">
            <w:pPr>
              <w:pStyle w:val="MeasureTableTextItalic"/>
            </w:pPr>
            <w:r>
              <w:t>Expiry date:</w:t>
            </w:r>
          </w:p>
        </w:tc>
        <w:tc>
          <w:tcPr>
            <w:tcW w:w="1124" w:type="dxa"/>
            <w:gridSpan w:val="2"/>
            <w:tcBorders>
              <w:top w:val="nil"/>
              <w:bottom w:val="nil"/>
            </w:tcBorders>
          </w:tcPr>
          <w:p w14:paraId="7118CD6C" w14:textId="77777777" w:rsidR="006E40C9" w:rsidRPr="00F32057" w:rsidRDefault="006E40C9">
            <w:pPr>
              <w:pStyle w:val="MeasureTableTextLeftAligned"/>
            </w:pPr>
          </w:p>
        </w:tc>
      </w:tr>
      <w:tr w:rsidR="006E40C9" w14:paraId="5BDD4099" w14:textId="77777777">
        <w:trPr>
          <w:cantSplit/>
          <w:jc w:val="center"/>
        </w:trPr>
        <w:tc>
          <w:tcPr>
            <w:tcW w:w="1934" w:type="dxa"/>
            <w:gridSpan w:val="2"/>
            <w:tcBorders>
              <w:top w:val="nil"/>
            </w:tcBorders>
          </w:tcPr>
          <w:p w14:paraId="542294DF" w14:textId="77777777" w:rsidR="006E40C9" w:rsidRDefault="006E40C9">
            <w:pPr>
              <w:pStyle w:val="MeasureTableTextItalic"/>
            </w:pPr>
            <w:r>
              <w:t>Legislative reference:</w:t>
            </w:r>
          </w:p>
        </w:tc>
        <w:tc>
          <w:tcPr>
            <w:tcW w:w="5803" w:type="dxa"/>
            <w:gridSpan w:val="8"/>
            <w:tcBorders>
              <w:top w:val="nil"/>
            </w:tcBorders>
          </w:tcPr>
          <w:p w14:paraId="4DB60B5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10A of the </w:t>
            </w:r>
            <w:r>
              <w:rPr>
                <w:rFonts w:ascii="Arial" w:hAnsi="Arial" w:cs="Arial"/>
                <w:i/>
                <w:iCs/>
                <w:color w:val="000000"/>
                <w:sz w:val="16"/>
                <w:szCs w:val="16"/>
              </w:rPr>
              <w:t>Fringe Benefits Tax Assessment Act 1986</w:t>
            </w:r>
          </w:p>
        </w:tc>
      </w:tr>
    </w:tbl>
    <w:p w14:paraId="5204186E" w14:textId="77777777" w:rsidR="006E40C9" w:rsidRPr="00540040" w:rsidRDefault="006E40C9" w:rsidP="006E40C9">
      <w:pPr>
        <w:pStyle w:val="MeasureTableHeading"/>
      </w:pPr>
    </w:p>
    <w:p w14:paraId="022A0E8E" w14:textId="76B96529" w:rsidR="006E40C9" w:rsidRDefault="006E40C9" w:rsidP="006E40C9">
      <w:r>
        <w:t>Under the income tax benchmark, fringe benefits are classified as individual employee income, with the grossed-up value taxed at the employee’s marginal income tax rate. A car parking fringe benefit arises if a car is parked at premises that are owned or leased by, or otherwise under the control of, the provider, there is a commercial parking station within one kilometre radius of the car parking premises charging an all</w:t>
      </w:r>
      <w:r>
        <w:noBreakHyphen/>
        <w:t>day fee greater than $10.40 (for the year commencing 1 April 2023) and certain other conditions are met. There are</w:t>
      </w:r>
      <w:r w:rsidDel="00B150C3">
        <w:t xml:space="preserve"> </w:t>
      </w:r>
      <w:r>
        <w:t>5 methods for valuing car parking fringe benefits, four of those may result in a non</w:t>
      </w:r>
      <w:r>
        <w:noBreakHyphen/>
        <w:t xml:space="preserve">market valuation. </w:t>
      </w:r>
      <w:r>
        <w:fldChar w:fldCharType="begin"/>
      </w:r>
      <w:r>
        <w:instrText xml:space="preserve"> XE "Fringe benefits tax:Car parking benefits" </w:instrText>
      </w:r>
      <w:r>
        <w:fldChar w:fldCharType="end"/>
      </w:r>
    </w:p>
    <w:p w14:paraId="227D01DA" w14:textId="77777777" w:rsidR="006E40C9" w:rsidRDefault="006E40C9" w:rsidP="00D9255A">
      <w:pPr>
        <w:pStyle w:val="TESHeading5"/>
      </w:pPr>
      <w:r>
        <w:t>D25</w:t>
      </w:r>
      <w:r>
        <w:tab/>
        <w:t>Certain relocation and recruitment expenses exemption and reduction in taxable value</w:t>
      </w:r>
    </w:p>
    <w:p w14:paraId="30BCDEBE" w14:textId="1D0DD86E"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4B7BCFE" w14:textId="77777777">
        <w:trPr>
          <w:cantSplit/>
          <w:jc w:val="center"/>
        </w:trPr>
        <w:tc>
          <w:tcPr>
            <w:tcW w:w="967" w:type="dxa"/>
            <w:tcBorders>
              <w:top w:val="single" w:sz="2" w:space="0" w:color="auto"/>
              <w:bottom w:val="single" w:sz="2" w:space="0" w:color="auto"/>
            </w:tcBorders>
          </w:tcPr>
          <w:p w14:paraId="58B9E1A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11F00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132E14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F9A1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A7799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F10A8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2C862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A233BBD" w14:textId="77777777" w:rsidR="006E40C9" w:rsidRDefault="006E40C9">
            <w:pPr>
              <w:pStyle w:val="MeasureTableTextRightAligned"/>
            </w:pPr>
            <w:r>
              <w:t>2027-28</w:t>
            </w:r>
          </w:p>
        </w:tc>
      </w:tr>
      <w:tr w:rsidR="006E40C9" w14:paraId="0C1D1649" w14:textId="77777777">
        <w:trPr>
          <w:cantSplit/>
          <w:jc w:val="center"/>
        </w:trPr>
        <w:tc>
          <w:tcPr>
            <w:tcW w:w="967" w:type="dxa"/>
            <w:tcBorders>
              <w:top w:val="single" w:sz="2" w:space="0" w:color="auto"/>
              <w:bottom w:val="single" w:sz="2" w:space="0" w:color="auto"/>
            </w:tcBorders>
          </w:tcPr>
          <w:p w14:paraId="07DA358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943C9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8C238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3B70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596C6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3A1429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84DFD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08C2967" w14:textId="77777777" w:rsidR="006E40C9" w:rsidRDefault="006E40C9">
            <w:pPr>
              <w:pStyle w:val="MeasureTableTextRightAligned"/>
            </w:pPr>
            <w:r>
              <w:t>*</w:t>
            </w:r>
          </w:p>
        </w:tc>
      </w:tr>
      <w:tr w:rsidR="006E40C9" w14:paraId="35609E1F" w14:textId="77777777">
        <w:trPr>
          <w:cantSplit/>
          <w:jc w:val="center"/>
        </w:trPr>
        <w:tc>
          <w:tcPr>
            <w:tcW w:w="1934" w:type="dxa"/>
            <w:gridSpan w:val="2"/>
            <w:tcBorders>
              <w:top w:val="single" w:sz="2" w:space="0" w:color="auto"/>
              <w:bottom w:val="nil"/>
            </w:tcBorders>
          </w:tcPr>
          <w:p w14:paraId="52EC950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91E3BAE" w14:textId="77777777" w:rsidR="006E40C9" w:rsidRDefault="006E40C9">
            <w:pPr>
              <w:pStyle w:val="MeasureTableTextLeftAligned"/>
            </w:pPr>
            <w:r>
              <w:t>Exemption, Reduction in taxable value</w:t>
            </w:r>
          </w:p>
        </w:tc>
        <w:tc>
          <w:tcPr>
            <w:tcW w:w="1500" w:type="dxa"/>
            <w:gridSpan w:val="2"/>
            <w:tcBorders>
              <w:top w:val="single" w:sz="2" w:space="0" w:color="auto"/>
              <w:bottom w:val="nil"/>
            </w:tcBorders>
          </w:tcPr>
          <w:p w14:paraId="77E47200" w14:textId="3960937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1F66A81" w14:textId="77777777" w:rsidR="006E40C9" w:rsidRDefault="006E40C9">
            <w:pPr>
              <w:pStyle w:val="MeasureTableTextLeftAligned"/>
            </w:pPr>
            <w:r>
              <w:t>D25</w:t>
            </w:r>
          </w:p>
        </w:tc>
      </w:tr>
      <w:tr w:rsidR="006E40C9" w14:paraId="74EAEAD8" w14:textId="77777777">
        <w:trPr>
          <w:cantSplit/>
          <w:jc w:val="center"/>
        </w:trPr>
        <w:tc>
          <w:tcPr>
            <w:tcW w:w="1934" w:type="dxa"/>
            <w:gridSpan w:val="2"/>
            <w:tcBorders>
              <w:top w:val="nil"/>
              <w:bottom w:val="nil"/>
            </w:tcBorders>
          </w:tcPr>
          <w:p w14:paraId="569EDB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7499952" w14:textId="77777777" w:rsidR="006E40C9" w:rsidRPr="00584CA7" w:rsidRDefault="006E40C9">
            <w:pPr>
              <w:pStyle w:val="MeasureTableTextLeftAligned"/>
            </w:pPr>
            <w:r>
              <w:t>Not Applicable</w:t>
            </w:r>
          </w:p>
        </w:tc>
        <w:tc>
          <w:tcPr>
            <w:tcW w:w="1500" w:type="dxa"/>
            <w:gridSpan w:val="2"/>
            <w:tcBorders>
              <w:top w:val="nil"/>
              <w:bottom w:val="nil"/>
            </w:tcBorders>
          </w:tcPr>
          <w:p w14:paraId="4D8B9CD4" w14:textId="77777777" w:rsidR="006E40C9" w:rsidRDefault="006E40C9">
            <w:pPr>
              <w:pStyle w:val="MeasureTableTextItalic"/>
            </w:pPr>
            <w:r>
              <w:t>* Category</w:t>
            </w:r>
          </w:p>
        </w:tc>
        <w:tc>
          <w:tcPr>
            <w:tcW w:w="1124" w:type="dxa"/>
            <w:gridSpan w:val="2"/>
            <w:tcBorders>
              <w:top w:val="nil"/>
              <w:bottom w:val="nil"/>
            </w:tcBorders>
          </w:tcPr>
          <w:p w14:paraId="000C5A25" w14:textId="77777777" w:rsidR="006E40C9" w:rsidRDefault="006E40C9">
            <w:pPr>
              <w:pStyle w:val="MeasureTableTextLeftAligned"/>
            </w:pPr>
            <w:r>
              <w:t>2+</w:t>
            </w:r>
          </w:p>
        </w:tc>
      </w:tr>
      <w:tr w:rsidR="006E40C9" w14:paraId="6FFC2623" w14:textId="77777777">
        <w:trPr>
          <w:cantSplit/>
          <w:jc w:val="center"/>
        </w:trPr>
        <w:tc>
          <w:tcPr>
            <w:tcW w:w="1934" w:type="dxa"/>
            <w:gridSpan w:val="2"/>
            <w:tcBorders>
              <w:top w:val="nil"/>
              <w:bottom w:val="nil"/>
            </w:tcBorders>
          </w:tcPr>
          <w:p w14:paraId="73406384" w14:textId="77777777" w:rsidR="006E40C9" w:rsidRDefault="006E40C9">
            <w:pPr>
              <w:pStyle w:val="MeasureTableTextItalic"/>
            </w:pPr>
            <w:r>
              <w:t>Commencement date:</w:t>
            </w:r>
          </w:p>
        </w:tc>
        <w:tc>
          <w:tcPr>
            <w:tcW w:w="3179" w:type="dxa"/>
            <w:gridSpan w:val="4"/>
            <w:tcBorders>
              <w:top w:val="nil"/>
              <w:bottom w:val="nil"/>
            </w:tcBorders>
          </w:tcPr>
          <w:p w14:paraId="0836C0F5" w14:textId="77777777" w:rsidR="006E40C9" w:rsidRDefault="006E40C9">
            <w:pPr>
              <w:pStyle w:val="MeasureTableTextLeftAligned"/>
            </w:pPr>
            <w:r>
              <w:t>1986</w:t>
            </w:r>
          </w:p>
        </w:tc>
        <w:tc>
          <w:tcPr>
            <w:tcW w:w="1500" w:type="dxa"/>
            <w:gridSpan w:val="2"/>
            <w:tcBorders>
              <w:top w:val="nil"/>
              <w:bottom w:val="nil"/>
            </w:tcBorders>
          </w:tcPr>
          <w:p w14:paraId="3795302D" w14:textId="77777777" w:rsidR="006E40C9" w:rsidRPr="00F32057" w:rsidRDefault="006E40C9">
            <w:pPr>
              <w:pStyle w:val="MeasureTableTextItalic"/>
            </w:pPr>
            <w:r>
              <w:t>Expiry date:</w:t>
            </w:r>
          </w:p>
        </w:tc>
        <w:tc>
          <w:tcPr>
            <w:tcW w:w="1124" w:type="dxa"/>
            <w:gridSpan w:val="2"/>
            <w:tcBorders>
              <w:top w:val="nil"/>
              <w:bottom w:val="nil"/>
            </w:tcBorders>
          </w:tcPr>
          <w:p w14:paraId="7165F886" w14:textId="77777777" w:rsidR="006E40C9" w:rsidRPr="00F32057" w:rsidRDefault="006E40C9">
            <w:pPr>
              <w:pStyle w:val="MeasureTableTextLeftAligned"/>
            </w:pPr>
          </w:p>
        </w:tc>
      </w:tr>
      <w:tr w:rsidR="006E40C9" w14:paraId="5D8AE417" w14:textId="77777777">
        <w:trPr>
          <w:cantSplit/>
          <w:jc w:val="center"/>
        </w:trPr>
        <w:tc>
          <w:tcPr>
            <w:tcW w:w="1934" w:type="dxa"/>
            <w:gridSpan w:val="2"/>
            <w:tcBorders>
              <w:top w:val="nil"/>
            </w:tcBorders>
          </w:tcPr>
          <w:p w14:paraId="374FF77D" w14:textId="77777777" w:rsidR="006E40C9" w:rsidRDefault="006E40C9">
            <w:pPr>
              <w:pStyle w:val="MeasureTableTextItalic"/>
            </w:pPr>
            <w:r>
              <w:t>Legislative reference:</w:t>
            </w:r>
          </w:p>
        </w:tc>
        <w:tc>
          <w:tcPr>
            <w:tcW w:w="5803" w:type="dxa"/>
            <w:gridSpan w:val="8"/>
            <w:tcBorders>
              <w:top w:val="nil"/>
            </w:tcBorders>
          </w:tcPr>
          <w:p w14:paraId="11D64A1C"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Sections 58A to 58D and 58F of the </w:t>
            </w:r>
            <w:r>
              <w:rPr>
                <w:rFonts w:ascii="Arial" w:hAnsi="Arial" w:cs="Arial"/>
                <w:i/>
                <w:iCs/>
                <w:color w:val="000000"/>
                <w:sz w:val="16"/>
                <w:szCs w:val="16"/>
              </w:rPr>
              <w:t>Fringe Benefits Tax Assessment Act 1986</w:t>
            </w:r>
          </w:p>
          <w:p w14:paraId="64E5C38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61B to 61E of the </w:t>
            </w:r>
            <w:r>
              <w:rPr>
                <w:rFonts w:ascii="Arial" w:hAnsi="Arial" w:cs="Arial"/>
                <w:i/>
                <w:iCs/>
                <w:color w:val="000000"/>
                <w:sz w:val="16"/>
                <w:szCs w:val="16"/>
              </w:rPr>
              <w:t>Fringe Benefits Tax Assessment Act 1986</w:t>
            </w:r>
          </w:p>
        </w:tc>
      </w:tr>
    </w:tbl>
    <w:p w14:paraId="345D1C39" w14:textId="77777777" w:rsidR="006E40C9" w:rsidRPr="00540040" w:rsidRDefault="006E40C9" w:rsidP="006E40C9">
      <w:pPr>
        <w:pStyle w:val="MeasureTableHeading"/>
      </w:pPr>
    </w:p>
    <w:p w14:paraId="731096B0" w14:textId="77777777" w:rsidR="006E40C9" w:rsidRDefault="006E40C9" w:rsidP="006E40C9">
      <w:r>
        <w:t>Under the income tax benchmark, fringe benefits are classified as individual employee income, with the grossed-up value taxed at the employee’s marginal income tax rate. However, certain benefits associated with relocation and recruitment expenses, including transport, temporary accommodation, relocation consultants and other benefits,</w:t>
      </w:r>
      <w:r>
        <w:fldChar w:fldCharType="begin"/>
      </w:r>
      <w:r>
        <w:instrText xml:space="preserve"> XE "Relocation and recruitment expenses" </w:instrText>
      </w:r>
      <w:r>
        <w:fldChar w:fldCharType="end"/>
      </w:r>
      <w:r>
        <w:t xml:space="preserve"> are exempt from fringe benefits tax, while others may be eligible for a reduction in taxable value. </w:t>
      </w:r>
    </w:p>
    <w:p w14:paraId="5E71D1ED" w14:textId="77777777" w:rsidR="006E40C9" w:rsidRDefault="006E40C9" w:rsidP="00D9255A">
      <w:pPr>
        <w:pStyle w:val="TESHeading5"/>
      </w:pPr>
      <w:r>
        <w:t>D26</w:t>
      </w:r>
      <w:r>
        <w:tab/>
        <w:t>Compassionate travel exemption</w:t>
      </w:r>
    </w:p>
    <w:p w14:paraId="4F8F51D4" w14:textId="7C1EED4D"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17A8814" w14:textId="77777777">
        <w:trPr>
          <w:cantSplit/>
          <w:jc w:val="center"/>
        </w:trPr>
        <w:tc>
          <w:tcPr>
            <w:tcW w:w="967" w:type="dxa"/>
            <w:tcBorders>
              <w:top w:val="single" w:sz="2" w:space="0" w:color="auto"/>
              <w:bottom w:val="single" w:sz="2" w:space="0" w:color="auto"/>
            </w:tcBorders>
          </w:tcPr>
          <w:p w14:paraId="48431EF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207A14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C204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344729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3ECA09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D9680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A7947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9C2CE8C" w14:textId="77777777" w:rsidR="006E40C9" w:rsidRDefault="006E40C9">
            <w:pPr>
              <w:pStyle w:val="MeasureTableTextRightAligned"/>
            </w:pPr>
            <w:r>
              <w:t>2027-28</w:t>
            </w:r>
          </w:p>
        </w:tc>
      </w:tr>
      <w:tr w:rsidR="006E40C9" w14:paraId="1E5D2EA0" w14:textId="77777777">
        <w:trPr>
          <w:cantSplit/>
          <w:jc w:val="center"/>
        </w:trPr>
        <w:tc>
          <w:tcPr>
            <w:tcW w:w="967" w:type="dxa"/>
            <w:tcBorders>
              <w:top w:val="single" w:sz="2" w:space="0" w:color="auto"/>
              <w:bottom w:val="single" w:sz="2" w:space="0" w:color="auto"/>
            </w:tcBorders>
          </w:tcPr>
          <w:p w14:paraId="34C362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46A4A0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4BEAB6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C303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64B1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0B5C5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E358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9CB7BE7" w14:textId="77777777" w:rsidR="006E40C9" w:rsidRDefault="006E40C9">
            <w:pPr>
              <w:pStyle w:val="MeasureTableTextRightAligned"/>
            </w:pPr>
            <w:r>
              <w:t>*</w:t>
            </w:r>
          </w:p>
        </w:tc>
      </w:tr>
      <w:tr w:rsidR="006E40C9" w14:paraId="0A699391" w14:textId="77777777">
        <w:trPr>
          <w:cantSplit/>
          <w:jc w:val="center"/>
        </w:trPr>
        <w:tc>
          <w:tcPr>
            <w:tcW w:w="1934" w:type="dxa"/>
            <w:gridSpan w:val="2"/>
            <w:tcBorders>
              <w:top w:val="single" w:sz="2" w:space="0" w:color="auto"/>
              <w:bottom w:val="nil"/>
            </w:tcBorders>
          </w:tcPr>
          <w:p w14:paraId="77D284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34A3B6" w14:textId="77777777" w:rsidR="006E40C9" w:rsidRDefault="006E40C9">
            <w:pPr>
              <w:pStyle w:val="MeasureTableTextLeftAligned"/>
            </w:pPr>
            <w:r>
              <w:t>Exemption</w:t>
            </w:r>
          </w:p>
        </w:tc>
        <w:tc>
          <w:tcPr>
            <w:tcW w:w="1500" w:type="dxa"/>
            <w:gridSpan w:val="2"/>
            <w:tcBorders>
              <w:top w:val="single" w:sz="2" w:space="0" w:color="auto"/>
              <w:bottom w:val="nil"/>
            </w:tcBorders>
          </w:tcPr>
          <w:p w14:paraId="187972D5" w14:textId="362BA02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371692" w14:textId="77777777" w:rsidR="006E40C9" w:rsidRDefault="006E40C9">
            <w:pPr>
              <w:pStyle w:val="MeasureTableTextLeftAligned"/>
            </w:pPr>
            <w:r>
              <w:t>D26</w:t>
            </w:r>
          </w:p>
        </w:tc>
      </w:tr>
      <w:tr w:rsidR="006E40C9" w14:paraId="180131E7" w14:textId="77777777">
        <w:trPr>
          <w:cantSplit/>
          <w:jc w:val="center"/>
        </w:trPr>
        <w:tc>
          <w:tcPr>
            <w:tcW w:w="1934" w:type="dxa"/>
            <w:gridSpan w:val="2"/>
            <w:tcBorders>
              <w:top w:val="nil"/>
              <w:bottom w:val="nil"/>
            </w:tcBorders>
          </w:tcPr>
          <w:p w14:paraId="0F4EE1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039D4FB" w14:textId="77777777" w:rsidR="006E40C9" w:rsidRPr="00584CA7" w:rsidRDefault="006E40C9">
            <w:pPr>
              <w:pStyle w:val="MeasureTableTextLeftAligned"/>
            </w:pPr>
            <w:r>
              <w:t>Not Applicable</w:t>
            </w:r>
          </w:p>
        </w:tc>
        <w:tc>
          <w:tcPr>
            <w:tcW w:w="1500" w:type="dxa"/>
            <w:gridSpan w:val="2"/>
            <w:tcBorders>
              <w:top w:val="nil"/>
              <w:bottom w:val="nil"/>
            </w:tcBorders>
          </w:tcPr>
          <w:p w14:paraId="25AC9B05" w14:textId="77777777" w:rsidR="006E40C9" w:rsidRDefault="006E40C9">
            <w:pPr>
              <w:pStyle w:val="MeasureTableTextItalic"/>
            </w:pPr>
            <w:r>
              <w:t>* Category</w:t>
            </w:r>
          </w:p>
        </w:tc>
        <w:tc>
          <w:tcPr>
            <w:tcW w:w="1124" w:type="dxa"/>
            <w:gridSpan w:val="2"/>
            <w:tcBorders>
              <w:top w:val="nil"/>
              <w:bottom w:val="nil"/>
            </w:tcBorders>
          </w:tcPr>
          <w:p w14:paraId="69C3CFA1" w14:textId="77777777" w:rsidR="006E40C9" w:rsidRDefault="006E40C9">
            <w:pPr>
              <w:pStyle w:val="MeasureTableTextLeftAligned"/>
            </w:pPr>
            <w:r>
              <w:t>1+</w:t>
            </w:r>
          </w:p>
        </w:tc>
      </w:tr>
      <w:tr w:rsidR="006E40C9" w14:paraId="58EA5946" w14:textId="77777777">
        <w:trPr>
          <w:cantSplit/>
          <w:jc w:val="center"/>
        </w:trPr>
        <w:tc>
          <w:tcPr>
            <w:tcW w:w="1934" w:type="dxa"/>
            <w:gridSpan w:val="2"/>
            <w:tcBorders>
              <w:top w:val="nil"/>
              <w:bottom w:val="nil"/>
            </w:tcBorders>
          </w:tcPr>
          <w:p w14:paraId="00E4194E" w14:textId="77777777" w:rsidR="006E40C9" w:rsidRDefault="006E40C9">
            <w:pPr>
              <w:pStyle w:val="MeasureTableTextItalic"/>
            </w:pPr>
            <w:r>
              <w:t>Commencement date:</w:t>
            </w:r>
          </w:p>
        </w:tc>
        <w:tc>
          <w:tcPr>
            <w:tcW w:w="3179" w:type="dxa"/>
            <w:gridSpan w:val="4"/>
            <w:tcBorders>
              <w:top w:val="nil"/>
              <w:bottom w:val="nil"/>
            </w:tcBorders>
          </w:tcPr>
          <w:p w14:paraId="49AB6328" w14:textId="77777777" w:rsidR="006E40C9" w:rsidRDefault="006E40C9">
            <w:pPr>
              <w:pStyle w:val="MeasureTableTextLeftAligned"/>
            </w:pPr>
            <w:r>
              <w:t>1989</w:t>
            </w:r>
          </w:p>
        </w:tc>
        <w:tc>
          <w:tcPr>
            <w:tcW w:w="1500" w:type="dxa"/>
            <w:gridSpan w:val="2"/>
            <w:tcBorders>
              <w:top w:val="nil"/>
              <w:bottom w:val="nil"/>
            </w:tcBorders>
          </w:tcPr>
          <w:p w14:paraId="4F07DA9C" w14:textId="77777777" w:rsidR="006E40C9" w:rsidRPr="00F32057" w:rsidRDefault="006E40C9">
            <w:pPr>
              <w:pStyle w:val="MeasureTableTextItalic"/>
            </w:pPr>
            <w:r>
              <w:t>Expiry date:</w:t>
            </w:r>
          </w:p>
        </w:tc>
        <w:tc>
          <w:tcPr>
            <w:tcW w:w="1124" w:type="dxa"/>
            <w:gridSpan w:val="2"/>
            <w:tcBorders>
              <w:top w:val="nil"/>
              <w:bottom w:val="nil"/>
            </w:tcBorders>
          </w:tcPr>
          <w:p w14:paraId="7B5A793F" w14:textId="77777777" w:rsidR="006E40C9" w:rsidRPr="00F32057" w:rsidRDefault="006E40C9">
            <w:pPr>
              <w:pStyle w:val="MeasureTableTextLeftAligned"/>
            </w:pPr>
          </w:p>
        </w:tc>
      </w:tr>
      <w:tr w:rsidR="006E40C9" w14:paraId="377E9F61" w14:textId="77777777">
        <w:trPr>
          <w:cantSplit/>
          <w:jc w:val="center"/>
        </w:trPr>
        <w:tc>
          <w:tcPr>
            <w:tcW w:w="1934" w:type="dxa"/>
            <w:gridSpan w:val="2"/>
            <w:tcBorders>
              <w:top w:val="nil"/>
            </w:tcBorders>
          </w:tcPr>
          <w:p w14:paraId="316FC825" w14:textId="77777777" w:rsidR="006E40C9" w:rsidRDefault="006E40C9">
            <w:pPr>
              <w:pStyle w:val="MeasureTableTextItalic"/>
            </w:pPr>
            <w:r>
              <w:t>Legislative reference:</w:t>
            </w:r>
          </w:p>
        </w:tc>
        <w:tc>
          <w:tcPr>
            <w:tcW w:w="5803" w:type="dxa"/>
            <w:gridSpan w:val="8"/>
            <w:tcBorders>
              <w:top w:val="nil"/>
            </w:tcBorders>
          </w:tcPr>
          <w:p w14:paraId="285DF4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58LA of the </w:t>
            </w:r>
            <w:r>
              <w:rPr>
                <w:rFonts w:ascii="Arial" w:hAnsi="Arial" w:cs="Arial"/>
                <w:i/>
                <w:iCs/>
                <w:color w:val="000000"/>
                <w:sz w:val="16"/>
                <w:szCs w:val="16"/>
              </w:rPr>
              <w:t>Fringe Benefits Tax Assessment Act 1986</w:t>
            </w:r>
          </w:p>
        </w:tc>
      </w:tr>
    </w:tbl>
    <w:p w14:paraId="0FB50C61" w14:textId="77777777" w:rsidR="006E40C9" w:rsidRPr="00540040" w:rsidRDefault="006E40C9" w:rsidP="006E40C9">
      <w:pPr>
        <w:pStyle w:val="MeasureTableHeading"/>
      </w:pPr>
    </w:p>
    <w:p w14:paraId="74C05614" w14:textId="77777777" w:rsidR="006E40C9" w:rsidRDefault="006E40C9" w:rsidP="006E40C9">
      <w:r>
        <w:t xml:space="preserve">Under the income tax benchmark, fringe benefits are classified as individual employee income, with the grossed-up value taxed at the employee’s marginal income tax rate. </w:t>
      </w:r>
      <w:r w:rsidRPr="001A15FA">
        <w:t>However, certain travel costs provided on compassionate grounds to an employee, or their close relatives, are exempt from fringe benefits tax.</w:t>
      </w:r>
      <w:r w:rsidRPr="001A15FA">
        <w:rPr>
          <w:rFonts w:eastAsia="Calibri"/>
        </w:rPr>
        <w:fldChar w:fldCharType="begin"/>
      </w:r>
      <w:r w:rsidRPr="001A15FA">
        <w:instrText xml:space="preserve"> XE "Compassionate travel exemption" </w:instrText>
      </w:r>
      <w:r w:rsidRPr="001A15FA">
        <w:rPr>
          <w:rFonts w:eastAsia="Calibri"/>
        </w:rPr>
        <w:fldChar w:fldCharType="end"/>
      </w:r>
      <w:r>
        <w:t xml:space="preserve"> </w:t>
      </w:r>
    </w:p>
    <w:p w14:paraId="11B32472" w14:textId="77777777" w:rsidR="006E40C9" w:rsidRDefault="006E40C9" w:rsidP="00D9255A">
      <w:pPr>
        <w:pStyle w:val="TESHeading5"/>
      </w:pPr>
      <w:r>
        <w:t>D27</w:t>
      </w:r>
      <w:r>
        <w:tab/>
        <w:t>Discounted valuation for board meals</w:t>
      </w:r>
    </w:p>
    <w:p w14:paraId="2089E18A" w14:textId="33C6469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9E157C" w14:textId="77777777">
        <w:trPr>
          <w:cantSplit/>
          <w:jc w:val="center"/>
        </w:trPr>
        <w:tc>
          <w:tcPr>
            <w:tcW w:w="967" w:type="dxa"/>
            <w:tcBorders>
              <w:top w:val="single" w:sz="2" w:space="0" w:color="auto"/>
              <w:bottom w:val="single" w:sz="2" w:space="0" w:color="auto"/>
            </w:tcBorders>
          </w:tcPr>
          <w:p w14:paraId="649E207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150F5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9D818A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23589B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F1184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E3D641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35895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E2B749" w14:textId="77777777" w:rsidR="006E40C9" w:rsidRDefault="006E40C9">
            <w:pPr>
              <w:pStyle w:val="MeasureTableTextRightAligned"/>
            </w:pPr>
            <w:r>
              <w:t>2027-28</w:t>
            </w:r>
          </w:p>
        </w:tc>
      </w:tr>
      <w:tr w:rsidR="006E40C9" w14:paraId="56E56ECF" w14:textId="77777777">
        <w:trPr>
          <w:cantSplit/>
          <w:jc w:val="center"/>
        </w:trPr>
        <w:tc>
          <w:tcPr>
            <w:tcW w:w="967" w:type="dxa"/>
            <w:tcBorders>
              <w:top w:val="single" w:sz="2" w:space="0" w:color="auto"/>
              <w:bottom w:val="single" w:sz="2" w:space="0" w:color="auto"/>
            </w:tcBorders>
          </w:tcPr>
          <w:p w14:paraId="33AADEBC" w14:textId="77777777" w:rsidR="006E40C9" w:rsidRDefault="006E40C9">
            <w:pPr>
              <w:pStyle w:val="MeasureTableTextRightAligned"/>
            </w:pPr>
            <w:r>
              <w:t>5</w:t>
            </w:r>
          </w:p>
        </w:tc>
        <w:tc>
          <w:tcPr>
            <w:tcW w:w="967" w:type="dxa"/>
            <w:tcBorders>
              <w:top w:val="single" w:sz="2" w:space="0" w:color="auto"/>
              <w:bottom w:val="single" w:sz="2" w:space="0" w:color="auto"/>
            </w:tcBorders>
          </w:tcPr>
          <w:p w14:paraId="3D2F9DFA"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6CC44D4"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45795E05"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5C18B9F6"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3BA2EB88"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7432A016" w14:textId="77777777" w:rsidR="006E40C9" w:rsidRDefault="006E40C9">
            <w:pPr>
              <w:pStyle w:val="MeasureTableTextRightAligned"/>
            </w:pPr>
            <w:r>
              <w:t>6</w:t>
            </w:r>
          </w:p>
        </w:tc>
        <w:tc>
          <w:tcPr>
            <w:tcW w:w="968" w:type="dxa"/>
            <w:tcBorders>
              <w:top w:val="single" w:sz="2" w:space="0" w:color="auto"/>
              <w:bottom w:val="single" w:sz="2" w:space="0" w:color="auto"/>
            </w:tcBorders>
            <w:vAlign w:val="bottom"/>
          </w:tcPr>
          <w:p w14:paraId="55346A78" w14:textId="77777777" w:rsidR="006E40C9" w:rsidRDefault="006E40C9">
            <w:pPr>
              <w:pStyle w:val="MeasureTableTextRightAligned"/>
            </w:pPr>
            <w:r>
              <w:t>6</w:t>
            </w:r>
          </w:p>
        </w:tc>
      </w:tr>
      <w:tr w:rsidR="006E40C9" w14:paraId="14F6F5A7" w14:textId="77777777">
        <w:trPr>
          <w:cantSplit/>
          <w:jc w:val="center"/>
        </w:trPr>
        <w:tc>
          <w:tcPr>
            <w:tcW w:w="1934" w:type="dxa"/>
            <w:gridSpan w:val="2"/>
            <w:tcBorders>
              <w:top w:val="single" w:sz="2" w:space="0" w:color="auto"/>
              <w:bottom w:val="nil"/>
            </w:tcBorders>
          </w:tcPr>
          <w:p w14:paraId="3AD8E6A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E1533EA"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7E756807" w14:textId="43510FF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24D471" w14:textId="77777777" w:rsidR="006E40C9" w:rsidRDefault="006E40C9">
            <w:pPr>
              <w:pStyle w:val="MeasureTableTextLeftAligned"/>
            </w:pPr>
            <w:r>
              <w:t>D27</w:t>
            </w:r>
          </w:p>
        </w:tc>
      </w:tr>
      <w:tr w:rsidR="006E40C9" w14:paraId="0B36188F" w14:textId="77777777">
        <w:trPr>
          <w:cantSplit/>
          <w:jc w:val="center"/>
        </w:trPr>
        <w:tc>
          <w:tcPr>
            <w:tcW w:w="1934" w:type="dxa"/>
            <w:gridSpan w:val="2"/>
            <w:tcBorders>
              <w:top w:val="nil"/>
              <w:bottom w:val="nil"/>
            </w:tcBorders>
          </w:tcPr>
          <w:p w14:paraId="613AD23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9FA448" w14:textId="77777777" w:rsidR="006E40C9" w:rsidRPr="00584CA7" w:rsidRDefault="006E40C9">
            <w:pPr>
              <w:pStyle w:val="MeasureTableTextLeftAligned"/>
            </w:pPr>
            <w:r>
              <w:t>Low</w:t>
            </w:r>
          </w:p>
        </w:tc>
        <w:tc>
          <w:tcPr>
            <w:tcW w:w="1500" w:type="dxa"/>
            <w:gridSpan w:val="2"/>
            <w:tcBorders>
              <w:top w:val="nil"/>
              <w:bottom w:val="nil"/>
            </w:tcBorders>
          </w:tcPr>
          <w:p w14:paraId="0F6E3441" w14:textId="77777777" w:rsidR="006E40C9" w:rsidRDefault="006E40C9">
            <w:pPr>
              <w:pStyle w:val="MeasureTableTextItalic"/>
            </w:pPr>
          </w:p>
        </w:tc>
        <w:tc>
          <w:tcPr>
            <w:tcW w:w="1124" w:type="dxa"/>
            <w:gridSpan w:val="2"/>
            <w:tcBorders>
              <w:top w:val="nil"/>
              <w:bottom w:val="nil"/>
            </w:tcBorders>
          </w:tcPr>
          <w:p w14:paraId="11D749C7" w14:textId="77777777" w:rsidR="006E40C9" w:rsidRDefault="006E40C9">
            <w:pPr>
              <w:pStyle w:val="MeasureTableTextLeftAligned"/>
            </w:pPr>
          </w:p>
        </w:tc>
      </w:tr>
      <w:tr w:rsidR="006E40C9" w14:paraId="4EB2B02B" w14:textId="77777777">
        <w:trPr>
          <w:cantSplit/>
          <w:jc w:val="center"/>
        </w:trPr>
        <w:tc>
          <w:tcPr>
            <w:tcW w:w="1934" w:type="dxa"/>
            <w:gridSpan w:val="2"/>
            <w:tcBorders>
              <w:top w:val="nil"/>
              <w:bottom w:val="nil"/>
            </w:tcBorders>
          </w:tcPr>
          <w:p w14:paraId="3558E171" w14:textId="77777777" w:rsidR="006E40C9" w:rsidRDefault="006E40C9">
            <w:pPr>
              <w:pStyle w:val="MeasureTableTextItalic"/>
            </w:pPr>
            <w:r>
              <w:t>Commencement date:</w:t>
            </w:r>
          </w:p>
        </w:tc>
        <w:tc>
          <w:tcPr>
            <w:tcW w:w="3179" w:type="dxa"/>
            <w:gridSpan w:val="4"/>
            <w:tcBorders>
              <w:top w:val="nil"/>
              <w:bottom w:val="nil"/>
            </w:tcBorders>
          </w:tcPr>
          <w:p w14:paraId="2DCD8E6F" w14:textId="77777777" w:rsidR="006E40C9" w:rsidRDefault="006E40C9">
            <w:pPr>
              <w:pStyle w:val="MeasureTableTextLeftAligned"/>
            </w:pPr>
            <w:r>
              <w:t>1986</w:t>
            </w:r>
          </w:p>
        </w:tc>
        <w:tc>
          <w:tcPr>
            <w:tcW w:w="1500" w:type="dxa"/>
            <w:gridSpan w:val="2"/>
            <w:tcBorders>
              <w:top w:val="nil"/>
              <w:bottom w:val="nil"/>
            </w:tcBorders>
          </w:tcPr>
          <w:p w14:paraId="41DDFEC2" w14:textId="77777777" w:rsidR="006E40C9" w:rsidRPr="00F32057" w:rsidRDefault="006E40C9">
            <w:pPr>
              <w:pStyle w:val="MeasureTableTextItalic"/>
            </w:pPr>
            <w:r>
              <w:t>Expiry date:</w:t>
            </w:r>
          </w:p>
        </w:tc>
        <w:tc>
          <w:tcPr>
            <w:tcW w:w="1124" w:type="dxa"/>
            <w:gridSpan w:val="2"/>
            <w:tcBorders>
              <w:top w:val="nil"/>
              <w:bottom w:val="nil"/>
            </w:tcBorders>
          </w:tcPr>
          <w:p w14:paraId="7C83286C" w14:textId="77777777" w:rsidR="006E40C9" w:rsidRPr="00F32057" w:rsidRDefault="006E40C9">
            <w:pPr>
              <w:pStyle w:val="MeasureTableTextLeftAligned"/>
            </w:pPr>
          </w:p>
        </w:tc>
      </w:tr>
      <w:tr w:rsidR="006E40C9" w14:paraId="0CECC0E7" w14:textId="77777777">
        <w:trPr>
          <w:cantSplit/>
          <w:jc w:val="center"/>
        </w:trPr>
        <w:tc>
          <w:tcPr>
            <w:tcW w:w="1934" w:type="dxa"/>
            <w:gridSpan w:val="2"/>
            <w:tcBorders>
              <w:top w:val="nil"/>
            </w:tcBorders>
          </w:tcPr>
          <w:p w14:paraId="381D420E" w14:textId="77777777" w:rsidR="006E40C9" w:rsidRDefault="006E40C9">
            <w:pPr>
              <w:pStyle w:val="MeasureTableTextItalic"/>
            </w:pPr>
            <w:r>
              <w:t>Legislative reference:</w:t>
            </w:r>
          </w:p>
        </w:tc>
        <w:tc>
          <w:tcPr>
            <w:tcW w:w="5803" w:type="dxa"/>
            <w:gridSpan w:val="8"/>
            <w:tcBorders>
              <w:top w:val="nil"/>
            </w:tcBorders>
          </w:tcPr>
          <w:p w14:paraId="557BE4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36 of the </w:t>
            </w:r>
            <w:r>
              <w:rPr>
                <w:rFonts w:ascii="Arial" w:hAnsi="Arial" w:cs="Arial"/>
                <w:i/>
                <w:iCs/>
                <w:color w:val="000000"/>
                <w:sz w:val="16"/>
                <w:szCs w:val="16"/>
              </w:rPr>
              <w:t>Fringe Benefits Tax Assessment Act 1986</w:t>
            </w:r>
          </w:p>
        </w:tc>
      </w:tr>
    </w:tbl>
    <w:p w14:paraId="71B126BF" w14:textId="77777777" w:rsidR="006E40C9" w:rsidRPr="00540040" w:rsidRDefault="006E40C9" w:rsidP="006E40C9">
      <w:pPr>
        <w:pStyle w:val="MeasureTableHeading"/>
      </w:pPr>
    </w:p>
    <w:p w14:paraId="34285C82" w14:textId="416AD78F" w:rsidR="006E40C9" w:rsidRDefault="006E40C9" w:rsidP="006E40C9">
      <w:r>
        <w:t>Under the income tax benchmark, fringe benefits are classified as individual employee income, with the grossed-up value taxed at the employee’s marginal income tax rate. However, where an employee is entitled to accommodation and to at least 2 meals a day, eligible meals (known as ‘board meals</w:t>
      </w:r>
      <w:r>
        <w:fldChar w:fldCharType="begin"/>
      </w:r>
      <w:r>
        <w:instrText xml:space="preserve"> XE "Board meals" </w:instrText>
      </w:r>
      <w:r>
        <w:fldChar w:fldCharType="end"/>
      </w:r>
      <w:r>
        <w:t xml:space="preserve">‘) are valued at concessional rates for the purposes of fringe benefits tax. The taxable value is $2 per meal per adult, or $1 per meal per child under the age of 12. </w:t>
      </w:r>
    </w:p>
    <w:p w14:paraId="0B71A918" w14:textId="77777777" w:rsidR="006E40C9" w:rsidRDefault="006E40C9" w:rsidP="00D9255A">
      <w:pPr>
        <w:pStyle w:val="TESHeading5"/>
      </w:pPr>
      <w:r>
        <w:t>D28</w:t>
      </w:r>
      <w:r>
        <w:tab/>
        <w:t>Discounted valuation for holidays for employees and their families when posted overseas</w:t>
      </w:r>
    </w:p>
    <w:p w14:paraId="2270A43C" w14:textId="6AC43E2E"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775BD8" w14:textId="77777777">
        <w:trPr>
          <w:cantSplit/>
          <w:jc w:val="center"/>
        </w:trPr>
        <w:tc>
          <w:tcPr>
            <w:tcW w:w="967" w:type="dxa"/>
            <w:tcBorders>
              <w:top w:val="single" w:sz="2" w:space="0" w:color="auto"/>
              <w:bottom w:val="single" w:sz="2" w:space="0" w:color="auto"/>
            </w:tcBorders>
          </w:tcPr>
          <w:p w14:paraId="5659533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DA080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738E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A2E8BA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B1817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2C11B6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4548C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E0719D8" w14:textId="77777777" w:rsidR="006E40C9" w:rsidRDefault="006E40C9">
            <w:pPr>
              <w:pStyle w:val="MeasureTableTextRightAligned"/>
            </w:pPr>
            <w:r>
              <w:t>2027-28</w:t>
            </w:r>
          </w:p>
        </w:tc>
      </w:tr>
      <w:tr w:rsidR="006E40C9" w14:paraId="57939081" w14:textId="77777777">
        <w:trPr>
          <w:cantSplit/>
          <w:jc w:val="center"/>
        </w:trPr>
        <w:tc>
          <w:tcPr>
            <w:tcW w:w="967" w:type="dxa"/>
            <w:tcBorders>
              <w:top w:val="single" w:sz="2" w:space="0" w:color="auto"/>
              <w:bottom w:val="single" w:sz="2" w:space="0" w:color="auto"/>
            </w:tcBorders>
          </w:tcPr>
          <w:p w14:paraId="6B0B4848" w14:textId="77777777" w:rsidR="006E40C9" w:rsidRDefault="006E40C9">
            <w:pPr>
              <w:pStyle w:val="MeasureTableTextRightAligned"/>
            </w:pPr>
            <w:r>
              <w:t>*</w:t>
            </w:r>
          </w:p>
        </w:tc>
        <w:tc>
          <w:tcPr>
            <w:tcW w:w="967" w:type="dxa"/>
            <w:tcBorders>
              <w:top w:val="single" w:sz="2" w:space="0" w:color="auto"/>
              <w:bottom w:val="single" w:sz="2" w:space="0" w:color="auto"/>
            </w:tcBorders>
          </w:tcPr>
          <w:p w14:paraId="2AE0D1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D93D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1B4AA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0BA8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65AB32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96C85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39072DF" w14:textId="77777777" w:rsidR="006E40C9" w:rsidRDefault="006E40C9">
            <w:pPr>
              <w:pStyle w:val="MeasureTableTextRightAligned"/>
            </w:pPr>
            <w:r>
              <w:t>*</w:t>
            </w:r>
          </w:p>
        </w:tc>
      </w:tr>
      <w:tr w:rsidR="006E40C9" w14:paraId="0DE113B8" w14:textId="77777777">
        <w:trPr>
          <w:cantSplit/>
          <w:jc w:val="center"/>
        </w:trPr>
        <w:tc>
          <w:tcPr>
            <w:tcW w:w="1934" w:type="dxa"/>
            <w:gridSpan w:val="2"/>
            <w:tcBorders>
              <w:top w:val="single" w:sz="2" w:space="0" w:color="auto"/>
              <w:bottom w:val="nil"/>
            </w:tcBorders>
          </w:tcPr>
          <w:p w14:paraId="531B873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204251"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0A9D13BE" w14:textId="2E487CC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0B0C3B" w14:textId="77777777" w:rsidR="006E40C9" w:rsidRDefault="006E40C9">
            <w:pPr>
              <w:pStyle w:val="MeasureTableTextLeftAligned"/>
            </w:pPr>
            <w:r>
              <w:t>D28</w:t>
            </w:r>
          </w:p>
        </w:tc>
      </w:tr>
      <w:tr w:rsidR="006E40C9" w14:paraId="1A6320C4" w14:textId="77777777">
        <w:trPr>
          <w:cantSplit/>
          <w:jc w:val="center"/>
        </w:trPr>
        <w:tc>
          <w:tcPr>
            <w:tcW w:w="1934" w:type="dxa"/>
            <w:gridSpan w:val="2"/>
            <w:tcBorders>
              <w:top w:val="nil"/>
              <w:bottom w:val="nil"/>
            </w:tcBorders>
          </w:tcPr>
          <w:p w14:paraId="0EBE3C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336396F" w14:textId="77777777" w:rsidR="006E40C9" w:rsidRPr="00584CA7" w:rsidRDefault="006E40C9">
            <w:pPr>
              <w:pStyle w:val="MeasureTableTextLeftAligned"/>
            </w:pPr>
            <w:r>
              <w:t>Not Applicable</w:t>
            </w:r>
          </w:p>
        </w:tc>
        <w:tc>
          <w:tcPr>
            <w:tcW w:w="1500" w:type="dxa"/>
            <w:gridSpan w:val="2"/>
            <w:tcBorders>
              <w:top w:val="nil"/>
              <w:bottom w:val="nil"/>
            </w:tcBorders>
          </w:tcPr>
          <w:p w14:paraId="42461F68" w14:textId="77777777" w:rsidR="006E40C9" w:rsidRDefault="006E40C9">
            <w:pPr>
              <w:pStyle w:val="MeasureTableTextItalic"/>
            </w:pPr>
            <w:r>
              <w:t>* Category</w:t>
            </w:r>
          </w:p>
        </w:tc>
        <w:tc>
          <w:tcPr>
            <w:tcW w:w="1124" w:type="dxa"/>
            <w:gridSpan w:val="2"/>
            <w:tcBorders>
              <w:top w:val="nil"/>
              <w:bottom w:val="nil"/>
            </w:tcBorders>
          </w:tcPr>
          <w:p w14:paraId="172FA895" w14:textId="77777777" w:rsidR="006E40C9" w:rsidRDefault="006E40C9">
            <w:pPr>
              <w:pStyle w:val="MeasureTableTextLeftAligned"/>
            </w:pPr>
            <w:r>
              <w:t>1+</w:t>
            </w:r>
          </w:p>
        </w:tc>
      </w:tr>
      <w:tr w:rsidR="006E40C9" w14:paraId="445B208A" w14:textId="77777777">
        <w:trPr>
          <w:cantSplit/>
          <w:jc w:val="center"/>
        </w:trPr>
        <w:tc>
          <w:tcPr>
            <w:tcW w:w="1934" w:type="dxa"/>
            <w:gridSpan w:val="2"/>
            <w:tcBorders>
              <w:top w:val="nil"/>
              <w:bottom w:val="nil"/>
            </w:tcBorders>
          </w:tcPr>
          <w:p w14:paraId="67ECC15D" w14:textId="77777777" w:rsidR="006E40C9" w:rsidRDefault="006E40C9">
            <w:pPr>
              <w:pStyle w:val="MeasureTableTextItalic"/>
            </w:pPr>
            <w:r>
              <w:t>Commencement date:</w:t>
            </w:r>
          </w:p>
        </w:tc>
        <w:tc>
          <w:tcPr>
            <w:tcW w:w="3179" w:type="dxa"/>
            <w:gridSpan w:val="4"/>
            <w:tcBorders>
              <w:top w:val="nil"/>
              <w:bottom w:val="nil"/>
            </w:tcBorders>
          </w:tcPr>
          <w:p w14:paraId="00C2F58A" w14:textId="77777777" w:rsidR="006E40C9" w:rsidRDefault="006E40C9">
            <w:pPr>
              <w:pStyle w:val="MeasureTableTextLeftAligned"/>
            </w:pPr>
            <w:r>
              <w:t>1986</w:t>
            </w:r>
          </w:p>
        </w:tc>
        <w:tc>
          <w:tcPr>
            <w:tcW w:w="1500" w:type="dxa"/>
            <w:gridSpan w:val="2"/>
            <w:tcBorders>
              <w:top w:val="nil"/>
              <w:bottom w:val="nil"/>
            </w:tcBorders>
          </w:tcPr>
          <w:p w14:paraId="5252600F" w14:textId="77777777" w:rsidR="006E40C9" w:rsidRPr="00F32057" w:rsidRDefault="006E40C9">
            <w:pPr>
              <w:pStyle w:val="MeasureTableTextItalic"/>
            </w:pPr>
            <w:r>
              <w:t>Expiry date:</w:t>
            </w:r>
          </w:p>
        </w:tc>
        <w:tc>
          <w:tcPr>
            <w:tcW w:w="1124" w:type="dxa"/>
            <w:gridSpan w:val="2"/>
            <w:tcBorders>
              <w:top w:val="nil"/>
              <w:bottom w:val="nil"/>
            </w:tcBorders>
          </w:tcPr>
          <w:p w14:paraId="3D3C10BE" w14:textId="77777777" w:rsidR="006E40C9" w:rsidRPr="00F32057" w:rsidRDefault="006E40C9">
            <w:pPr>
              <w:pStyle w:val="MeasureTableTextLeftAligned"/>
            </w:pPr>
          </w:p>
        </w:tc>
      </w:tr>
      <w:tr w:rsidR="006E40C9" w14:paraId="111ADBC9" w14:textId="77777777">
        <w:trPr>
          <w:cantSplit/>
          <w:jc w:val="center"/>
        </w:trPr>
        <w:tc>
          <w:tcPr>
            <w:tcW w:w="1934" w:type="dxa"/>
            <w:gridSpan w:val="2"/>
            <w:tcBorders>
              <w:top w:val="nil"/>
            </w:tcBorders>
          </w:tcPr>
          <w:p w14:paraId="76FC2DF7" w14:textId="77777777" w:rsidR="006E40C9" w:rsidRDefault="006E40C9">
            <w:pPr>
              <w:pStyle w:val="MeasureTableTextItalic"/>
            </w:pPr>
            <w:r>
              <w:t>Legislative reference:</w:t>
            </w:r>
          </w:p>
        </w:tc>
        <w:tc>
          <w:tcPr>
            <w:tcW w:w="5803" w:type="dxa"/>
            <w:gridSpan w:val="8"/>
            <w:tcBorders>
              <w:top w:val="nil"/>
            </w:tcBorders>
          </w:tcPr>
          <w:p w14:paraId="437C42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61A and 143C of the </w:t>
            </w:r>
            <w:r>
              <w:rPr>
                <w:rFonts w:ascii="Arial" w:hAnsi="Arial" w:cs="Arial"/>
                <w:i/>
                <w:iCs/>
                <w:color w:val="000000"/>
                <w:sz w:val="16"/>
                <w:szCs w:val="16"/>
              </w:rPr>
              <w:t xml:space="preserve">Fringe Benefits Tax Assessment Act 1986 </w:t>
            </w:r>
          </w:p>
        </w:tc>
      </w:tr>
    </w:tbl>
    <w:p w14:paraId="4E6E5B6D" w14:textId="77777777" w:rsidR="006E40C9" w:rsidRPr="00540040" w:rsidRDefault="006E40C9" w:rsidP="006E40C9">
      <w:pPr>
        <w:pStyle w:val="MeasureTableHeading"/>
      </w:pPr>
    </w:p>
    <w:p w14:paraId="7AB64148" w14:textId="77777777" w:rsidR="006E40C9" w:rsidRDefault="006E40C9" w:rsidP="006E40C9">
      <w:r>
        <w:t xml:space="preserve">Under the income tax benchmark, fringe benefits are classified as individual employee income, with the grossed-up value taxed at the employee’s marginal income tax rate. However, the value of an overseas holiday </w:t>
      </w:r>
      <w:r>
        <w:fldChar w:fldCharType="begin"/>
      </w:r>
      <w:r>
        <w:instrText xml:space="preserve"> XE "Overseas holiday" </w:instrText>
      </w:r>
      <w:r>
        <w:fldChar w:fldCharType="end"/>
      </w:r>
      <w:r>
        <w:t>provided as industry custom or under an industrial award to an employee and their family while posted overseas, is reduced by 50 per cent or 50 per cent of a benchmark holiday cost, whichever is lower. Overseas transport, meals and accommodation are included.</w:t>
      </w:r>
    </w:p>
    <w:p w14:paraId="3CF35B72" w14:textId="77777777" w:rsidR="006E40C9" w:rsidRDefault="006E40C9" w:rsidP="00D9255A">
      <w:pPr>
        <w:pStyle w:val="TESHeading5"/>
      </w:pPr>
      <w:r>
        <w:t>D29</w:t>
      </w:r>
      <w:r>
        <w:tab/>
        <w:t>Discounted valuation of arm's length transaction price for in-house property and residual fringe benefits</w:t>
      </w:r>
    </w:p>
    <w:p w14:paraId="5F07FAA8" w14:textId="58F1F4A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47E66C0" w14:textId="77777777">
        <w:trPr>
          <w:cantSplit/>
          <w:jc w:val="center"/>
        </w:trPr>
        <w:tc>
          <w:tcPr>
            <w:tcW w:w="967" w:type="dxa"/>
            <w:tcBorders>
              <w:top w:val="single" w:sz="2" w:space="0" w:color="auto"/>
              <w:bottom w:val="single" w:sz="2" w:space="0" w:color="auto"/>
            </w:tcBorders>
          </w:tcPr>
          <w:p w14:paraId="5027DB7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1C502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3BF12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9EA70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47B87B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13850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1E4157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6187CF4" w14:textId="77777777" w:rsidR="006E40C9" w:rsidRDefault="006E40C9">
            <w:pPr>
              <w:pStyle w:val="MeasureTableTextRightAligned"/>
            </w:pPr>
            <w:r>
              <w:t>2027-28</w:t>
            </w:r>
          </w:p>
        </w:tc>
      </w:tr>
      <w:tr w:rsidR="006E40C9" w14:paraId="69DA0ED4" w14:textId="77777777">
        <w:trPr>
          <w:cantSplit/>
          <w:jc w:val="center"/>
        </w:trPr>
        <w:tc>
          <w:tcPr>
            <w:tcW w:w="967" w:type="dxa"/>
            <w:tcBorders>
              <w:top w:val="single" w:sz="2" w:space="0" w:color="auto"/>
              <w:bottom w:val="single" w:sz="2" w:space="0" w:color="auto"/>
            </w:tcBorders>
          </w:tcPr>
          <w:p w14:paraId="50389084" w14:textId="77777777" w:rsidR="006E40C9" w:rsidRDefault="006E40C9">
            <w:pPr>
              <w:pStyle w:val="MeasureTableTextRightAligned"/>
            </w:pPr>
            <w:r>
              <w:t>*</w:t>
            </w:r>
          </w:p>
        </w:tc>
        <w:tc>
          <w:tcPr>
            <w:tcW w:w="967" w:type="dxa"/>
            <w:tcBorders>
              <w:top w:val="single" w:sz="2" w:space="0" w:color="auto"/>
              <w:bottom w:val="single" w:sz="2" w:space="0" w:color="auto"/>
            </w:tcBorders>
          </w:tcPr>
          <w:p w14:paraId="250CFD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6DD5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B208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0B5CC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9F4261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666701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2E5EDA1" w14:textId="77777777" w:rsidR="006E40C9" w:rsidRDefault="006E40C9">
            <w:pPr>
              <w:pStyle w:val="MeasureTableTextRightAligned"/>
            </w:pPr>
            <w:r>
              <w:t>*</w:t>
            </w:r>
          </w:p>
        </w:tc>
      </w:tr>
      <w:tr w:rsidR="006E40C9" w14:paraId="6FD84546" w14:textId="77777777">
        <w:trPr>
          <w:cantSplit/>
          <w:jc w:val="center"/>
        </w:trPr>
        <w:tc>
          <w:tcPr>
            <w:tcW w:w="1934" w:type="dxa"/>
            <w:gridSpan w:val="2"/>
            <w:tcBorders>
              <w:top w:val="single" w:sz="2" w:space="0" w:color="auto"/>
              <w:bottom w:val="nil"/>
            </w:tcBorders>
          </w:tcPr>
          <w:p w14:paraId="6D77D6F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97DEC64"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5EE27026" w14:textId="23A5943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FF54802" w14:textId="77777777" w:rsidR="006E40C9" w:rsidRDefault="006E40C9">
            <w:pPr>
              <w:pStyle w:val="MeasureTableTextLeftAligned"/>
            </w:pPr>
            <w:r>
              <w:t>D29</w:t>
            </w:r>
          </w:p>
        </w:tc>
      </w:tr>
      <w:tr w:rsidR="006E40C9" w14:paraId="6EED6552" w14:textId="77777777">
        <w:trPr>
          <w:cantSplit/>
          <w:jc w:val="center"/>
        </w:trPr>
        <w:tc>
          <w:tcPr>
            <w:tcW w:w="1934" w:type="dxa"/>
            <w:gridSpan w:val="2"/>
            <w:tcBorders>
              <w:top w:val="nil"/>
              <w:bottom w:val="nil"/>
            </w:tcBorders>
          </w:tcPr>
          <w:p w14:paraId="56E672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1BEFF6D" w14:textId="77777777" w:rsidR="006E40C9" w:rsidRPr="00584CA7" w:rsidRDefault="006E40C9">
            <w:pPr>
              <w:pStyle w:val="MeasureTableTextLeftAligned"/>
            </w:pPr>
            <w:r>
              <w:t>Not Applicable</w:t>
            </w:r>
          </w:p>
        </w:tc>
        <w:tc>
          <w:tcPr>
            <w:tcW w:w="1500" w:type="dxa"/>
            <w:gridSpan w:val="2"/>
            <w:tcBorders>
              <w:top w:val="nil"/>
              <w:bottom w:val="nil"/>
            </w:tcBorders>
          </w:tcPr>
          <w:p w14:paraId="7759F307" w14:textId="77777777" w:rsidR="006E40C9" w:rsidRDefault="006E40C9">
            <w:pPr>
              <w:pStyle w:val="MeasureTableTextItalic"/>
            </w:pPr>
            <w:r>
              <w:t>* Category</w:t>
            </w:r>
          </w:p>
        </w:tc>
        <w:tc>
          <w:tcPr>
            <w:tcW w:w="1124" w:type="dxa"/>
            <w:gridSpan w:val="2"/>
            <w:tcBorders>
              <w:top w:val="nil"/>
              <w:bottom w:val="nil"/>
            </w:tcBorders>
          </w:tcPr>
          <w:p w14:paraId="50CD4C1A" w14:textId="77777777" w:rsidR="006E40C9" w:rsidRDefault="006E40C9">
            <w:pPr>
              <w:pStyle w:val="MeasureTableTextLeftAligned"/>
            </w:pPr>
            <w:r>
              <w:t>2+</w:t>
            </w:r>
          </w:p>
        </w:tc>
      </w:tr>
      <w:tr w:rsidR="006E40C9" w14:paraId="584DD8CA" w14:textId="77777777">
        <w:trPr>
          <w:cantSplit/>
          <w:jc w:val="center"/>
        </w:trPr>
        <w:tc>
          <w:tcPr>
            <w:tcW w:w="1934" w:type="dxa"/>
            <w:gridSpan w:val="2"/>
            <w:tcBorders>
              <w:top w:val="nil"/>
              <w:bottom w:val="nil"/>
            </w:tcBorders>
          </w:tcPr>
          <w:p w14:paraId="2454FFDD" w14:textId="77777777" w:rsidR="006E40C9" w:rsidRDefault="006E40C9">
            <w:pPr>
              <w:pStyle w:val="MeasureTableTextItalic"/>
            </w:pPr>
            <w:r>
              <w:t>Commencement date:</w:t>
            </w:r>
          </w:p>
        </w:tc>
        <w:tc>
          <w:tcPr>
            <w:tcW w:w="3179" w:type="dxa"/>
            <w:gridSpan w:val="4"/>
            <w:tcBorders>
              <w:top w:val="nil"/>
              <w:bottom w:val="nil"/>
            </w:tcBorders>
          </w:tcPr>
          <w:p w14:paraId="6BE88B89" w14:textId="77777777" w:rsidR="006E40C9" w:rsidRDefault="006E40C9">
            <w:pPr>
              <w:pStyle w:val="MeasureTableTextLeftAligned"/>
            </w:pPr>
            <w:r>
              <w:t>1986</w:t>
            </w:r>
          </w:p>
        </w:tc>
        <w:tc>
          <w:tcPr>
            <w:tcW w:w="1500" w:type="dxa"/>
            <w:gridSpan w:val="2"/>
            <w:tcBorders>
              <w:top w:val="nil"/>
              <w:bottom w:val="nil"/>
            </w:tcBorders>
          </w:tcPr>
          <w:p w14:paraId="533E0732" w14:textId="77777777" w:rsidR="006E40C9" w:rsidRPr="00F32057" w:rsidRDefault="006E40C9">
            <w:pPr>
              <w:pStyle w:val="MeasureTableTextItalic"/>
            </w:pPr>
            <w:r>
              <w:t>Expiry date:</w:t>
            </w:r>
          </w:p>
        </w:tc>
        <w:tc>
          <w:tcPr>
            <w:tcW w:w="1124" w:type="dxa"/>
            <w:gridSpan w:val="2"/>
            <w:tcBorders>
              <w:top w:val="nil"/>
              <w:bottom w:val="nil"/>
            </w:tcBorders>
          </w:tcPr>
          <w:p w14:paraId="0DA6EFE5" w14:textId="77777777" w:rsidR="006E40C9" w:rsidRPr="00F32057" w:rsidRDefault="006E40C9">
            <w:pPr>
              <w:pStyle w:val="MeasureTableTextLeftAligned"/>
            </w:pPr>
          </w:p>
        </w:tc>
      </w:tr>
      <w:tr w:rsidR="006E40C9" w14:paraId="5799BCFB" w14:textId="77777777">
        <w:trPr>
          <w:cantSplit/>
          <w:jc w:val="center"/>
        </w:trPr>
        <w:tc>
          <w:tcPr>
            <w:tcW w:w="1934" w:type="dxa"/>
            <w:gridSpan w:val="2"/>
            <w:tcBorders>
              <w:top w:val="nil"/>
            </w:tcBorders>
          </w:tcPr>
          <w:p w14:paraId="3D82AADB" w14:textId="77777777" w:rsidR="006E40C9" w:rsidRDefault="006E40C9">
            <w:pPr>
              <w:pStyle w:val="MeasureTableTextItalic"/>
            </w:pPr>
            <w:r>
              <w:t>Legislative reference:</w:t>
            </w:r>
          </w:p>
        </w:tc>
        <w:tc>
          <w:tcPr>
            <w:tcW w:w="5803" w:type="dxa"/>
            <w:gridSpan w:val="8"/>
            <w:tcBorders>
              <w:top w:val="nil"/>
            </w:tcBorders>
          </w:tcPr>
          <w:p w14:paraId="58E1557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42, 48 and 49 of the </w:t>
            </w:r>
            <w:r>
              <w:rPr>
                <w:rFonts w:ascii="Arial" w:hAnsi="Arial" w:cs="Arial"/>
                <w:i/>
                <w:iCs/>
                <w:color w:val="000000"/>
                <w:sz w:val="16"/>
                <w:szCs w:val="16"/>
              </w:rPr>
              <w:t>Fringe Benefits Tax Assessment Act 1986</w:t>
            </w:r>
          </w:p>
        </w:tc>
      </w:tr>
    </w:tbl>
    <w:p w14:paraId="3FF3CCD7" w14:textId="77777777" w:rsidR="006E40C9" w:rsidRPr="00540040" w:rsidRDefault="006E40C9" w:rsidP="006E40C9">
      <w:pPr>
        <w:pStyle w:val="MeasureTableHeading"/>
      </w:pPr>
    </w:p>
    <w:p w14:paraId="07061DEA" w14:textId="3C85B255" w:rsidR="006E40C9" w:rsidRDefault="006E40C9" w:rsidP="006E40C9">
      <w:r>
        <w:t>Under the income tax benchmark, fringe benefits are classified as individual employee income, with the grossed-up value taxed at the employee’s marginal income tax rate. However, the taxable value of in</w:t>
      </w:r>
      <w:r>
        <w:noBreakHyphen/>
        <w:t>house property and residual fringe benefits</w:t>
      </w:r>
      <w:r>
        <w:fldChar w:fldCharType="begin"/>
      </w:r>
      <w:r>
        <w:instrText xml:space="preserve"> XE "Fringe benefits tax:In-house property fringe benefits" </w:instrText>
      </w:r>
      <w:r>
        <w:fldChar w:fldCharType="end"/>
      </w:r>
      <w:r>
        <w:t xml:space="preserve"> (generally, goods or services sold by the employer to the public)</w:t>
      </w:r>
      <w:r>
        <w:fldChar w:fldCharType="begin"/>
      </w:r>
      <w:r>
        <w:instrText xml:space="preserve"> XE "Fringe benefits tax:In-house residual fringe benefits" </w:instrText>
      </w:r>
      <w:r>
        <w:fldChar w:fldCharType="end"/>
      </w:r>
      <w:r>
        <w:t xml:space="preserve"> is 75</w:t>
      </w:r>
      <w:r w:rsidR="00B76C90">
        <w:t> </w:t>
      </w:r>
      <w:r>
        <w:t>per cent of the lowest retail price charged to the public in the ordinary course of business. This includes airline transport fringe benefits. This treatment is not available for in</w:t>
      </w:r>
      <w:r>
        <w:noBreakHyphen/>
        <w:t>house fringe benefits accessed by way of a salary sacrifice arrangement.</w:t>
      </w:r>
    </w:p>
    <w:p w14:paraId="10B64A44" w14:textId="77777777" w:rsidR="006E40C9" w:rsidRDefault="006E40C9" w:rsidP="00D9255A">
      <w:pPr>
        <w:pStyle w:val="TESHeading5"/>
      </w:pPr>
      <w:r>
        <w:t>D30</w:t>
      </w:r>
      <w:r>
        <w:tab/>
        <w:t>Employees of public transport providers – free or discounted travel exemption</w:t>
      </w:r>
    </w:p>
    <w:p w14:paraId="3C4BC548" w14:textId="24D5E6F2"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2F5D36E" w14:textId="77777777">
        <w:trPr>
          <w:cantSplit/>
          <w:jc w:val="center"/>
        </w:trPr>
        <w:tc>
          <w:tcPr>
            <w:tcW w:w="967" w:type="dxa"/>
            <w:tcBorders>
              <w:top w:val="single" w:sz="2" w:space="0" w:color="auto"/>
              <w:bottom w:val="single" w:sz="2" w:space="0" w:color="auto"/>
            </w:tcBorders>
          </w:tcPr>
          <w:p w14:paraId="41DC25E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A8264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ED2481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2383D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8512B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92BC0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E93861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C8C71C8" w14:textId="77777777" w:rsidR="006E40C9" w:rsidRDefault="006E40C9">
            <w:pPr>
              <w:pStyle w:val="MeasureTableTextRightAligned"/>
            </w:pPr>
            <w:r>
              <w:t>2027-28</w:t>
            </w:r>
          </w:p>
        </w:tc>
      </w:tr>
      <w:tr w:rsidR="006E40C9" w14:paraId="205C2505" w14:textId="77777777">
        <w:trPr>
          <w:cantSplit/>
          <w:jc w:val="center"/>
        </w:trPr>
        <w:tc>
          <w:tcPr>
            <w:tcW w:w="967" w:type="dxa"/>
            <w:tcBorders>
              <w:top w:val="single" w:sz="2" w:space="0" w:color="auto"/>
              <w:bottom w:val="single" w:sz="2" w:space="0" w:color="auto"/>
            </w:tcBorders>
          </w:tcPr>
          <w:p w14:paraId="3BBD11A1" w14:textId="77777777" w:rsidR="006E40C9" w:rsidRDefault="006E40C9">
            <w:pPr>
              <w:pStyle w:val="MeasureTableTextRightAligned"/>
            </w:pPr>
            <w:r>
              <w:t>75</w:t>
            </w:r>
          </w:p>
        </w:tc>
        <w:tc>
          <w:tcPr>
            <w:tcW w:w="967" w:type="dxa"/>
            <w:tcBorders>
              <w:top w:val="single" w:sz="2" w:space="0" w:color="auto"/>
              <w:bottom w:val="single" w:sz="2" w:space="0" w:color="auto"/>
            </w:tcBorders>
          </w:tcPr>
          <w:p w14:paraId="5F5A3231"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22446070" w14:textId="77777777" w:rsidR="006E40C9" w:rsidRDefault="006E40C9">
            <w:pPr>
              <w:pStyle w:val="MeasureTableTextRightAligned"/>
            </w:pPr>
            <w:r>
              <w:t>90</w:t>
            </w:r>
          </w:p>
        </w:tc>
        <w:tc>
          <w:tcPr>
            <w:tcW w:w="967" w:type="dxa"/>
            <w:tcBorders>
              <w:top w:val="single" w:sz="2" w:space="0" w:color="auto"/>
              <w:bottom w:val="single" w:sz="2" w:space="0" w:color="auto"/>
            </w:tcBorders>
            <w:vAlign w:val="bottom"/>
          </w:tcPr>
          <w:p w14:paraId="34346BF9" w14:textId="77777777" w:rsidR="006E40C9" w:rsidRDefault="006E40C9">
            <w:pPr>
              <w:pStyle w:val="MeasureTableTextRightAligned"/>
            </w:pPr>
            <w:r>
              <w:t>90</w:t>
            </w:r>
          </w:p>
        </w:tc>
        <w:tc>
          <w:tcPr>
            <w:tcW w:w="967" w:type="dxa"/>
            <w:tcBorders>
              <w:top w:val="single" w:sz="2" w:space="0" w:color="auto"/>
              <w:bottom w:val="single" w:sz="2" w:space="0" w:color="auto"/>
            </w:tcBorders>
            <w:vAlign w:val="bottom"/>
          </w:tcPr>
          <w:p w14:paraId="5A1F0DA4" w14:textId="77777777" w:rsidR="006E40C9" w:rsidRDefault="006E40C9">
            <w:pPr>
              <w:pStyle w:val="MeasureTableTextRightAligned"/>
            </w:pPr>
            <w:r>
              <w:t>85</w:t>
            </w:r>
          </w:p>
        </w:tc>
        <w:tc>
          <w:tcPr>
            <w:tcW w:w="967" w:type="dxa"/>
            <w:gridSpan w:val="2"/>
            <w:tcBorders>
              <w:top w:val="single" w:sz="2" w:space="0" w:color="auto"/>
              <w:bottom w:val="single" w:sz="2" w:space="0" w:color="auto"/>
            </w:tcBorders>
            <w:vAlign w:val="bottom"/>
          </w:tcPr>
          <w:p w14:paraId="745B32C7"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69B7F334" w14:textId="77777777" w:rsidR="006E40C9" w:rsidRDefault="006E40C9">
            <w:pPr>
              <w:pStyle w:val="MeasureTableTextRightAligned"/>
            </w:pPr>
            <w:r>
              <w:t>95</w:t>
            </w:r>
          </w:p>
        </w:tc>
        <w:tc>
          <w:tcPr>
            <w:tcW w:w="968" w:type="dxa"/>
            <w:tcBorders>
              <w:top w:val="single" w:sz="2" w:space="0" w:color="auto"/>
              <w:bottom w:val="single" w:sz="2" w:space="0" w:color="auto"/>
            </w:tcBorders>
            <w:vAlign w:val="bottom"/>
          </w:tcPr>
          <w:p w14:paraId="50F9F5EB" w14:textId="77777777" w:rsidR="006E40C9" w:rsidRDefault="006E40C9">
            <w:pPr>
              <w:pStyle w:val="MeasureTableTextRightAligned"/>
            </w:pPr>
            <w:r>
              <w:t>100</w:t>
            </w:r>
          </w:p>
        </w:tc>
      </w:tr>
      <w:tr w:rsidR="006E40C9" w14:paraId="02F2F263" w14:textId="77777777">
        <w:trPr>
          <w:cantSplit/>
          <w:jc w:val="center"/>
        </w:trPr>
        <w:tc>
          <w:tcPr>
            <w:tcW w:w="1934" w:type="dxa"/>
            <w:gridSpan w:val="2"/>
            <w:tcBorders>
              <w:top w:val="single" w:sz="2" w:space="0" w:color="auto"/>
              <w:bottom w:val="nil"/>
            </w:tcBorders>
          </w:tcPr>
          <w:p w14:paraId="0A04F2D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E489D3" w14:textId="77777777" w:rsidR="006E40C9" w:rsidRDefault="006E40C9">
            <w:pPr>
              <w:pStyle w:val="MeasureTableTextLeftAligned"/>
            </w:pPr>
            <w:r>
              <w:t>Exemption</w:t>
            </w:r>
          </w:p>
        </w:tc>
        <w:tc>
          <w:tcPr>
            <w:tcW w:w="1500" w:type="dxa"/>
            <w:gridSpan w:val="2"/>
            <w:tcBorders>
              <w:top w:val="single" w:sz="2" w:space="0" w:color="auto"/>
              <w:bottom w:val="nil"/>
            </w:tcBorders>
          </w:tcPr>
          <w:p w14:paraId="2C88698D" w14:textId="3F5BC13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846107B" w14:textId="77777777" w:rsidR="006E40C9" w:rsidRDefault="006E40C9">
            <w:pPr>
              <w:pStyle w:val="MeasureTableTextLeftAligned"/>
            </w:pPr>
            <w:r>
              <w:t>D30</w:t>
            </w:r>
          </w:p>
        </w:tc>
      </w:tr>
      <w:tr w:rsidR="006E40C9" w14:paraId="1A9E061E" w14:textId="77777777">
        <w:trPr>
          <w:cantSplit/>
          <w:jc w:val="center"/>
        </w:trPr>
        <w:tc>
          <w:tcPr>
            <w:tcW w:w="1934" w:type="dxa"/>
            <w:gridSpan w:val="2"/>
            <w:tcBorders>
              <w:top w:val="nil"/>
              <w:bottom w:val="nil"/>
            </w:tcBorders>
          </w:tcPr>
          <w:p w14:paraId="3D4980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C731BD" w14:textId="77777777" w:rsidR="006E40C9" w:rsidRPr="00584CA7" w:rsidRDefault="006E40C9">
            <w:pPr>
              <w:pStyle w:val="MeasureTableTextLeftAligned"/>
            </w:pPr>
            <w:r>
              <w:t>Low</w:t>
            </w:r>
          </w:p>
        </w:tc>
        <w:tc>
          <w:tcPr>
            <w:tcW w:w="1500" w:type="dxa"/>
            <w:gridSpan w:val="2"/>
            <w:tcBorders>
              <w:top w:val="nil"/>
              <w:bottom w:val="nil"/>
            </w:tcBorders>
          </w:tcPr>
          <w:p w14:paraId="3FCC0603" w14:textId="77777777" w:rsidR="006E40C9" w:rsidRDefault="006E40C9">
            <w:pPr>
              <w:pStyle w:val="MeasureTableTextItalic"/>
            </w:pPr>
          </w:p>
        </w:tc>
        <w:tc>
          <w:tcPr>
            <w:tcW w:w="1124" w:type="dxa"/>
            <w:gridSpan w:val="2"/>
            <w:tcBorders>
              <w:top w:val="nil"/>
              <w:bottom w:val="nil"/>
            </w:tcBorders>
          </w:tcPr>
          <w:p w14:paraId="110F7F94" w14:textId="77777777" w:rsidR="006E40C9" w:rsidRDefault="006E40C9">
            <w:pPr>
              <w:pStyle w:val="MeasureTableTextLeftAligned"/>
            </w:pPr>
          </w:p>
        </w:tc>
      </w:tr>
      <w:tr w:rsidR="006E40C9" w14:paraId="3EE3F311" w14:textId="77777777">
        <w:trPr>
          <w:cantSplit/>
          <w:jc w:val="center"/>
        </w:trPr>
        <w:tc>
          <w:tcPr>
            <w:tcW w:w="1934" w:type="dxa"/>
            <w:gridSpan w:val="2"/>
            <w:tcBorders>
              <w:top w:val="nil"/>
              <w:bottom w:val="nil"/>
            </w:tcBorders>
          </w:tcPr>
          <w:p w14:paraId="3B5D6CF6" w14:textId="77777777" w:rsidR="006E40C9" w:rsidRDefault="006E40C9">
            <w:pPr>
              <w:pStyle w:val="MeasureTableTextItalic"/>
            </w:pPr>
            <w:r>
              <w:t>Commencement date:</w:t>
            </w:r>
          </w:p>
        </w:tc>
        <w:tc>
          <w:tcPr>
            <w:tcW w:w="3179" w:type="dxa"/>
            <w:gridSpan w:val="4"/>
            <w:tcBorders>
              <w:top w:val="nil"/>
              <w:bottom w:val="nil"/>
            </w:tcBorders>
          </w:tcPr>
          <w:p w14:paraId="0A29FED3" w14:textId="77777777" w:rsidR="006E40C9" w:rsidRDefault="006E40C9">
            <w:pPr>
              <w:pStyle w:val="MeasureTableTextLeftAligned"/>
            </w:pPr>
            <w:r>
              <w:t>1986</w:t>
            </w:r>
          </w:p>
        </w:tc>
        <w:tc>
          <w:tcPr>
            <w:tcW w:w="1500" w:type="dxa"/>
            <w:gridSpan w:val="2"/>
            <w:tcBorders>
              <w:top w:val="nil"/>
              <w:bottom w:val="nil"/>
            </w:tcBorders>
          </w:tcPr>
          <w:p w14:paraId="082195E2" w14:textId="77777777" w:rsidR="006E40C9" w:rsidRPr="00F32057" w:rsidRDefault="006E40C9">
            <w:pPr>
              <w:pStyle w:val="MeasureTableTextItalic"/>
            </w:pPr>
            <w:r>
              <w:t>Expiry date:</w:t>
            </w:r>
          </w:p>
        </w:tc>
        <w:tc>
          <w:tcPr>
            <w:tcW w:w="1124" w:type="dxa"/>
            <w:gridSpan w:val="2"/>
            <w:tcBorders>
              <w:top w:val="nil"/>
              <w:bottom w:val="nil"/>
            </w:tcBorders>
          </w:tcPr>
          <w:p w14:paraId="0B7FBF8B" w14:textId="77777777" w:rsidR="006E40C9" w:rsidRPr="00F32057" w:rsidRDefault="006E40C9">
            <w:pPr>
              <w:pStyle w:val="MeasureTableTextLeftAligned"/>
            </w:pPr>
          </w:p>
        </w:tc>
      </w:tr>
      <w:tr w:rsidR="006E40C9" w14:paraId="5BA0305C" w14:textId="77777777">
        <w:trPr>
          <w:cantSplit/>
          <w:jc w:val="center"/>
        </w:trPr>
        <w:tc>
          <w:tcPr>
            <w:tcW w:w="1934" w:type="dxa"/>
            <w:gridSpan w:val="2"/>
            <w:tcBorders>
              <w:top w:val="nil"/>
            </w:tcBorders>
          </w:tcPr>
          <w:p w14:paraId="49F09629" w14:textId="77777777" w:rsidR="006E40C9" w:rsidRDefault="006E40C9">
            <w:pPr>
              <w:pStyle w:val="MeasureTableTextItalic"/>
            </w:pPr>
            <w:r>
              <w:t>Legislative reference:</w:t>
            </w:r>
          </w:p>
        </w:tc>
        <w:tc>
          <w:tcPr>
            <w:tcW w:w="5803" w:type="dxa"/>
            <w:gridSpan w:val="8"/>
            <w:tcBorders>
              <w:top w:val="nil"/>
            </w:tcBorders>
          </w:tcPr>
          <w:p w14:paraId="2DBD8B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47(1) of the </w:t>
            </w:r>
            <w:r>
              <w:rPr>
                <w:rFonts w:ascii="Arial" w:hAnsi="Arial" w:cs="Arial"/>
                <w:i/>
                <w:iCs/>
                <w:color w:val="000000"/>
                <w:sz w:val="16"/>
                <w:szCs w:val="16"/>
              </w:rPr>
              <w:t>Fringe Benefits Tax Assessment Act 1986</w:t>
            </w:r>
          </w:p>
        </w:tc>
      </w:tr>
    </w:tbl>
    <w:p w14:paraId="2B6C2ED6" w14:textId="77777777" w:rsidR="006E40C9" w:rsidRPr="00540040" w:rsidRDefault="006E40C9" w:rsidP="006E40C9">
      <w:pPr>
        <w:pStyle w:val="MeasureTableHeading"/>
      </w:pPr>
    </w:p>
    <w:p w14:paraId="704D936B" w14:textId="77777777" w:rsidR="006E40C9" w:rsidRDefault="006E40C9" w:rsidP="006E40C9">
      <w:r>
        <w:t>Under the income tax benchmark, fringe benefits are classified as individual employee income, with the grossed-up value taxed at the employee’s marginal income tax rate. However, where an employer operates a business of providing public transport, the provision of free or discounted travel</w:t>
      </w:r>
      <w:r>
        <w:fldChar w:fldCharType="begin"/>
      </w:r>
      <w:r>
        <w:instrText xml:space="preserve"> XE "Commuter travel" </w:instrText>
      </w:r>
      <w:r>
        <w:fldChar w:fldCharType="end"/>
      </w:r>
      <w:r>
        <w:t xml:space="preserve"> (other than in an aircraft) to employees of that business for travelling to and from work is exempt from fringe benefits tax. Free or discounted travel on a scheduled metropolitan service is also exempt from fringe benefits tax. This exemption excludes benefits provided under a salary sacrifice arrangement. </w:t>
      </w:r>
      <w:r>
        <w:fldChar w:fldCharType="begin"/>
      </w:r>
      <w:r>
        <w:instrText xml:space="preserve"> XE "Fringe benefits tax:Commuter travel" </w:instrText>
      </w:r>
      <w:r>
        <w:fldChar w:fldCharType="end"/>
      </w:r>
    </w:p>
    <w:p w14:paraId="6B1D5B3E" w14:textId="77777777" w:rsidR="006E40C9" w:rsidRDefault="006E40C9" w:rsidP="00D9255A">
      <w:pPr>
        <w:pStyle w:val="TESHeading5"/>
      </w:pPr>
      <w:r>
        <w:t>D31</w:t>
      </w:r>
      <w:r>
        <w:tab/>
        <w:t>Employer contributions to secure childcare places exemption</w:t>
      </w:r>
    </w:p>
    <w:p w14:paraId="60423E9A" w14:textId="3545D15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51804F0" w14:textId="77777777">
        <w:trPr>
          <w:cantSplit/>
          <w:jc w:val="center"/>
        </w:trPr>
        <w:tc>
          <w:tcPr>
            <w:tcW w:w="967" w:type="dxa"/>
            <w:tcBorders>
              <w:top w:val="single" w:sz="2" w:space="0" w:color="auto"/>
              <w:bottom w:val="single" w:sz="2" w:space="0" w:color="auto"/>
            </w:tcBorders>
          </w:tcPr>
          <w:p w14:paraId="6868752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62755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3D4C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0B52A2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1FD99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EB362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388FD7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6F7CEB" w14:textId="77777777" w:rsidR="006E40C9" w:rsidRDefault="006E40C9">
            <w:pPr>
              <w:pStyle w:val="MeasureTableTextRightAligned"/>
            </w:pPr>
            <w:r>
              <w:t>2027-28</w:t>
            </w:r>
          </w:p>
        </w:tc>
      </w:tr>
      <w:tr w:rsidR="006E40C9" w14:paraId="20787E6B" w14:textId="77777777">
        <w:trPr>
          <w:cantSplit/>
          <w:jc w:val="center"/>
        </w:trPr>
        <w:tc>
          <w:tcPr>
            <w:tcW w:w="967" w:type="dxa"/>
            <w:tcBorders>
              <w:top w:val="single" w:sz="2" w:space="0" w:color="auto"/>
              <w:bottom w:val="single" w:sz="2" w:space="0" w:color="auto"/>
            </w:tcBorders>
          </w:tcPr>
          <w:p w14:paraId="55821C31" w14:textId="77777777" w:rsidR="006E40C9" w:rsidRDefault="006E40C9">
            <w:pPr>
              <w:pStyle w:val="MeasureTableTextRightAligned"/>
            </w:pPr>
            <w:r>
              <w:t>*</w:t>
            </w:r>
          </w:p>
        </w:tc>
        <w:tc>
          <w:tcPr>
            <w:tcW w:w="967" w:type="dxa"/>
            <w:tcBorders>
              <w:top w:val="single" w:sz="2" w:space="0" w:color="auto"/>
              <w:bottom w:val="single" w:sz="2" w:space="0" w:color="auto"/>
            </w:tcBorders>
          </w:tcPr>
          <w:p w14:paraId="7B8055B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647BF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AF44E3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69FA5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B490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1D217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9AB0AC" w14:textId="77777777" w:rsidR="006E40C9" w:rsidRDefault="006E40C9">
            <w:pPr>
              <w:pStyle w:val="MeasureTableTextRightAligned"/>
            </w:pPr>
            <w:r>
              <w:t>*</w:t>
            </w:r>
          </w:p>
        </w:tc>
      </w:tr>
      <w:tr w:rsidR="006E40C9" w14:paraId="0AE80F35" w14:textId="77777777">
        <w:trPr>
          <w:cantSplit/>
          <w:jc w:val="center"/>
        </w:trPr>
        <w:tc>
          <w:tcPr>
            <w:tcW w:w="1934" w:type="dxa"/>
            <w:gridSpan w:val="2"/>
            <w:tcBorders>
              <w:top w:val="single" w:sz="2" w:space="0" w:color="auto"/>
              <w:bottom w:val="nil"/>
            </w:tcBorders>
          </w:tcPr>
          <w:p w14:paraId="499690B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03B492D" w14:textId="77777777" w:rsidR="006E40C9" w:rsidRDefault="006E40C9">
            <w:pPr>
              <w:pStyle w:val="MeasureTableTextLeftAligned"/>
            </w:pPr>
            <w:r>
              <w:t>Exemption</w:t>
            </w:r>
          </w:p>
        </w:tc>
        <w:tc>
          <w:tcPr>
            <w:tcW w:w="1500" w:type="dxa"/>
            <w:gridSpan w:val="2"/>
            <w:tcBorders>
              <w:top w:val="single" w:sz="2" w:space="0" w:color="auto"/>
              <w:bottom w:val="nil"/>
            </w:tcBorders>
          </w:tcPr>
          <w:p w14:paraId="6D7304C2" w14:textId="187D9E1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08A7644" w14:textId="77777777" w:rsidR="006E40C9" w:rsidRDefault="006E40C9">
            <w:pPr>
              <w:pStyle w:val="MeasureTableTextLeftAligned"/>
            </w:pPr>
            <w:r>
              <w:t>D31</w:t>
            </w:r>
          </w:p>
        </w:tc>
      </w:tr>
      <w:tr w:rsidR="006E40C9" w14:paraId="130E04C9" w14:textId="77777777">
        <w:trPr>
          <w:cantSplit/>
          <w:jc w:val="center"/>
        </w:trPr>
        <w:tc>
          <w:tcPr>
            <w:tcW w:w="1934" w:type="dxa"/>
            <w:gridSpan w:val="2"/>
            <w:tcBorders>
              <w:top w:val="nil"/>
              <w:bottom w:val="nil"/>
            </w:tcBorders>
          </w:tcPr>
          <w:p w14:paraId="039C2B8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93E1077" w14:textId="77777777" w:rsidR="006E40C9" w:rsidRPr="00584CA7" w:rsidRDefault="006E40C9">
            <w:pPr>
              <w:pStyle w:val="MeasureTableTextLeftAligned"/>
            </w:pPr>
            <w:r>
              <w:t>Not Applicable</w:t>
            </w:r>
          </w:p>
        </w:tc>
        <w:tc>
          <w:tcPr>
            <w:tcW w:w="1500" w:type="dxa"/>
            <w:gridSpan w:val="2"/>
            <w:tcBorders>
              <w:top w:val="nil"/>
              <w:bottom w:val="nil"/>
            </w:tcBorders>
          </w:tcPr>
          <w:p w14:paraId="7D0A70D4" w14:textId="77777777" w:rsidR="006E40C9" w:rsidRDefault="006E40C9">
            <w:pPr>
              <w:pStyle w:val="MeasureTableTextItalic"/>
            </w:pPr>
            <w:r>
              <w:t>* Category</w:t>
            </w:r>
          </w:p>
        </w:tc>
        <w:tc>
          <w:tcPr>
            <w:tcW w:w="1124" w:type="dxa"/>
            <w:gridSpan w:val="2"/>
            <w:tcBorders>
              <w:top w:val="nil"/>
              <w:bottom w:val="nil"/>
            </w:tcBorders>
          </w:tcPr>
          <w:p w14:paraId="14977FC9" w14:textId="77777777" w:rsidR="006E40C9" w:rsidRDefault="006E40C9">
            <w:pPr>
              <w:pStyle w:val="MeasureTableTextLeftAligned"/>
            </w:pPr>
            <w:r>
              <w:t>1+</w:t>
            </w:r>
          </w:p>
        </w:tc>
      </w:tr>
      <w:tr w:rsidR="006E40C9" w14:paraId="0E60D07F" w14:textId="77777777">
        <w:trPr>
          <w:cantSplit/>
          <w:jc w:val="center"/>
        </w:trPr>
        <w:tc>
          <w:tcPr>
            <w:tcW w:w="1934" w:type="dxa"/>
            <w:gridSpan w:val="2"/>
            <w:tcBorders>
              <w:top w:val="nil"/>
              <w:bottom w:val="nil"/>
            </w:tcBorders>
          </w:tcPr>
          <w:p w14:paraId="1BDA406E" w14:textId="77777777" w:rsidR="006E40C9" w:rsidRDefault="006E40C9">
            <w:pPr>
              <w:pStyle w:val="MeasureTableTextItalic"/>
            </w:pPr>
            <w:r>
              <w:t>Commencement date:</w:t>
            </w:r>
          </w:p>
        </w:tc>
        <w:tc>
          <w:tcPr>
            <w:tcW w:w="3179" w:type="dxa"/>
            <w:gridSpan w:val="4"/>
            <w:tcBorders>
              <w:top w:val="nil"/>
              <w:bottom w:val="nil"/>
            </w:tcBorders>
          </w:tcPr>
          <w:p w14:paraId="1EE67249" w14:textId="77777777" w:rsidR="006E40C9" w:rsidRDefault="006E40C9">
            <w:pPr>
              <w:pStyle w:val="MeasureTableTextLeftAligned"/>
            </w:pPr>
            <w:r>
              <w:t>1986</w:t>
            </w:r>
          </w:p>
        </w:tc>
        <w:tc>
          <w:tcPr>
            <w:tcW w:w="1500" w:type="dxa"/>
            <w:gridSpan w:val="2"/>
            <w:tcBorders>
              <w:top w:val="nil"/>
              <w:bottom w:val="nil"/>
            </w:tcBorders>
          </w:tcPr>
          <w:p w14:paraId="09BB2873" w14:textId="77777777" w:rsidR="006E40C9" w:rsidRPr="00F32057" w:rsidRDefault="006E40C9">
            <w:pPr>
              <w:pStyle w:val="MeasureTableTextItalic"/>
            </w:pPr>
            <w:r>
              <w:t>Expiry date:</w:t>
            </w:r>
          </w:p>
        </w:tc>
        <w:tc>
          <w:tcPr>
            <w:tcW w:w="1124" w:type="dxa"/>
            <w:gridSpan w:val="2"/>
            <w:tcBorders>
              <w:top w:val="nil"/>
              <w:bottom w:val="nil"/>
            </w:tcBorders>
          </w:tcPr>
          <w:p w14:paraId="6C0B73A7" w14:textId="77777777" w:rsidR="006E40C9" w:rsidRPr="00F32057" w:rsidRDefault="006E40C9">
            <w:pPr>
              <w:pStyle w:val="MeasureTableTextLeftAligned"/>
            </w:pPr>
          </w:p>
        </w:tc>
      </w:tr>
      <w:tr w:rsidR="006E40C9" w14:paraId="31B043D6" w14:textId="77777777">
        <w:trPr>
          <w:cantSplit/>
          <w:jc w:val="center"/>
        </w:trPr>
        <w:tc>
          <w:tcPr>
            <w:tcW w:w="1934" w:type="dxa"/>
            <w:gridSpan w:val="2"/>
            <w:tcBorders>
              <w:top w:val="nil"/>
            </w:tcBorders>
          </w:tcPr>
          <w:p w14:paraId="332B514F" w14:textId="77777777" w:rsidR="006E40C9" w:rsidRDefault="006E40C9">
            <w:pPr>
              <w:pStyle w:val="MeasureTableTextItalic"/>
            </w:pPr>
            <w:r>
              <w:t>Legislative reference:</w:t>
            </w:r>
          </w:p>
        </w:tc>
        <w:tc>
          <w:tcPr>
            <w:tcW w:w="5803" w:type="dxa"/>
            <w:gridSpan w:val="8"/>
            <w:tcBorders>
              <w:top w:val="nil"/>
            </w:tcBorders>
          </w:tcPr>
          <w:p w14:paraId="1FDB0DE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47(8) of the </w:t>
            </w:r>
            <w:r>
              <w:rPr>
                <w:rFonts w:ascii="Arial" w:hAnsi="Arial" w:cs="Arial"/>
                <w:i/>
                <w:iCs/>
                <w:color w:val="000000"/>
                <w:sz w:val="16"/>
                <w:szCs w:val="16"/>
              </w:rPr>
              <w:t>Fringe Benefits Tax Assessment Act 1986</w:t>
            </w:r>
          </w:p>
        </w:tc>
      </w:tr>
    </w:tbl>
    <w:p w14:paraId="52272D13" w14:textId="77777777" w:rsidR="006E40C9" w:rsidRPr="00540040" w:rsidRDefault="006E40C9" w:rsidP="006E40C9">
      <w:pPr>
        <w:pStyle w:val="MeasureTableHeading"/>
      </w:pPr>
    </w:p>
    <w:p w14:paraId="43F924EB" w14:textId="77777777" w:rsidR="006E40C9" w:rsidRDefault="006E40C9" w:rsidP="006E40C9">
      <w:r>
        <w:t>Under the income tax benchmark, fringe benefits are classified as individual employee income, with the grossed-up value taxed at the employee’s marginal income tax rate. However, payments made by employers to obtain priority access to approved child care services</w:t>
      </w:r>
      <w:r>
        <w:fldChar w:fldCharType="begin"/>
      </w:r>
      <w:r>
        <w:instrText xml:space="preserve"> XE "Child care:Facilities" </w:instrText>
      </w:r>
      <w:r>
        <w:fldChar w:fldCharType="end"/>
      </w:r>
      <w:r>
        <w:t xml:space="preserve"> for children of employees are exempt from fringe benefits tax. </w:t>
      </w:r>
    </w:p>
    <w:p w14:paraId="480A1E3E" w14:textId="77777777" w:rsidR="006E40C9" w:rsidRDefault="006E40C9" w:rsidP="00D9255A">
      <w:pPr>
        <w:pStyle w:val="TESHeading5"/>
      </w:pPr>
      <w:r>
        <w:t>D32</w:t>
      </w:r>
      <w:r>
        <w:tab/>
        <w:t>Employer-provided motor vehicle parking exemptions</w:t>
      </w:r>
    </w:p>
    <w:p w14:paraId="47370651" w14:textId="25398E22"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52851C9" w14:textId="77777777">
        <w:trPr>
          <w:cantSplit/>
          <w:jc w:val="center"/>
        </w:trPr>
        <w:tc>
          <w:tcPr>
            <w:tcW w:w="967" w:type="dxa"/>
            <w:tcBorders>
              <w:top w:val="single" w:sz="2" w:space="0" w:color="auto"/>
              <w:bottom w:val="single" w:sz="2" w:space="0" w:color="auto"/>
            </w:tcBorders>
          </w:tcPr>
          <w:p w14:paraId="24FA2A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C3B02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E72C7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5A1C1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90BC3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91F2D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A1EAA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56F9808" w14:textId="77777777" w:rsidR="006E40C9" w:rsidRDefault="006E40C9">
            <w:pPr>
              <w:pStyle w:val="MeasureTableTextRightAligned"/>
            </w:pPr>
            <w:r>
              <w:t>2027-28</w:t>
            </w:r>
          </w:p>
        </w:tc>
      </w:tr>
      <w:tr w:rsidR="006E40C9" w14:paraId="008AE8B0" w14:textId="77777777">
        <w:trPr>
          <w:cantSplit/>
          <w:jc w:val="center"/>
        </w:trPr>
        <w:tc>
          <w:tcPr>
            <w:tcW w:w="967" w:type="dxa"/>
            <w:tcBorders>
              <w:top w:val="single" w:sz="2" w:space="0" w:color="auto"/>
              <w:bottom w:val="single" w:sz="2" w:space="0" w:color="auto"/>
            </w:tcBorders>
          </w:tcPr>
          <w:p w14:paraId="76D64E8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69082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0F74E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9289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B9C1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3ED9F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3D22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5509C5A" w14:textId="77777777" w:rsidR="006E40C9" w:rsidRDefault="006E40C9">
            <w:pPr>
              <w:pStyle w:val="MeasureTableTextRightAligned"/>
            </w:pPr>
            <w:r>
              <w:t>*</w:t>
            </w:r>
          </w:p>
        </w:tc>
      </w:tr>
      <w:tr w:rsidR="006E40C9" w14:paraId="3A937247" w14:textId="77777777">
        <w:trPr>
          <w:cantSplit/>
          <w:jc w:val="center"/>
        </w:trPr>
        <w:tc>
          <w:tcPr>
            <w:tcW w:w="1934" w:type="dxa"/>
            <w:gridSpan w:val="2"/>
            <w:tcBorders>
              <w:top w:val="single" w:sz="2" w:space="0" w:color="auto"/>
              <w:bottom w:val="nil"/>
            </w:tcBorders>
          </w:tcPr>
          <w:p w14:paraId="6C0D600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82AFB29" w14:textId="77777777" w:rsidR="006E40C9" w:rsidRDefault="006E40C9">
            <w:pPr>
              <w:pStyle w:val="MeasureTableTextLeftAligned"/>
            </w:pPr>
            <w:r>
              <w:t>Exemption</w:t>
            </w:r>
          </w:p>
        </w:tc>
        <w:tc>
          <w:tcPr>
            <w:tcW w:w="1500" w:type="dxa"/>
            <w:gridSpan w:val="2"/>
            <w:tcBorders>
              <w:top w:val="single" w:sz="2" w:space="0" w:color="auto"/>
              <w:bottom w:val="nil"/>
            </w:tcBorders>
          </w:tcPr>
          <w:p w14:paraId="03F245DD" w14:textId="3BB353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6EED54" w14:textId="77777777" w:rsidR="006E40C9" w:rsidRDefault="006E40C9">
            <w:pPr>
              <w:pStyle w:val="MeasureTableTextLeftAligned"/>
            </w:pPr>
            <w:r>
              <w:t>D32</w:t>
            </w:r>
          </w:p>
        </w:tc>
      </w:tr>
      <w:tr w:rsidR="006E40C9" w14:paraId="453E6217" w14:textId="77777777">
        <w:trPr>
          <w:cantSplit/>
          <w:jc w:val="center"/>
        </w:trPr>
        <w:tc>
          <w:tcPr>
            <w:tcW w:w="1934" w:type="dxa"/>
            <w:gridSpan w:val="2"/>
            <w:tcBorders>
              <w:top w:val="nil"/>
              <w:bottom w:val="nil"/>
            </w:tcBorders>
          </w:tcPr>
          <w:p w14:paraId="4593E19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13976" w14:textId="77777777" w:rsidR="006E40C9" w:rsidRPr="00584CA7" w:rsidRDefault="006E40C9">
            <w:pPr>
              <w:pStyle w:val="MeasureTableTextLeftAligned"/>
            </w:pPr>
            <w:r>
              <w:t>Not Applicable</w:t>
            </w:r>
          </w:p>
        </w:tc>
        <w:tc>
          <w:tcPr>
            <w:tcW w:w="1500" w:type="dxa"/>
            <w:gridSpan w:val="2"/>
            <w:tcBorders>
              <w:top w:val="nil"/>
              <w:bottom w:val="nil"/>
            </w:tcBorders>
          </w:tcPr>
          <w:p w14:paraId="42465024" w14:textId="77777777" w:rsidR="006E40C9" w:rsidRDefault="006E40C9">
            <w:pPr>
              <w:pStyle w:val="MeasureTableTextItalic"/>
            </w:pPr>
            <w:r>
              <w:t>* Category</w:t>
            </w:r>
          </w:p>
        </w:tc>
        <w:tc>
          <w:tcPr>
            <w:tcW w:w="1124" w:type="dxa"/>
            <w:gridSpan w:val="2"/>
            <w:tcBorders>
              <w:top w:val="nil"/>
              <w:bottom w:val="nil"/>
            </w:tcBorders>
          </w:tcPr>
          <w:p w14:paraId="1E7D3A9D" w14:textId="77777777" w:rsidR="006E40C9" w:rsidRDefault="006E40C9">
            <w:pPr>
              <w:pStyle w:val="MeasureTableTextLeftAligned"/>
            </w:pPr>
            <w:r>
              <w:t>2+</w:t>
            </w:r>
          </w:p>
        </w:tc>
      </w:tr>
      <w:tr w:rsidR="006E40C9" w14:paraId="6F4E4356" w14:textId="77777777">
        <w:trPr>
          <w:cantSplit/>
          <w:jc w:val="center"/>
        </w:trPr>
        <w:tc>
          <w:tcPr>
            <w:tcW w:w="1934" w:type="dxa"/>
            <w:gridSpan w:val="2"/>
            <w:tcBorders>
              <w:top w:val="nil"/>
              <w:bottom w:val="nil"/>
            </w:tcBorders>
          </w:tcPr>
          <w:p w14:paraId="0545EA05" w14:textId="77777777" w:rsidR="006E40C9" w:rsidRDefault="006E40C9">
            <w:pPr>
              <w:pStyle w:val="MeasureTableTextItalic"/>
            </w:pPr>
            <w:r>
              <w:t>Commencement date:</w:t>
            </w:r>
          </w:p>
        </w:tc>
        <w:tc>
          <w:tcPr>
            <w:tcW w:w="3179" w:type="dxa"/>
            <w:gridSpan w:val="4"/>
            <w:tcBorders>
              <w:top w:val="nil"/>
              <w:bottom w:val="nil"/>
            </w:tcBorders>
          </w:tcPr>
          <w:p w14:paraId="662F773D" w14:textId="77777777" w:rsidR="006E40C9" w:rsidRDefault="006E40C9">
            <w:pPr>
              <w:pStyle w:val="MeasureTableTextLeftAligned"/>
            </w:pPr>
            <w:r>
              <w:t>1986</w:t>
            </w:r>
          </w:p>
        </w:tc>
        <w:tc>
          <w:tcPr>
            <w:tcW w:w="1500" w:type="dxa"/>
            <w:gridSpan w:val="2"/>
            <w:tcBorders>
              <w:top w:val="nil"/>
              <w:bottom w:val="nil"/>
            </w:tcBorders>
          </w:tcPr>
          <w:p w14:paraId="45FE4C8E" w14:textId="77777777" w:rsidR="006E40C9" w:rsidRPr="00F32057" w:rsidRDefault="006E40C9">
            <w:pPr>
              <w:pStyle w:val="MeasureTableTextItalic"/>
            </w:pPr>
            <w:r>
              <w:t>Expiry date:</w:t>
            </w:r>
          </w:p>
        </w:tc>
        <w:tc>
          <w:tcPr>
            <w:tcW w:w="1124" w:type="dxa"/>
            <w:gridSpan w:val="2"/>
            <w:tcBorders>
              <w:top w:val="nil"/>
              <w:bottom w:val="nil"/>
            </w:tcBorders>
          </w:tcPr>
          <w:p w14:paraId="47CBC4EB" w14:textId="77777777" w:rsidR="006E40C9" w:rsidRPr="00F32057" w:rsidRDefault="006E40C9">
            <w:pPr>
              <w:pStyle w:val="MeasureTableTextLeftAligned"/>
            </w:pPr>
          </w:p>
        </w:tc>
      </w:tr>
      <w:tr w:rsidR="006E40C9" w14:paraId="1764EB74" w14:textId="77777777">
        <w:trPr>
          <w:cantSplit/>
          <w:jc w:val="center"/>
        </w:trPr>
        <w:tc>
          <w:tcPr>
            <w:tcW w:w="1934" w:type="dxa"/>
            <w:gridSpan w:val="2"/>
            <w:tcBorders>
              <w:top w:val="nil"/>
            </w:tcBorders>
          </w:tcPr>
          <w:p w14:paraId="287A1D86" w14:textId="77777777" w:rsidR="006E40C9" w:rsidRDefault="006E40C9">
            <w:pPr>
              <w:pStyle w:val="MeasureTableTextItalic"/>
            </w:pPr>
            <w:r>
              <w:t>Legislative reference:</w:t>
            </w:r>
          </w:p>
        </w:tc>
        <w:tc>
          <w:tcPr>
            <w:tcW w:w="5803" w:type="dxa"/>
            <w:gridSpan w:val="8"/>
            <w:tcBorders>
              <w:top w:val="nil"/>
            </w:tcBorders>
          </w:tcPr>
          <w:p w14:paraId="6FCB6B14"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Section 58G of the</w:t>
            </w:r>
            <w:r>
              <w:rPr>
                <w:rFonts w:ascii="Arial" w:hAnsi="Arial" w:cs="Arial"/>
                <w:i/>
                <w:iCs/>
                <w:color w:val="000000"/>
                <w:sz w:val="16"/>
                <w:szCs w:val="16"/>
              </w:rPr>
              <w:t xml:space="preserve"> Fringe Benefits Tax Assessment Act 1986</w:t>
            </w:r>
          </w:p>
          <w:p w14:paraId="69D7D0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Regulations 12 and 14 of the </w:t>
            </w:r>
            <w:r>
              <w:rPr>
                <w:rFonts w:ascii="Arial" w:hAnsi="Arial" w:cs="Arial"/>
                <w:i/>
                <w:iCs/>
                <w:color w:val="000000"/>
                <w:sz w:val="16"/>
                <w:szCs w:val="16"/>
              </w:rPr>
              <w:t>Fringe Benefits Tax Assessment Regulations 2018</w:t>
            </w:r>
          </w:p>
        </w:tc>
      </w:tr>
    </w:tbl>
    <w:p w14:paraId="15A9778B" w14:textId="77777777" w:rsidR="006E40C9" w:rsidRPr="00540040" w:rsidRDefault="006E40C9" w:rsidP="006E40C9">
      <w:pPr>
        <w:pStyle w:val="MeasureTableHeading"/>
      </w:pPr>
    </w:p>
    <w:p w14:paraId="215BBE07" w14:textId="77777777" w:rsidR="006E40C9" w:rsidRDefault="006E40C9" w:rsidP="006E40C9">
      <w:r w:rsidRPr="00CE2F3E">
        <w:t xml:space="preserve"> </w:t>
      </w:r>
      <w:r>
        <w:t>Under the income tax benchmark, fringe benefits are classified as individual employee income, with the grossed-up value taxed at the employee’s marginal income tax rate. However, parking for disabled employees,</w:t>
      </w:r>
      <w:r>
        <w:fldChar w:fldCharType="begin"/>
      </w:r>
      <w:r>
        <w:instrText xml:space="preserve"> XE "Fringe benefits tax:Car parking benefits" </w:instrText>
      </w:r>
      <w:r>
        <w:fldChar w:fldCharType="end"/>
      </w:r>
      <w:r>
        <w:t xml:space="preserve"> and for employees of scientific, religious, charitable or other public educational institutions, is exempt from fringe benefits tax.</w:t>
      </w:r>
    </w:p>
    <w:p w14:paraId="5795E4AA" w14:textId="49E1544B" w:rsidR="006E40C9" w:rsidRDefault="006E40C9" w:rsidP="00D9255A">
      <w:pPr>
        <w:pStyle w:val="TESHeading5"/>
      </w:pPr>
      <w:r>
        <w:t>D33</w:t>
      </w:r>
      <w:r>
        <w:tab/>
        <w:t xml:space="preserve">Exemption for </w:t>
      </w:r>
      <w:r w:rsidR="00403698">
        <w:t>e</w:t>
      </w:r>
      <w:r>
        <w:t xml:space="preserve">lectric </w:t>
      </w:r>
      <w:r w:rsidR="00403698">
        <w:t>v</w:t>
      </w:r>
      <w:r>
        <w:t>ehicles</w:t>
      </w:r>
    </w:p>
    <w:p w14:paraId="2C722A98" w14:textId="401C248F"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FEB5F91" w14:textId="77777777">
        <w:trPr>
          <w:cantSplit/>
          <w:jc w:val="center"/>
        </w:trPr>
        <w:tc>
          <w:tcPr>
            <w:tcW w:w="967" w:type="dxa"/>
            <w:tcBorders>
              <w:top w:val="single" w:sz="2" w:space="0" w:color="auto"/>
              <w:bottom w:val="single" w:sz="2" w:space="0" w:color="auto"/>
            </w:tcBorders>
          </w:tcPr>
          <w:p w14:paraId="32D8E51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D924A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5F11B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836D85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176DE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CE03C8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17E68B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835F4A" w14:textId="77777777" w:rsidR="006E40C9" w:rsidRDefault="006E40C9">
            <w:pPr>
              <w:pStyle w:val="MeasureTableTextRightAligned"/>
            </w:pPr>
            <w:r>
              <w:t>2027-28</w:t>
            </w:r>
          </w:p>
        </w:tc>
      </w:tr>
      <w:tr w:rsidR="006E40C9" w14:paraId="2788D220" w14:textId="77777777">
        <w:trPr>
          <w:cantSplit/>
          <w:jc w:val="center"/>
        </w:trPr>
        <w:tc>
          <w:tcPr>
            <w:tcW w:w="967" w:type="dxa"/>
            <w:tcBorders>
              <w:top w:val="single" w:sz="2" w:space="0" w:color="auto"/>
              <w:bottom w:val="single" w:sz="2" w:space="0" w:color="auto"/>
            </w:tcBorders>
          </w:tcPr>
          <w:p w14:paraId="73BE14AA"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2BB98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79BFAB"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2FBAE979" w14:textId="77777777" w:rsidR="006E40C9" w:rsidRDefault="006E40C9">
            <w:pPr>
              <w:pStyle w:val="MeasureTableTextRightAligned"/>
            </w:pPr>
            <w:r>
              <w:t>145</w:t>
            </w:r>
          </w:p>
        </w:tc>
        <w:tc>
          <w:tcPr>
            <w:tcW w:w="967" w:type="dxa"/>
            <w:tcBorders>
              <w:top w:val="single" w:sz="2" w:space="0" w:color="auto"/>
              <w:bottom w:val="single" w:sz="2" w:space="0" w:color="auto"/>
            </w:tcBorders>
            <w:vAlign w:val="bottom"/>
          </w:tcPr>
          <w:p w14:paraId="309BA571" w14:textId="77777777" w:rsidR="006E40C9" w:rsidRDefault="006E40C9">
            <w:pPr>
              <w:pStyle w:val="MeasureTableTextRightAligned"/>
            </w:pPr>
            <w:r>
              <w:t>220</w:t>
            </w:r>
          </w:p>
        </w:tc>
        <w:tc>
          <w:tcPr>
            <w:tcW w:w="967" w:type="dxa"/>
            <w:gridSpan w:val="2"/>
            <w:tcBorders>
              <w:top w:val="single" w:sz="2" w:space="0" w:color="auto"/>
              <w:bottom w:val="single" w:sz="2" w:space="0" w:color="auto"/>
            </w:tcBorders>
            <w:vAlign w:val="bottom"/>
          </w:tcPr>
          <w:p w14:paraId="5E26BBC3" w14:textId="77777777" w:rsidR="006E40C9" w:rsidRDefault="006E40C9">
            <w:pPr>
              <w:pStyle w:val="MeasureTableTextRightAligned"/>
            </w:pPr>
            <w:r>
              <w:t>335</w:t>
            </w:r>
          </w:p>
        </w:tc>
        <w:tc>
          <w:tcPr>
            <w:tcW w:w="967" w:type="dxa"/>
            <w:gridSpan w:val="2"/>
            <w:tcBorders>
              <w:top w:val="single" w:sz="2" w:space="0" w:color="auto"/>
              <w:bottom w:val="single" w:sz="2" w:space="0" w:color="auto"/>
            </w:tcBorders>
            <w:vAlign w:val="bottom"/>
          </w:tcPr>
          <w:p w14:paraId="0EFE0E45" w14:textId="77777777" w:rsidR="006E40C9" w:rsidRDefault="006E40C9">
            <w:pPr>
              <w:pStyle w:val="MeasureTableTextRightAligned"/>
            </w:pPr>
            <w:r>
              <w:t>450</w:t>
            </w:r>
          </w:p>
        </w:tc>
        <w:tc>
          <w:tcPr>
            <w:tcW w:w="968" w:type="dxa"/>
            <w:tcBorders>
              <w:top w:val="single" w:sz="2" w:space="0" w:color="auto"/>
              <w:bottom w:val="single" w:sz="2" w:space="0" w:color="auto"/>
            </w:tcBorders>
            <w:vAlign w:val="bottom"/>
          </w:tcPr>
          <w:p w14:paraId="43762C28" w14:textId="77777777" w:rsidR="006E40C9" w:rsidRDefault="006E40C9">
            <w:pPr>
              <w:pStyle w:val="MeasureTableTextRightAligned"/>
            </w:pPr>
            <w:r>
              <w:t>585</w:t>
            </w:r>
          </w:p>
        </w:tc>
      </w:tr>
      <w:tr w:rsidR="006E40C9" w14:paraId="6E947DC2" w14:textId="77777777">
        <w:trPr>
          <w:cantSplit/>
          <w:jc w:val="center"/>
        </w:trPr>
        <w:tc>
          <w:tcPr>
            <w:tcW w:w="1934" w:type="dxa"/>
            <w:gridSpan w:val="2"/>
            <w:tcBorders>
              <w:top w:val="single" w:sz="2" w:space="0" w:color="auto"/>
              <w:bottom w:val="nil"/>
            </w:tcBorders>
          </w:tcPr>
          <w:p w14:paraId="46F1D61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6AE05BE" w14:textId="77777777" w:rsidR="006E40C9" w:rsidRDefault="006E40C9">
            <w:pPr>
              <w:pStyle w:val="MeasureTableTextLeftAligned"/>
            </w:pPr>
            <w:r>
              <w:t>Exemption</w:t>
            </w:r>
          </w:p>
        </w:tc>
        <w:tc>
          <w:tcPr>
            <w:tcW w:w="1500" w:type="dxa"/>
            <w:gridSpan w:val="2"/>
            <w:tcBorders>
              <w:top w:val="single" w:sz="2" w:space="0" w:color="auto"/>
              <w:bottom w:val="nil"/>
            </w:tcBorders>
          </w:tcPr>
          <w:p w14:paraId="1D1F3360" w14:textId="136B257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02AC30" w14:textId="77777777" w:rsidR="006E40C9" w:rsidRDefault="006E40C9">
            <w:pPr>
              <w:pStyle w:val="MeasureTableTextLeftAligned"/>
            </w:pPr>
            <w:r>
              <w:t>D33</w:t>
            </w:r>
          </w:p>
        </w:tc>
      </w:tr>
      <w:tr w:rsidR="006E40C9" w14:paraId="620E348F" w14:textId="77777777">
        <w:trPr>
          <w:cantSplit/>
          <w:jc w:val="center"/>
        </w:trPr>
        <w:tc>
          <w:tcPr>
            <w:tcW w:w="1934" w:type="dxa"/>
            <w:gridSpan w:val="2"/>
            <w:tcBorders>
              <w:top w:val="nil"/>
              <w:bottom w:val="nil"/>
            </w:tcBorders>
          </w:tcPr>
          <w:p w14:paraId="51A970E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C5CA694" w14:textId="027F6C78"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396F6E1B" w14:textId="77777777" w:rsidR="006E40C9" w:rsidRDefault="006E40C9">
            <w:pPr>
              <w:pStyle w:val="MeasureTableTextItalic"/>
            </w:pPr>
          </w:p>
        </w:tc>
        <w:tc>
          <w:tcPr>
            <w:tcW w:w="1124" w:type="dxa"/>
            <w:gridSpan w:val="2"/>
            <w:tcBorders>
              <w:top w:val="nil"/>
              <w:bottom w:val="nil"/>
            </w:tcBorders>
          </w:tcPr>
          <w:p w14:paraId="02DFE2D8" w14:textId="77777777" w:rsidR="006E40C9" w:rsidRDefault="006E40C9">
            <w:pPr>
              <w:pStyle w:val="MeasureTableTextLeftAligned"/>
            </w:pPr>
          </w:p>
        </w:tc>
      </w:tr>
      <w:tr w:rsidR="006E40C9" w14:paraId="57B09888" w14:textId="77777777">
        <w:trPr>
          <w:cantSplit/>
          <w:jc w:val="center"/>
        </w:trPr>
        <w:tc>
          <w:tcPr>
            <w:tcW w:w="1934" w:type="dxa"/>
            <w:gridSpan w:val="2"/>
            <w:tcBorders>
              <w:top w:val="nil"/>
              <w:bottom w:val="nil"/>
            </w:tcBorders>
          </w:tcPr>
          <w:p w14:paraId="560345B7" w14:textId="77777777" w:rsidR="006E40C9" w:rsidRDefault="006E40C9">
            <w:pPr>
              <w:pStyle w:val="MeasureTableTextItalic"/>
            </w:pPr>
            <w:r>
              <w:t>Commencement date:</w:t>
            </w:r>
          </w:p>
        </w:tc>
        <w:tc>
          <w:tcPr>
            <w:tcW w:w="3179" w:type="dxa"/>
            <w:gridSpan w:val="4"/>
            <w:tcBorders>
              <w:top w:val="nil"/>
              <w:bottom w:val="nil"/>
            </w:tcBorders>
          </w:tcPr>
          <w:p w14:paraId="5696604F" w14:textId="77777777" w:rsidR="006E40C9" w:rsidRDefault="006E40C9">
            <w:pPr>
              <w:pStyle w:val="MeasureTableTextLeftAligned"/>
            </w:pPr>
            <w:r>
              <w:t>1 July 2022</w:t>
            </w:r>
          </w:p>
        </w:tc>
        <w:tc>
          <w:tcPr>
            <w:tcW w:w="1500" w:type="dxa"/>
            <w:gridSpan w:val="2"/>
            <w:tcBorders>
              <w:top w:val="nil"/>
              <w:bottom w:val="nil"/>
            </w:tcBorders>
          </w:tcPr>
          <w:p w14:paraId="61F9A6F1" w14:textId="77777777" w:rsidR="006E40C9" w:rsidRPr="00F32057" w:rsidRDefault="006E40C9">
            <w:pPr>
              <w:pStyle w:val="MeasureTableTextItalic"/>
            </w:pPr>
            <w:r>
              <w:t>Expiry date:</w:t>
            </w:r>
          </w:p>
        </w:tc>
        <w:tc>
          <w:tcPr>
            <w:tcW w:w="1124" w:type="dxa"/>
            <w:gridSpan w:val="2"/>
            <w:tcBorders>
              <w:top w:val="nil"/>
              <w:bottom w:val="nil"/>
            </w:tcBorders>
          </w:tcPr>
          <w:p w14:paraId="41864923" w14:textId="77777777" w:rsidR="006E40C9" w:rsidRPr="00F32057" w:rsidRDefault="006E40C9">
            <w:pPr>
              <w:pStyle w:val="MeasureTableTextLeftAligned"/>
            </w:pPr>
          </w:p>
        </w:tc>
      </w:tr>
      <w:tr w:rsidR="006E40C9" w14:paraId="2EC841CA" w14:textId="77777777">
        <w:trPr>
          <w:cantSplit/>
          <w:jc w:val="center"/>
        </w:trPr>
        <w:tc>
          <w:tcPr>
            <w:tcW w:w="1934" w:type="dxa"/>
            <w:gridSpan w:val="2"/>
            <w:tcBorders>
              <w:top w:val="nil"/>
            </w:tcBorders>
          </w:tcPr>
          <w:p w14:paraId="2CD88AED" w14:textId="77777777" w:rsidR="006E40C9" w:rsidRDefault="006E40C9">
            <w:pPr>
              <w:pStyle w:val="MeasureTableTextItalic"/>
            </w:pPr>
            <w:r>
              <w:t>Legislative reference:</w:t>
            </w:r>
          </w:p>
        </w:tc>
        <w:tc>
          <w:tcPr>
            <w:tcW w:w="5803" w:type="dxa"/>
            <w:gridSpan w:val="8"/>
            <w:tcBorders>
              <w:top w:val="nil"/>
            </w:tcBorders>
          </w:tcPr>
          <w:p w14:paraId="0A5660B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8A of the </w:t>
            </w:r>
            <w:r>
              <w:rPr>
                <w:rFonts w:ascii="Arial" w:hAnsi="Arial" w:cs="Arial"/>
                <w:i/>
                <w:iCs/>
                <w:color w:val="000000"/>
                <w:sz w:val="16"/>
                <w:szCs w:val="16"/>
              </w:rPr>
              <w:t>Fringe Benefits Tax Assessment Act 1986</w:t>
            </w:r>
          </w:p>
        </w:tc>
      </w:tr>
    </w:tbl>
    <w:p w14:paraId="5390B3E7" w14:textId="77777777" w:rsidR="006E40C9" w:rsidRPr="00540040" w:rsidRDefault="006E40C9" w:rsidP="006E40C9">
      <w:pPr>
        <w:pStyle w:val="MeasureTableHeading"/>
      </w:pPr>
    </w:p>
    <w:p w14:paraId="715296BB" w14:textId="77777777" w:rsidR="006E40C9" w:rsidRDefault="006E40C9" w:rsidP="00B76C90">
      <w:r>
        <w:t>Under the income tax benchmark, fringe benefits are classified as individual employee income, with the grossed-up value taxed at the employee’s marginal income tax rate. However, from 1 July 2022, benefits provided for battery, hydrogen fuel cell and plug</w:t>
      </w:r>
      <w:r>
        <w:noBreakHyphen/>
        <w:t xml:space="preserve">in hybrid electric cars that are below the luxury car tax threshold for fuel-efficient cars are exempt from fringe benefits tax. The car must not have been held or used before 1 July 2022. Arrangements to provide plug-in hybrid electric cars must be entered into between 1 July 2022 and 31 March 2025 to be eligible for the exemption. </w:t>
      </w:r>
    </w:p>
    <w:p w14:paraId="086D80C5" w14:textId="77777777" w:rsidR="006E40C9" w:rsidRDefault="006E40C9" w:rsidP="00D9255A">
      <w:pPr>
        <w:pStyle w:val="TESHeading5"/>
      </w:pPr>
      <w:r>
        <w:t>D34</w:t>
      </w:r>
      <w:r>
        <w:tab/>
        <w:t>Expenses for employees living away from home exemptions</w:t>
      </w:r>
    </w:p>
    <w:p w14:paraId="6BF1AA5B" w14:textId="1F58CA5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DA6D9B" w14:textId="77777777">
        <w:trPr>
          <w:cantSplit/>
          <w:jc w:val="center"/>
        </w:trPr>
        <w:tc>
          <w:tcPr>
            <w:tcW w:w="967" w:type="dxa"/>
            <w:tcBorders>
              <w:top w:val="single" w:sz="2" w:space="0" w:color="auto"/>
              <w:bottom w:val="single" w:sz="2" w:space="0" w:color="auto"/>
            </w:tcBorders>
          </w:tcPr>
          <w:p w14:paraId="312146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87E31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C1FC8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67BD2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CFBEE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4DC9AC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2AE14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10DC26" w14:textId="77777777" w:rsidR="006E40C9" w:rsidRDefault="006E40C9">
            <w:pPr>
              <w:pStyle w:val="MeasureTableTextRightAligned"/>
            </w:pPr>
            <w:r>
              <w:t>2027-28</w:t>
            </w:r>
          </w:p>
        </w:tc>
      </w:tr>
      <w:tr w:rsidR="006E40C9" w14:paraId="0540ECD2" w14:textId="77777777">
        <w:trPr>
          <w:cantSplit/>
          <w:jc w:val="center"/>
        </w:trPr>
        <w:tc>
          <w:tcPr>
            <w:tcW w:w="967" w:type="dxa"/>
            <w:tcBorders>
              <w:top w:val="single" w:sz="2" w:space="0" w:color="auto"/>
              <w:bottom w:val="single" w:sz="2" w:space="0" w:color="auto"/>
            </w:tcBorders>
          </w:tcPr>
          <w:p w14:paraId="01AB97F2" w14:textId="77777777" w:rsidR="006E40C9" w:rsidRDefault="006E40C9">
            <w:pPr>
              <w:pStyle w:val="MeasureTableTextRightAligned"/>
            </w:pPr>
            <w:r>
              <w:t>30</w:t>
            </w:r>
          </w:p>
        </w:tc>
        <w:tc>
          <w:tcPr>
            <w:tcW w:w="967" w:type="dxa"/>
            <w:tcBorders>
              <w:top w:val="single" w:sz="2" w:space="0" w:color="auto"/>
              <w:bottom w:val="single" w:sz="2" w:space="0" w:color="auto"/>
            </w:tcBorders>
          </w:tcPr>
          <w:p w14:paraId="2EF0E114" w14:textId="77777777" w:rsidR="006E40C9" w:rsidRDefault="006E40C9">
            <w:pPr>
              <w:pStyle w:val="MeasureTableTextRightAligned"/>
            </w:pPr>
            <w:r>
              <w:t>30</w:t>
            </w:r>
          </w:p>
        </w:tc>
        <w:tc>
          <w:tcPr>
            <w:tcW w:w="967" w:type="dxa"/>
            <w:tcBorders>
              <w:top w:val="single" w:sz="2" w:space="0" w:color="auto"/>
              <w:bottom w:val="single" w:sz="2" w:space="0" w:color="auto"/>
            </w:tcBorders>
            <w:vAlign w:val="bottom"/>
          </w:tcPr>
          <w:p w14:paraId="69F77EA7"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56C2BAF6" w14:textId="77777777" w:rsidR="006E40C9" w:rsidRDefault="006E40C9">
            <w:pPr>
              <w:pStyle w:val="MeasureTableTextRightAligned"/>
            </w:pPr>
            <w:r>
              <w:t>40</w:t>
            </w:r>
          </w:p>
        </w:tc>
        <w:tc>
          <w:tcPr>
            <w:tcW w:w="967" w:type="dxa"/>
            <w:tcBorders>
              <w:top w:val="single" w:sz="2" w:space="0" w:color="auto"/>
              <w:bottom w:val="single" w:sz="2" w:space="0" w:color="auto"/>
            </w:tcBorders>
            <w:vAlign w:val="bottom"/>
          </w:tcPr>
          <w:p w14:paraId="078B5799"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07AC2F19"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7397937E" w14:textId="77777777" w:rsidR="006E40C9" w:rsidRDefault="006E40C9">
            <w:pPr>
              <w:pStyle w:val="MeasureTableTextRightAligned"/>
            </w:pPr>
            <w:r>
              <w:t>40</w:t>
            </w:r>
          </w:p>
        </w:tc>
        <w:tc>
          <w:tcPr>
            <w:tcW w:w="968" w:type="dxa"/>
            <w:tcBorders>
              <w:top w:val="single" w:sz="2" w:space="0" w:color="auto"/>
              <w:bottom w:val="single" w:sz="2" w:space="0" w:color="auto"/>
            </w:tcBorders>
            <w:vAlign w:val="bottom"/>
          </w:tcPr>
          <w:p w14:paraId="19023892" w14:textId="77777777" w:rsidR="006E40C9" w:rsidRDefault="006E40C9">
            <w:pPr>
              <w:pStyle w:val="MeasureTableTextRightAligned"/>
            </w:pPr>
            <w:r>
              <w:t>40</w:t>
            </w:r>
          </w:p>
        </w:tc>
      </w:tr>
      <w:tr w:rsidR="006E40C9" w14:paraId="4F78E6D5" w14:textId="77777777">
        <w:trPr>
          <w:cantSplit/>
          <w:jc w:val="center"/>
        </w:trPr>
        <w:tc>
          <w:tcPr>
            <w:tcW w:w="1934" w:type="dxa"/>
            <w:gridSpan w:val="2"/>
            <w:tcBorders>
              <w:top w:val="single" w:sz="2" w:space="0" w:color="auto"/>
              <w:bottom w:val="nil"/>
            </w:tcBorders>
          </w:tcPr>
          <w:p w14:paraId="26C9D51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015C14" w14:textId="77777777" w:rsidR="006E40C9" w:rsidRDefault="006E40C9">
            <w:pPr>
              <w:pStyle w:val="MeasureTableTextLeftAligned"/>
            </w:pPr>
            <w:r>
              <w:t>Exemption</w:t>
            </w:r>
          </w:p>
        </w:tc>
        <w:tc>
          <w:tcPr>
            <w:tcW w:w="1500" w:type="dxa"/>
            <w:gridSpan w:val="2"/>
            <w:tcBorders>
              <w:top w:val="single" w:sz="2" w:space="0" w:color="auto"/>
              <w:bottom w:val="nil"/>
            </w:tcBorders>
          </w:tcPr>
          <w:p w14:paraId="57363AFD" w14:textId="1C889B1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81DFF0" w14:textId="77777777" w:rsidR="006E40C9" w:rsidRDefault="006E40C9">
            <w:pPr>
              <w:pStyle w:val="MeasureTableTextLeftAligned"/>
            </w:pPr>
            <w:r>
              <w:t>D34</w:t>
            </w:r>
          </w:p>
        </w:tc>
      </w:tr>
      <w:tr w:rsidR="006E40C9" w14:paraId="0BF2FD01" w14:textId="77777777">
        <w:trPr>
          <w:cantSplit/>
          <w:jc w:val="center"/>
        </w:trPr>
        <w:tc>
          <w:tcPr>
            <w:tcW w:w="1934" w:type="dxa"/>
            <w:gridSpan w:val="2"/>
            <w:tcBorders>
              <w:top w:val="nil"/>
              <w:bottom w:val="nil"/>
            </w:tcBorders>
          </w:tcPr>
          <w:p w14:paraId="6C3C61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37F03ED" w14:textId="77777777" w:rsidR="006E40C9" w:rsidRPr="00584CA7" w:rsidRDefault="006E40C9">
            <w:pPr>
              <w:pStyle w:val="MeasureTableTextLeftAligned"/>
            </w:pPr>
            <w:r>
              <w:t>Very Low</w:t>
            </w:r>
          </w:p>
        </w:tc>
        <w:tc>
          <w:tcPr>
            <w:tcW w:w="1500" w:type="dxa"/>
            <w:gridSpan w:val="2"/>
            <w:tcBorders>
              <w:top w:val="nil"/>
              <w:bottom w:val="nil"/>
            </w:tcBorders>
          </w:tcPr>
          <w:p w14:paraId="1AC67AA2" w14:textId="77777777" w:rsidR="006E40C9" w:rsidRDefault="006E40C9">
            <w:pPr>
              <w:pStyle w:val="MeasureTableTextItalic"/>
            </w:pPr>
          </w:p>
        </w:tc>
        <w:tc>
          <w:tcPr>
            <w:tcW w:w="1124" w:type="dxa"/>
            <w:gridSpan w:val="2"/>
            <w:tcBorders>
              <w:top w:val="nil"/>
              <w:bottom w:val="nil"/>
            </w:tcBorders>
          </w:tcPr>
          <w:p w14:paraId="4B5B6308" w14:textId="77777777" w:rsidR="006E40C9" w:rsidRDefault="006E40C9">
            <w:pPr>
              <w:pStyle w:val="MeasureTableTextLeftAligned"/>
            </w:pPr>
          </w:p>
        </w:tc>
      </w:tr>
      <w:tr w:rsidR="006E40C9" w14:paraId="7AF52B3F" w14:textId="77777777">
        <w:trPr>
          <w:cantSplit/>
          <w:jc w:val="center"/>
        </w:trPr>
        <w:tc>
          <w:tcPr>
            <w:tcW w:w="1934" w:type="dxa"/>
            <w:gridSpan w:val="2"/>
            <w:tcBorders>
              <w:top w:val="nil"/>
              <w:bottom w:val="nil"/>
            </w:tcBorders>
          </w:tcPr>
          <w:p w14:paraId="03E0D3B4" w14:textId="77777777" w:rsidR="006E40C9" w:rsidRDefault="006E40C9">
            <w:pPr>
              <w:pStyle w:val="MeasureTableTextItalic"/>
            </w:pPr>
            <w:r>
              <w:t>Commencement date:</w:t>
            </w:r>
          </w:p>
        </w:tc>
        <w:tc>
          <w:tcPr>
            <w:tcW w:w="3179" w:type="dxa"/>
            <w:gridSpan w:val="4"/>
            <w:tcBorders>
              <w:top w:val="nil"/>
              <w:bottom w:val="nil"/>
            </w:tcBorders>
          </w:tcPr>
          <w:p w14:paraId="632646AD" w14:textId="77777777" w:rsidR="006E40C9" w:rsidRDefault="006E40C9">
            <w:pPr>
              <w:pStyle w:val="MeasureTableTextLeftAligned"/>
            </w:pPr>
            <w:r>
              <w:t>1986</w:t>
            </w:r>
          </w:p>
        </w:tc>
        <w:tc>
          <w:tcPr>
            <w:tcW w:w="1500" w:type="dxa"/>
            <w:gridSpan w:val="2"/>
            <w:tcBorders>
              <w:top w:val="nil"/>
              <w:bottom w:val="nil"/>
            </w:tcBorders>
          </w:tcPr>
          <w:p w14:paraId="4E725415" w14:textId="77777777" w:rsidR="006E40C9" w:rsidRPr="00F32057" w:rsidRDefault="006E40C9">
            <w:pPr>
              <w:pStyle w:val="MeasureTableTextItalic"/>
            </w:pPr>
            <w:r>
              <w:t>Expiry date:</w:t>
            </w:r>
          </w:p>
        </w:tc>
        <w:tc>
          <w:tcPr>
            <w:tcW w:w="1124" w:type="dxa"/>
            <w:gridSpan w:val="2"/>
            <w:tcBorders>
              <w:top w:val="nil"/>
              <w:bottom w:val="nil"/>
            </w:tcBorders>
          </w:tcPr>
          <w:p w14:paraId="13107F6D" w14:textId="77777777" w:rsidR="006E40C9" w:rsidRPr="00F32057" w:rsidRDefault="006E40C9">
            <w:pPr>
              <w:pStyle w:val="MeasureTableTextLeftAligned"/>
            </w:pPr>
          </w:p>
        </w:tc>
      </w:tr>
      <w:tr w:rsidR="006E40C9" w14:paraId="5ACA5D9C" w14:textId="77777777">
        <w:trPr>
          <w:cantSplit/>
          <w:jc w:val="center"/>
        </w:trPr>
        <w:tc>
          <w:tcPr>
            <w:tcW w:w="1934" w:type="dxa"/>
            <w:gridSpan w:val="2"/>
            <w:tcBorders>
              <w:top w:val="nil"/>
            </w:tcBorders>
          </w:tcPr>
          <w:p w14:paraId="2A890800" w14:textId="77777777" w:rsidR="006E40C9" w:rsidRDefault="006E40C9">
            <w:pPr>
              <w:pStyle w:val="MeasureTableTextItalic"/>
            </w:pPr>
            <w:r>
              <w:t>Legislative reference:</w:t>
            </w:r>
          </w:p>
        </w:tc>
        <w:tc>
          <w:tcPr>
            <w:tcW w:w="5803" w:type="dxa"/>
            <w:gridSpan w:val="8"/>
            <w:tcBorders>
              <w:top w:val="nil"/>
            </w:tcBorders>
          </w:tcPr>
          <w:p w14:paraId="6604A21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21, 31, 47(5), 58D, 58E and 63 of the </w:t>
            </w:r>
            <w:r>
              <w:rPr>
                <w:rFonts w:ascii="Arial" w:hAnsi="Arial" w:cs="Arial"/>
                <w:i/>
                <w:iCs/>
                <w:color w:val="000000"/>
                <w:sz w:val="16"/>
                <w:szCs w:val="16"/>
              </w:rPr>
              <w:t>Fringe Benefits Tax Assessment Act 1986</w:t>
            </w:r>
          </w:p>
        </w:tc>
      </w:tr>
    </w:tbl>
    <w:p w14:paraId="2076180B" w14:textId="77777777" w:rsidR="006E40C9" w:rsidRPr="00540040" w:rsidRDefault="006E40C9" w:rsidP="006E40C9">
      <w:pPr>
        <w:pStyle w:val="MeasureTableHeading"/>
      </w:pPr>
    </w:p>
    <w:p w14:paraId="6D8526D3" w14:textId="77777777" w:rsidR="006E40C9" w:rsidRDefault="006E40C9" w:rsidP="006E40C9">
      <w:pPr>
        <w:rPr>
          <w:rFonts w:eastAsia="Calibri"/>
          <w:lang w:eastAsia="en-US"/>
        </w:rPr>
      </w:pPr>
      <w:r>
        <w:t>Under the income tax benchmark, fringe benefits are classified as individual employee income, with the grossed up value taxed at the employee’s marginal income tax rate. However, accommodation, food, household goods and payments for extra expenses provided to employees living away from their usual place of residence (in order to perform their duties of employment) are exempt from fringe benefits tax. A range of requirements must be satisfied in order to access this concession.</w:t>
      </w:r>
      <w:r>
        <w:rPr>
          <w:rFonts w:eastAsia="Calibri"/>
          <w:lang w:eastAsia="en-US"/>
        </w:rPr>
        <w:fldChar w:fldCharType="begin"/>
      </w:r>
      <w:r>
        <w:instrText xml:space="preserve"> XE "Fringe benefits tax:Expenses for employees living away from home" </w:instrText>
      </w:r>
      <w:r>
        <w:rPr>
          <w:rFonts w:eastAsia="Calibri"/>
          <w:lang w:eastAsia="en-US"/>
        </w:rPr>
        <w:fldChar w:fldCharType="end"/>
      </w:r>
    </w:p>
    <w:p w14:paraId="282F5BC6" w14:textId="77777777" w:rsidR="006E40C9" w:rsidRDefault="006E40C9" w:rsidP="00D9255A">
      <w:pPr>
        <w:pStyle w:val="TESHeading5"/>
      </w:pPr>
      <w:r>
        <w:t>D35</w:t>
      </w:r>
      <w:r>
        <w:tab/>
        <w:t>In house fringe benefits – reduction in the aggregate taxable value</w:t>
      </w:r>
    </w:p>
    <w:p w14:paraId="3BE07CCB" w14:textId="16EB2019"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9358BC" w14:textId="77777777">
        <w:trPr>
          <w:cantSplit/>
          <w:jc w:val="center"/>
        </w:trPr>
        <w:tc>
          <w:tcPr>
            <w:tcW w:w="967" w:type="dxa"/>
            <w:tcBorders>
              <w:top w:val="single" w:sz="2" w:space="0" w:color="auto"/>
              <w:bottom w:val="single" w:sz="2" w:space="0" w:color="auto"/>
            </w:tcBorders>
          </w:tcPr>
          <w:p w14:paraId="2E2044A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6F56F8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C4CA9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89BD07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98B95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0A6E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2D052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32C4D04" w14:textId="77777777" w:rsidR="006E40C9" w:rsidRDefault="006E40C9">
            <w:pPr>
              <w:pStyle w:val="MeasureTableTextRightAligned"/>
            </w:pPr>
            <w:r>
              <w:t>2027-28</w:t>
            </w:r>
          </w:p>
        </w:tc>
      </w:tr>
      <w:tr w:rsidR="006E40C9" w14:paraId="32C84537" w14:textId="77777777">
        <w:trPr>
          <w:cantSplit/>
          <w:jc w:val="center"/>
        </w:trPr>
        <w:tc>
          <w:tcPr>
            <w:tcW w:w="967" w:type="dxa"/>
            <w:tcBorders>
              <w:top w:val="single" w:sz="2" w:space="0" w:color="auto"/>
              <w:bottom w:val="single" w:sz="2" w:space="0" w:color="auto"/>
            </w:tcBorders>
          </w:tcPr>
          <w:p w14:paraId="40C00CAC" w14:textId="77777777" w:rsidR="006E40C9" w:rsidRDefault="006E40C9">
            <w:pPr>
              <w:pStyle w:val="MeasureTableTextRightAligned"/>
            </w:pPr>
            <w:r>
              <w:t>*</w:t>
            </w:r>
          </w:p>
        </w:tc>
        <w:tc>
          <w:tcPr>
            <w:tcW w:w="967" w:type="dxa"/>
            <w:tcBorders>
              <w:top w:val="single" w:sz="2" w:space="0" w:color="auto"/>
              <w:bottom w:val="single" w:sz="2" w:space="0" w:color="auto"/>
            </w:tcBorders>
          </w:tcPr>
          <w:p w14:paraId="22B2FD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AC2C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26519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1613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A04A34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EF7E7A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77DDE5B" w14:textId="77777777" w:rsidR="006E40C9" w:rsidRDefault="006E40C9">
            <w:pPr>
              <w:pStyle w:val="MeasureTableTextRightAligned"/>
            </w:pPr>
            <w:r>
              <w:t>*</w:t>
            </w:r>
          </w:p>
        </w:tc>
      </w:tr>
      <w:tr w:rsidR="006E40C9" w14:paraId="062DB675" w14:textId="77777777">
        <w:trPr>
          <w:cantSplit/>
          <w:jc w:val="center"/>
        </w:trPr>
        <w:tc>
          <w:tcPr>
            <w:tcW w:w="1934" w:type="dxa"/>
            <w:gridSpan w:val="2"/>
            <w:tcBorders>
              <w:top w:val="single" w:sz="2" w:space="0" w:color="auto"/>
              <w:bottom w:val="nil"/>
            </w:tcBorders>
          </w:tcPr>
          <w:p w14:paraId="4814281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8521341"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0FB980DA" w14:textId="6998B67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A90F5AC" w14:textId="77777777" w:rsidR="006E40C9" w:rsidRDefault="006E40C9">
            <w:pPr>
              <w:pStyle w:val="MeasureTableTextLeftAligned"/>
            </w:pPr>
            <w:r>
              <w:t>D35</w:t>
            </w:r>
          </w:p>
        </w:tc>
      </w:tr>
      <w:tr w:rsidR="006E40C9" w14:paraId="1222F677" w14:textId="77777777">
        <w:trPr>
          <w:cantSplit/>
          <w:jc w:val="center"/>
        </w:trPr>
        <w:tc>
          <w:tcPr>
            <w:tcW w:w="1934" w:type="dxa"/>
            <w:gridSpan w:val="2"/>
            <w:tcBorders>
              <w:top w:val="nil"/>
              <w:bottom w:val="nil"/>
            </w:tcBorders>
          </w:tcPr>
          <w:p w14:paraId="22BD5A5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5402335" w14:textId="77777777" w:rsidR="006E40C9" w:rsidRPr="00584CA7" w:rsidRDefault="006E40C9">
            <w:pPr>
              <w:pStyle w:val="MeasureTableTextLeftAligned"/>
            </w:pPr>
            <w:r>
              <w:t>Not Applicable</w:t>
            </w:r>
          </w:p>
        </w:tc>
        <w:tc>
          <w:tcPr>
            <w:tcW w:w="1500" w:type="dxa"/>
            <w:gridSpan w:val="2"/>
            <w:tcBorders>
              <w:top w:val="nil"/>
              <w:bottom w:val="nil"/>
            </w:tcBorders>
          </w:tcPr>
          <w:p w14:paraId="18939367" w14:textId="77777777" w:rsidR="006E40C9" w:rsidRDefault="006E40C9">
            <w:pPr>
              <w:pStyle w:val="MeasureTableTextItalic"/>
            </w:pPr>
            <w:r>
              <w:t>* Category</w:t>
            </w:r>
          </w:p>
        </w:tc>
        <w:tc>
          <w:tcPr>
            <w:tcW w:w="1124" w:type="dxa"/>
            <w:gridSpan w:val="2"/>
            <w:tcBorders>
              <w:top w:val="nil"/>
              <w:bottom w:val="nil"/>
            </w:tcBorders>
          </w:tcPr>
          <w:p w14:paraId="708AA684" w14:textId="77777777" w:rsidR="006E40C9" w:rsidRDefault="006E40C9">
            <w:pPr>
              <w:pStyle w:val="MeasureTableTextLeftAligned"/>
            </w:pPr>
            <w:r>
              <w:t>3+</w:t>
            </w:r>
          </w:p>
        </w:tc>
      </w:tr>
      <w:tr w:rsidR="006E40C9" w14:paraId="02544A9E" w14:textId="77777777">
        <w:trPr>
          <w:cantSplit/>
          <w:jc w:val="center"/>
        </w:trPr>
        <w:tc>
          <w:tcPr>
            <w:tcW w:w="1934" w:type="dxa"/>
            <w:gridSpan w:val="2"/>
            <w:tcBorders>
              <w:top w:val="nil"/>
              <w:bottom w:val="nil"/>
            </w:tcBorders>
          </w:tcPr>
          <w:p w14:paraId="6255E4E8" w14:textId="77777777" w:rsidR="006E40C9" w:rsidRDefault="006E40C9">
            <w:pPr>
              <w:pStyle w:val="MeasureTableTextItalic"/>
            </w:pPr>
            <w:r>
              <w:t>Commencement date:</w:t>
            </w:r>
          </w:p>
        </w:tc>
        <w:tc>
          <w:tcPr>
            <w:tcW w:w="3179" w:type="dxa"/>
            <w:gridSpan w:val="4"/>
            <w:tcBorders>
              <w:top w:val="nil"/>
              <w:bottom w:val="nil"/>
            </w:tcBorders>
          </w:tcPr>
          <w:p w14:paraId="143B8288" w14:textId="77777777" w:rsidR="006E40C9" w:rsidRDefault="006E40C9">
            <w:pPr>
              <w:pStyle w:val="MeasureTableTextLeftAligned"/>
            </w:pPr>
            <w:r>
              <w:t>1986</w:t>
            </w:r>
          </w:p>
        </w:tc>
        <w:tc>
          <w:tcPr>
            <w:tcW w:w="1500" w:type="dxa"/>
            <w:gridSpan w:val="2"/>
            <w:tcBorders>
              <w:top w:val="nil"/>
              <w:bottom w:val="nil"/>
            </w:tcBorders>
          </w:tcPr>
          <w:p w14:paraId="4A0B649C" w14:textId="77777777" w:rsidR="006E40C9" w:rsidRPr="00F32057" w:rsidRDefault="006E40C9">
            <w:pPr>
              <w:pStyle w:val="MeasureTableTextItalic"/>
            </w:pPr>
            <w:r>
              <w:t>Expiry date:</w:t>
            </w:r>
          </w:p>
        </w:tc>
        <w:tc>
          <w:tcPr>
            <w:tcW w:w="1124" w:type="dxa"/>
            <w:gridSpan w:val="2"/>
            <w:tcBorders>
              <w:top w:val="nil"/>
              <w:bottom w:val="nil"/>
            </w:tcBorders>
          </w:tcPr>
          <w:p w14:paraId="321FA045" w14:textId="77777777" w:rsidR="006E40C9" w:rsidRPr="00F32057" w:rsidRDefault="006E40C9">
            <w:pPr>
              <w:pStyle w:val="MeasureTableTextLeftAligned"/>
            </w:pPr>
          </w:p>
        </w:tc>
      </w:tr>
      <w:tr w:rsidR="006E40C9" w14:paraId="3B35D61A" w14:textId="77777777">
        <w:trPr>
          <w:cantSplit/>
          <w:jc w:val="center"/>
        </w:trPr>
        <w:tc>
          <w:tcPr>
            <w:tcW w:w="1934" w:type="dxa"/>
            <w:gridSpan w:val="2"/>
            <w:tcBorders>
              <w:top w:val="nil"/>
            </w:tcBorders>
          </w:tcPr>
          <w:p w14:paraId="76BF30D0" w14:textId="77777777" w:rsidR="006E40C9" w:rsidRDefault="006E40C9">
            <w:pPr>
              <w:pStyle w:val="MeasureTableTextItalic"/>
            </w:pPr>
            <w:r>
              <w:t>Legislative reference:</w:t>
            </w:r>
          </w:p>
        </w:tc>
        <w:tc>
          <w:tcPr>
            <w:tcW w:w="5803" w:type="dxa"/>
            <w:gridSpan w:val="8"/>
            <w:tcBorders>
              <w:top w:val="nil"/>
            </w:tcBorders>
          </w:tcPr>
          <w:p w14:paraId="1FC09C3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62 of the </w:t>
            </w:r>
            <w:r>
              <w:rPr>
                <w:rFonts w:ascii="Arial" w:hAnsi="Arial" w:cs="Arial"/>
                <w:i/>
                <w:iCs/>
                <w:color w:val="000000"/>
                <w:sz w:val="16"/>
                <w:szCs w:val="16"/>
              </w:rPr>
              <w:t>Fringe Benefits Tax Assessment Act 1986</w:t>
            </w:r>
          </w:p>
        </w:tc>
      </w:tr>
    </w:tbl>
    <w:p w14:paraId="1B638168" w14:textId="77777777" w:rsidR="006E40C9" w:rsidRPr="00540040" w:rsidRDefault="006E40C9" w:rsidP="006E40C9">
      <w:pPr>
        <w:pStyle w:val="MeasureTableHeading"/>
      </w:pPr>
    </w:p>
    <w:p w14:paraId="53684414" w14:textId="77777777" w:rsidR="006E40C9" w:rsidRDefault="006E40C9" w:rsidP="006E40C9">
      <w:r>
        <w:t>Under the income tax benchmark, fringe benefits are classified as individual employee income, with the grossed-up value taxed at the employee’s marginal income tax rate. However,</w:t>
      </w:r>
      <w:r>
        <w:rPr>
          <w:rFonts w:ascii="Calibri" w:hAnsi="Calibri"/>
          <w:color w:val="FF0000"/>
        </w:rPr>
        <w:t xml:space="preserve"> </w:t>
      </w:r>
      <w:r>
        <w:t>the taxable value of in</w:t>
      </w:r>
      <w:r>
        <w:noBreakHyphen/>
        <w:t xml:space="preserve">house fringe benefits (for example, goods sold by the employer to the public) provided to an employee is reduced by $1,000, or the taxable value of the benefits is reduced to zero if the benefits are less than $1,000. The reduction in taxable value does not apply where the benefits are provided under a salary sacrifice arrangement. </w:t>
      </w:r>
      <w:r>
        <w:fldChar w:fldCharType="begin"/>
      </w:r>
      <w:r>
        <w:instrText xml:space="preserve"> XE "Fringe benefits tax:In-house benefits" </w:instrText>
      </w:r>
      <w:r>
        <w:fldChar w:fldCharType="end"/>
      </w:r>
    </w:p>
    <w:p w14:paraId="6208902D" w14:textId="77777777" w:rsidR="006E40C9" w:rsidRDefault="006E40C9" w:rsidP="00D9255A">
      <w:pPr>
        <w:pStyle w:val="TESHeading5"/>
      </w:pPr>
      <w:r>
        <w:t>D36</w:t>
      </w:r>
      <w:r>
        <w:tab/>
        <w:t>Loan benefits exemption</w:t>
      </w:r>
    </w:p>
    <w:p w14:paraId="7D8FF12D" w14:textId="5A4E9B10"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7C26C1" w14:textId="77777777">
        <w:trPr>
          <w:cantSplit/>
          <w:jc w:val="center"/>
        </w:trPr>
        <w:tc>
          <w:tcPr>
            <w:tcW w:w="967" w:type="dxa"/>
            <w:tcBorders>
              <w:top w:val="single" w:sz="2" w:space="0" w:color="auto"/>
              <w:bottom w:val="single" w:sz="2" w:space="0" w:color="auto"/>
            </w:tcBorders>
          </w:tcPr>
          <w:p w14:paraId="16243B9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0EED9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2BD9C9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2DF5F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41269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7376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8A9DE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D982D0" w14:textId="77777777" w:rsidR="006E40C9" w:rsidRDefault="006E40C9">
            <w:pPr>
              <w:pStyle w:val="MeasureTableTextRightAligned"/>
            </w:pPr>
            <w:r>
              <w:t>2027-28</w:t>
            </w:r>
          </w:p>
        </w:tc>
      </w:tr>
      <w:tr w:rsidR="006E40C9" w14:paraId="77E3584B" w14:textId="77777777">
        <w:trPr>
          <w:cantSplit/>
          <w:jc w:val="center"/>
        </w:trPr>
        <w:tc>
          <w:tcPr>
            <w:tcW w:w="967" w:type="dxa"/>
            <w:tcBorders>
              <w:top w:val="single" w:sz="2" w:space="0" w:color="auto"/>
              <w:bottom w:val="single" w:sz="2" w:space="0" w:color="auto"/>
            </w:tcBorders>
          </w:tcPr>
          <w:p w14:paraId="0FE76EA4" w14:textId="77777777" w:rsidR="006E40C9" w:rsidRDefault="006E40C9">
            <w:pPr>
              <w:pStyle w:val="MeasureTableTextRightAligned"/>
            </w:pPr>
            <w:r>
              <w:t>*</w:t>
            </w:r>
          </w:p>
        </w:tc>
        <w:tc>
          <w:tcPr>
            <w:tcW w:w="967" w:type="dxa"/>
            <w:tcBorders>
              <w:top w:val="single" w:sz="2" w:space="0" w:color="auto"/>
              <w:bottom w:val="single" w:sz="2" w:space="0" w:color="auto"/>
            </w:tcBorders>
          </w:tcPr>
          <w:p w14:paraId="3C8C49B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F4DDE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F1BA6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C884F4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56B63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D99C1F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B1D91F" w14:textId="77777777" w:rsidR="006E40C9" w:rsidRDefault="006E40C9">
            <w:pPr>
              <w:pStyle w:val="MeasureTableTextRightAligned"/>
            </w:pPr>
            <w:r>
              <w:t>*</w:t>
            </w:r>
          </w:p>
        </w:tc>
      </w:tr>
      <w:tr w:rsidR="006E40C9" w14:paraId="6D372C3D" w14:textId="77777777">
        <w:trPr>
          <w:cantSplit/>
          <w:jc w:val="center"/>
        </w:trPr>
        <w:tc>
          <w:tcPr>
            <w:tcW w:w="1934" w:type="dxa"/>
            <w:gridSpan w:val="2"/>
            <w:tcBorders>
              <w:top w:val="single" w:sz="2" w:space="0" w:color="auto"/>
              <w:bottom w:val="nil"/>
            </w:tcBorders>
          </w:tcPr>
          <w:p w14:paraId="67BF33D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D35F151" w14:textId="77777777" w:rsidR="006E40C9" w:rsidRDefault="006E40C9">
            <w:pPr>
              <w:pStyle w:val="MeasureTableTextLeftAligned"/>
            </w:pPr>
            <w:r>
              <w:t>Exemption</w:t>
            </w:r>
          </w:p>
        </w:tc>
        <w:tc>
          <w:tcPr>
            <w:tcW w:w="1500" w:type="dxa"/>
            <w:gridSpan w:val="2"/>
            <w:tcBorders>
              <w:top w:val="single" w:sz="2" w:space="0" w:color="auto"/>
              <w:bottom w:val="nil"/>
            </w:tcBorders>
          </w:tcPr>
          <w:p w14:paraId="09777B35" w14:textId="571CEF2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BE5E5F" w14:textId="77777777" w:rsidR="006E40C9" w:rsidRDefault="006E40C9">
            <w:pPr>
              <w:pStyle w:val="MeasureTableTextLeftAligned"/>
            </w:pPr>
            <w:r>
              <w:t>D36</w:t>
            </w:r>
          </w:p>
        </w:tc>
      </w:tr>
      <w:tr w:rsidR="006E40C9" w14:paraId="0CAD7589" w14:textId="77777777">
        <w:trPr>
          <w:cantSplit/>
          <w:jc w:val="center"/>
        </w:trPr>
        <w:tc>
          <w:tcPr>
            <w:tcW w:w="1934" w:type="dxa"/>
            <w:gridSpan w:val="2"/>
            <w:tcBorders>
              <w:top w:val="nil"/>
              <w:bottom w:val="nil"/>
            </w:tcBorders>
          </w:tcPr>
          <w:p w14:paraId="78A9162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C47320" w14:textId="77777777" w:rsidR="006E40C9" w:rsidRPr="00584CA7" w:rsidRDefault="006E40C9">
            <w:pPr>
              <w:pStyle w:val="MeasureTableTextLeftAligned"/>
            </w:pPr>
            <w:r>
              <w:t>Not Applicable</w:t>
            </w:r>
          </w:p>
        </w:tc>
        <w:tc>
          <w:tcPr>
            <w:tcW w:w="1500" w:type="dxa"/>
            <w:gridSpan w:val="2"/>
            <w:tcBorders>
              <w:top w:val="nil"/>
              <w:bottom w:val="nil"/>
            </w:tcBorders>
          </w:tcPr>
          <w:p w14:paraId="50813DB5" w14:textId="77777777" w:rsidR="006E40C9" w:rsidRDefault="006E40C9">
            <w:pPr>
              <w:pStyle w:val="MeasureTableTextItalic"/>
            </w:pPr>
            <w:r>
              <w:t>* Category</w:t>
            </w:r>
          </w:p>
        </w:tc>
        <w:tc>
          <w:tcPr>
            <w:tcW w:w="1124" w:type="dxa"/>
            <w:gridSpan w:val="2"/>
            <w:tcBorders>
              <w:top w:val="nil"/>
              <w:bottom w:val="nil"/>
            </w:tcBorders>
          </w:tcPr>
          <w:p w14:paraId="0929339B" w14:textId="77777777" w:rsidR="006E40C9" w:rsidRDefault="006E40C9">
            <w:pPr>
              <w:pStyle w:val="MeasureTableTextLeftAligned"/>
            </w:pPr>
            <w:r>
              <w:t>1+</w:t>
            </w:r>
          </w:p>
        </w:tc>
      </w:tr>
      <w:tr w:rsidR="006E40C9" w14:paraId="2797B60B" w14:textId="77777777">
        <w:trPr>
          <w:cantSplit/>
          <w:jc w:val="center"/>
        </w:trPr>
        <w:tc>
          <w:tcPr>
            <w:tcW w:w="1934" w:type="dxa"/>
            <w:gridSpan w:val="2"/>
            <w:tcBorders>
              <w:top w:val="nil"/>
              <w:bottom w:val="nil"/>
            </w:tcBorders>
          </w:tcPr>
          <w:p w14:paraId="7582D365" w14:textId="77777777" w:rsidR="006E40C9" w:rsidRDefault="006E40C9">
            <w:pPr>
              <w:pStyle w:val="MeasureTableTextItalic"/>
            </w:pPr>
            <w:r>
              <w:t>Commencement date:</w:t>
            </w:r>
          </w:p>
        </w:tc>
        <w:tc>
          <w:tcPr>
            <w:tcW w:w="3179" w:type="dxa"/>
            <w:gridSpan w:val="4"/>
            <w:tcBorders>
              <w:top w:val="nil"/>
              <w:bottom w:val="nil"/>
            </w:tcBorders>
          </w:tcPr>
          <w:p w14:paraId="36F4C699" w14:textId="77777777" w:rsidR="006E40C9" w:rsidRDefault="006E40C9">
            <w:pPr>
              <w:pStyle w:val="MeasureTableTextLeftAligned"/>
            </w:pPr>
            <w:r>
              <w:t>1986</w:t>
            </w:r>
          </w:p>
        </w:tc>
        <w:tc>
          <w:tcPr>
            <w:tcW w:w="1500" w:type="dxa"/>
            <w:gridSpan w:val="2"/>
            <w:tcBorders>
              <w:top w:val="nil"/>
              <w:bottom w:val="nil"/>
            </w:tcBorders>
          </w:tcPr>
          <w:p w14:paraId="6773ADA0" w14:textId="77777777" w:rsidR="006E40C9" w:rsidRPr="00F32057" w:rsidRDefault="006E40C9">
            <w:pPr>
              <w:pStyle w:val="MeasureTableTextItalic"/>
            </w:pPr>
            <w:r>
              <w:t>Expiry date:</w:t>
            </w:r>
          </w:p>
        </w:tc>
        <w:tc>
          <w:tcPr>
            <w:tcW w:w="1124" w:type="dxa"/>
            <w:gridSpan w:val="2"/>
            <w:tcBorders>
              <w:top w:val="nil"/>
              <w:bottom w:val="nil"/>
            </w:tcBorders>
          </w:tcPr>
          <w:p w14:paraId="5BD8CF5B" w14:textId="77777777" w:rsidR="006E40C9" w:rsidRPr="00F32057" w:rsidRDefault="006E40C9">
            <w:pPr>
              <w:pStyle w:val="MeasureTableTextLeftAligned"/>
            </w:pPr>
          </w:p>
        </w:tc>
      </w:tr>
      <w:tr w:rsidR="006E40C9" w14:paraId="6E930BB8" w14:textId="77777777">
        <w:trPr>
          <w:cantSplit/>
          <w:jc w:val="center"/>
        </w:trPr>
        <w:tc>
          <w:tcPr>
            <w:tcW w:w="1934" w:type="dxa"/>
            <w:gridSpan w:val="2"/>
            <w:tcBorders>
              <w:top w:val="nil"/>
            </w:tcBorders>
          </w:tcPr>
          <w:p w14:paraId="022F91A0" w14:textId="77777777" w:rsidR="006E40C9" w:rsidRDefault="006E40C9">
            <w:pPr>
              <w:pStyle w:val="MeasureTableTextItalic"/>
            </w:pPr>
            <w:r>
              <w:t>Legislative reference:</w:t>
            </w:r>
          </w:p>
        </w:tc>
        <w:tc>
          <w:tcPr>
            <w:tcW w:w="5803" w:type="dxa"/>
            <w:gridSpan w:val="8"/>
            <w:tcBorders>
              <w:top w:val="nil"/>
            </w:tcBorders>
          </w:tcPr>
          <w:p w14:paraId="75F261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17 of the </w:t>
            </w:r>
            <w:r>
              <w:rPr>
                <w:rFonts w:ascii="Arial" w:hAnsi="Arial" w:cs="Arial"/>
                <w:i/>
                <w:iCs/>
                <w:color w:val="000000"/>
                <w:sz w:val="16"/>
                <w:szCs w:val="16"/>
              </w:rPr>
              <w:t>Fringe Benefits Tax Assessment Act 1986</w:t>
            </w:r>
          </w:p>
        </w:tc>
      </w:tr>
    </w:tbl>
    <w:p w14:paraId="1A3586CF" w14:textId="77777777" w:rsidR="006E40C9" w:rsidRPr="00540040" w:rsidRDefault="006E40C9" w:rsidP="006E40C9">
      <w:pPr>
        <w:pStyle w:val="MeasureTableHeading"/>
      </w:pPr>
    </w:p>
    <w:p w14:paraId="12817B82" w14:textId="77777777" w:rsidR="006E40C9" w:rsidRDefault="006E40C9" w:rsidP="006E40C9">
      <w:r>
        <w:t>Under the income tax benchmark, fringe benefits are classified as individual employee income, with the grossed-up value taxed at the employee’s marginal income tax rate. However, certain in</w:t>
      </w:r>
      <w:r>
        <w:noBreakHyphen/>
        <w:t>house loan benefits,</w:t>
      </w:r>
      <w:r>
        <w:fldChar w:fldCharType="begin"/>
      </w:r>
      <w:r>
        <w:instrText xml:space="preserve"> XE "Fringe benefits tax:Loan benefits" </w:instrText>
      </w:r>
      <w:r>
        <w:fldChar w:fldCharType="end"/>
      </w:r>
      <w:r>
        <w:t xml:space="preserve"> certain loans to employees to meet employment</w:t>
      </w:r>
      <w:r>
        <w:noBreakHyphen/>
        <w:t>related expenses and certain loans to employees to pay amounts in respect of accommodation are exempt from fringe benefits tax.</w:t>
      </w:r>
    </w:p>
    <w:p w14:paraId="0C6BE892" w14:textId="77777777" w:rsidR="006E40C9" w:rsidRDefault="006E40C9" w:rsidP="00D9255A">
      <w:pPr>
        <w:pStyle w:val="TESHeading5"/>
      </w:pPr>
      <w:r>
        <w:t>D37</w:t>
      </w:r>
      <w:r>
        <w:tab/>
        <w:t>Long service awards exemption</w:t>
      </w:r>
    </w:p>
    <w:p w14:paraId="22C5E150" w14:textId="4A02196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1E12009" w14:textId="77777777">
        <w:trPr>
          <w:cantSplit/>
          <w:jc w:val="center"/>
        </w:trPr>
        <w:tc>
          <w:tcPr>
            <w:tcW w:w="967" w:type="dxa"/>
            <w:tcBorders>
              <w:top w:val="single" w:sz="2" w:space="0" w:color="auto"/>
              <w:bottom w:val="single" w:sz="2" w:space="0" w:color="auto"/>
            </w:tcBorders>
          </w:tcPr>
          <w:p w14:paraId="1C617D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129D8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31B72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4C4A1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BC2C53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14DB2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28FB0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8341A48" w14:textId="77777777" w:rsidR="006E40C9" w:rsidRDefault="006E40C9">
            <w:pPr>
              <w:pStyle w:val="MeasureTableTextRightAligned"/>
            </w:pPr>
            <w:r>
              <w:t>2027-28</w:t>
            </w:r>
          </w:p>
        </w:tc>
      </w:tr>
      <w:tr w:rsidR="006E40C9" w14:paraId="2C2407C8" w14:textId="77777777">
        <w:trPr>
          <w:cantSplit/>
          <w:jc w:val="center"/>
        </w:trPr>
        <w:tc>
          <w:tcPr>
            <w:tcW w:w="967" w:type="dxa"/>
            <w:tcBorders>
              <w:top w:val="single" w:sz="2" w:space="0" w:color="auto"/>
              <w:bottom w:val="single" w:sz="2" w:space="0" w:color="auto"/>
            </w:tcBorders>
          </w:tcPr>
          <w:p w14:paraId="1496D7FB" w14:textId="77777777" w:rsidR="006E40C9" w:rsidRDefault="006E40C9">
            <w:pPr>
              <w:pStyle w:val="MeasureTableTextRightAligned"/>
            </w:pPr>
            <w:r>
              <w:t>*</w:t>
            </w:r>
          </w:p>
        </w:tc>
        <w:tc>
          <w:tcPr>
            <w:tcW w:w="967" w:type="dxa"/>
            <w:tcBorders>
              <w:top w:val="single" w:sz="2" w:space="0" w:color="auto"/>
              <w:bottom w:val="single" w:sz="2" w:space="0" w:color="auto"/>
            </w:tcBorders>
          </w:tcPr>
          <w:p w14:paraId="79E8826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E0DC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8198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EC35B4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791C6A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E7DD06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BB1B971" w14:textId="77777777" w:rsidR="006E40C9" w:rsidRDefault="006E40C9">
            <w:pPr>
              <w:pStyle w:val="MeasureTableTextRightAligned"/>
            </w:pPr>
            <w:r>
              <w:t>*</w:t>
            </w:r>
          </w:p>
        </w:tc>
      </w:tr>
      <w:tr w:rsidR="006E40C9" w14:paraId="611A5A9F" w14:textId="77777777">
        <w:trPr>
          <w:cantSplit/>
          <w:jc w:val="center"/>
        </w:trPr>
        <w:tc>
          <w:tcPr>
            <w:tcW w:w="1934" w:type="dxa"/>
            <w:gridSpan w:val="2"/>
            <w:tcBorders>
              <w:top w:val="single" w:sz="2" w:space="0" w:color="auto"/>
              <w:bottom w:val="nil"/>
            </w:tcBorders>
          </w:tcPr>
          <w:p w14:paraId="7D4B546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DF2D275" w14:textId="77777777" w:rsidR="006E40C9" w:rsidRDefault="006E40C9">
            <w:pPr>
              <w:pStyle w:val="MeasureTableTextLeftAligned"/>
            </w:pPr>
            <w:r>
              <w:t>Exemption</w:t>
            </w:r>
          </w:p>
        </w:tc>
        <w:tc>
          <w:tcPr>
            <w:tcW w:w="1500" w:type="dxa"/>
            <w:gridSpan w:val="2"/>
            <w:tcBorders>
              <w:top w:val="single" w:sz="2" w:space="0" w:color="auto"/>
              <w:bottom w:val="nil"/>
            </w:tcBorders>
          </w:tcPr>
          <w:p w14:paraId="7780ABE4" w14:textId="375AAB2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E4F3E6B" w14:textId="77777777" w:rsidR="006E40C9" w:rsidRDefault="006E40C9">
            <w:pPr>
              <w:pStyle w:val="MeasureTableTextLeftAligned"/>
            </w:pPr>
            <w:r>
              <w:t>D37</w:t>
            </w:r>
          </w:p>
        </w:tc>
      </w:tr>
      <w:tr w:rsidR="006E40C9" w14:paraId="5E4F6B16" w14:textId="77777777">
        <w:trPr>
          <w:cantSplit/>
          <w:jc w:val="center"/>
        </w:trPr>
        <w:tc>
          <w:tcPr>
            <w:tcW w:w="1934" w:type="dxa"/>
            <w:gridSpan w:val="2"/>
            <w:tcBorders>
              <w:top w:val="nil"/>
              <w:bottom w:val="nil"/>
            </w:tcBorders>
          </w:tcPr>
          <w:p w14:paraId="4B13781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4F35E54" w14:textId="77777777" w:rsidR="006E40C9" w:rsidRPr="00584CA7" w:rsidRDefault="006E40C9">
            <w:pPr>
              <w:pStyle w:val="MeasureTableTextLeftAligned"/>
            </w:pPr>
            <w:r>
              <w:t>Not Applicable</w:t>
            </w:r>
          </w:p>
        </w:tc>
        <w:tc>
          <w:tcPr>
            <w:tcW w:w="1500" w:type="dxa"/>
            <w:gridSpan w:val="2"/>
            <w:tcBorders>
              <w:top w:val="nil"/>
              <w:bottom w:val="nil"/>
            </w:tcBorders>
          </w:tcPr>
          <w:p w14:paraId="47769109" w14:textId="77777777" w:rsidR="006E40C9" w:rsidRDefault="006E40C9">
            <w:pPr>
              <w:pStyle w:val="MeasureTableTextItalic"/>
            </w:pPr>
            <w:r>
              <w:t>* Category</w:t>
            </w:r>
          </w:p>
        </w:tc>
        <w:tc>
          <w:tcPr>
            <w:tcW w:w="1124" w:type="dxa"/>
            <w:gridSpan w:val="2"/>
            <w:tcBorders>
              <w:top w:val="nil"/>
              <w:bottom w:val="nil"/>
            </w:tcBorders>
          </w:tcPr>
          <w:p w14:paraId="2AA6DBEA" w14:textId="77777777" w:rsidR="006E40C9" w:rsidRDefault="006E40C9">
            <w:pPr>
              <w:pStyle w:val="MeasureTableTextLeftAligned"/>
            </w:pPr>
            <w:r>
              <w:t>1+</w:t>
            </w:r>
          </w:p>
        </w:tc>
      </w:tr>
      <w:tr w:rsidR="006E40C9" w14:paraId="3E37A255" w14:textId="77777777">
        <w:trPr>
          <w:cantSplit/>
          <w:jc w:val="center"/>
        </w:trPr>
        <w:tc>
          <w:tcPr>
            <w:tcW w:w="1934" w:type="dxa"/>
            <w:gridSpan w:val="2"/>
            <w:tcBorders>
              <w:top w:val="nil"/>
              <w:bottom w:val="nil"/>
            </w:tcBorders>
          </w:tcPr>
          <w:p w14:paraId="27CC04FC" w14:textId="77777777" w:rsidR="006E40C9" w:rsidRDefault="006E40C9">
            <w:pPr>
              <w:pStyle w:val="MeasureTableTextItalic"/>
            </w:pPr>
            <w:r>
              <w:t>Commencement date:</w:t>
            </w:r>
          </w:p>
        </w:tc>
        <w:tc>
          <w:tcPr>
            <w:tcW w:w="3179" w:type="dxa"/>
            <w:gridSpan w:val="4"/>
            <w:tcBorders>
              <w:top w:val="nil"/>
              <w:bottom w:val="nil"/>
            </w:tcBorders>
          </w:tcPr>
          <w:p w14:paraId="58E7F0CA" w14:textId="77777777" w:rsidR="006E40C9" w:rsidRDefault="006E40C9">
            <w:pPr>
              <w:pStyle w:val="MeasureTableTextLeftAligned"/>
            </w:pPr>
            <w:r>
              <w:t>18 December 1987</w:t>
            </w:r>
          </w:p>
        </w:tc>
        <w:tc>
          <w:tcPr>
            <w:tcW w:w="1500" w:type="dxa"/>
            <w:gridSpan w:val="2"/>
            <w:tcBorders>
              <w:top w:val="nil"/>
              <w:bottom w:val="nil"/>
            </w:tcBorders>
          </w:tcPr>
          <w:p w14:paraId="550D6CE4" w14:textId="77777777" w:rsidR="006E40C9" w:rsidRPr="00F32057" w:rsidRDefault="006E40C9">
            <w:pPr>
              <w:pStyle w:val="MeasureTableTextItalic"/>
            </w:pPr>
            <w:r>
              <w:t>Expiry date:</w:t>
            </w:r>
          </w:p>
        </w:tc>
        <w:tc>
          <w:tcPr>
            <w:tcW w:w="1124" w:type="dxa"/>
            <w:gridSpan w:val="2"/>
            <w:tcBorders>
              <w:top w:val="nil"/>
              <w:bottom w:val="nil"/>
            </w:tcBorders>
          </w:tcPr>
          <w:p w14:paraId="7F175C2A" w14:textId="77777777" w:rsidR="006E40C9" w:rsidRPr="00F32057" w:rsidRDefault="006E40C9">
            <w:pPr>
              <w:pStyle w:val="MeasureTableTextLeftAligned"/>
            </w:pPr>
          </w:p>
        </w:tc>
      </w:tr>
      <w:tr w:rsidR="006E40C9" w14:paraId="1F10119E" w14:textId="77777777">
        <w:trPr>
          <w:cantSplit/>
          <w:jc w:val="center"/>
        </w:trPr>
        <w:tc>
          <w:tcPr>
            <w:tcW w:w="1934" w:type="dxa"/>
            <w:gridSpan w:val="2"/>
            <w:tcBorders>
              <w:top w:val="nil"/>
            </w:tcBorders>
          </w:tcPr>
          <w:p w14:paraId="775B6015" w14:textId="77777777" w:rsidR="006E40C9" w:rsidRDefault="006E40C9">
            <w:pPr>
              <w:pStyle w:val="MeasureTableTextItalic"/>
            </w:pPr>
            <w:r>
              <w:t>Legislative reference:</w:t>
            </w:r>
          </w:p>
        </w:tc>
        <w:tc>
          <w:tcPr>
            <w:tcW w:w="5803" w:type="dxa"/>
            <w:gridSpan w:val="8"/>
            <w:tcBorders>
              <w:top w:val="nil"/>
            </w:tcBorders>
          </w:tcPr>
          <w:p w14:paraId="0781F13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58Q of the </w:t>
            </w:r>
            <w:r>
              <w:rPr>
                <w:rFonts w:ascii="Arial" w:hAnsi="Arial" w:cs="Arial"/>
                <w:i/>
                <w:iCs/>
                <w:color w:val="000000"/>
                <w:sz w:val="16"/>
                <w:szCs w:val="16"/>
              </w:rPr>
              <w:t>Fringe Benefits Tax Assessment Act 1986</w:t>
            </w:r>
          </w:p>
        </w:tc>
      </w:tr>
    </w:tbl>
    <w:p w14:paraId="4680A22E" w14:textId="77777777" w:rsidR="006E40C9" w:rsidRPr="00540040" w:rsidRDefault="006E40C9" w:rsidP="006E40C9">
      <w:pPr>
        <w:pStyle w:val="MeasureTableHeading"/>
      </w:pPr>
    </w:p>
    <w:p w14:paraId="4FDA9900" w14:textId="6EA8E7E7" w:rsidR="006E40C9" w:rsidRDefault="006E40C9" w:rsidP="006E40C9">
      <w:r>
        <w:t>Under the income tax benchmark, fringe benefits are classified as individual employee income, with the grossed-up value taxed at the employee’s marginal income tax rate. However, long service awards</w:t>
      </w:r>
      <w:r>
        <w:fldChar w:fldCharType="begin"/>
      </w:r>
      <w:r>
        <w:instrText xml:space="preserve"> XE "Long service awards" </w:instrText>
      </w:r>
      <w:r>
        <w:fldChar w:fldCharType="end"/>
      </w:r>
      <w:r>
        <w:t xml:space="preserve"> granted in recognition of 15</w:t>
      </w:r>
      <w:r w:rsidR="00B76C90">
        <w:t> </w:t>
      </w:r>
      <w:r>
        <w:t>years or more service, up to a specified maximum amount, are exempt from fringe benefits tax.</w:t>
      </w:r>
    </w:p>
    <w:p w14:paraId="102C6A1F" w14:textId="77777777" w:rsidR="006E40C9" w:rsidRDefault="006E40C9" w:rsidP="00D9255A">
      <w:pPr>
        <w:pStyle w:val="TESHeading5"/>
      </w:pPr>
      <w:r>
        <w:t>D38</w:t>
      </w:r>
      <w:r>
        <w:tab/>
        <w:t>Minor benefits exemption</w:t>
      </w:r>
    </w:p>
    <w:p w14:paraId="12EFE7EE" w14:textId="62AD3DB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9C1CE1" w14:textId="77777777">
        <w:trPr>
          <w:cantSplit/>
          <w:jc w:val="center"/>
        </w:trPr>
        <w:tc>
          <w:tcPr>
            <w:tcW w:w="967" w:type="dxa"/>
            <w:tcBorders>
              <w:top w:val="single" w:sz="2" w:space="0" w:color="auto"/>
              <w:bottom w:val="single" w:sz="2" w:space="0" w:color="auto"/>
            </w:tcBorders>
          </w:tcPr>
          <w:p w14:paraId="18A13F9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D10A1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1FE4CF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DBFE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9D0418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56E26E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D6CCA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76C624" w14:textId="77777777" w:rsidR="006E40C9" w:rsidRDefault="006E40C9">
            <w:pPr>
              <w:pStyle w:val="MeasureTableTextRightAligned"/>
            </w:pPr>
            <w:r>
              <w:t>2027-28</w:t>
            </w:r>
          </w:p>
        </w:tc>
      </w:tr>
      <w:tr w:rsidR="006E40C9" w14:paraId="3BA7DDAF" w14:textId="77777777">
        <w:trPr>
          <w:cantSplit/>
          <w:jc w:val="center"/>
        </w:trPr>
        <w:tc>
          <w:tcPr>
            <w:tcW w:w="967" w:type="dxa"/>
            <w:tcBorders>
              <w:top w:val="single" w:sz="2" w:space="0" w:color="auto"/>
              <w:bottom w:val="single" w:sz="2" w:space="0" w:color="auto"/>
            </w:tcBorders>
          </w:tcPr>
          <w:p w14:paraId="2F0CE0B8"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15CB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37A8C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1537E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2C309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950BA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901D42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634337C" w14:textId="77777777" w:rsidR="006E40C9" w:rsidRDefault="006E40C9">
            <w:pPr>
              <w:pStyle w:val="MeasureTableTextRightAligned"/>
            </w:pPr>
            <w:r>
              <w:t>*</w:t>
            </w:r>
          </w:p>
        </w:tc>
      </w:tr>
      <w:tr w:rsidR="006E40C9" w14:paraId="5AB3C13F" w14:textId="77777777">
        <w:trPr>
          <w:cantSplit/>
          <w:jc w:val="center"/>
        </w:trPr>
        <w:tc>
          <w:tcPr>
            <w:tcW w:w="1934" w:type="dxa"/>
            <w:gridSpan w:val="2"/>
            <w:tcBorders>
              <w:top w:val="single" w:sz="2" w:space="0" w:color="auto"/>
              <w:bottom w:val="nil"/>
            </w:tcBorders>
          </w:tcPr>
          <w:p w14:paraId="31F060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C2986B" w14:textId="77777777" w:rsidR="006E40C9" w:rsidRDefault="006E40C9">
            <w:pPr>
              <w:pStyle w:val="MeasureTableTextLeftAligned"/>
            </w:pPr>
            <w:r>
              <w:t>Exemption</w:t>
            </w:r>
          </w:p>
        </w:tc>
        <w:tc>
          <w:tcPr>
            <w:tcW w:w="1500" w:type="dxa"/>
            <w:gridSpan w:val="2"/>
            <w:tcBorders>
              <w:top w:val="single" w:sz="2" w:space="0" w:color="auto"/>
              <w:bottom w:val="nil"/>
            </w:tcBorders>
          </w:tcPr>
          <w:p w14:paraId="5D5E2F8A" w14:textId="07921C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152A5EA" w14:textId="77777777" w:rsidR="006E40C9" w:rsidRDefault="006E40C9">
            <w:pPr>
              <w:pStyle w:val="MeasureTableTextLeftAligned"/>
            </w:pPr>
            <w:r>
              <w:t>D38</w:t>
            </w:r>
          </w:p>
        </w:tc>
      </w:tr>
      <w:tr w:rsidR="006E40C9" w14:paraId="049D0037" w14:textId="77777777">
        <w:trPr>
          <w:cantSplit/>
          <w:jc w:val="center"/>
        </w:trPr>
        <w:tc>
          <w:tcPr>
            <w:tcW w:w="1934" w:type="dxa"/>
            <w:gridSpan w:val="2"/>
            <w:tcBorders>
              <w:top w:val="nil"/>
              <w:bottom w:val="nil"/>
            </w:tcBorders>
          </w:tcPr>
          <w:p w14:paraId="3D09736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E9D9388" w14:textId="77777777" w:rsidR="006E40C9" w:rsidRPr="00584CA7" w:rsidRDefault="006E40C9">
            <w:pPr>
              <w:pStyle w:val="MeasureTableTextLeftAligned"/>
            </w:pPr>
            <w:r>
              <w:t>Not Applicable</w:t>
            </w:r>
          </w:p>
        </w:tc>
        <w:tc>
          <w:tcPr>
            <w:tcW w:w="1500" w:type="dxa"/>
            <w:gridSpan w:val="2"/>
            <w:tcBorders>
              <w:top w:val="nil"/>
              <w:bottom w:val="nil"/>
            </w:tcBorders>
          </w:tcPr>
          <w:p w14:paraId="6E31A311" w14:textId="77777777" w:rsidR="006E40C9" w:rsidRDefault="006E40C9">
            <w:pPr>
              <w:pStyle w:val="MeasureTableTextItalic"/>
            </w:pPr>
            <w:r>
              <w:t>* Category</w:t>
            </w:r>
          </w:p>
        </w:tc>
        <w:tc>
          <w:tcPr>
            <w:tcW w:w="1124" w:type="dxa"/>
            <w:gridSpan w:val="2"/>
            <w:tcBorders>
              <w:top w:val="nil"/>
              <w:bottom w:val="nil"/>
            </w:tcBorders>
          </w:tcPr>
          <w:p w14:paraId="0149BB24" w14:textId="77777777" w:rsidR="006E40C9" w:rsidRDefault="006E40C9">
            <w:pPr>
              <w:pStyle w:val="MeasureTableTextLeftAligned"/>
            </w:pPr>
            <w:r>
              <w:t>2+</w:t>
            </w:r>
          </w:p>
        </w:tc>
      </w:tr>
      <w:tr w:rsidR="006E40C9" w14:paraId="46985762" w14:textId="77777777">
        <w:trPr>
          <w:cantSplit/>
          <w:jc w:val="center"/>
        </w:trPr>
        <w:tc>
          <w:tcPr>
            <w:tcW w:w="1934" w:type="dxa"/>
            <w:gridSpan w:val="2"/>
            <w:tcBorders>
              <w:top w:val="nil"/>
              <w:bottom w:val="nil"/>
            </w:tcBorders>
          </w:tcPr>
          <w:p w14:paraId="161DF0F0" w14:textId="77777777" w:rsidR="006E40C9" w:rsidRDefault="006E40C9">
            <w:pPr>
              <w:pStyle w:val="MeasureTableTextItalic"/>
            </w:pPr>
            <w:r>
              <w:t>Commencement date:</w:t>
            </w:r>
          </w:p>
        </w:tc>
        <w:tc>
          <w:tcPr>
            <w:tcW w:w="3179" w:type="dxa"/>
            <w:gridSpan w:val="4"/>
            <w:tcBorders>
              <w:top w:val="nil"/>
              <w:bottom w:val="nil"/>
            </w:tcBorders>
          </w:tcPr>
          <w:p w14:paraId="15B0D395" w14:textId="77777777" w:rsidR="006E40C9" w:rsidRDefault="006E40C9">
            <w:pPr>
              <w:pStyle w:val="MeasureTableTextLeftAligned"/>
            </w:pPr>
            <w:r>
              <w:t>1986</w:t>
            </w:r>
          </w:p>
        </w:tc>
        <w:tc>
          <w:tcPr>
            <w:tcW w:w="1500" w:type="dxa"/>
            <w:gridSpan w:val="2"/>
            <w:tcBorders>
              <w:top w:val="nil"/>
              <w:bottom w:val="nil"/>
            </w:tcBorders>
          </w:tcPr>
          <w:p w14:paraId="3BB1ABAA" w14:textId="77777777" w:rsidR="006E40C9" w:rsidRPr="00F32057" w:rsidRDefault="006E40C9">
            <w:pPr>
              <w:pStyle w:val="MeasureTableTextItalic"/>
            </w:pPr>
            <w:r>
              <w:t>Expiry date:</w:t>
            </w:r>
          </w:p>
        </w:tc>
        <w:tc>
          <w:tcPr>
            <w:tcW w:w="1124" w:type="dxa"/>
            <w:gridSpan w:val="2"/>
            <w:tcBorders>
              <w:top w:val="nil"/>
              <w:bottom w:val="nil"/>
            </w:tcBorders>
          </w:tcPr>
          <w:p w14:paraId="2A136F0F" w14:textId="77777777" w:rsidR="006E40C9" w:rsidRPr="00F32057" w:rsidRDefault="006E40C9">
            <w:pPr>
              <w:pStyle w:val="MeasureTableTextLeftAligned"/>
            </w:pPr>
          </w:p>
        </w:tc>
      </w:tr>
      <w:tr w:rsidR="006E40C9" w14:paraId="6C93C079" w14:textId="77777777">
        <w:trPr>
          <w:cantSplit/>
          <w:jc w:val="center"/>
        </w:trPr>
        <w:tc>
          <w:tcPr>
            <w:tcW w:w="1934" w:type="dxa"/>
            <w:gridSpan w:val="2"/>
            <w:tcBorders>
              <w:top w:val="nil"/>
            </w:tcBorders>
          </w:tcPr>
          <w:p w14:paraId="5D5D28A3" w14:textId="77777777" w:rsidR="006E40C9" w:rsidRDefault="006E40C9">
            <w:pPr>
              <w:pStyle w:val="MeasureTableTextItalic"/>
            </w:pPr>
            <w:r>
              <w:t>Legislative reference:</w:t>
            </w:r>
          </w:p>
        </w:tc>
        <w:tc>
          <w:tcPr>
            <w:tcW w:w="5803" w:type="dxa"/>
            <w:gridSpan w:val="8"/>
            <w:tcBorders>
              <w:top w:val="nil"/>
            </w:tcBorders>
          </w:tcPr>
          <w:p w14:paraId="59ECCD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58P of the </w:t>
            </w:r>
            <w:r>
              <w:rPr>
                <w:rFonts w:ascii="Arial" w:hAnsi="Arial" w:cs="Arial"/>
                <w:i/>
                <w:iCs/>
                <w:color w:val="000000"/>
                <w:sz w:val="16"/>
                <w:szCs w:val="16"/>
              </w:rPr>
              <w:t>Fringe Benefits Tax Assessment Act 1986</w:t>
            </w:r>
          </w:p>
        </w:tc>
      </w:tr>
    </w:tbl>
    <w:p w14:paraId="7B4BC529" w14:textId="77777777" w:rsidR="006E40C9" w:rsidRPr="00540040" w:rsidRDefault="006E40C9" w:rsidP="006E40C9">
      <w:pPr>
        <w:pStyle w:val="MeasureTableHeading"/>
      </w:pPr>
    </w:p>
    <w:p w14:paraId="24D7A29E" w14:textId="77777777" w:rsidR="006E40C9" w:rsidRDefault="006E40C9" w:rsidP="006E40C9">
      <w:r>
        <w:t>Under the income tax benchmark, fringe benefits are classified as individual employee income, with the grossed-up value taxed at the employee’s marginal income tax rate. However, minor benefits, worth less than $300 and where it is unreasonable to treat them as fringe benefits,</w:t>
      </w:r>
      <w:r>
        <w:fldChar w:fldCharType="begin"/>
      </w:r>
      <w:r>
        <w:instrText xml:space="preserve"> XE "Fringe benefits tax:Minor benefits" </w:instrText>
      </w:r>
      <w:r>
        <w:fldChar w:fldCharType="end"/>
      </w:r>
      <w:r>
        <w:t xml:space="preserve"> are exempt from fringe benefits tax. </w:t>
      </w:r>
    </w:p>
    <w:p w14:paraId="7F865073" w14:textId="77777777" w:rsidR="006E40C9" w:rsidRDefault="006E40C9" w:rsidP="00D9255A">
      <w:pPr>
        <w:pStyle w:val="TESHeading5"/>
      </w:pPr>
      <w:r>
        <w:t>D39</w:t>
      </w:r>
      <w:r>
        <w:tab/>
        <w:t>Minor private use of company motor vehicle exemption</w:t>
      </w:r>
    </w:p>
    <w:p w14:paraId="5EC94FCD" w14:textId="4F0E007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A1C14B" w14:textId="77777777">
        <w:trPr>
          <w:cantSplit/>
          <w:jc w:val="center"/>
        </w:trPr>
        <w:tc>
          <w:tcPr>
            <w:tcW w:w="967" w:type="dxa"/>
            <w:tcBorders>
              <w:top w:val="single" w:sz="2" w:space="0" w:color="auto"/>
              <w:bottom w:val="single" w:sz="2" w:space="0" w:color="auto"/>
            </w:tcBorders>
          </w:tcPr>
          <w:p w14:paraId="6C07476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E4B5C1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C199DC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C69B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74E56F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36C3BB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A3CD05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10D3FF" w14:textId="77777777" w:rsidR="006E40C9" w:rsidRDefault="006E40C9">
            <w:pPr>
              <w:pStyle w:val="MeasureTableTextRightAligned"/>
            </w:pPr>
            <w:r>
              <w:t>2027-28</w:t>
            </w:r>
          </w:p>
        </w:tc>
      </w:tr>
      <w:tr w:rsidR="006E40C9" w14:paraId="3FDF39CD" w14:textId="77777777">
        <w:trPr>
          <w:cantSplit/>
          <w:jc w:val="center"/>
        </w:trPr>
        <w:tc>
          <w:tcPr>
            <w:tcW w:w="967" w:type="dxa"/>
            <w:tcBorders>
              <w:top w:val="single" w:sz="2" w:space="0" w:color="auto"/>
              <w:bottom w:val="single" w:sz="2" w:space="0" w:color="auto"/>
            </w:tcBorders>
          </w:tcPr>
          <w:p w14:paraId="0281240E"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50DD5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482B8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BB7B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831DF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72263D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D5C8B9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263F5F3" w14:textId="77777777" w:rsidR="006E40C9" w:rsidRDefault="006E40C9">
            <w:pPr>
              <w:pStyle w:val="MeasureTableTextRightAligned"/>
            </w:pPr>
            <w:r>
              <w:t>*</w:t>
            </w:r>
          </w:p>
        </w:tc>
      </w:tr>
      <w:tr w:rsidR="006E40C9" w14:paraId="367336A2" w14:textId="77777777">
        <w:trPr>
          <w:cantSplit/>
          <w:jc w:val="center"/>
        </w:trPr>
        <w:tc>
          <w:tcPr>
            <w:tcW w:w="1934" w:type="dxa"/>
            <w:gridSpan w:val="2"/>
            <w:tcBorders>
              <w:top w:val="single" w:sz="2" w:space="0" w:color="auto"/>
              <w:bottom w:val="nil"/>
            </w:tcBorders>
          </w:tcPr>
          <w:p w14:paraId="71B9551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E0281F0" w14:textId="77777777" w:rsidR="006E40C9" w:rsidRDefault="006E40C9">
            <w:pPr>
              <w:pStyle w:val="MeasureTableTextLeftAligned"/>
            </w:pPr>
            <w:r>
              <w:t>Exemption</w:t>
            </w:r>
          </w:p>
        </w:tc>
        <w:tc>
          <w:tcPr>
            <w:tcW w:w="1500" w:type="dxa"/>
            <w:gridSpan w:val="2"/>
            <w:tcBorders>
              <w:top w:val="single" w:sz="2" w:space="0" w:color="auto"/>
              <w:bottom w:val="nil"/>
            </w:tcBorders>
          </w:tcPr>
          <w:p w14:paraId="713FB6B7" w14:textId="581585D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451854A" w14:textId="77777777" w:rsidR="006E40C9" w:rsidRDefault="006E40C9">
            <w:pPr>
              <w:pStyle w:val="MeasureTableTextLeftAligned"/>
            </w:pPr>
            <w:r>
              <w:t>D39</w:t>
            </w:r>
          </w:p>
        </w:tc>
      </w:tr>
      <w:tr w:rsidR="006E40C9" w14:paraId="22396504" w14:textId="77777777">
        <w:trPr>
          <w:cantSplit/>
          <w:jc w:val="center"/>
        </w:trPr>
        <w:tc>
          <w:tcPr>
            <w:tcW w:w="1934" w:type="dxa"/>
            <w:gridSpan w:val="2"/>
            <w:tcBorders>
              <w:top w:val="nil"/>
              <w:bottom w:val="nil"/>
            </w:tcBorders>
          </w:tcPr>
          <w:p w14:paraId="7D03BB0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32A8450" w14:textId="77777777" w:rsidR="006E40C9" w:rsidRPr="00584CA7" w:rsidRDefault="006E40C9">
            <w:pPr>
              <w:pStyle w:val="MeasureTableTextLeftAligned"/>
            </w:pPr>
            <w:r>
              <w:t>Not Applicable</w:t>
            </w:r>
          </w:p>
        </w:tc>
        <w:tc>
          <w:tcPr>
            <w:tcW w:w="1500" w:type="dxa"/>
            <w:gridSpan w:val="2"/>
            <w:tcBorders>
              <w:top w:val="nil"/>
              <w:bottom w:val="nil"/>
            </w:tcBorders>
          </w:tcPr>
          <w:p w14:paraId="6122AE47" w14:textId="77777777" w:rsidR="006E40C9" w:rsidRDefault="006E40C9">
            <w:pPr>
              <w:pStyle w:val="MeasureTableTextItalic"/>
            </w:pPr>
            <w:r>
              <w:t>* Category</w:t>
            </w:r>
          </w:p>
        </w:tc>
        <w:tc>
          <w:tcPr>
            <w:tcW w:w="1124" w:type="dxa"/>
            <w:gridSpan w:val="2"/>
            <w:tcBorders>
              <w:top w:val="nil"/>
              <w:bottom w:val="nil"/>
            </w:tcBorders>
          </w:tcPr>
          <w:p w14:paraId="0A84C2FF" w14:textId="77777777" w:rsidR="006E40C9" w:rsidRDefault="006E40C9">
            <w:pPr>
              <w:pStyle w:val="MeasureTableTextLeftAligned"/>
            </w:pPr>
            <w:r>
              <w:t>2+</w:t>
            </w:r>
          </w:p>
        </w:tc>
      </w:tr>
      <w:tr w:rsidR="006E40C9" w14:paraId="7F8429BB" w14:textId="77777777">
        <w:trPr>
          <w:cantSplit/>
          <w:jc w:val="center"/>
        </w:trPr>
        <w:tc>
          <w:tcPr>
            <w:tcW w:w="1934" w:type="dxa"/>
            <w:gridSpan w:val="2"/>
            <w:tcBorders>
              <w:top w:val="nil"/>
              <w:bottom w:val="nil"/>
            </w:tcBorders>
          </w:tcPr>
          <w:p w14:paraId="0EE4FCA9" w14:textId="77777777" w:rsidR="006E40C9" w:rsidRDefault="006E40C9">
            <w:pPr>
              <w:pStyle w:val="MeasureTableTextItalic"/>
            </w:pPr>
            <w:r>
              <w:t>Commencement date:</w:t>
            </w:r>
          </w:p>
        </w:tc>
        <w:tc>
          <w:tcPr>
            <w:tcW w:w="3179" w:type="dxa"/>
            <w:gridSpan w:val="4"/>
            <w:tcBorders>
              <w:top w:val="nil"/>
              <w:bottom w:val="nil"/>
            </w:tcBorders>
          </w:tcPr>
          <w:p w14:paraId="01BD8756" w14:textId="77777777" w:rsidR="006E40C9" w:rsidRDefault="006E40C9">
            <w:pPr>
              <w:pStyle w:val="MeasureTableTextLeftAligned"/>
            </w:pPr>
            <w:r>
              <w:t>1986</w:t>
            </w:r>
          </w:p>
        </w:tc>
        <w:tc>
          <w:tcPr>
            <w:tcW w:w="1500" w:type="dxa"/>
            <w:gridSpan w:val="2"/>
            <w:tcBorders>
              <w:top w:val="nil"/>
              <w:bottom w:val="nil"/>
            </w:tcBorders>
          </w:tcPr>
          <w:p w14:paraId="5EFD9A99" w14:textId="77777777" w:rsidR="006E40C9" w:rsidRPr="00F32057" w:rsidRDefault="006E40C9">
            <w:pPr>
              <w:pStyle w:val="MeasureTableTextItalic"/>
            </w:pPr>
            <w:r>
              <w:t>Expiry date:</w:t>
            </w:r>
          </w:p>
        </w:tc>
        <w:tc>
          <w:tcPr>
            <w:tcW w:w="1124" w:type="dxa"/>
            <w:gridSpan w:val="2"/>
            <w:tcBorders>
              <w:top w:val="nil"/>
              <w:bottom w:val="nil"/>
            </w:tcBorders>
          </w:tcPr>
          <w:p w14:paraId="4220CDCE" w14:textId="77777777" w:rsidR="006E40C9" w:rsidRPr="00F32057" w:rsidRDefault="006E40C9">
            <w:pPr>
              <w:pStyle w:val="MeasureTableTextLeftAligned"/>
            </w:pPr>
          </w:p>
        </w:tc>
      </w:tr>
      <w:tr w:rsidR="006E40C9" w14:paraId="4A8F267C" w14:textId="77777777">
        <w:trPr>
          <w:cantSplit/>
          <w:jc w:val="center"/>
        </w:trPr>
        <w:tc>
          <w:tcPr>
            <w:tcW w:w="1934" w:type="dxa"/>
            <w:gridSpan w:val="2"/>
            <w:tcBorders>
              <w:top w:val="nil"/>
            </w:tcBorders>
          </w:tcPr>
          <w:p w14:paraId="0C41D93B" w14:textId="77777777" w:rsidR="006E40C9" w:rsidRDefault="006E40C9">
            <w:pPr>
              <w:pStyle w:val="MeasureTableTextItalic"/>
            </w:pPr>
            <w:r>
              <w:t>Legislative reference:</w:t>
            </w:r>
          </w:p>
        </w:tc>
        <w:tc>
          <w:tcPr>
            <w:tcW w:w="5803" w:type="dxa"/>
            <w:gridSpan w:val="8"/>
            <w:tcBorders>
              <w:top w:val="nil"/>
            </w:tcBorders>
          </w:tcPr>
          <w:p w14:paraId="55376E4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47(6) of the </w:t>
            </w:r>
            <w:r>
              <w:rPr>
                <w:rFonts w:ascii="Arial" w:hAnsi="Arial" w:cs="Arial"/>
                <w:i/>
                <w:iCs/>
                <w:color w:val="000000"/>
                <w:sz w:val="16"/>
                <w:szCs w:val="16"/>
              </w:rPr>
              <w:t>Fringe Benefits Tax Assessment Act 1986</w:t>
            </w:r>
          </w:p>
        </w:tc>
      </w:tr>
    </w:tbl>
    <w:p w14:paraId="70C44AD2" w14:textId="77777777" w:rsidR="006E40C9" w:rsidRPr="00540040" w:rsidRDefault="006E40C9" w:rsidP="006E40C9">
      <w:pPr>
        <w:pStyle w:val="MeasureTableHeading"/>
      </w:pPr>
    </w:p>
    <w:p w14:paraId="35774A15" w14:textId="77777777" w:rsidR="006E40C9" w:rsidRDefault="006E40C9" w:rsidP="006E40C9">
      <w:r>
        <w:t>Under the income tax benchmark, fringe benefits are classified as individual employee income, with the grossed-up value taxed at the employee’s marginal income tax rate. However, where an employee is provided with the use of a motor vehicle that is not a car, such use is exempt from fringe benefits tax if any private use is restricted to travel between home and work, use which is incidental to travel in the course of duties of employment, and non</w:t>
      </w:r>
      <w:r>
        <w:noBreakHyphen/>
        <w:t>work</w:t>
      </w:r>
      <w:r>
        <w:noBreakHyphen/>
        <w:t xml:space="preserve">related use that is minor, infrequent and irregular. </w:t>
      </w:r>
      <w:r>
        <w:fldChar w:fldCharType="begin"/>
      </w:r>
      <w:r>
        <w:instrText xml:space="preserve"> XE "</w:instrText>
      </w:r>
      <w:r>
        <w:rPr>
          <w:lang w:val="en-US"/>
        </w:rPr>
        <w:instrText>Minor private use of company motor vehicle</w:instrText>
      </w:r>
      <w:r>
        <w:instrText xml:space="preserve">" </w:instrText>
      </w:r>
      <w:r>
        <w:fldChar w:fldCharType="end"/>
      </w:r>
    </w:p>
    <w:p w14:paraId="3C61E1C5" w14:textId="77777777" w:rsidR="006E40C9" w:rsidRDefault="006E40C9" w:rsidP="00D9255A">
      <w:pPr>
        <w:pStyle w:val="TESHeading5"/>
      </w:pPr>
      <w:r>
        <w:t>D40</w:t>
      </w:r>
      <w:r>
        <w:tab/>
        <w:t>Philanthropy – exemption for donations to deductible gift recipients</w:t>
      </w:r>
    </w:p>
    <w:p w14:paraId="121F09C0" w14:textId="5A77D7A6"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CD9F465" w14:textId="77777777">
        <w:trPr>
          <w:cantSplit/>
          <w:jc w:val="center"/>
        </w:trPr>
        <w:tc>
          <w:tcPr>
            <w:tcW w:w="967" w:type="dxa"/>
            <w:tcBorders>
              <w:top w:val="single" w:sz="2" w:space="0" w:color="auto"/>
              <w:bottom w:val="single" w:sz="2" w:space="0" w:color="auto"/>
            </w:tcBorders>
          </w:tcPr>
          <w:p w14:paraId="4BC5D3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F55A3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78072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B6DC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416D7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110D1F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D54780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8D8952" w14:textId="77777777" w:rsidR="006E40C9" w:rsidRDefault="006E40C9">
            <w:pPr>
              <w:pStyle w:val="MeasureTableTextRightAligned"/>
            </w:pPr>
            <w:r>
              <w:t>2027-28</w:t>
            </w:r>
          </w:p>
        </w:tc>
      </w:tr>
      <w:tr w:rsidR="006E40C9" w14:paraId="788718FA" w14:textId="77777777">
        <w:trPr>
          <w:cantSplit/>
          <w:jc w:val="center"/>
        </w:trPr>
        <w:tc>
          <w:tcPr>
            <w:tcW w:w="967" w:type="dxa"/>
            <w:tcBorders>
              <w:top w:val="single" w:sz="2" w:space="0" w:color="auto"/>
              <w:bottom w:val="single" w:sz="2" w:space="0" w:color="auto"/>
            </w:tcBorders>
          </w:tcPr>
          <w:p w14:paraId="708185DA" w14:textId="77777777" w:rsidR="006E40C9" w:rsidRDefault="006E40C9">
            <w:pPr>
              <w:pStyle w:val="MeasureTableTextRightAligned"/>
            </w:pPr>
            <w:r>
              <w:t>*</w:t>
            </w:r>
          </w:p>
        </w:tc>
        <w:tc>
          <w:tcPr>
            <w:tcW w:w="967" w:type="dxa"/>
            <w:tcBorders>
              <w:top w:val="single" w:sz="2" w:space="0" w:color="auto"/>
              <w:bottom w:val="single" w:sz="2" w:space="0" w:color="auto"/>
            </w:tcBorders>
          </w:tcPr>
          <w:p w14:paraId="33F901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ACBEB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81DD5D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A06A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41AC85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28581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B4FE28" w14:textId="77777777" w:rsidR="006E40C9" w:rsidRDefault="006E40C9">
            <w:pPr>
              <w:pStyle w:val="MeasureTableTextRightAligned"/>
            </w:pPr>
            <w:r>
              <w:t>*</w:t>
            </w:r>
          </w:p>
        </w:tc>
      </w:tr>
      <w:tr w:rsidR="006E40C9" w14:paraId="78050610" w14:textId="77777777">
        <w:trPr>
          <w:cantSplit/>
          <w:jc w:val="center"/>
        </w:trPr>
        <w:tc>
          <w:tcPr>
            <w:tcW w:w="1934" w:type="dxa"/>
            <w:gridSpan w:val="2"/>
            <w:tcBorders>
              <w:top w:val="single" w:sz="2" w:space="0" w:color="auto"/>
              <w:bottom w:val="nil"/>
            </w:tcBorders>
          </w:tcPr>
          <w:p w14:paraId="71D6147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CDD38B5" w14:textId="77777777" w:rsidR="006E40C9" w:rsidRDefault="006E40C9">
            <w:pPr>
              <w:pStyle w:val="MeasureTableTextLeftAligned"/>
            </w:pPr>
            <w:r>
              <w:t>Exemption</w:t>
            </w:r>
          </w:p>
        </w:tc>
        <w:tc>
          <w:tcPr>
            <w:tcW w:w="1500" w:type="dxa"/>
            <w:gridSpan w:val="2"/>
            <w:tcBorders>
              <w:top w:val="single" w:sz="2" w:space="0" w:color="auto"/>
              <w:bottom w:val="nil"/>
            </w:tcBorders>
          </w:tcPr>
          <w:p w14:paraId="0DD5593D" w14:textId="4B39103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CD38B3" w14:textId="77777777" w:rsidR="006E40C9" w:rsidRDefault="006E40C9">
            <w:pPr>
              <w:pStyle w:val="MeasureTableTextLeftAligned"/>
            </w:pPr>
            <w:r>
              <w:t>D40</w:t>
            </w:r>
          </w:p>
        </w:tc>
      </w:tr>
      <w:tr w:rsidR="006E40C9" w14:paraId="51BBB754" w14:textId="77777777">
        <w:trPr>
          <w:cantSplit/>
          <w:jc w:val="center"/>
        </w:trPr>
        <w:tc>
          <w:tcPr>
            <w:tcW w:w="1934" w:type="dxa"/>
            <w:gridSpan w:val="2"/>
            <w:tcBorders>
              <w:top w:val="nil"/>
              <w:bottom w:val="nil"/>
            </w:tcBorders>
          </w:tcPr>
          <w:p w14:paraId="73C6884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65E395" w14:textId="77777777" w:rsidR="006E40C9" w:rsidRPr="00584CA7" w:rsidRDefault="006E40C9">
            <w:pPr>
              <w:pStyle w:val="MeasureTableTextLeftAligned"/>
            </w:pPr>
            <w:r>
              <w:t>Not Applicable</w:t>
            </w:r>
          </w:p>
        </w:tc>
        <w:tc>
          <w:tcPr>
            <w:tcW w:w="1500" w:type="dxa"/>
            <w:gridSpan w:val="2"/>
            <w:tcBorders>
              <w:top w:val="nil"/>
              <w:bottom w:val="nil"/>
            </w:tcBorders>
          </w:tcPr>
          <w:p w14:paraId="39D886FF" w14:textId="77777777" w:rsidR="006E40C9" w:rsidRDefault="006E40C9">
            <w:pPr>
              <w:pStyle w:val="MeasureTableTextItalic"/>
            </w:pPr>
            <w:r>
              <w:t>* Category</w:t>
            </w:r>
          </w:p>
        </w:tc>
        <w:tc>
          <w:tcPr>
            <w:tcW w:w="1124" w:type="dxa"/>
            <w:gridSpan w:val="2"/>
            <w:tcBorders>
              <w:top w:val="nil"/>
              <w:bottom w:val="nil"/>
            </w:tcBorders>
          </w:tcPr>
          <w:p w14:paraId="42BFC37F" w14:textId="77777777" w:rsidR="006E40C9" w:rsidRDefault="006E40C9">
            <w:pPr>
              <w:pStyle w:val="MeasureTableTextLeftAligned"/>
            </w:pPr>
            <w:r>
              <w:t>2+</w:t>
            </w:r>
          </w:p>
        </w:tc>
      </w:tr>
      <w:tr w:rsidR="006E40C9" w14:paraId="5F200C95" w14:textId="77777777">
        <w:trPr>
          <w:cantSplit/>
          <w:jc w:val="center"/>
        </w:trPr>
        <w:tc>
          <w:tcPr>
            <w:tcW w:w="1934" w:type="dxa"/>
            <w:gridSpan w:val="2"/>
            <w:tcBorders>
              <w:top w:val="nil"/>
              <w:bottom w:val="nil"/>
            </w:tcBorders>
          </w:tcPr>
          <w:p w14:paraId="2974E357" w14:textId="77777777" w:rsidR="006E40C9" w:rsidRDefault="006E40C9">
            <w:pPr>
              <w:pStyle w:val="MeasureTableTextItalic"/>
            </w:pPr>
            <w:r>
              <w:t>Commencement date:</w:t>
            </w:r>
          </w:p>
        </w:tc>
        <w:tc>
          <w:tcPr>
            <w:tcW w:w="3179" w:type="dxa"/>
            <w:gridSpan w:val="4"/>
            <w:tcBorders>
              <w:top w:val="nil"/>
              <w:bottom w:val="nil"/>
            </w:tcBorders>
          </w:tcPr>
          <w:p w14:paraId="04424193" w14:textId="77777777" w:rsidR="006E40C9" w:rsidRDefault="006E40C9">
            <w:pPr>
              <w:pStyle w:val="MeasureTableTextLeftAligned"/>
            </w:pPr>
            <w:r>
              <w:t>1 July 2008</w:t>
            </w:r>
          </w:p>
        </w:tc>
        <w:tc>
          <w:tcPr>
            <w:tcW w:w="1500" w:type="dxa"/>
            <w:gridSpan w:val="2"/>
            <w:tcBorders>
              <w:top w:val="nil"/>
              <w:bottom w:val="nil"/>
            </w:tcBorders>
          </w:tcPr>
          <w:p w14:paraId="7CDA4405" w14:textId="77777777" w:rsidR="006E40C9" w:rsidRPr="00F32057" w:rsidRDefault="006E40C9">
            <w:pPr>
              <w:pStyle w:val="MeasureTableTextItalic"/>
            </w:pPr>
            <w:r>
              <w:t>Expiry date:</w:t>
            </w:r>
          </w:p>
        </w:tc>
        <w:tc>
          <w:tcPr>
            <w:tcW w:w="1124" w:type="dxa"/>
            <w:gridSpan w:val="2"/>
            <w:tcBorders>
              <w:top w:val="nil"/>
              <w:bottom w:val="nil"/>
            </w:tcBorders>
          </w:tcPr>
          <w:p w14:paraId="5C7066AE" w14:textId="77777777" w:rsidR="006E40C9" w:rsidRPr="00F32057" w:rsidRDefault="006E40C9">
            <w:pPr>
              <w:pStyle w:val="MeasureTableTextLeftAligned"/>
            </w:pPr>
          </w:p>
        </w:tc>
      </w:tr>
      <w:tr w:rsidR="006E40C9" w14:paraId="39679A61" w14:textId="77777777">
        <w:trPr>
          <w:cantSplit/>
          <w:jc w:val="center"/>
        </w:trPr>
        <w:tc>
          <w:tcPr>
            <w:tcW w:w="1934" w:type="dxa"/>
            <w:gridSpan w:val="2"/>
            <w:tcBorders>
              <w:top w:val="nil"/>
            </w:tcBorders>
          </w:tcPr>
          <w:p w14:paraId="6B8F9521" w14:textId="77777777" w:rsidR="006E40C9" w:rsidRDefault="006E40C9">
            <w:pPr>
              <w:pStyle w:val="MeasureTableTextItalic"/>
            </w:pPr>
            <w:r>
              <w:t>Legislative reference:</w:t>
            </w:r>
          </w:p>
        </w:tc>
        <w:tc>
          <w:tcPr>
            <w:tcW w:w="5803" w:type="dxa"/>
            <w:gridSpan w:val="8"/>
            <w:tcBorders>
              <w:top w:val="nil"/>
            </w:tcBorders>
          </w:tcPr>
          <w:p w14:paraId="7E590D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148(2A) of the </w:t>
            </w:r>
            <w:r>
              <w:rPr>
                <w:rFonts w:ascii="Arial" w:hAnsi="Arial" w:cs="Arial"/>
                <w:i/>
                <w:iCs/>
                <w:color w:val="000000"/>
                <w:sz w:val="16"/>
                <w:szCs w:val="16"/>
              </w:rPr>
              <w:t>Fringe Benefits Tax Assessment Act 1986</w:t>
            </w:r>
          </w:p>
        </w:tc>
      </w:tr>
    </w:tbl>
    <w:p w14:paraId="569A3B9A" w14:textId="77777777" w:rsidR="006E40C9" w:rsidRPr="00540040" w:rsidRDefault="006E40C9" w:rsidP="006E40C9">
      <w:pPr>
        <w:pStyle w:val="MeasureTableHeading"/>
      </w:pPr>
    </w:p>
    <w:p w14:paraId="75ED5DE8" w14:textId="3ADC5C58" w:rsidR="006E40C9" w:rsidRDefault="006E40C9" w:rsidP="006E40C9">
      <w:r>
        <w:t>Under the income tax benchmark, fringe benefits are classified as individual employee income, with the grossed-up value taxed at the employee’s marginal income tax rate. However, donations to deductible gift recipients</w:t>
      </w:r>
      <w:r>
        <w:fldChar w:fldCharType="begin"/>
      </w:r>
      <w:r>
        <w:instrText xml:space="preserve"> XE "Deductible gift recipients" </w:instrText>
      </w:r>
      <w:r>
        <w:fldChar w:fldCharType="end"/>
      </w:r>
      <w:r>
        <w:t xml:space="preserve"> made under salary sacrifice arrangements are exempt from fringe benefits tax.</w:t>
      </w:r>
    </w:p>
    <w:p w14:paraId="2E387AC1" w14:textId="77777777" w:rsidR="006E40C9" w:rsidRDefault="006E40C9" w:rsidP="00D9255A">
      <w:pPr>
        <w:pStyle w:val="TESHeading5"/>
      </w:pPr>
      <w:r>
        <w:t>D41</w:t>
      </w:r>
      <w:r>
        <w:tab/>
        <w:t>Police officers – free or discounted travel to and from duty on public transport exemption</w:t>
      </w:r>
    </w:p>
    <w:p w14:paraId="47CA0020" w14:textId="7B3E893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78E7B7" w14:textId="77777777">
        <w:trPr>
          <w:cantSplit/>
          <w:jc w:val="center"/>
        </w:trPr>
        <w:tc>
          <w:tcPr>
            <w:tcW w:w="967" w:type="dxa"/>
            <w:tcBorders>
              <w:top w:val="single" w:sz="2" w:space="0" w:color="auto"/>
              <w:bottom w:val="single" w:sz="2" w:space="0" w:color="auto"/>
            </w:tcBorders>
          </w:tcPr>
          <w:p w14:paraId="2B73A6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C4F63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26B2E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A9819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DC35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002ED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6FA2D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4C8412B" w14:textId="77777777" w:rsidR="006E40C9" w:rsidRDefault="006E40C9">
            <w:pPr>
              <w:pStyle w:val="MeasureTableTextRightAligned"/>
            </w:pPr>
            <w:r>
              <w:t>2027-28</w:t>
            </w:r>
          </w:p>
        </w:tc>
      </w:tr>
      <w:tr w:rsidR="006E40C9" w14:paraId="356B8CEF" w14:textId="77777777">
        <w:trPr>
          <w:cantSplit/>
          <w:jc w:val="center"/>
        </w:trPr>
        <w:tc>
          <w:tcPr>
            <w:tcW w:w="967" w:type="dxa"/>
            <w:tcBorders>
              <w:top w:val="single" w:sz="2" w:space="0" w:color="auto"/>
              <w:bottom w:val="single" w:sz="2" w:space="0" w:color="auto"/>
            </w:tcBorders>
          </w:tcPr>
          <w:p w14:paraId="165E09D6" w14:textId="77777777" w:rsidR="006E40C9" w:rsidRDefault="006E40C9">
            <w:pPr>
              <w:pStyle w:val="MeasureTableTextRightAligned"/>
            </w:pPr>
            <w:r>
              <w:t>*</w:t>
            </w:r>
          </w:p>
        </w:tc>
        <w:tc>
          <w:tcPr>
            <w:tcW w:w="967" w:type="dxa"/>
            <w:tcBorders>
              <w:top w:val="single" w:sz="2" w:space="0" w:color="auto"/>
              <w:bottom w:val="single" w:sz="2" w:space="0" w:color="auto"/>
            </w:tcBorders>
          </w:tcPr>
          <w:p w14:paraId="30AC0C9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6CDF6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C2637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6FB37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643A14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8F3FF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194D2E6" w14:textId="77777777" w:rsidR="006E40C9" w:rsidRDefault="006E40C9">
            <w:pPr>
              <w:pStyle w:val="MeasureTableTextRightAligned"/>
            </w:pPr>
            <w:r>
              <w:t>*</w:t>
            </w:r>
          </w:p>
        </w:tc>
      </w:tr>
      <w:tr w:rsidR="006E40C9" w14:paraId="06A96C71" w14:textId="77777777">
        <w:trPr>
          <w:cantSplit/>
          <w:jc w:val="center"/>
        </w:trPr>
        <w:tc>
          <w:tcPr>
            <w:tcW w:w="1934" w:type="dxa"/>
            <w:gridSpan w:val="2"/>
            <w:tcBorders>
              <w:top w:val="single" w:sz="2" w:space="0" w:color="auto"/>
              <w:bottom w:val="nil"/>
            </w:tcBorders>
          </w:tcPr>
          <w:p w14:paraId="7A0A7C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F504B46" w14:textId="77777777" w:rsidR="006E40C9" w:rsidRDefault="006E40C9">
            <w:pPr>
              <w:pStyle w:val="MeasureTableTextLeftAligned"/>
            </w:pPr>
            <w:r>
              <w:t>Exemption</w:t>
            </w:r>
          </w:p>
        </w:tc>
        <w:tc>
          <w:tcPr>
            <w:tcW w:w="1500" w:type="dxa"/>
            <w:gridSpan w:val="2"/>
            <w:tcBorders>
              <w:top w:val="single" w:sz="2" w:space="0" w:color="auto"/>
              <w:bottom w:val="nil"/>
            </w:tcBorders>
          </w:tcPr>
          <w:p w14:paraId="4664B570" w14:textId="37836AE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0917104" w14:textId="77777777" w:rsidR="006E40C9" w:rsidRDefault="006E40C9">
            <w:pPr>
              <w:pStyle w:val="MeasureTableTextLeftAligned"/>
            </w:pPr>
            <w:r>
              <w:t>D41</w:t>
            </w:r>
          </w:p>
        </w:tc>
      </w:tr>
      <w:tr w:rsidR="006E40C9" w14:paraId="4E9D8C3B" w14:textId="77777777">
        <w:trPr>
          <w:cantSplit/>
          <w:jc w:val="center"/>
        </w:trPr>
        <w:tc>
          <w:tcPr>
            <w:tcW w:w="1934" w:type="dxa"/>
            <w:gridSpan w:val="2"/>
            <w:tcBorders>
              <w:top w:val="nil"/>
              <w:bottom w:val="nil"/>
            </w:tcBorders>
          </w:tcPr>
          <w:p w14:paraId="2CB1D1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CB309BC" w14:textId="77777777" w:rsidR="006E40C9" w:rsidRPr="00584CA7" w:rsidRDefault="006E40C9">
            <w:pPr>
              <w:pStyle w:val="MeasureTableTextLeftAligned"/>
            </w:pPr>
            <w:r>
              <w:t>Not Applicable</w:t>
            </w:r>
          </w:p>
        </w:tc>
        <w:tc>
          <w:tcPr>
            <w:tcW w:w="1500" w:type="dxa"/>
            <w:gridSpan w:val="2"/>
            <w:tcBorders>
              <w:top w:val="nil"/>
              <w:bottom w:val="nil"/>
            </w:tcBorders>
          </w:tcPr>
          <w:p w14:paraId="3B894F55" w14:textId="77777777" w:rsidR="006E40C9" w:rsidRDefault="006E40C9">
            <w:pPr>
              <w:pStyle w:val="MeasureTableTextItalic"/>
            </w:pPr>
            <w:r>
              <w:t>* Category</w:t>
            </w:r>
          </w:p>
        </w:tc>
        <w:tc>
          <w:tcPr>
            <w:tcW w:w="1124" w:type="dxa"/>
            <w:gridSpan w:val="2"/>
            <w:tcBorders>
              <w:top w:val="nil"/>
              <w:bottom w:val="nil"/>
            </w:tcBorders>
          </w:tcPr>
          <w:p w14:paraId="1DB54826" w14:textId="77777777" w:rsidR="006E40C9" w:rsidRDefault="006E40C9">
            <w:pPr>
              <w:pStyle w:val="MeasureTableTextLeftAligned"/>
            </w:pPr>
            <w:r>
              <w:t>1+</w:t>
            </w:r>
          </w:p>
        </w:tc>
      </w:tr>
      <w:tr w:rsidR="006E40C9" w14:paraId="3250F7F9" w14:textId="77777777">
        <w:trPr>
          <w:cantSplit/>
          <w:jc w:val="center"/>
        </w:trPr>
        <w:tc>
          <w:tcPr>
            <w:tcW w:w="1934" w:type="dxa"/>
            <w:gridSpan w:val="2"/>
            <w:tcBorders>
              <w:top w:val="nil"/>
              <w:bottom w:val="nil"/>
            </w:tcBorders>
          </w:tcPr>
          <w:p w14:paraId="0D1996A4" w14:textId="77777777" w:rsidR="006E40C9" w:rsidRDefault="006E40C9">
            <w:pPr>
              <w:pStyle w:val="MeasureTableTextItalic"/>
            </w:pPr>
            <w:r>
              <w:t>Commencement date:</w:t>
            </w:r>
          </w:p>
        </w:tc>
        <w:tc>
          <w:tcPr>
            <w:tcW w:w="3179" w:type="dxa"/>
            <w:gridSpan w:val="4"/>
            <w:tcBorders>
              <w:top w:val="nil"/>
              <w:bottom w:val="nil"/>
            </w:tcBorders>
          </w:tcPr>
          <w:p w14:paraId="29B4D7F0" w14:textId="77777777" w:rsidR="006E40C9" w:rsidRDefault="006E40C9">
            <w:pPr>
              <w:pStyle w:val="MeasureTableTextLeftAligned"/>
            </w:pPr>
            <w:r>
              <w:t>1 April 2000</w:t>
            </w:r>
          </w:p>
        </w:tc>
        <w:tc>
          <w:tcPr>
            <w:tcW w:w="1500" w:type="dxa"/>
            <w:gridSpan w:val="2"/>
            <w:tcBorders>
              <w:top w:val="nil"/>
              <w:bottom w:val="nil"/>
            </w:tcBorders>
          </w:tcPr>
          <w:p w14:paraId="19CCDB2C" w14:textId="77777777" w:rsidR="006E40C9" w:rsidRPr="00F32057" w:rsidRDefault="006E40C9">
            <w:pPr>
              <w:pStyle w:val="MeasureTableTextItalic"/>
            </w:pPr>
            <w:r>
              <w:t>Expiry date:</w:t>
            </w:r>
          </w:p>
        </w:tc>
        <w:tc>
          <w:tcPr>
            <w:tcW w:w="1124" w:type="dxa"/>
            <w:gridSpan w:val="2"/>
            <w:tcBorders>
              <w:top w:val="nil"/>
              <w:bottom w:val="nil"/>
            </w:tcBorders>
          </w:tcPr>
          <w:p w14:paraId="6300D750" w14:textId="77777777" w:rsidR="006E40C9" w:rsidRPr="00F32057" w:rsidRDefault="006E40C9">
            <w:pPr>
              <w:pStyle w:val="MeasureTableTextLeftAligned"/>
            </w:pPr>
          </w:p>
        </w:tc>
      </w:tr>
      <w:tr w:rsidR="006E40C9" w14:paraId="4F48CD89" w14:textId="77777777">
        <w:trPr>
          <w:cantSplit/>
          <w:jc w:val="center"/>
        </w:trPr>
        <w:tc>
          <w:tcPr>
            <w:tcW w:w="1934" w:type="dxa"/>
            <w:gridSpan w:val="2"/>
            <w:tcBorders>
              <w:top w:val="nil"/>
            </w:tcBorders>
          </w:tcPr>
          <w:p w14:paraId="6745D21D" w14:textId="77777777" w:rsidR="006E40C9" w:rsidRDefault="006E40C9">
            <w:pPr>
              <w:pStyle w:val="MeasureTableTextItalic"/>
            </w:pPr>
            <w:r>
              <w:t>Legislative reference:</w:t>
            </w:r>
          </w:p>
        </w:tc>
        <w:tc>
          <w:tcPr>
            <w:tcW w:w="5803" w:type="dxa"/>
            <w:gridSpan w:val="8"/>
            <w:tcBorders>
              <w:top w:val="nil"/>
            </w:tcBorders>
          </w:tcPr>
          <w:p w14:paraId="7C9A876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47(1A) of the </w:t>
            </w:r>
            <w:r>
              <w:rPr>
                <w:rFonts w:ascii="Arial" w:hAnsi="Arial" w:cs="Arial"/>
                <w:i/>
                <w:iCs/>
                <w:color w:val="000000"/>
                <w:sz w:val="16"/>
                <w:szCs w:val="16"/>
              </w:rPr>
              <w:t>Fringe Benefits Tax Assessment Act 1986</w:t>
            </w:r>
          </w:p>
        </w:tc>
      </w:tr>
    </w:tbl>
    <w:p w14:paraId="3701E241" w14:textId="77777777" w:rsidR="006E40C9" w:rsidRPr="00540040" w:rsidRDefault="006E40C9" w:rsidP="006E40C9">
      <w:pPr>
        <w:pStyle w:val="MeasureTableHeading"/>
      </w:pPr>
    </w:p>
    <w:p w14:paraId="5E519727" w14:textId="77777777" w:rsidR="006E40C9" w:rsidRDefault="006E40C9" w:rsidP="006E40C9">
      <w:r>
        <w:t>Under the income tax benchmark, fringe benefits are classified as individual employee income, with the grossed-up value taxed at the employee’s marginal income tax rate. However, the provision of travel on public transport</w:t>
      </w:r>
      <w:r>
        <w:fldChar w:fldCharType="begin"/>
      </w:r>
      <w:r>
        <w:instrText xml:space="preserve"> XE "Public transport" </w:instrText>
      </w:r>
      <w:r>
        <w:fldChar w:fldCharType="end"/>
      </w:r>
      <w:r>
        <w:t xml:space="preserve"> to police officers for the purpose of travel between the officer’s place of residence and their primary place of employment is exempt from fringe benefits tax.</w:t>
      </w:r>
    </w:p>
    <w:p w14:paraId="7B208E34" w14:textId="77777777" w:rsidR="006E40C9" w:rsidRDefault="006E40C9" w:rsidP="00D9255A">
      <w:pPr>
        <w:pStyle w:val="TESHeading5"/>
      </w:pPr>
      <w:r>
        <w:t>D42</w:t>
      </w:r>
      <w:r>
        <w:tab/>
        <w:t>Provision and private use of business property exemptions</w:t>
      </w:r>
    </w:p>
    <w:p w14:paraId="2AFC5555" w14:textId="578A5BF5"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F5625B" w14:textId="77777777">
        <w:trPr>
          <w:cantSplit/>
          <w:jc w:val="center"/>
        </w:trPr>
        <w:tc>
          <w:tcPr>
            <w:tcW w:w="967" w:type="dxa"/>
            <w:tcBorders>
              <w:top w:val="single" w:sz="2" w:space="0" w:color="auto"/>
              <w:bottom w:val="single" w:sz="2" w:space="0" w:color="auto"/>
            </w:tcBorders>
          </w:tcPr>
          <w:p w14:paraId="2D625BD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6A4FA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7D85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864C6C4"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2A1EA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E6B12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426FF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2E801B" w14:textId="77777777" w:rsidR="006E40C9" w:rsidRDefault="006E40C9">
            <w:pPr>
              <w:pStyle w:val="MeasureTableTextRightAligned"/>
            </w:pPr>
            <w:r>
              <w:t>2027-28</w:t>
            </w:r>
          </w:p>
        </w:tc>
      </w:tr>
      <w:tr w:rsidR="006E40C9" w14:paraId="1A2661D1" w14:textId="77777777">
        <w:trPr>
          <w:cantSplit/>
          <w:jc w:val="center"/>
        </w:trPr>
        <w:tc>
          <w:tcPr>
            <w:tcW w:w="967" w:type="dxa"/>
            <w:tcBorders>
              <w:top w:val="single" w:sz="2" w:space="0" w:color="auto"/>
              <w:bottom w:val="single" w:sz="2" w:space="0" w:color="auto"/>
            </w:tcBorders>
          </w:tcPr>
          <w:p w14:paraId="19CAE8A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84CB7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2161EE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AD10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7177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0DCEA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BE056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3E242B9" w14:textId="77777777" w:rsidR="006E40C9" w:rsidRDefault="006E40C9">
            <w:pPr>
              <w:pStyle w:val="MeasureTableTextRightAligned"/>
            </w:pPr>
            <w:r>
              <w:t>*</w:t>
            </w:r>
          </w:p>
        </w:tc>
      </w:tr>
      <w:tr w:rsidR="006E40C9" w14:paraId="1E4C8C1A" w14:textId="77777777">
        <w:trPr>
          <w:cantSplit/>
          <w:jc w:val="center"/>
        </w:trPr>
        <w:tc>
          <w:tcPr>
            <w:tcW w:w="1934" w:type="dxa"/>
            <w:gridSpan w:val="2"/>
            <w:tcBorders>
              <w:top w:val="single" w:sz="2" w:space="0" w:color="auto"/>
              <w:bottom w:val="nil"/>
            </w:tcBorders>
          </w:tcPr>
          <w:p w14:paraId="4D8341A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F7A7C62" w14:textId="77777777" w:rsidR="006E40C9" w:rsidRDefault="006E40C9">
            <w:pPr>
              <w:pStyle w:val="MeasureTableTextLeftAligned"/>
            </w:pPr>
            <w:r>
              <w:t>Exemption</w:t>
            </w:r>
          </w:p>
        </w:tc>
        <w:tc>
          <w:tcPr>
            <w:tcW w:w="1500" w:type="dxa"/>
            <w:gridSpan w:val="2"/>
            <w:tcBorders>
              <w:top w:val="single" w:sz="2" w:space="0" w:color="auto"/>
              <w:bottom w:val="nil"/>
            </w:tcBorders>
          </w:tcPr>
          <w:p w14:paraId="590297D6" w14:textId="6130A49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87DD95" w14:textId="77777777" w:rsidR="006E40C9" w:rsidRDefault="006E40C9">
            <w:pPr>
              <w:pStyle w:val="MeasureTableTextLeftAligned"/>
            </w:pPr>
            <w:r>
              <w:t>D42</w:t>
            </w:r>
          </w:p>
        </w:tc>
      </w:tr>
      <w:tr w:rsidR="006E40C9" w14:paraId="15005642" w14:textId="77777777">
        <w:trPr>
          <w:cantSplit/>
          <w:jc w:val="center"/>
        </w:trPr>
        <w:tc>
          <w:tcPr>
            <w:tcW w:w="1934" w:type="dxa"/>
            <w:gridSpan w:val="2"/>
            <w:tcBorders>
              <w:top w:val="nil"/>
              <w:bottom w:val="nil"/>
            </w:tcBorders>
          </w:tcPr>
          <w:p w14:paraId="79A7754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84BB2C3" w14:textId="77777777" w:rsidR="006E40C9" w:rsidRPr="00584CA7" w:rsidRDefault="006E40C9">
            <w:pPr>
              <w:pStyle w:val="MeasureTableTextLeftAligned"/>
            </w:pPr>
            <w:r>
              <w:t>Not Applicable</w:t>
            </w:r>
          </w:p>
        </w:tc>
        <w:tc>
          <w:tcPr>
            <w:tcW w:w="1500" w:type="dxa"/>
            <w:gridSpan w:val="2"/>
            <w:tcBorders>
              <w:top w:val="nil"/>
              <w:bottom w:val="nil"/>
            </w:tcBorders>
          </w:tcPr>
          <w:p w14:paraId="7B15A7B2" w14:textId="77777777" w:rsidR="006E40C9" w:rsidRDefault="006E40C9">
            <w:pPr>
              <w:pStyle w:val="MeasureTableTextItalic"/>
            </w:pPr>
            <w:r>
              <w:t>* Category</w:t>
            </w:r>
          </w:p>
        </w:tc>
        <w:tc>
          <w:tcPr>
            <w:tcW w:w="1124" w:type="dxa"/>
            <w:gridSpan w:val="2"/>
            <w:tcBorders>
              <w:top w:val="nil"/>
              <w:bottom w:val="nil"/>
            </w:tcBorders>
          </w:tcPr>
          <w:p w14:paraId="08CF5519" w14:textId="77777777" w:rsidR="006E40C9" w:rsidRDefault="006E40C9">
            <w:pPr>
              <w:pStyle w:val="MeasureTableTextLeftAligned"/>
            </w:pPr>
            <w:r>
              <w:t>2+</w:t>
            </w:r>
          </w:p>
        </w:tc>
      </w:tr>
      <w:tr w:rsidR="006E40C9" w14:paraId="5499BD06" w14:textId="77777777">
        <w:trPr>
          <w:cantSplit/>
          <w:jc w:val="center"/>
        </w:trPr>
        <w:tc>
          <w:tcPr>
            <w:tcW w:w="1934" w:type="dxa"/>
            <w:gridSpan w:val="2"/>
            <w:tcBorders>
              <w:top w:val="nil"/>
              <w:bottom w:val="nil"/>
            </w:tcBorders>
          </w:tcPr>
          <w:p w14:paraId="48F9E1F7" w14:textId="77777777" w:rsidR="006E40C9" w:rsidRDefault="006E40C9">
            <w:pPr>
              <w:pStyle w:val="MeasureTableTextItalic"/>
            </w:pPr>
            <w:r>
              <w:t>Commencement date:</w:t>
            </w:r>
          </w:p>
        </w:tc>
        <w:tc>
          <w:tcPr>
            <w:tcW w:w="3179" w:type="dxa"/>
            <w:gridSpan w:val="4"/>
            <w:tcBorders>
              <w:top w:val="nil"/>
              <w:bottom w:val="nil"/>
            </w:tcBorders>
          </w:tcPr>
          <w:p w14:paraId="355E9F37" w14:textId="77777777" w:rsidR="006E40C9" w:rsidRDefault="006E40C9">
            <w:pPr>
              <w:pStyle w:val="MeasureTableTextLeftAligned"/>
            </w:pPr>
            <w:r>
              <w:t>1986</w:t>
            </w:r>
          </w:p>
        </w:tc>
        <w:tc>
          <w:tcPr>
            <w:tcW w:w="1500" w:type="dxa"/>
            <w:gridSpan w:val="2"/>
            <w:tcBorders>
              <w:top w:val="nil"/>
              <w:bottom w:val="nil"/>
            </w:tcBorders>
          </w:tcPr>
          <w:p w14:paraId="0A0EDCB2" w14:textId="77777777" w:rsidR="006E40C9" w:rsidRPr="00F32057" w:rsidRDefault="006E40C9">
            <w:pPr>
              <w:pStyle w:val="MeasureTableTextItalic"/>
            </w:pPr>
            <w:r>
              <w:t>Expiry date:</w:t>
            </w:r>
          </w:p>
        </w:tc>
        <w:tc>
          <w:tcPr>
            <w:tcW w:w="1124" w:type="dxa"/>
            <w:gridSpan w:val="2"/>
            <w:tcBorders>
              <w:top w:val="nil"/>
              <w:bottom w:val="nil"/>
            </w:tcBorders>
          </w:tcPr>
          <w:p w14:paraId="773558BA" w14:textId="77777777" w:rsidR="006E40C9" w:rsidRPr="00F32057" w:rsidRDefault="006E40C9">
            <w:pPr>
              <w:pStyle w:val="MeasureTableTextLeftAligned"/>
            </w:pPr>
          </w:p>
        </w:tc>
      </w:tr>
      <w:tr w:rsidR="006E40C9" w14:paraId="11141DDD" w14:textId="77777777">
        <w:trPr>
          <w:cantSplit/>
          <w:jc w:val="center"/>
        </w:trPr>
        <w:tc>
          <w:tcPr>
            <w:tcW w:w="1934" w:type="dxa"/>
            <w:gridSpan w:val="2"/>
            <w:tcBorders>
              <w:top w:val="nil"/>
            </w:tcBorders>
          </w:tcPr>
          <w:p w14:paraId="28F566EC" w14:textId="77777777" w:rsidR="006E40C9" w:rsidRDefault="006E40C9">
            <w:pPr>
              <w:pStyle w:val="MeasureTableTextItalic"/>
            </w:pPr>
            <w:r>
              <w:t>Legislative reference:</w:t>
            </w:r>
          </w:p>
        </w:tc>
        <w:tc>
          <w:tcPr>
            <w:tcW w:w="5803" w:type="dxa"/>
            <w:gridSpan w:val="8"/>
            <w:tcBorders>
              <w:top w:val="nil"/>
            </w:tcBorders>
          </w:tcPr>
          <w:p w14:paraId="697A3A1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41 and 47(3) of the </w:t>
            </w:r>
            <w:r>
              <w:rPr>
                <w:rFonts w:ascii="Arial" w:hAnsi="Arial" w:cs="Arial"/>
                <w:i/>
                <w:iCs/>
                <w:color w:val="000000"/>
                <w:sz w:val="16"/>
                <w:szCs w:val="16"/>
              </w:rPr>
              <w:t>Fringe Benefits Tax Assessment Act 1986</w:t>
            </w:r>
          </w:p>
        </w:tc>
      </w:tr>
    </w:tbl>
    <w:p w14:paraId="4BCA6B05" w14:textId="77777777" w:rsidR="006E40C9" w:rsidRPr="00540040" w:rsidRDefault="006E40C9" w:rsidP="006E40C9">
      <w:pPr>
        <w:pStyle w:val="MeasureTableHeading"/>
      </w:pPr>
    </w:p>
    <w:p w14:paraId="2F788073" w14:textId="5CDBACE0" w:rsidR="006E40C9" w:rsidRDefault="006E40C9" w:rsidP="006E40C9">
      <w:r>
        <w:t xml:space="preserve">Under the income tax benchmark, fringe benefits are classified as individual employee income, with the grossed-up value taxed at the employee’s marginal income tax rate. However, </w:t>
      </w:r>
      <w:r w:rsidRPr="00610A04">
        <w:t>the provision of property to a</w:t>
      </w:r>
      <w:r>
        <w:t xml:space="preserve"> current</w:t>
      </w:r>
      <w:r w:rsidRPr="00610A04">
        <w:t xml:space="preserve"> employee is exempt from fringe benefits tax where the property is provided to and consumed by the employee on a working day on business premises of the employer. This exemption excludes meals provided under a salary packaging arrangement.</w:t>
      </w:r>
    </w:p>
    <w:p w14:paraId="3CE48941" w14:textId="4E37E1E1" w:rsidR="006E40C9" w:rsidRDefault="006E40C9" w:rsidP="006E40C9">
      <w:r>
        <w:t>Additionally, the</w:t>
      </w:r>
      <w:r w:rsidDel="00610A04">
        <w:t xml:space="preserve"> </w:t>
      </w:r>
      <w:r>
        <w:t>use of property</w:t>
      </w:r>
      <w:r>
        <w:fldChar w:fldCharType="begin"/>
      </w:r>
      <w:r>
        <w:instrText xml:space="preserve"> XE "Private use of business property" </w:instrText>
      </w:r>
      <w:r>
        <w:fldChar w:fldCharType="end"/>
      </w:r>
      <w:r>
        <w:t xml:space="preserve"> (other than a motor vehicle) </w:t>
      </w:r>
      <w:r w:rsidRPr="00610A04">
        <w:t>that is ordinarily located on business premises and</w:t>
      </w:r>
      <w:r>
        <w:t xml:space="preserve"> principally used directly in connection with business operations of the employer is exempt from fringe benefits tax. </w:t>
      </w:r>
    </w:p>
    <w:p w14:paraId="26725569" w14:textId="77777777" w:rsidR="006E40C9" w:rsidRDefault="006E40C9" w:rsidP="00D9255A">
      <w:pPr>
        <w:pStyle w:val="TESHeading5"/>
      </w:pPr>
      <w:r>
        <w:t>D43</w:t>
      </w:r>
      <w:r>
        <w:tab/>
        <w:t>Provision of food and drink in certain circumstances exemption</w:t>
      </w:r>
    </w:p>
    <w:p w14:paraId="0B436BF9" w14:textId="2172643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B52A3D7" w14:textId="77777777">
        <w:trPr>
          <w:cantSplit/>
          <w:jc w:val="center"/>
        </w:trPr>
        <w:tc>
          <w:tcPr>
            <w:tcW w:w="967" w:type="dxa"/>
            <w:tcBorders>
              <w:top w:val="single" w:sz="2" w:space="0" w:color="auto"/>
              <w:bottom w:val="single" w:sz="2" w:space="0" w:color="auto"/>
            </w:tcBorders>
          </w:tcPr>
          <w:p w14:paraId="3491E63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C3A36C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05560B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66C2B3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C1C10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A1810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830686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42144A0" w14:textId="77777777" w:rsidR="006E40C9" w:rsidRDefault="006E40C9">
            <w:pPr>
              <w:pStyle w:val="MeasureTableTextRightAligned"/>
            </w:pPr>
            <w:r>
              <w:t>2027-28</w:t>
            </w:r>
          </w:p>
        </w:tc>
      </w:tr>
      <w:tr w:rsidR="006E40C9" w14:paraId="71678122" w14:textId="77777777">
        <w:trPr>
          <w:cantSplit/>
          <w:jc w:val="center"/>
        </w:trPr>
        <w:tc>
          <w:tcPr>
            <w:tcW w:w="967" w:type="dxa"/>
            <w:tcBorders>
              <w:top w:val="single" w:sz="2" w:space="0" w:color="auto"/>
              <w:bottom w:val="single" w:sz="2" w:space="0" w:color="auto"/>
            </w:tcBorders>
          </w:tcPr>
          <w:p w14:paraId="4C6430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A9D88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7C66D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82A5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1871D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D538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CF1D51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4879B8E" w14:textId="77777777" w:rsidR="006E40C9" w:rsidRDefault="006E40C9">
            <w:pPr>
              <w:pStyle w:val="MeasureTableTextRightAligned"/>
            </w:pPr>
            <w:r>
              <w:t>*</w:t>
            </w:r>
          </w:p>
        </w:tc>
      </w:tr>
      <w:tr w:rsidR="006E40C9" w14:paraId="7C25AE41" w14:textId="77777777">
        <w:trPr>
          <w:cantSplit/>
          <w:jc w:val="center"/>
        </w:trPr>
        <w:tc>
          <w:tcPr>
            <w:tcW w:w="1934" w:type="dxa"/>
            <w:gridSpan w:val="2"/>
            <w:tcBorders>
              <w:top w:val="single" w:sz="2" w:space="0" w:color="auto"/>
              <w:bottom w:val="nil"/>
            </w:tcBorders>
          </w:tcPr>
          <w:p w14:paraId="2AD1DA6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B58926" w14:textId="77777777" w:rsidR="006E40C9" w:rsidRDefault="006E40C9">
            <w:pPr>
              <w:pStyle w:val="MeasureTableTextLeftAligned"/>
            </w:pPr>
            <w:r>
              <w:t>Exemption</w:t>
            </w:r>
          </w:p>
        </w:tc>
        <w:tc>
          <w:tcPr>
            <w:tcW w:w="1500" w:type="dxa"/>
            <w:gridSpan w:val="2"/>
            <w:tcBorders>
              <w:top w:val="single" w:sz="2" w:space="0" w:color="auto"/>
              <w:bottom w:val="nil"/>
            </w:tcBorders>
          </w:tcPr>
          <w:p w14:paraId="025B52D2" w14:textId="5F82BB0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484F7DE" w14:textId="77777777" w:rsidR="006E40C9" w:rsidRDefault="006E40C9">
            <w:pPr>
              <w:pStyle w:val="MeasureTableTextLeftAligned"/>
            </w:pPr>
            <w:r>
              <w:t>D43</w:t>
            </w:r>
          </w:p>
        </w:tc>
      </w:tr>
      <w:tr w:rsidR="006E40C9" w14:paraId="21017A67" w14:textId="77777777">
        <w:trPr>
          <w:cantSplit/>
          <w:jc w:val="center"/>
        </w:trPr>
        <w:tc>
          <w:tcPr>
            <w:tcW w:w="1934" w:type="dxa"/>
            <w:gridSpan w:val="2"/>
            <w:tcBorders>
              <w:top w:val="nil"/>
              <w:bottom w:val="nil"/>
            </w:tcBorders>
          </w:tcPr>
          <w:p w14:paraId="4C9AE3B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1E0A8A" w14:textId="77777777" w:rsidR="006E40C9" w:rsidRPr="00584CA7" w:rsidRDefault="006E40C9">
            <w:pPr>
              <w:pStyle w:val="MeasureTableTextLeftAligned"/>
            </w:pPr>
            <w:r>
              <w:t>Not Applicable</w:t>
            </w:r>
          </w:p>
        </w:tc>
        <w:tc>
          <w:tcPr>
            <w:tcW w:w="1500" w:type="dxa"/>
            <w:gridSpan w:val="2"/>
            <w:tcBorders>
              <w:top w:val="nil"/>
              <w:bottom w:val="nil"/>
            </w:tcBorders>
          </w:tcPr>
          <w:p w14:paraId="34873909" w14:textId="77777777" w:rsidR="006E40C9" w:rsidRDefault="006E40C9">
            <w:pPr>
              <w:pStyle w:val="MeasureTableTextItalic"/>
            </w:pPr>
            <w:r>
              <w:t>* Category</w:t>
            </w:r>
          </w:p>
        </w:tc>
        <w:tc>
          <w:tcPr>
            <w:tcW w:w="1124" w:type="dxa"/>
            <w:gridSpan w:val="2"/>
            <w:tcBorders>
              <w:top w:val="nil"/>
              <w:bottom w:val="nil"/>
            </w:tcBorders>
          </w:tcPr>
          <w:p w14:paraId="42A3CD22" w14:textId="77777777" w:rsidR="006E40C9" w:rsidRDefault="006E40C9">
            <w:pPr>
              <w:pStyle w:val="MeasureTableTextLeftAligned"/>
            </w:pPr>
            <w:r>
              <w:t>1+</w:t>
            </w:r>
          </w:p>
        </w:tc>
      </w:tr>
      <w:tr w:rsidR="006E40C9" w14:paraId="2BC93B60" w14:textId="77777777">
        <w:trPr>
          <w:cantSplit/>
          <w:jc w:val="center"/>
        </w:trPr>
        <w:tc>
          <w:tcPr>
            <w:tcW w:w="1934" w:type="dxa"/>
            <w:gridSpan w:val="2"/>
            <w:tcBorders>
              <w:top w:val="nil"/>
              <w:bottom w:val="nil"/>
            </w:tcBorders>
          </w:tcPr>
          <w:p w14:paraId="50C18E38" w14:textId="77777777" w:rsidR="006E40C9" w:rsidRDefault="006E40C9">
            <w:pPr>
              <w:pStyle w:val="MeasureTableTextItalic"/>
            </w:pPr>
            <w:r>
              <w:t>Commencement date:</w:t>
            </w:r>
          </w:p>
        </w:tc>
        <w:tc>
          <w:tcPr>
            <w:tcW w:w="3179" w:type="dxa"/>
            <w:gridSpan w:val="4"/>
            <w:tcBorders>
              <w:top w:val="nil"/>
              <w:bottom w:val="nil"/>
            </w:tcBorders>
          </w:tcPr>
          <w:p w14:paraId="2C79DB27" w14:textId="77777777" w:rsidR="006E40C9" w:rsidRDefault="006E40C9">
            <w:pPr>
              <w:pStyle w:val="MeasureTableTextLeftAligned"/>
            </w:pPr>
            <w:r>
              <w:t>1986</w:t>
            </w:r>
          </w:p>
        </w:tc>
        <w:tc>
          <w:tcPr>
            <w:tcW w:w="1500" w:type="dxa"/>
            <w:gridSpan w:val="2"/>
            <w:tcBorders>
              <w:top w:val="nil"/>
              <w:bottom w:val="nil"/>
            </w:tcBorders>
          </w:tcPr>
          <w:p w14:paraId="59D934B8" w14:textId="77777777" w:rsidR="006E40C9" w:rsidRPr="00F32057" w:rsidRDefault="006E40C9">
            <w:pPr>
              <w:pStyle w:val="MeasureTableTextItalic"/>
            </w:pPr>
            <w:r>
              <w:t>Expiry date:</w:t>
            </w:r>
          </w:p>
        </w:tc>
        <w:tc>
          <w:tcPr>
            <w:tcW w:w="1124" w:type="dxa"/>
            <w:gridSpan w:val="2"/>
            <w:tcBorders>
              <w:top w:val="nil"/>
              <w:bottom w:val="nil"/>
            </w:tcBorders>
          </w:tcPr>
          <w:p w14:paraId="7CC8509B" w14:textId="77777777" w:rsidR="006E40C9" w:rsidRPr="00F32057" w:rsidRDefault="006E40C9">
            <w:pPr>
              <w:pStyle w:val="MeasureTableTextLeftAligned"/>
            </w:pPr>
          </w:p>
        </w:tc>
      </w:tr>
      <w:tr w:rsidR="006E40C9" w14:paraId="555A2917" w14:textId="77777777">
        <w:trPr>
          <w:cantSplit/>
          <w:jc w:val="center"/>
        </w:trPr>
        <w:tc>
          <w:tcPr>
            <w:tcW w:w="1934" w:type="dxa"/>
            <w:gridSpan w:val="2"/>
            <w:tcBorders>
              <w:top w:val="nil"/>
            </w:tcBorders>
          </w:tcPr>
          <w:p w14:paraId="61F7AF75" w14:textId="77777777" w:rsidR="006E40C9" w:rsidRDefault="006E40C9">
            <w:pPr>
              <w:pStyle w:val="MeasureTableTextItalic"/>
            </w:pPr>
            <w:r>
              <w:t>Legislative reference:</w:t>
            </w:r>
          </w:p>
        </w:tc>
        <w:tc>
          <w:tcPr>
            <w:tcW w:w="5803" w:type="dxa"/>
            <w:gridSpan w:val="8"/>
            <w:tcBorders>
              <w:top w:val="nil"/>
            </w:tcBorders>
          </w:tcPr>
          <w:p w14:paraId="761316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54 and 58V of the </w:t>
            </w:r>
            <w:r>
              <w:rPr>
                <w:rFonts w:ascii="Arial" w:hAnsi="Arial" w:cs="Arial"/>
                <w:i/>
                <w:iCs/>
                <w:color w:val="000000"/>
                <w:sz w:val="16"/>
                <w:szCs w:val="16"/>
              </w:rPr>
              <w:t>Fringe Benefits Tax Assessment Act 1986</w:t>
            </w:r>
          </w:p>
        </w:tc>
      </w:tr>
    </w:tbl>
    <w:p w14:paraId="7EE73862" w14:textId="77777777" w:rsidR="006E40C9" w:rsidRPr="00540040" w:rsidRDefault="006E40C9" w:rsidP="006E40C9">
      <w:pPr>
        <w:pStyle w:val="MeasureTableHeading"/>
      </w:pPr>
    </w:p>
    <w:p w14:paraId="076B106D" w14:textId="77777777" w:rsidR="006E40C9" w:rsidRDefault="006E40C9" w:rsidP="006E40C9">
      <w:r>
        <w:t>Under the income tax benchmark, fringe benefits are classified as individual employee income, with the grossed-up value taxed at the employee’s marginal income tax rate. However, where employees receive meals that are board fringe benefits</w:t>
      </w:r>
      <w:r>
        <w:fldChar w:fldCharType="begin"/>
      </w:r>
      <w:r>
        <w:instrText xml:space="preserve"> XE "Fringe benefits tax:Board fringe benefits" </w:instrText>
      </w:r>
      <w:r>
        <w:fldChar w:fldCharType="end"/>
      </w:r>
      <w:r>
        <w:t>, any additional food and drink supplied to them in certain circumstances is exempt from fringe benefits tax. Food and drink provided to domestic employees who do not ‘live</w:t>
      </w:r>
      <w:r>
        <w:noBreakHyphen/>
        <w:t xml:space="preserve">in’ may also be exempt if consumed at the place of employment and the employer is a religious institution or individual. </w:t>
      </w:r>
    </w:p>
    <w:p w14:paraId="3161CCC9" w14:textId="77777777" w:rsidR="006E40C9" w:rsidRDefault="006E40C9" w:rsidP="00D9255A">
      <w:pPr>
        <w:pStyle w:val="TESHeading5"/>
      </w:pPr>
      <w:r>
        <w:t>D44</w:t>
      </w:r>
      <w:r>
        <w:tab/>
        <w:t>Recreational or child care facilities on an employer's business premises exemption</w:t>
      </w:r>
    </w:p>
    <w:p w14:paraId="0FFA14C9" w14:textId="491FB44B"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9343AF0" w14:textId="77777777">
        <w:trPr>
          <w:cantSplit/>
          <w:jc w:val="center"/>
        </w:trPr>
        <w:tc>
          <w:tcPr>
            <w:tcW w:w="967" w:type="dxa"/>
            <w:tcBorders>
              <w:top w:val="single" w:sz="2" w:space="0" w:color="auto"/>
              <w:bottom w:val="single" w:sz="2" w:space="0" w:color="auto"/>
            </w:tcBorders>
          </w:tcPr>
          <w:p w14:paraId="07FC2DB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72EFB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6333B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CC3030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5771A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5AF7B9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8262A7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B384823" w14:textId="77777777" w:rsidR="006E40C9" w:rsidRDefault="006E40C9">
            <w:pPr>
              <w:pStyle w:val="MeasureTableTextRightAligned"/>
            </w:pPr>
            <w:r>
              <w:t>2027-28</w:t>
            </w:r>
          </w:p>
        </w:tc>
      </w:tr>
      <w:tr w:rsidR="006E40C9" w14:paraId="3F653082" w14:textId="77777777">
        <w:trPr>
          <w:cantSplit/>
          <w:jc w:val="center"/>
        </w:trPr>
        <w:tc>
          <w:tcPr>
            <w:tcW w:w="967" w:type="dxa"/>
            <w:tcBorders>
              <w:top w:val="single" w:sz="2" w:space="0" w:color="auto"/>
              <w:bottom w:val="single" w:sz="2" w:space="0" w:color="auto"/>
            </w:tcBorders>
          </w:tcPr>
          <w:p w14:paraId="53C5C2F5" w14:textId="77777777" w:rsidR="006E40C9" w:rsidRDefault="006E40C9">
            <w:pPr>
              <w:pStyle w:val="MeasureTableTextRightAligned"/>
            </w:pPr>
            <w:r>
              <w:t>*</w:t>
            </w:r>
          </w:p>
        </w:tc>
        <w:tc>
          <w:tcPr>
            <w:tcW w:w="967" w:type="dxa"/>
            <w:tcBorders>
              <w:top w:val="single" w:sz="2" w:space="0" w:color="auto"/>
              <w:bottom w:val="single" w:sz="2" w:space="0" w:color="auto"/>
            </w:tcBorders>
          </w:tcPr>
          <w:p w14:paraId="64D50C9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4FEF2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1970BF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B2667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9126A8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8DAD5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3F1713" w14:textId="77777777" w:rsidR="006E40C9" w:rsidRDefault="006E40C9">
            <w:pPr>
              <w:pStyle w:val="MeasureTableTextRightAligned"/>
            </w:pPr>
            <w:r>
              <w:t>*</w:t>
            </w:r>
          </w:p>
        </w:tc>
      </w:tr>
      <w:tr w:rsidR="006E40C9" w14:paraId="191F51DD" w14:textId="77777777">
        <w:trPr>
          <w:cantSplit/>
          <w:jc w:val="center"/>
        </w:trPr>
        <w:tc>
          <w:tcPr>
            <w:tcW w:w="1934" w:type="dxa"/>
            <w:gridSpan w:val="2"/>
            <w:tcBorders>
              <w:top w:val="single" w:sz="2" w:space="0" w:color="auto"/>
              <w:bottom w:val="nil"/>
            </w:tcBorders>
          </w:tcPr>
          <w:p w14:paraId="2802C7C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DB66A32" w14:textId="77777777" w:rsidR="006E40C9" w:rsidRDefault="006E40C9">
            <w:pPr>
              <w:pStyle w:val="MeasureTableTextLeftAligned"/>
            </w:pPr>
            <w:r>
              <w:t>Exemption</w:t>
            </w:r>
          </w:p>
        </w:tc>
        <w:tc>
          <w:tcPr>
            <w:tcW w:w="1500" w:type="dxa"/>
            <w:gridSpan w:val="2"/>
            <w:tcBorders>
              <w:top w:val="single" w:sz="2" w:space="0" w:color="auto"/>
              <w:bottom w:val="nil"/>
            </w:tcBorders>
          </w:tcPr>
          <w:p w14:paraId="2A14B849" w14:textId="6F4E87A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EEA43B" w14:textId="77777777" w:rsidR="006E40C9" w:rsidRDefault="006E40C9">
            <w:pPr>
              <w:pStyle w:val="MeasureTableTextLeftAligned"/>
            </w:pPr>
            <w:r>
              <w:t>D44</w:t>
            </w:r>
          </w:p>
        </w:tc>
      </w:tr>
      <w:tr w:rsidR="006E40C9" w14:paraId="7B7F3E75" w14:textId="77777777">
        <w:trPr>
          <w:cantSplit/>
          <w:jc w:val="center"/>
        </w:trPr>
        <w:tc>
          <w:tcPr>
            <w:tcW w:w="1934" w:type="dxa"/>
            <w:gridSpan w:val="2"/>
            <w:tcBorders>
              <w:top w:val="nil"/>
              <w:bottom w:val="nil"/>
            </w:tcBorders>
          </w:tcPr>
          <w:p w14:paraId="61944A7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0F8FC57" w14:textId="77777777" w:rsidR="006E40C9" w:rsidRPr="00584CA7" w:rsidRDefault="006E40C9">
            <w:pPr>
              <w:pStyle w:val="MeasureTableTextLeftAligned"/>
            </w:pPr>
            <w:r>
              <w:t>Not Applicable</w:t>
            </w:r>
          </w:p>
        </w:tc>
        <w:tc>
          <w:tcPr>
            <w:tcW w:w="1500" w:type="dxa"/>
            <w:gridSpan w:val="2"/>
            <w:tcBorders>
              <w:top w:val="nil"/>
              <w:bottom w:val="nil"/>
            </w:tcBorders>
          </w:tcPr>
          <w:p w14:paraId="3AF551EC" w14:textId="77777777" w:rsidR="006E40C9" w:rsidRDefault="006E40C9">
            <w:pPr>
              <w:pStyle w:val="MeasureTableTextItalic"/>
            </w:pPr>
            <w:r>
              <w:t>* Category</w:t>
            </w:r>
          </w:p>
        </w:tc>
        <w:tc>
          <w:tcPr>
            <w:tcW w:w="1124" w:type="dxa"/>
            <w:gridSpan w:val="2"/>
            <w:tcBorders>
              <w:top w:val="nil"/>
              <w:bottom w:val="nil"/>
            </w:tcBorders>
          </w:tcPr>
          <w:p w14:paraId="7054AD0A" w14:textId="77777777" w:rsidR="006E40C9" w:rsidRDefault="006E40C9">
            <w:pPr>
              <w:pStyle w:val="MeasureTableTextLeftAligned"/>
            </w:pPr>
            <w:r>
              <w:t>2+</w:t>
            </w:r>
          </w:p>
        </w:tc>
      </w:tr>
      <w:tr w:rsidR="006E40C9" w14:paraId="6C4383A0" w14:textId="77777777">
        <w:trPr>
          <w:cantSplit/>
          <w:jc w:val="center"/>
        </w:trPr>
        <w:tc>
          <w:tcPr>
            <w:tcW w:w="1934" w:type="dxa"/>
            <w:gridSpan w:val="2"/>
            <w:tcBorders>
              <w:top w:val="nil"/>
              <w:bottom w:val="nil"/>
            </w:tcBorders>
          </w:tcPr>
          <w:p w14:paraId="5B8C0903" w14:textId="77777777" w:rsidR="006E40C9" w:rsidRDefault="006E40C9">
            <w:pPr>
              <w:pStyle w:val="MeasureTableTextItalic"/>
            </w:pPr>
            <w:r>
              <w:t>Commencement date:</w:t>
            </w:r>
          </w:p>
        </w:tc>
        <w:tc>
          <w:tcPr>
            <w:tcW w:w="3179" w:type="dxa"/>
            <w:gridSpan w:val="4"/>
            <w:tcBorders>
              <w:top w:val="nil"/>
              <w:bottom w:val="nil"/>
            </w:tcBorders>
          </w:tcPr>
          <w:p w14:paraId="26429155" w14:textId="77777777" w:rsidR="006E40C9" w:rsidRDefault="006E40C9">
            <w:pPr>
              <w:pStyle w:val="MeasureTableTextLeftAligned"/>
            </w:pPr>
            <w:r>
              <w:t>1986</w:t>
            </w:r>
          </w:p>
        </w:tc>
        <w:tc>
          <w:tcPr>
            <w:tcW w:w="1500" w:type="dxa"/>
            <w:gridSpan w:val="2"/>
            <w:tcBorders>
              <w:top w:val="nil"/>
              <w:bottom w:val="nil"/>
            </w:tcBorders>
          </w:tcPr>
          <w:p w14:paraId="62CE2A2A" w14:textId="77777777" w:rsidR="006E40C9" w:rsidRPr="00F32057" w:rsidRDefault="006E40C9">
            <w:pPr>
              <w:pStyle w:val="MeasureTableTextItalic"/>
            </w:pPr>
            <w:r>
              <w:t>Expiry date:</w:t>
            </w:r>
          </w:p>
        </w:tc>
        <w:tc>
          <w:tcPr>
            <w:tcW w:w="1124" w:type="dxa"/>
            <w:gridSpan w:val="2"/>
            <w:tcBorders>
              <w:top w:val="nil"/>
              <w:bottom w:val="nil"/>
            </w:tcBorders>
          </w:tcPr>
          <w:p w14:paraId="1A34879E" w14:textId="77777777" w:rsidR="006E40C9" w:rsidRPr="00F32057" w:rsidRDefault="006E40C9">
            <w:pPr>
              <w:pStyle w:val="MeasureTableTextLeftAligned"/>
            </w:pPr>
          </w:p>
        </w:tc>
      </w:tr>
      <w:tr w:rsidR="006E40C9" w14:paraId="1EE78733" w14:textId="77777777">
        <w:trPr>
          <w:cantSplit/>
          <w:jc w:val="center"/>
        </w:trPr>
        <w:tc>
          <w:tcPr>
            <w:tcW w:w="1934" w:type="dxa"/>
            <w:gridSpan w:val="2"/>
            <w:tcBorders>
              <w:top w:val="nil"/>
            </w:tcBorders>
          </w:tcPr>
          <w:p w14:paraId="751D790C" w14:textId="77777777" w:rsidR="006E40C9" w:rsidRDefault="006E40C9">
            <w:pPr>
              <w:pStyle w:val="MeasureTableTextItalic"/>
            </w:pPr>
            <w:r>
              <w:t>Legislative reference:</w:t>
            </w:r>
          </w:p>
        </w:tc>
        <w:tc>
          <w:tcPr>
            <w:tcW w:w="5803" w:type="dxa"/>
            <w:gridSpan w:val="8"/>
            <w:tcBorders>
              <w:top w:val="nil"/>
            </w:tcBorders>
          </w:tcPr>
          <w:p w14:paraId="06B9BF2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47(2) of the </w:t>
            </w:r>
            <w:r>
              <w:rPr>
                <w:rFonts w:ascii="Arial" w:hAnsi="Arial" w:cs="Arial"/>
                <w:i/>
                <w:iCs/>
                <w:color w:val="000000"/>
                <w:sz w:val="16"/>
                <w:szCs w:val="16"/>
              </w:rPr>
              <w:t>Fringe Benefits Tax Assessment Act 1986</w:t>
            </w:r>
          </w:p>
        </w:tc>
      </w:tr>
    </w:tbl>
    <w:p w14:paraId="333A7A4F" w14:textId="77777777" w:rsidR="006E40C9" w:rsidRPr="00540040" w:rsidRDefault="006E40C9" w:rsidP="006E40C9">
      <w:pPr>
        <w:pStyle w:val="MeasureTableHeading"/>
      </w:pPr>
    </w:p>
    <w:p w14:paraId="6572E6D0" w14:textId="77777777" w:rsidR="006E40C9" w:rsidRDefault="006E40C9" w:rsidP="006E40C9">
      <w:r>
        <w:t xml:space="preserve">Under the income tax benchmark, fringe benefits are classified as individual employee income, with the grossed-up value taxed at the employee’s marginal income tax rate. However, </w:t>
      </w:r>
      <w:r>
        <w:rPr>
          <w:rFonts w:eastAsia="MS Gothic"/>
          <w:lang w:eastAsia="ja-JP"/>
        </w:rPr>
        <w:t>recreational facilities</w:t>
      </w:r>
      <w:r>
        <w:rPr>
          <w:rFonts w:eastAsia="MS Gothic"/>
          <w:lang w:eastAsia="ja-JP"/>
        </w:rPr>
        <w:fldChar w:fldCharType="begin"/>
      </w:r>
      <w:r>
        <w:instrText xml:space="preserve"> XE "</w:instrText>
      </w:r>
      <w:r>
        <w:rPr>
          <w:rFonts w:eastAsia="MS Gothic"/>
          <w:lang w:eastAsia="ja-JP"/>
        </w:rPr>
        <w:instrText>Recreational or child care facilities</w:instrText>
      </w:r>
      <w:r>
        <w:instrText xml:space="preserve">" </w:instrText>
      </w:r>
      <w:r>
        <w:rPr>
          <w:rFonts w:eastAsia="MS Gothic"/>
          <w:lang w:eastAsia="ja-JP"/>
        </w:rPr>
        <w:fldChar w:fldCharType="end"/>
      </w:r>
      <w:r>
        <w:rPr>
          <w:rFonts w:eastAsia="MS Gothic"/>
          <w:lang w:eastAsia="ja-JP"/>
        </w:rPr>
        <w:t xml:space="preserve"> or child care are exempt from fringe benefits tax if the facilities are provided on an employer’s business premises for the benefit of employees.</w:t>
      </w:r>
      <w:r>
        <w:t xml:space="preserve"> </w:t>
      </w:r>
      <w:r>
        <w:fldChar w:fldCharType="begin"/>
      </w:r>
      <w:r>
        <w:instrText xml:space="preserve"> XE "Fringe benefits tax:Child care" </w:instrText>
      </w:r>
      <w:r>
        <w:fldChar w:fldCharType="end"/>
      </w:r>
    </w:p>
    <w:p w14:paraId="040DA9A9" w14:textId="77777777" w:rsidR="006E40C9" w:rsidRDefault="006E40C9" w:rsidP="00D9255A">
      <w:pPr>
        <w:pStyle w:val="TESHeading5"/>
      </w:pPr>
      <w:r>
        <w:t>D45</w:t>
      </w:r>
      <w:r>
        <w:tab/>
        <w:t>Remote area holiday benefits discounted valuation</w:t>
      </w:r>
    </w:p>
    <w:p w14:paraId="1B3261AF" w14:textId="252DBF37"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681424D" w14:textId="77777777">
        <w:trPr>
          <w:cantSplit/>
          <w:jc w:val="center"/>
        </w:trPr>
        <w:tc>
          <w:tcPr>
            <w:tcW w:w="967" w:type="dxa"/>
            <w:tcBorders>
              <w:top w:val="single" w:sz="2" w:space="0" w:color="auto"/>
              <w:bottom w:val="single" w:sz="2" w:space="0" w:color="auto"/>
            </w:tcBorders>
          </w:tcPr>
          <w:p w14:paraId="76DA2D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B07A0D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EB1F3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D58E7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AC6751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85FC4C"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12CB1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A13BD5" w14:textId="77777777" w:rsidR="006E40C9" w:rsidRDefault="006E40C9">
            <w:pPr>
              <w:pStyle w:val="MeasureTableTextRightAligned"/>
            </w:pPr>
            <w:r>
              <w:t>2027-28</w:t>
            </w:r>
          </w:p>
        </w:tc>
      </w:tr>
      <w:tr w:rsidR="006E40C9" w14:paraId="0E27973F" w14:textId="77777777">
        <w:trPr>
          <w:cantSplit/>
          <w:jc w:val="center"/>
        </w:trPr>
        <w:tc>
          <w:tcPr>
            <w:tcW w:w="967" w:type="dxa"/>
            <w:tcBorders>
              <w:top w:val="single" w:sz="2" w:space="0" w:color="auto"/>
              <w:bottom w:val="single" w:sz="2" w:space="0" w:color="auto"/>
            </w:tcBorders>
          </w:tcPr>
          <w:p w14:paraId="57D981B4"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51A87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B7A68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97D759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D142FA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A756D7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5F6415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3361DF2" w14:textId="77777777" w:rsidR="006E40C9" w:rsidRDefault="006E40C9">
            <w:pPr>
              <w:pStyle w:val="MeasureTableTextRightAligned"/>
            </w:pPr>
            <w:r>
              <w:t>*</w:t>
            </w:r>
          </w:p>
        </w:tc>
      </w:tr>
      <w:tr w:rsidR="006E40C9" w14:paraId="6404F80C" w14:textId="77777777">
        <w:trPr>
          <w:cantSplit/>
          <w:jc w:val="center"/>
        </w:trPr>
        <w:tc>
          <w:tcPr>
            <w:tcW w:w="1934" w:type="dxa"/>
            <w:gridSpan w:val="2"/>
            <w:tcBorders>
              <w:top w:val="single" w:sz="2" w:space="0" w:color="auto"/>
              <w:bottom w:val="nil"/>
            </w:tcBorders>
          </w:tcPr>
          <w:p w14:paraId="1FE2068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D22580B" w14:textId="77777777" w:rsidR="006E40C9" w:rsidRDefault="006E40C9">
            <w:pPr>
              <w:pStyle w:val="MeasureTableTextLeftAligned"/>
            </w:pPr>
            <w:r>
              <w:t>Discounted valuation</w:t>
            </w:r>
          </w:p>
        </w:tc>
        <w:tc>
          <w:tcPr>
            <w:tcW w:w="1500" w:type="dxa"/>
            <w:gridSpan w:val="2"/>
            <w:tcBorders>
              <w:top w:val="single" w:sz="2" w:space="0" w:color="auto"/>
              <w:bottom w:val="nil"/>
            </w:tcBorders>
          </w:tcPr>
          <w:p w14:paraId="69986B65" w14:textId="1DB7CCB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5CF3E3" w14:textId="77777777" w:rsidR="006E40C9" w:rsidRDefault="006E40C9">
            <w:pPr>
              <w:pStyle w:val="MeasureTableTextLeftAligned"/>
            </w:pPr>
            <w:r>
              <w:t>D45</w:t>
            </w:r>
          </w:p>
        </w:tc>
      </w:tr>
      <w:tr w:rsidR="006E40C9" w14:paraId="1542EACE" w14:textId="77777777">
        <w:trPr>
          <w:cantSplit/>
          <w:jc w:val="center"/>
        </w:trPr>
        <w:tc>
          <w:tcPr>
            <w:tcW w:w="1934" w:type="dxa"/>
            <w:gridSpan w:val="2"/>
            <w:tcBorders>
              <w:top w:val="nil"/>
              <w:bottom w:val="nil"/>
            </w:tcBorders>
          </w:tcPr>
          <w:p w14:paraId="2DACC11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7799728" w14:textId="77777777" w:rsidR="006E40C9" w:rsidRPr="00584CA7" w:rsidRDefault="006E40C9">
            <w:pPr>
              <w:pStyle w:val="MeasureTableTextLeftAligned"/>
            </w:pPr>
            <w:r>
              <w:t>Not Applicable</w:t>
            </w:r>
          </w:p>
        </w:tc>
        <w:tc>
          <w:tcPr>
            <w:tcW w:w="1500" w:type="dxa"/>
            <w:gridSpan w:val="2"/>
            <w:tcBorders>
              <w:top w:val="nil"/>
              <w:bottom w:val="nil"/>
            </w:tcBorders>
          </w:tcPr>
          <w:p w14:paraId="6EA8ABA6" w14:textId="77777777" w:rsidR="006E40C9" w:rsidRDefault="006E40C9">
            <w:pPr>
              <w:pStyle w:val="MeasureTableTextItalic"/>
            </w:pPr>
            <w:r>
              <w:t>* Category</w:t>
            </w:r>
          </w:p>
        </w:tc>
        <w:tc>
          <w:tcPr>
            <w:tcW w:w="1124" w:type="dxa"/>
            <w:gridSpan w:val="2"/>
            <w:tcBorders>
              <w:top w:val="nil"/>
              <w:bottom w:val="nil"/>
            </w:tcBorders>
          </w:tcPr>
          <w:p w14:paraId="57CE0281" w14:textId="77777777" w:rsidR="006E40C9" w:rsidRDefault="006E40C9">
            <w:pPr>
              <w:pStyle w:val="MeasureTableTextLeftAligned"/>
            </w:pPr>
            <w:r>
              <w:t>1+</w:t>
            </w:r>
          </w:p>
        </w:tc>
      </w:tr>
      <w:tr w:rsidR="006E40C9" w14:paraId="78B8E506" w14:textId="77777777">
        <w:trPr>
          <w:cantSplit/>
          <w:jc w:val="center"/>
        </w:trPr>
        <w:tc>
          <w:tcPr>
            <w:tcW w:w="1934" w:type="dxa"/>
            <w:gridSpan w:val="2"/>
            <w:tcBorders>
              <w:top w:val="nil"/>
              <w:bottom w:val="nil"/>
            </w:tcBorders>
          </w:tcPr>
          <w:p w14:paraId="43368F71" w14:textId="77777777" w:rsidR="006E40C9" w:rsidRDefault="006E40C9">
            <w:pPr>
              <w:pStyle w:val="MeasureTableTextItalic"/>
            </w:pPr>
            <w:r>
              <w:t>Commencement date:</w:t>
            </w:r>
          </w:p>
        </w:tc>
        <w:tc>
          <w:tcPr>
            <w:tcW w:w="3179" w:type="dxa"/>
            <w:gridSpan w:val="4"/>
            <w:tcBorders>
              <w:top w:val="nil"/>
              <w:bottom w:val="nil"/>
            </w:tcBorders>
          </w:tcPr>
          <w:p w14:paraId="1F29BB25" w14:textId="77777777" w:rsidR="006E40C9" w:rsidRDefault="006E40C9">
            <w:pPr>
              <w:pStyle w:val="MeasureTableTextLeftAligned"/>
            </w:pPr>
            <w:r>
              <w:t>1986</w:t>
            </w:r>
          </w:p>
        </w:tc>
        <w:tc>
          <w:tcPr>
            <w:tcW w:w="1500" w:type="dxa"/>
            <w:gridSpan w:val="2"/>
            <w:tcBorders>
              <w:top w:val="nil"/>
              <w:bottom w:val="nil"/>
            </w:tcBorders>
          </w:tcPr>
          <w:p w14:paraId="1EFD2CCC" w14:textId="77777777" w:rsidR="006E40C9" w:rsidRPr="00F32057" w:rsidRDefault="006E40C9">
            <w:pPr>
              <w:pStyle w:val="MeasureTableTextItalic"/>
            </w:pPr>
            <w:r>
              <w:t>Expiry date:</w:t>
            </w:r>
          </w:p>
        </w:tc>
        <w:tc>
          <w:tcPr>
            <w:tcW w:w="1124" w:type="dxa"/>
            <w:gridSpan w:val="2"/>
            <w:tcBorders>
              <w:top w:val="nil"/>
              <w:bottom w:val="nil"/>
            </w:tcBorders>
          </w:tcPr>
          <w:p w14:paraId="71AC43FB" w14:textId="77777777" w:rsidR="006E40C9" w:rsidRPr="00F32057" w:rsidRDefault="006E40C9">
            <w:pPr>
              <w:pStyle w:val="MeasureTableTextLeftAligned"/>
            </w:pPr>
          </w:p>
        </w:tc>
      </w:tr>
      <w:tr w:rsidR="006E40C9" w14:paraId="7AC3D39E" w14:textId="77777777">
        <w:trPr>
          <w:cantSplit/>
          <w:jc w:val="center"/>
        </w:trPr>
        <w:tc>
          <w:tcPr>
            <w:tcW w:w="1934" w:type="dxa"/>
            <w:gridSpan w:val="2"/>
            <w:tcBorders>
              <w:top w:val="nil"/>
            </w:tcBorders>
          </w:tcPr>
          <w:p w14:paraId="6837064C" w14:textId="77777777" w:rsidR="006E40C9" w:rsidRDefault="006E40C9">
            <w:pPr>
              <w:pStyle w:val="MeasureTableTextItalic"/>
            </w:pPr>
            <w:r>
              <w:t>Legislative reference:</w:t>
            </w:r>
          </w:p>
        </w:tc>
        <w:tc>
          <w:tcPr>
            <w:tcW w:w="5803" w:type="dxa"/>
            <w:gridSpan w:val="8"/>
            <w:tcBorders>
              <w:top w:val="nil"/>
            </w:tcBorders>
          </w:tcPr>
          <w:p w14:paraId="21F979D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60A and 61 of the </w:t>
            </w:r>
            <w:r>
              <w:rPr>
                <w:rFonts w:ascii="Arial" w:hAnsi="Arial" w:cs="Arial"/>
                <w:i/>
                <w:iCs/>
                <w:color w:val="000000"/>
                <w:sz w:val="16"/>
                <w:szCs w:val="16"/>
              </w:rPr>
              <w:t>Fringe Benefits Tax Assessment Act 1986</w:t>
            </w:r>
          </w:p>
        </w:tc>
      </w:tr>
    </w:tbl>
    <w:p w14:paraId="459A3C2D" w14:textId="77777777" w:rsidR="006E40C9" w:rsidRPr="00540040" w:rsidRDefault="006E40C9" w:rsidP="006E40C9">
      <w:pPr>
        <w:pStyle w:val="MeasureTableHeading"/>
      </w:pPr>
    </w:p>
    <w:p w14:paraId="490353DA" w14:textId="77777777" w:rsidR="006E40C9" w:rsidRDefault="006E40C9" w:rsidP="006E40C9">
      <w:r>
        <w:t>Under the income tax benchmark, fringe benefits are classified as individual employee income, with the grossed-up value taxed at the employee’s marginal income tax rate. However, the value of holiday</w:t>
      </w:r>
      <w:r>
        <w:noBreakHyphen/>
        <w:t>related transport</w:t>
      </w:r>
      <w:r>
        <w:fldChar w:fldCharType="begin"/>
      </w:r>
      <w:r>
        <w:instrText xml:space="preserve"> XE "Holiday transport" </w:instrText>
      </w:r>
      <w:r>
        <w:fldChar w:fldCharType="end"/>
      </w:r>
      <w:r>
        <w:t xml:space="preserve"> benefits (including the cost of appropriate meals and accommodation en route) provided to employees working in a remote area (and in some cases family members) are generally reduced by 50 per cent. </w:t>
      </w:r>
      <w:r>
        <w:fldChar w:fldCharType="begin"/>
      </w:r>
      <w:r>
        <w:instrText xml:space="preserve"> XE "Fringe benefits tax:Holidays" </w:instrText>
      </w:r>
      <w:r>
        <w:fldChar w:fldCharType="end"/>
      </w:r>
    </w:p>
    <w:p w14:paraId="1FB4B34E" w14:textId="77777777" w:rsidR="006E40C9" w:rsidRDefault="006E40C9" w:rsidP="00D9255A">
      <w:pPr>
        <w:pStyle w:val="TESHeading5"/>
      </w:pPr>
      <w:r>
        <w:t>D46</w:t>
      </w:r>
      <w:r>
        <w:tab/>
        <w:t>Small business employee car parking exemption</w:t>
      </w:r>
    </w:p>
    <w:p w14:paraId="724F7A65" w14:textId="0A1F681F"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D0B391F" w14:textId="77777777">
        <w:trPr>
          <w:cantSplit/>
          <w:jc w:val="center"/>
        </w:trPr>
        <w:tc>
          <w:tcPr>
            <w:tcW w:w="967" w:type="dxa"/>
            <w:tcBorders>
              <w:top w:val="single" w:sz="2" w:space="0" w:color="auto"/>
              <w:bottom w:val="single" w:sz="2" w:space="0" w:color="auto"/>
            </w:tcBorders>
          </w:tcPr>
          <w:p w14:paraId="6E17645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271039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A3BBA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62E2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A7FE6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BD795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93FD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076EA67" w14:textId="77777777" w:rsidR="006E40C9" w:rsidRDefault="006E40C9">
            <w:pPr>
              <w:pStyle w:val="MeasureTableTextRightAligned"/>
            </w:pPr>
            <w:r>
              <w:t>2027-28</w:t>
            </w:r>
          </w:p>
        </w:tc>
      </w:tr>
      <w:tr w:rsidR="006E40C9" w14:paraId="624D5608" w14:textId="77777777">
        <w:trPr>
          <w:cantSplit/>
          <w:jc w:val="center"/>
        </w:trPr>
        <w:tc>
          <w:tcPr>
            <w:tcW w:w="967" w:type="dxa"/>
            <w:tcBorders>
              <w:top w:val="single" w:sz="2" w:space="0" w:color="auto"/>
              <w:bottom w:val="single" w:sz="2" w:space="0" w:color="auto"/>
            </w:tcBorders>
          </w:tcPr>
          <w:p w14:paraId="129B53F3" w14:textId="77777777" w:rsidR="006E40C9" w:rsidRDefault="006E40C9">
            <w:pPr>
              <w:pStyle w:val="MeasureTableTextRightAligned"/>
            </w:pPr>
            <w:r>
              <w:t>*</w:t>
            </w:r>
          </w:p>
        </w:tc>
        <w:tc>
          <w:tcPr>
            <w:tcW w:w="967" w:type="dxa"/>
            <w:tcBorders>
              <w:top w:val="single" w:sz="2" w:space="0" w:color="auto"/>
              <w:bottom w:val="single" w:sz="2" w:space="0" w:color="auto"/>
            </w:tcBorders>
          </w:tcPr>
          <w:p w14:paraId="6BF0442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B7372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708B67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44B999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34F0FF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244AB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A538CCD" w14:textId="77777777" w:rsidR="006E40C9" w:rsidRDefault="006E40C9">
            <w:pPr>
              <w:pStyle w:val="MeasureTableTextRightAligned"/>
            </w:pPr>
            <w:r>
              <w:t>*</w:t>
            </w:r>
          </w:p>
        </w:tc>
      </w:tr>
      <w:tr w:rsidR="006E40C9" w14:paraId="65012761" w14:textId="77777777">
        <w:trPr>
          <w:cantSplit/>
          <w:jc w:val="center"/>
        </w:trPr>
        <w:tc>
          <w:tcPr>
            <w:tcW w:w="1934" w:type="dxa"/>
            <w:gridSpan w:val="2"/>
            <w:tcBorders>
              <w:top w:val="single" w:sz="2" w:space="0" w:color="auto"/>
              <w:bottom w:val="nil"/>
            </w:tcBorders>
          </w:tcPr>
          <w:p w14:paraId="4BEA6EA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BA3351C" w14:textId="77777777" w:rsidR="006E40C9" w:rsidRDefault="006E40C9">
            <w:pPr>
              <w:pStyle w:val="MeasureTableTextLeftAligned"/>
            </w:pPr>
            <w:r>
              <w:t>Exemption</w:t>
            </w:r>
          </w:p>
        </w:tc>
        <w:tc>
          <w:tcPr>
            <w:tcW w:w="1500" w:type="dxa"/>
            <w:gridSpan w:val="2"/>
            <w:tcBorders>
              <w:top w:val="single" w:sz="2" w:space="0" w:color="auto"/>
              <w:bottom w:val="nil"/>
            </w:tcBorders>
          </w:tcPr>
          <w:p w14:paraId="3F396177" w14:textId="3A6C46D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5CFA75" w14:textId="77777777" w:rsidR="006E40C9" w:rsidRDefault="006E40C9">
            <w:pPr>
              <w:pStyle w:val="MeasureTableTextLeftAligned"/>
            </w:pPr>
            <w:r>
              <w:t>D46</w:t>
            </w:r>
          </w:p>
        </w:tc>
      </w:tr>
      <w:tr w:rsidR="006E40C9" w14:paraId="409ED3A9" w14:textId="77777777">
        <w:trPr>
          <w:cantSplit/>
          <w:jc w:val="center"/>
        </w:trPr>
        <w:tc>
          <w:tcPr>
            <w:tcW w:w="1934" w:type="dxa"/>
            <w:gridSpan w:val="2"/>
            <w:tcBorders>
              <w:top w:val="nil"/>
              <w:bottom w:val="nil"/>
            </w:tcBorders>
          </w:tcPr>
          <w:p w14:paraId="78509C0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7E0EE2" w14:textId="77777777" w:rsidR="006E40C9" w:rsidRPr="00584CA7" w:rsidRDefault="006E40C9">
            <w:pPr>
              <w:pStyle w:val="MeasureTableTextLeftAligned"/>
            </w:pPr>
            <w:r>
              <w:t>Not Applicable</w:t>
            </w:r>
          </w:p>
        </w:tc>
        <w:tc>
          <w:tcPr>
            <w:tcW w:w="1500" w:type="dxa"/>
            <w:gridSpan w:val="2"/>
            <w:tcBorders>
              <w:top w:val="nil"/>
              <w:bottom w:val="nil"/>
            </w:tcBorders>
          </w:tcPr>
          <w:p w14:paraId="4A0DCE3D" w14:textId="77777777" w:rsidR="006E40C9" w:rsidRDefault="006E40C9">
            <w:pPr>
              <w:pStyle w:val="MeasureTableTextItalic"/>
            </w:pPr>
            <w:r>
              <w:t>* Category</w:t>
            </w:r>
          </w:p>
        </w:tc>
        <w:tc>
          <w:tcPr>
            <w:tcW w:w="1124" w:type="dxa"/>
            <w:gridSpan w:val="2"/>
            <w:tcBorders>
              <w:top w:val="nil"/>
              <w:bottom w:val="nil"/>
            </w:tcBorders>
          </w:tcPr>
          <w:p w14:paraId="0EADE7B5" w14:textId="77777777" w:rsidR="006E40C9" w:rsidRDefault="006E40C9">
            <w:pPr>
              <w:pStyle w:val="MeasureTableTextLeftAligned"/>
            </w:pPr>
            <w:r>
              <w:t>2+</w:t>
            </w:r>
          </w:p>
        </w:tc>
      </w:tr>
      <w:tr w:rsidR="006E40C9" w14:paraId="6D5E24DE" w14:textId="77777777">
        <w:trPr>
          <w:cantSplit/>
          <w:jc w:val="center"/>
        </w:trPr>
        <w:tc>
          <w:tcPr>
            <w:tcW w:w="1934" w:type="dxa"/>
            <w:gridSpan w:val="2"/>
            <w:tcBorders>
              <w:top w:val="nil"/>
              <w:bottom w:val="nil"/>
            </w:tcBorders>
          </w:tcPr>
          <w:p w14:paraId="282ACA1F" w14:textId="77777777" w:rsidR="006E40C9" w:rsidRDefault="006E40C9">
            <w:pPr>
              <w:pStyle w:val="MeasureTableTextItalic"/>
            </w:pPr>
            <w:r>
              <w:t>Commencement date:</w:t>
            </w:r>
          </w:p>
        </w:tc>
        <w:tc>
          <w:tcPr>
            <w:tcW w:w="3179" w:type="dxa"/>
            <w:gridSpan w:val="4"/>
            <w:tcBorders>
              <w:top w:val="nil"/>
              <w:bottom w:val="nil"/>
            </w:tcBorders>
          </w:tcPr>
          <w:p w14:paraId="0C98C4EE" w14:textId="77777777" w:rsidR="006E40C9" w:rsidRDefault="006E40C9">
            <w:pPr>
              <w:pStyle w:val="MeasureTableTextLeftAligned"/>
            </w:pPr>
            <w:r>
              <w:t>1997</w:t>
            </w:r>
          </w:p>
        </w:tc>
        <w:tc>
          <w:tcPr>
            <w:tcW w:w="1500" w:type="dxa"/>
            <w:gridSpan w:val="2"/>
            <w:tcBorders>
              <w:top w:val="nil"/>
              <w:bottom w:val="nil"/>
            </w:tcBorders>
          </w:tcPr>
          <w:p w14:paraId="5BC7A4BE" w14:textId="77777777" w:rsidR="006E40C9" w:rsidRPr="00F32057" w:rsidRDefault="006E40C9">
            <w:pPr>
              <w:pStyle w:val="MeasureTableTextItalic"/>
            </w:pPr>
            <w:r>
              <w:t>Expiry date:</w:t>
            </w:r>
          </w:p>
        </w:tc>
        <w:tc>
          <w:tcPr>
            <w:tcW w:w="1124" w:type="dxa"/>
            <w:gridSpan w:val="2"/>
            <w:tcBorders>
              <w:top w:val="nil"/>
              <w:bottom w:val="nil"/>
            </w:tcBorders>
          </w:tcPr>
          <w:p w14:paraId="1507F567" w14:textId="77777777" w:rsidR="006E40C9" w:rsidRPr="00F32057" w:rsidRDefault="006E40C9">
            <w:pPr>
              <w:pStyle w:val="MeasureTableTextLeftAligned"/>
            </w:pPr>
          </w:p>
        </w:tc>
      </w:tr>
      <w:tr w:rsidR="006E40C9" w14:paraId="01B0C995" w14:textId="77777777">
        <w:trPr>
          <w:cantSplit/>
          <w:jc w:val="center"/>
        </w:trPr>
        <w:tc>
          <w:tcPr>
            <w:tcW w:w="1934" w:type="dxa"/>
            <w:gridSpan w:val="2"/>
            <w:tcBorders>
              <w:top w:val="nil"/>
            </w:tcBorders>
          </w:tcPr>
          <w:p w14:paraId="4FB9382E" w14:textId="77777777" w:rsidR="006E40C9" w:rsidRDefault="006E40C9">
            <w:pPr>
              <w:pStyle w:val="MeasureTableTextItalic"/>
            </w:pPr>
            <w:r>
              <w:t>Legislative reference:</w:t>
            </w:r>
          </w:p>
        </w:tc>
        <w:tc>
          <w:tcPr>
            <w:tcW w:w="5803" w:type="dxa"/>
            <w:gridSpan w:val="8"/>
            <w:tcBorders>
              <w:top w:val="nil"/>
            </w:tcBorders>
          </w:tcPr>
          <w:p w14:paraId="0FAD2D5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58GA of the </w:t>
            </w:r>
            <w:r>
              <w:rPr>
                <w:rFonts w:ascii="Arial" w:hAnsi="Arial" w:cs="Arial"/>
                <w:i/>
                <w:iCs/>
                <w:color w:val="000000"/>
                <w:sz w:val="16"/>
                <w:szCs w:val="16"/>
              </w:rPr>
              <w:t>Fringe Benefits Tax Assessment Act 1986</w:t>
            </w:r>
          </w:p>
        </w:tc>
      </w:tr>
    </w:tbl>
    <w:p w14:paraId="76321957" w14:textId="77777777" w:rsidR="006E40C9" w:rsidRPr="00540040" w:rsidRDefault="006E40C9" w:rsidP="006E40C9">
      <w:pPr>
        <w:pStyle w:val="MeasureTableHeading"/>
      </w:pPr>
    </w:p>
    <w:p w14:paraId="7B0311FE" w14:textId="77777777" w:rsidR="006E40C9" w:rsidRDefault="006E40C9" w:rsidP="006E40C9">
      <w:r>
        <w:t>Under the income tax benchmark, fringe benefits are classified as individual employee income, with the grossed-up value taxed at the employee’s marginal income tax rate. However, car parking benefits</w:t>
      </w:r>
      <w:r>
        <w:fldChar w:fldCharType="begin"/>
      </w:r>
      <w:r>
        <w:instrText xml:space="preserve"> XE "Fringe benefits tax:Car parking benefits" </w:instrText>
      </w:r>
      <w:r>
        <w:fldChar w:fldCharType="end"/>
      </w:r>
      <w:r>
        <w:t xml:space="preserve"> provided to employees of small businesses are exempt from fringe benefits tax if the parking is not provided in a commercial car park. The employer must not be a government body, listed public company or subsidiary of a listed public company and the employer’s aggregated annual turnover must be less than $50 million.</w:t>
      </w:r>
    </w:p>
    <w:p w14:paraId="3FD64A10" w14:textId="77777777" w:rsidR="006E40C9" w:rsidRDefault="006E40C9" w:rsidP="00D9255A">
      <w:pPr>
        <w:pStyle w:val="TESHeading5"/>
      </w:pPr>
      <w:r>
        <w:t>D47</w:t>
      </w:r>
      <w:r>
        <w:tab/>
        <w:t>Taxi travel to or from place of work exemption</w:t>
      </w:r>
    </w:p>
    <w:p w14:paraId="1AE42D58" w14:textId="3E753EA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BDB8561" w14:textId="77777777">
        <w:trPr>
          <w:cantSplit/>
          <w:jc w:val="center"/>
        </w:trPr>
        <w:tc>
          <w:tcPr>
            <w:tcW w:w="967" w:type="dxa"/>
            <w:tcBorders>
              <w:top w:val="single" w:sz="2" w:space="0" w:color="auto"/>
              <w:bottom w:val="single" w:sz="2" w:space="0" w:color="auto"/>
            </w:tcBorders>
          </w:tcPr>
          <w:p w14:paraId="3EAC412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14CCAF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A123B7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81369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018860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7DA19A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516D91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893DEEA" w14:textId="77777777" w:rsidR="006E40C9" w:rsidRDefault="006E40C9">
            <w:pPr>
              <w:pStyle w:val="MeasureTableTextRightAligned"/>
            </w:pPr>
            <w:r>
              <w:t>2027-28</w:t>
            </w:r>
          </w:p>
        </w:tc>
      </w:tr>
      <w:tr w:rsidR="006E40C9" w14:paraId="16B2FF3A" w14:textId="77777777">
        <w:trPr>
          <w:cantSplit/>
          <w:jc w:val="center"/>
        </w:trPr>
        <w:tc>
          <w:tcPr>
            <w:tcW w:w="967" w:type="dxa"/>
            <w:tcBorders>
              <w:top w:val="single" w:sz="2" w:space="0" w:color="auto"/>
              <w:bottom w:val="single" w:sz="2" w:space="0" w:color="auto"/>
            </w:tcBorders>
          </w:tcPr>
          <w:p w14:paraId="2F98DA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15FB330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E288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A2914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0ACBD6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EB7D5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33AF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FE531C3" w14:textId="77777777" w:rsidR="006E40C9" w:rsidRDefault="006E40C9">
            <w:pPr>
              <w:pStyle w:val="MeasureTableTextRightAligned"/>
            </w:pPr>
            <w:r>
              <w:t>*</w:t>
            </w:r>
          </w:p>
        </w:tc>
      </w:tr>
      <w:tr w:rsidR="006E40C9" w14:paraId="6035ACA2" w14:textId="77777777">
        <w:trPr>
          <w:cantSplit/>
          <w:jc w:val="center"/>
        </w:trPr>
        <w:tc>
          <w:tcPr>
            <w:tcW w:w="1934" w:type="dxa"/>
            <w:gridSpan w:val="2"/>
            <w:tcBorders>
              <w:top w:val="single" w:sz="2" w:space="0" w:color="auto"/>
              <w:bottom w:val="nil"/>
            </w:tcBorders>
          </w:tcPr>
          <w:p w14:paraId="6BF6116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A07C675" w14:textId="77777777" w:rsidR="006E40C9" w:rsidRDefault="006E40C9">
            <w:pPr>
              <w:pStyle w:val="MeasureTableTextLeftAligned"/>
            </w:pPr>
            <w:r>
              <w:t>Exemption</w:t>
            </w:r>
          </w:p>
        </w:tc>
        <w:tc>
          <w:tcPr>
            <w:tcW w:w="1500" w:type="dxa"/>
            <w:gridSpan w:val="2"/>
            <w:tcBorders>
              <w:top w:val="single" w:sz="2" w:space="0" w:color="auto"/>
              <w:bottom w:val="nil"/>
            </w:tcBorders>
          </w:tcPr>
          <w:p w14:paraId="77556F83" w14:textId="0E6BC6D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3A3DBD8" w14:textId="77777777" w:rsidR="006E40C9" w:rsidRDefault="006E40C9">
            <w:pPr>
              <w:pStyle w:val="MeasureTableTextLeftAligned"/>
            </w:pPr>
            <w:r>
              <w:t>D47</w:t>
            </w:r>
          </w:p>
        </w:tc>
      </w:tr>
      <w:tr w:rsidR="006E40C9" w14:paraId="46007273" w14:textId="77777777">
        <w:trPr>
          <w:cantSplit/>
          <w:jc w:val="center"/>
        </w:trPr>
        <w:tc>
          <w:tcPr>
            <w:tcW w:w="1934" w:type="dxa"/>
            <w:gridSpan w:val="2"/>
            <w:tcBorders>
              <w:top w:val="nil"/>
              <w:bottom w:val="nil"/>
            </w:tcBorders>
          </w:tcPr>
          <w:p w14:paraId="062CA1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391BD2" w14:textId="77777777" w:rsidR="006E40C9" w:rsidRPr="00584CA7" w:rsidRDefault="006E40C9">
            <w:pPr>
              <w:pStyle w:val="MeasureTableTextLeftAligned"/>
            </w:pPr>
            <w:r>
              <w:t>Not Applicable</w:t>
            </w:r>
          </w:p>
        </w:tc>
        <w:tc>
          <w:tcPr>
            <w:tcW w:w="1500" w:type="dxa"/>
            <w:gridSpan w:val="2"/>
            <w:tcBorders>
              <w:top w:val="nil"/>
              <w:bottom w:val="nil"/>
            </w:tcBorders>
          </w:tcPr>
          <w:p w14:paraId="1EED4FF6" w14:textId="77777777" w:rsidR="006E40C9" w:rsidRDefault="006E40C9">
            <w:pPr>
              <w:pStyle w:val="MeasureTableTextItalic"/>
            </w:pPr>
            <w:r>
              <w:t>* Category</w:t>
            </w:r>
          </w:p>
        </w:tc>
        <w:tc>
          <w:tcPr>
            <w:tcW w:w="1124" w:type="dxa"/>
            <w:gridSpan w:val="2"/>
            <w:tcBorders>
              <w:top w:val="nil"/>
              <w:bottom w:val="nil"/>
            </w:tcBorders>
          </w:tcPr>
          <w:p w14:paraId="11214FD6" w14:textId="77777777" w:rsidR="006E40C9" w:rsidRDefault="006E40C9">
            <w:pPr>
              <w:pStyle w:val="MeasureTableTextLeftAligned"/>
            </w:pPr>
            <w:r>
              <w:t>2+</w:t>
            </w:r>
          </w:p>
        </w:tc>
      </w:tr>
      <w:tr w:rsidR="006E40C9" w14:paraId="2B62410E" w14:textId="77777777">
        <w:trPr>
          <w:cantSplit/>
          <w:jc w:val="center"/>
        </w:trPr>
        <w:tc>
          <w:tcPr>
            <w:tcW w:w="1934" w:type="dxa"/>
            <w:gridSpan w:val="2"/>
            <w:tcBorders>
              <w:top w:val="nil"/>
              <w:bottom w:val="nil"/>
            </w:tcBorders>
          </w:tcPr>
          <w:p w14:paraId="1A3377FA" w14:textId="77777777" w:rsidR="006E40C9" w:rsidRDefault="006E40C9">
            <w:pPr>
              <w:pStyle w:val="MeasureTableTextItalic"/>
            </w:pPr>
            <w:r>
              <w:t>Commencement date:</w:t>
            </w:r>
          </w:p>
        </w:tc>
        <w:tc>
          <w:tcPr>
            <w:tcW w:w="3179" w:type="dxa"/>
            <w:gridSpan w:val="4"/>
            <w:tcBorders>
              <w:top w:val="nil"/>
              <w:bottom w:val="nil"/>
            </w:tcBorders>
          </w:tcPr>
          <w:p w14:paraId="438E6F43" w14:textId="77777777" w:rsidR="006E40C9" w:rsidRDefault="006E40C9">
            <w:pPr>
              <w:pStyle w:val="MeasureTableTextLeftAligned"/>
            </w:pPr>
            <w:r>
              <w:t>1995</w:t>
            </w:r>
          </w:p>
        </w:tc>
        <w:tc>
          <w:tcPr>
            <w:tcW w:w="1500" w:type="dxa"/>
            <w:gridSpan w:val="2"/>
            <w:tcBorders>
              <w:top w:val="nil"/>
              <w:bottom w:val="nil"/>
            </w:tcBorders>
          </w:tcPr>
          <w:p w14:paraId="4A4F3515" w14:textId="77777777" w:rsidR="006E40C9" w:rsidRPr="00F32057" w:rsidRDefault="006E40C9">
            <w:pPr>
              <w:pStyle w:val="MeasureTableTextItalic"/>
            </w:pPr>
            <w:r>
              <w:t>Expiry date:</w:t>
            </w:r>
          </w:p>
        </w:tc>
        <w:tc>
          <w:tcPr>
            <w:tcW w:w="1124" w:type="dxa"/>
            <w:gridSpan w:val="2"/>
            <w:tcBorders>
              <w:top w:val="nil"/>
              <w:bottom w:val="nil"/>
            </w:tcBorders>
          </w:tcPr>
          <w:p w14:paraId="5BB43501" w14:textId="77777777" w:rsidR="006E40C9" w:rsidRPr="00F32057" w:rsidRDefault="006E40C9">
            <w:pPr>
              <w:pStyle w:val="MeasureTableTextLeftAligned"/>
            </w:pPr>
          </w:p>
        </w:tc>
      </w:tr>
      <w:tr w:rsidR="006E40C9" w14:paraId="194C814A" w14:textId="77777777">
        <w:trPr>
          <w:cantSplit/>
          <w:jc w:val="center"/>
        </w:trPr>
        <w:tc>
          <w:tcPr>
            <w:tcW w:w="1934" w:type="dxa"/>
            <w:gridSpan w:val="2"/>
            <w:tcBorders>
              <w:top w:val="nil"/>
            </w:tcBorders>
          </w:tcPr>
          <w:p w14:paraId="736679D1" w14:textId="77777777" w:rsidR="006E40C9" w:rsidRDefault="006E40C9">
            <w:pPr>
              <w:pStyle w:val="MeasureTableTextItalic"/>
            </w:pPr>
            <w:r>
              <w:t>Legislative reference:</w:t>
            </w:r>
          </w:p>
        </w:tc>
        <w:tc>
          <w:tcPr>
            <w:tcW w:w="5803" w:type="dxa"/>
            <w:gridSpan w:val="8"/>
            <w:tcBorders>
              <w:top w:val="nil"/>
            </w:tcBorders>
          </w:tcPr>
          <w:p w14:paraId="3D5C4E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58Z of the </w:t>
            </w:r>
            <w:r>
              <w:rPr>
                <w:rFonts w:ascii="Arial" w:hAnsi="Arial" w:cs="Arial"/>
                <w:i/>
                <w:iCs/>
                <w:color w:val="000000"/>
                <w:sz w:val="16"/>
                <w:szCs w:val="16"/>
              </w:rPr>
              <w:t>Fringe Benefits Tax Assessment Act 1986</w:t>
            </w:r>
          </w:p>
        </w:tc>
      </w:tr>
    </w:tbl>
    <w:p w14:paraId="2708A749" w14:textId="77777777" w:rsidR="006E40C9" w:rsidRPr="00540040" w:rsidRDefault="006E40C9" w:rsidP="006E40C9">
      <w:pPr>
        <w:pStyle w:val="MeasureTableHeading"/>
      </w:pPr>
    </w:p>
    <w:p w14:paraId="1206663A" w14:textId="77777777" w:rsidR="006E40C9" w:rsidRDefault="006E40C9" w:rsidP="006E40C9">
      <w:pPr>
        <w:rPr>
          <w:rFonts w:eastAsia="MS Gothic"/>
          <w:lang w:eastAsia="ja-JP"/>
        </w:rPr>
      </w:pPr>
      <w:r>
        <w:t xml:space="preserve">Under the income tax benchmark, fringe benefits are classified as individual employee income, with the grossed-up value taxed at the employee’s marginal income tax rate. However, </w:t>
      </w:r>
      <w:r>
        <w:rPr>
          <w:rFonts w:eastAsia="MS Gothic"/>
          <w:lang w:eastAsia="ja-JP"/>
        </w:rPr>
        <w:t>any benefit arising from taxi travel in a motor vehicle (other than a limousine) by an employee is exempt from fringe benefits tax if the travel is a single trip beginning or ending at the employee’s place of work or related to sickness or injury of the employee</w:t>
      </w:r>
      <w:r>
        <w:rPr>
          <w:rFonts w:eastAsia="MS Gothic"/>
          <w:lang w:eastAsia="ja-JP"/>
        </w:rPr>
        <w:fldChar w:fldCharType="begin"/>
      </w:r>
      <w:r>
        <w:instrText xml:space="preserve"> XE "</w:instrText>
      </w:r>
      <w:r w:rsidRPr="00D1327C">
        <w:instrText>Fringe benefits tax:Taxi travel</w:instrText>
      </w:r>
      <w:r>
        <w:instrText xml:space="preserve">" </w:instrText>
      </w:r>
      <w:r>
        <w:rPr>
          <w:rFonts w:eastAsia="MS Gothic"/>
          <w:lang w:eastAsia="ja-JP"/>
        </w:rPr>
        <w:fldChar w:fldCharType="end"/>
      </w:r>
      <w:r>
        <w:rPr>
          <w:rFonts w:eastAsia="MS Gothic"/>
          <w:lang w:eastAsia="ja-JP"/>
        </w:rPr>
        <w:t>.</w:t>
      </w:r>
    </w:p>
    <w:p w14:paraId="1A8C7638" w14:textId="77777777" w:rsidR="006E40C9" w:rsidRDefault="006E40C9" w:rsidP="00D9255A">
      <w:pPr>
        <w:pStyle w:val="TESHeading5"/>
      </w:pPr>
      <w:r>
        <w:t>D48</w:t>
      </w:r>
      <w:r>
        <w:tab/>
        <w:t>Transport for oil rig and remote area employees exemption</w:t>
      </w:r>
    </w:p>
    <w:p w14:paraId="19A01032" w14:textId="623E0FF4"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C628BBA" w14:textId="77777777">
        <w:trPr>
          <w:cantSplit/>
          <w:jc w:val="center"/>
        </w:trPr>
        <w:tc>
          <w:tcPr>
            <w:tcW w:w="967" w:type="dxa"/>
            <w:tcBorders>
              <w:top w:val="single" w:sz="2" w:space="0" w:color="auto"/>
              <w:bottom w:val="single" w:sz="2" w:space="0" w:color="auto"/>
            </w:tcBorders>
          </w:tcPr>
          <w:p w14:paraId="2C9A1D7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68324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5D601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3B9F0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50BF7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CEE01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178EA9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CB9D68" w14:textId="77777777" w:rsidR="006E40C9" w:rsidRDefault="006E40C9">
            <w:pPr>
              <w:pStyle w:val="MeasureTableTextRightAligned"/>
            </w:pPr>
            <w:r>
              <w:t>2027-28</w:t>
            </w:r>
          </w:p>
        </w:tc>
      </w:tr>
      <w:tr w:rsidR="006E40C9" w14:paraId="16DA2F7E" w14:textId="77777777">
        <w:trPr>
          <w:cantSplit/>
          <w:jc w:val="center"/>
        </w:trPr>
        <w:tc>
          <w:tcPr>
            <w:tcW w:w="967" w:type="dxa"/>
            <w:tcBorders>
              <w:top w:val="single" w:sz="2" w:space="0" w:color="auto"/>
              <w:bottom w:val="single" w:sz="2" w:space="0" w:color="auto"/>
            </w:tcBorders>
          </w:tcPr>
          <w:p w14:paraId="5B973C7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F71E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A66B2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D7489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0909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B8672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5A62D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8EAEF1" w14:textId="77777777" w:rsidR="006E40C9" w:rsidRDefault="006E40C9">
            <w:pPr>
              <w:pStyle w:val="MeasureTableTextRightAligned"/>
            </w:pPr>
            <w:r>
              <w:t>*</w:t>
            </w:r>
          </w:p>
        </w:tc>
      </w:tr>
      <w:tr w:rsidR="006E40C9" w14:paraId="67D4BBF6" w14:textId="77777777">
        <w:trPr>
          <w:cantSplit/>
          <w:jc w:val="center"/>
        </w:trPr>
        <w:tc>
          <w:tcPr>
            <w:tcW w:w="1934" w:type="dxa"/>
            <w:gridSpan w:val="2"/>
            <w:tcBorders>
              <w:top w:val="single" w:sz="2" w:space="0" w:color="auto"/>
              <w:bottom w:val="nil"/>
            </w:tcBorders>
          </w:tcPr>
          <w:p w14:paraId="4B5CA36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BF49954" w14:textId="77777777" w:rsidR="006E40C9" w:rsidRDefault="006E40C9">
            <w:pPr>
              <w:pStyle w:val="MeasureTableTextLeftAligned"/>
            </w:pPr>
            <w:r>
              <w:t>Exemption</w:t>
            </w:r>
          </w:p>
        </w:tc>
        <w:tc>
          <w:tcPr>
            <w:tcW w:w="1500" w:type="dxa"/>
            <w:gridSpan w:val="2"/>
            <w:tcBorders>
              <w:top w:val="single" w:sz="2" w:space="0" w:color="auto"/>
              <w:bottom w:val="nil"/>
            </w:tcBorders>
          </w:tcPr>
          <w:p w14:paraId="31AB043B" w14:textId="5C5278B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8CE27AD" w14:textId="77777777" w:rsidR="006E40C9" w:rsidRDefault="006E40C9">
            <w:pPr>
              <w:pStyle w:val="MeasureTableTextLeftAligned"/>
            </w:pPr>
            <w:r>
              <w:t>D48</w:t>
            </w:r>
          </w:p>
        </w:tc>
      </w:tr>
      <w:tr w:rsidR="006E40C9" w14:paraId="0E3670F9" w14:textId="77777777">
        <w:trPr>
          <w:cantSplit/>
          <w:jc w:val="center"/>
        </w:trPr>
        <w:tc>
          <w:tcPr>
            <w:tcW w:w="1934" w:type="dxa"/>
            <w:gridSpan w:val="2"/>
            <w:tcBorders>
              <w:top w:val="nil"/>
              <w:bottom w:val="nil"/>
            </w:tcBorders>
          </w:tcPr>
          <w:p w14:paraId="673BBB5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8EAC74" w14:textId="77777777" w:rsidR="006E40C9" w:rsidRPr="00584CA7" w:rsidRDefault="006E40C9">
            <w:pPr>
              <w:pStyle w:val="MeasureTableTextLeftAligned"/>
            </w:pPr>
            <w:r>
              <w:t>Not Applicable</w:t>
            </w:r>
          </w:p>
        </w:tc>
        <w:tc>
          <w:tcPr>
            <w:tcW w:w="1500" w:type="dxa"/>
            <w:gridSpan w:val="2"/>
            <w:tcBorders>
              <w:top w:val="nil"/>
              <w:bottom w:val="nil"/>
            </w:tcBorders>
          </w:tcPr>
          <w:p w14:paraId="717AD2A7" w14:textId="77777777" w:rsidR="006E40C9" w:rsidRDefault="006E40C9">
            <w:pPr>
              <w:pStyle w:val="MeasureTableTextItalic"/>
            </w:pPr>
            <w:r>
              <w:t>* Category</w:t>
            </w:r>
          </w:p>
        </w:tc>
        <w:tc>
          <w:tcPr>
            <w:tcW w:w="1124" w:type="dxa"/>
            <w:gridSpan w:val="2"/>
            <w:tcBorders>
              <w:top w:val="nil"/>
              <w:bottom w:val="nil"/>
            </w:tcBorders>
          </w:tcPr>
          <w:p w14:paraId="0FF03BE5" w14:textId="77777777" w:rsidR="006E40C9" w:rsidRDefault="006E40C9">
            <w:pPr>
              <w:pStyle w:val="MeasureTableTextLeftAligned"/>
            </w:pPr>
            <w:r>
              <w:t>2+</w:t>
            </w:r>
          </w:p>
        </w:tc>
      </w:tr>
      <w:tr w:rsidR="006E40C9" w14:paraId="5D8F35AE" w14:textId="77777777">
        <w:trPr>
          <w:cantSplit/>
          <w:jc w:val="center"/>
        </w:trPr>
        <w:tc>
          <w:tcPr>
            <w:tcW w:w="1934" w:type="dxa"/>
            <w:gridSpan w:val="2"/>
            <w:tcBorders>
              <w:top w:val="nil"/>
              <w:bottom w:val="nil"/>
            </w:tcBorders>
          </w:tcPr>
          <w:p w14:paraId="5998BD73" w14:textId="77777777" w:rsidR="006E40C9" w:rsidRDefault="006E40C9">
            <w:pPr>
              <w:pStyle w:val="MeasureTableTextItalic"/>
            </w:pPr>
            <w:r>
              <w:t>Commencement date:</w:t>
            </w:r>
          </w:p>
        </w:tc>
        <w:tc>
          <w:tcPr>
            <w:tcW w:w="3179" w:type="dxa"/>
            <w:gridSpan w:val="4"/>
            <w:tcBorders>
              <w:top w:val="nil"/>
              <w:bottom w:val="nil"/>
            </w:tcBorders>
          </w:tcPr>
          <w:p w14:paraId="53A8B912" w14:textId="77777777" w:rsidR="006E40C9" w:rsidRDefault="006E40C9">
            <w:pPr>
              <w:pStyle w:val="MeasureTableTextLeftAligned"/>
            </w:pPr>
            <w:r>
              <w:t>1986</w:t>
            </w:r>
          </w:p>
        </w:tc>
        <w:tc>
          <w:tcPr>
            <w:tcW w:w="1500" w:type="dxa"/>
            <w:gridSpan w:val="2"/>
            <w:tcBorders>
              <w:top w:val="nil"/>
              <w:bottom w:val="nil"/>
            </w:tcBorders>
          </w:tcPr>
          <w:p w14:paraId="0AD0CEA5" w14:textId="77777777" w:rsidR="006E40C9" w:rsidRPr="00F32057" w:rsidRDefault="006E40C9">
            <w:pPr>
              <w:pStyle w:val="MeasureTableTextItalic"/>
            </w:pPr>
            <w:r>
              <w:t>Expiry date:</w:t>
            </w:r>
          </w:p>
        </w:tc>
        <w:tc>
          <w:tcPr>
            <w:tcW w:w="1124" w:type="dxa"/>
            <w:gridSpan w:val="2"/>
            <w:tcBorders>
              <w:top w:val="nil"/>
              <w:bottom w:val="nil"/>
            </w:tcBorders>
          </w:tcPr>
          <w:p w14:paraId="07944106" w14:textId="77777777" w:rsidR="006E40C9" w:rsidRPr="00F32057" w:rsidRDefault="006E40C9">
            <w:pPr>
              <w:pStyle w:val="MeasureTableTextLeftAligned"/>
            </w:pPr>
          </w:p>
        </w:tc>
      </w:tr>
      <w:tr w:rsidR="006E40C9" w14:paraId="4E447A3F" w14:textId="77777777">
        <w:trPr>
          <w:cantSplit/>
          <w:jc w:val="center"/>
        </w:trPr>
        <w:tc>
          <w:tcPr>
            <w:tcW w:w="1934" w:type="dxa"/>
            <w:gridSpan w:val="2"/>
            <w:tcBorders>
              <w:top w:val="nil"/>
            </w:tcBorders>
          </w:tcPr>
          <w:p w14:paraId="5A0B3E62" w14:textId="77777777" w:rsidR="006E40C9" w:rsidRDefault="006E40C9">
            <w:pPr>
              <w:pStyle w:val="MeasureTableTextItalic"/>
            </w:pPr>
            <w:r>
              <w:t>Legislative reference:</w:t>
            </w:r>
          </w:p>
        </w:tc>
        <w:tc>
          <w:tcPr>
            <w:tcW w:w="5803" w:type="dxa"/>
            <w:gridSpan w:val="8"/>
            <w:tcBorders>
              <w:top w:val="nil"/>
            </w:tcBorders>
          </w:tcPr>
          <w:p w14:paraId="7C651E3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 47(7) of the </w:t>
            </w:r>
            <w:r>
              <w:rPr>
                <w:rFonts w:ascii="Arial" w:hAnsi="Arial" w:cs="Arial"/>
                <w:i/>
                <w:iCs/>
                <w:color w:val="000000"/>
                <w:sz w:val="16"/>
                <w:szCs w:val="16"/>
              </w:rPr>
              <w:t>Fringe Benefits Tax Assessment Act 1986</w:t>
            </w:r>
          </w:p>
        </w:tc>
      </w:tr>
    </w:tbl>
    <w:p w14:paraId="34129622" w14:textId="77777777" w:rsidR="006E40C9" w:rsidRPr="00540040" w:rsidRDefault="006E40C9" w:rsidP="006E40C9">
      <w:pPr>
        <w:pStyle w:val="MeasureTableHeading"/>
      </w:pPr>
    </w:p>
    <w:p w14:paraId="4816689F" w14:textId="77777777" w:rsidR="006E40C9" w:rsidRDefault="006E40C9" w:rsidP="006E40C9">
      <w:r>
        <w:t xml:space="preserve">Under the income tax benchmark, fringe benefits are classified as individual employee income, with the grossed-up value taxed at the employee’s marginal income tax rate. However, transport provided to employees working in remote areas or on oil rigs may be exempt from fringe benefits tax. </w:t>
      </w:r>
      <w:r>
        <w:fldChar w:fldCharType="begin"/>
      </w:r>
      <w:r>
        <w:instrText xml:space="preserve"> XE "</w:instrText>
      </w:r>
      <w:r>
        <w:rPr>
          <w:lang w:val="en-US"/>
        </w:rPr>
        <w:instrText>Fringe benefits tax:Transport</w:instrText>
      </w:r>
      <w:r>
        <w:instrText xml:space="preserve">" </w:instrText>
      </w:r>
      <w:r>
        <w:fldChar w:fldCharType="end"/>
      </w:r>
    </w:p>
    <w:p w14:paraId="1EB88689" w14:textId="77777777" w:rsidR="006E40C9" w:rsidRDefault="006E40C9" w:rsidP="00D9255A">
      <w:pPr>
        <w:pStyle w:val="TESHeading5"/>
      </w:pPr>
      <w:r>
        <w:t>D49</w:t>
      </w:r>
      <w:r>
        <w:tab/>
        <w:t>Work-related items exemption</w:t>
      </w:r>
    </w:p>
    <w:p w14:paraId="280E0964" w14:textId="78C9304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2B14864" w14:textId="77777777">
        <w:trPr>
          <w:cantSplit/>
          <w:jc w:val="center"/>
        </w:trPr>
        <w:tc>
          <w:tcPr>
            <w:tcW w:w="967" w:type="dxa"/>
            <w:tcBorders>
              <w:top w:val="single" w:sz="2" w:space="0" w:color="auto"/>
              <w:bottom w:val="single" w:sz="2" w:space="0" w:color="auto"/>
            </w:tcBorders>
          </w:tcPr>
          <w:p w14:paraId="3D8B101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F4A5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7B68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770FD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4B7473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63301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D3889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2BB450" w14:textId="77777777" w:rsidR="006E40C9" w:rsidRDefault="006E40C9">
            <w:pPr>
              <w:pStyle w:val="MeasureTableTextRightAligned"/>
            </w:pPr>
            <w:r>
              <w:t>2027-28</w:t>
            </w:r>
          </w:p>
        </w:tc>
      </w:tr>
      <w:tr w:rsidR="006E40C9" w14:paraId="645A050A" w14:textId="77777777">
        <w:trPr>
          <w:cantSplit/>
          <w:jc w:val="center"/>
        </w:trPr>
        <w:tc>
          <w:tcPr>
            <w:tcW w:w="967" w:type="dxa"/>
            <w:tcBorders>
              <w:top w:val="single" w:sz="2" w:space="0" w:color="auto"/>
              <w:bottom w:val="single" w:sz="2" w:space="0" w:color="auto"/>
            </w:tcBorders>
          </w:tcPr>
          <w:p w14:paraId="3632EA5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A53CB9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B53E9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32FC4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A9A2C0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97949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2CE18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D44B4F" w14:textId="77777777" w:rsidR="006E40C9" w:rsidRDefault="006E40C9">
            <w:pPr>
              <w:pStyle w:val="MeasureTableTextRightAligned"/>
            </w:pPr>
            <w:r>
              <w:t>*</w:t>
            </w:r>
          </w:p>
        </w:tc>
      </w:tr>
      <w:tr w:rsidR="006E40C9" w14:paraId="54F911E9" w14:textId="77777777">
        <w:trPr>
          <w:cantSplit/>
          <w:jc w:val="center"/>
        </w:trPr>
        <w:tc>
          <w:tcPr>
            <w:tcW w:w="1934" w:type="dxa"/>
            <w:gridSpan w:val="2"/>
            <w:tcBorders>
              <w:top w:val="single" w:sz="2" w:space="0" w:color="auto"/>
              <w:bottom w:val="nil"/>
            </w:tcBorders>
          </w:tcPr>
          <w:p w14:paraId="6C804DB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3138D9" w14:textId="77777777" w:rsidR="006E40C9" w:rsidRDefault="006E40C9">
            <w:pPr>
              <w:pStyle w:val="MeasureTableTextLeftAligned"/>
            </w:pPr>
            <w:r>
              <w:t>Exemption</w:t>
            </w:r>
          </w:p>
        </w:tc>
        <w:tc>
          <w:tcPr>
            <w:tcW w:w="1500" w:type="dxa"/>
            <w:gridSpan w:val="2"/>
            <w:tcBorders>
              <w:top w:val="single" w:sz="2" w:space="0" w:color="auto"/>
              <w:bottom w:val="nil"/>
            </w:tcBorders>
          </w:tcPr>
          <w:p w14:paraId="285EA37E" w14:textId="66329A5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1B2D743" w14:textId="77777777" w:rsidR="006E40C9" w:rsidRDefault="006E40C9">
            <w:pPr>
              <w:pStyle w:val="MeasureTableTextLeftAligned"/>
            </w:pPr>
            <w:r>
              <w:t>D49</w:t>
            </w:r>
          </w:p>
        </w:tc>
      </w:tr>
      <w:tr w:rsidR="006E40C9" w14:paraId="24ADBB18" w14:textId="77777777">
        <w:trPr>
          <w:cantSplit/>
          <w:jc w:val="center"/>
        </w:trPr>
        <w:tc>
          <w:tcPr>
            <w:tcW w:w="1934" w:type="dxa"/>
            <w:gridSpan w:val="2"/>
            <w:tcBorders>
              <w:top w:val="nil"/>
              <w:bottom w:val="nil"/>
            </w:tcBorders>
          </w:tcPr>
          <w:p w14:paraId="7230F90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BCF46A8" w14:textId="77777777" w:rsidR="006E40C9" w:rsidRPr="00584CA7" w:rsidRDefault="006E40C9">
            <w:pPr>
              <w:pStyle w:val="MeasureTableTextLeftAligned"/>
            </w:pPr>
            <w:r>
              <w:t>Not Applicable</w:t>
            </w:r>
          </w:p>
        </w:tc>
        <w:tc>
          <w:tcPr>
            <w:tcW w:w="1500" w:type="dxa"/>
            <w:gridSpan w:val="2"/>
            <w:tcBorders>
              <w:top w:val="nil"/>
              <w:bottom w:val="nil"/>
            </w:tcBorders>
          </w:tcPr>
          <w:p w14:paraId="39D67A44" w14:textId="77777777" w:rsidR="006E40C9" w:rsidRDefault="006E40C9">
            <w:pPr>
              <w:pStyle w:val="MeasureTableTextItalic"/>
            </w:pPr>
            <w:r>
              <w:t>* Category</w:t>
            </w:r>
          </w:p>
        </w:tc>
        <w:tc>
          <w:tcPr>
            <w:tcW w:w="1124" w:type="dxa"/>
            <w:gridSpan w:val="2"/>
            <w:tcBorders>
              <w:top w:val="nil"/>
              <w:bottom w:val="nil"/>
            </w:tcBorders>
          </w:tcPr>
          <w:p w14:paraId="741D575F" w14:textId="77777777" w:rsidR="006E40C9" w:rsidRDefault="006E40C9">
            <w:pPr>
              <w:pStyle w:val="MeasureTableTextLeftAligned"/>
            </w:pPr>
            <w:r>
              <w:t>2+</w:t>
            </w:r>
          </w:p>
        </w:tc>
      </w:tr>
      <w:tr w:rsidR="006E40C9" w14:paraId="1024EE68" w14:textId="77777777">
        <w:trPr>
          <w:cantSplit/>
          <w:jc w:val="center"/>
        </w:trPr>
        <w:tc>
          <w:tcPr>
            <w:tcW w:w="1934" w:type="dxa"/>
            <w:gridSpan w:val="2"/>
            <w:tcBorders>
              <w:top w:val="nil"/>
              <w:bottom w:val="nil"/>
            </w:tcBorders>
          </w:tcPr>
          <w:p w14:paraId="37EF4AA1" w14:textId="77777777" w:rsidR="006E40C9" w:rsidRDefault="006E40C9">
            <w:pPr>
              <w:pStyle w:val="MeasureTableTextItalic"/>
            </w:pPr>
            <w:r>
              <w:t>Commencement date:</w:t>
            </w:r>
          </w:p>
        </w:tc>
        <w:tc>
          <w:tcPr>
            <w:tcW w:w="3179" w:type="dxa"/>
            <w:gridSpan w:val="4"/>
            <w:tcBorders>
              <w:top w:val="nil"/>
              <w:bottom w:val="nil"/>
            </w:tcBorders>
          </w:tcPr>
          <w:p w14:paraId="720EE431" w14:textId="77777777" w:rsidR="006E40C9" w:rsidRDefault="006E40C9">
            <w:pPr>
              <w:pStyle w:val="MeasureTableTextLeftAligned"/>
            </w:pPr>
            <w:r>
              <w:t>1995</w:t>
            </w:r>
          </w:p>
        </w:tc>
        <w:tc>
          <w:tcPr>
            <w:tcW w:w="1500" w:type="dxa"/>
            <w:gridSpan w:val="2"/>
            <w:tcBorders>
              <w:top w:val="nil"/>
              <w:bottom w:val="nil"/>
            </w:tcBorders>
          </w:tcPr>
          <w:p w14:paraId="4055269C" w14:textId="77777777" w:rsidR="006E40C9" w:rsidRPr="00F32057" w:rsidRDefault="006E40C9">
            <w:pPr>
              <w:pStyle w:val="MeasureTableTextItalic"/>
            </w:pPr>
            <w:r>
              <w:t>Expiry date:</w:t>
            </w:r>
          </w:p>
        </w:tc>
        <w:tc>
          <w:tcPr>
            <w:tcW w:w="1124" w:type="dxa"/>
            <w:gridSpan w:val="2"/>
            <w:tcBorders>
              <w:top w:val="nil"/>
              <w:bottom w:val="nil"/>
            </w:tcBorders>
          </w:tcPr>
          <w:p w14:paraId="1DB6FD6D" w14:textId="77777777" w:rsidR="006E40C9" w:rsidRPr="00F32057" w:rsidRDefault="006E40C9">
            <w:pPr>
              <w:pStyle w:val="MeasureTableTextLeftAligned"/>
            </w:pPr>
          </w:p>
        </w:tc>
      </w:tr>
      <w:tr w:rsidR="006E40C9" w14:paraId="4C127409" w14:textId="77777777">
        <w:trPr>
          <w:cantSplit/>
          <w:jc w:val="center"/>
        </w:trPr>
        <w:tc>
          <w:tcPr>
            <w:tcW w:w="1934" w:type="dxa"/>
            <w:gridSpan w:val="2"/>
            <w:tcBorders>
              <w:top w:val="nil"/>
            </w:tcBorders>
          </w:tcPr>
          <w:p w14:paraId="73DABAE9" w14:textId="77777777" w:rsidR="006E40C9" w:rsidRDefault="006E40C9">
            <w:pPr>
              <w:pStyle w:val="MeasureTableTextItalic"/>
            </w:pPr>
            <w:r>
              <w:t>Legislative reference:</w:t>
            </w:r>
          </w:p>
        </w:tc>
        <w:tc>
          <w:tcPr>
            <w:tcW w:w="5803" w:type="dxa"/>
            <w:gridSpan w:val="8"/>
            <w:tcBorders>
              <w:top w:val="nil"/>
            </w:tcBorders>
          </w:tcPr>
          <w:p w14:paraId="2941602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Section 58X of the</w:t>
            </w:r>
            <w:r>
              <w:rPr>
                <w:rFonts w:ascii="Arial" w:hAnsi="Arial" w:cs="Arial"/>
                <w:i/>
                <w:iCs/>
                <w:color w:val="000000"/>
                <w:sz w:val="16"/>
                <w:szCs w:val="16"/>
              </w:rPr>
              <w:t xml:space="preserve"> Fringe Benefits Tax Assessment Act 1986</w:t>
            </w:r>
          </w:p>
        </w:tc>
      </w:tr>
    </w:tbl>
    <w:p w14:paraId="7AFA5C20" w14:textId="77777777" w:rsidR="006E40C9" w:rsidRPr="00540040" w:rsidRDefault="006E40C9" w:rsidP="006E40C9">
      <w:pPr>
        <w:pStyle w:val="MeasureTableHeading"/>
      </w:pPr>
    </w:p>
    <w:p w14:paraId="71AD362D" w14:textId="77777777" w:rsidR="006E40C9" w:rsidRDefault="006E40C9" w:rsidP="006E40C9">
      <w:r>
        <w:t>Under the income tax benchmark, fringe benefits are classified as individual employee income, with the grossed-up value taxed at the employee’s marginal income tax rate. However, eligible work</w:t>
      </w:r>
      <w:r>
        <w:noBreakHyphen/>
        <w:t>related items</w:t>
      </w:r>
      <w:r>
        <w:fldChar w:fldCharType="begin"/>
      </w:r>
      <w:r>
        <w:instrText xml:space="preserve"> XE "Work-related items" </w:instrText>
      </w:r>
      <w:r>
        <w:fldChar w:fldCharType="end"/>
      </w:r>
      <w:r>
        <w:t xml:space="preserve"> (such as mobile phones, laptop computers, protective clothing and tools of trade) provided by an employer to an employee primarily for use in the employee’s employment are exempt from fringe benefits tax. </w:t>
      </w:r>
    </w:p>
    <w:p w14:paraId="1D04549C" w14:textId="77777777" w:rsidR="006E40C9" w:rsidRDefault="006E40C9" w:rsidP="00D9255A">
      <w:pPr>
        <w:pStyle w:val="TESHeading5"/>
      </w:pPr>
      <w:r>
        <w:t>D50</w:t>
      </w:r>
      <w:r>
        <w:tab/>
        <w:t>Fringe benefits tax record keeping exemption</w:t>
      </w:r>
    </w:p>
    <w:p w14:paraId="4A2EACAD" w14:textId="0D3D855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ACC9A7" w14:textId="77777777">
        <w:trPr>
          <w:cantSplit/>
          <w:jc w:val="center"/>
        </w:trPr>
        <w:tc>
          <w:tcPr>
            <w:tcW w:w="967" w:type="dxa"/>
            <w:tcBorders>
              <w:top w:val="single" w:sz="2" w:space="0" w:color="auto"/>
              <w:bottom w:val="single" w:sz="2" w:space="0" w:color="auto"/>
            </w:tcBorders>
          </w:tcPr>
          <w:p w14:paraId="7BA3580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7566C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F3BBF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F7F32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DC8BE7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93EBE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71E4ED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C2BBD6" w14:textId="77777777" w:rsidR="006E40C9" w:rsidRDefault="006E40C9">
            <w:pPr>
              <w:pStyle w:val="MeasureTableTextRightAligned"/>
            </w:pPr>
            <w:r>
              <w:t>2027-28</w:t>
            </w:r>
          </w:p>
        </w:tc>
      </w:tr>
      <w:tr w:rsidR="006E40C9" w14:paraId="626A03FC" w14:textId="77777777">
        <w:trPr>
          <w:cantSplit/>
          <w:jc w:val="center"/>
        </w:trPr>
        <w:tc>
          <w:tcPr>
            <w:tcW w:w="967" w:type="dxa"/>
            <w:tcBorders>
              <w:top w:val="single" w:sz="2" w:space="0" w:color="auto"/>
              <w:bottom w:val="single" w:sz="2" w:space="0" w:color="auto"/>
            </w:tcBorders>
          </w:tcPr>
          <w:p w14:paraId="44C0B507" w14:textId="77777777" w:rsidR="006E40C9" w:rsidRDefault="006E40C9">
            <w:pPr>
              <w:pStyle w:val="MeasureTableTextRightAligned"/>
            </w:pPr>
            <w:r>
              <w:t>..</w:t>
            </w:r>
          </w:p>
        </w:tc>
        <w:tc>
          <w:tcPr>
            <w:tcW w:w="967" w:type="dxa"/>
            <w:tcBorders>
              <w:top w:val="single" w:sz="2" w:space="0" w:color="auto"/>
              <w:bottom w:val="single" w:sz="2" w:space="0" w:color="auto"/>
            </w:tcBorders>
          </w:tcPr>
          <w:p w14:paraId="2FEDB1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C21AA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D8693F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E6AC1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264CD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3B6E0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F815D2" w14:textId="77777777" w:rsidR="006E40C9" w:rsidRDefault="006E40C9">
            <w:pPr>
              <w:pStyle w:val="MeasureTableTextRightAligned"/>
            </w:pPr>
            <w:r>
              <w:t>..</w:t>
            </w:r>
          </w:p>
        </w:tc>
      </w:tr>
      <w:tr w:rsidR="006E40C9" w14:paraId="0B4D1482" w14:textId="77777777">
        <w:trPr>
          <w:cantSplit/>
          <w:jc w:val="center"/>
        </w:trPr>
        <w:tc>
          <w:tcPr>
            <w:tcW w:w="1934" w:type="dxa"/>
            <w:gridSpan w:val="2"/>
            <w:tcBorders>
              <w:top w:val="single" w:sz="2" w:space="0" w:color="auto"/>
              <w:bottom w:val="nil"/>
            </w:tcBorders>
          </w:tcPr>
          <w:p w14:paraId="1827CD9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A05E02F" w14:textId="77777777" w:rsidR="006E40C9" w:rsidRDefault="006E40C9">
            <w:pPr>
              <w:pStyle w:val="MeasureTableTextLeftAligned"/>
            </w:pPr>
            <w:r>
              <w:t>Record keeping exemption</w:t>
            </w:r>
          </w:p>
        </w:tc>
        <w:tc>
          <w:tcPr>
            <w:tcW w:w="1500" w:type="dxa"/>
            <w:gridSpan w:val="2"/>
            <w:tcBorders>
              <w:top w:val="single" w:sz="2" w:space="0" w:color="auto"/>
              <w:bottom w:val="nil"/>
            </w:tcBorders>
          </w:tcPr>
          <w:p w14:paraId="5E7640DE" w14:textId="269C07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A35DA9" w14:textId="77777777" w:rsidR="006E40C9" w:rsidRDefault="006E40C9">
            <w:pPr>
              <w:pStyle w:val="MeasureTableTextLeftAligned"/>
            </w:pPr>
            <w:r>
              <w:t>D50</w:t>
            </w:r>
          </w:p>
        </w:tc>
      </w:tr>
      <w:tr w:rsidR="006E40C9" w14:paraId="393D47FE" w14:textId="77777777">
        <w:trPr>
          <w:cantSplit/>
          <w:jc w:val="center"/>
        </w:trPr>
        <w:tc>
          <w:tcPr>
            <w:tcW w:w="1934" w:type="dxa"/>
            <w:gridSpan w:val="2"/>
            <w:tcBorders>
              <w:top w:val="nil"/>
              <w:bottom w:val="nil"/>
            </w:tcBorders>
          </w:tcPr>
          <w:p w14:paraId="2718794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0F229AE" w14:textId="77777777" w:rsidR="006E40C9" w:rsidRPr="00584CA7" w:rsidRDefault="006E40C9">
            <w:pPr>
              <w:pStyle w:val="MeasureTableTextLeftAligned"/>
            </w:pPr>
            <w:r>
              <w:t>High</w:t>
            </w:r>
          </w:p>
        </w:tc>
        <w:tc>
          <w:tcPr>
            <w:tcW w:w="1500" w:type="dxa"/>
            <w:gridSpan w:val="2"/>
            <w:tcBorders>
              <w:top w:val="nil"/>
              <w:bottom w:val="nil"/>
            </w:tcBorders>
          </w:tcPr>
          <w:p w14:paraId="1535E695" w14:textId="77777777" w:rsidR="006E40C9" w:rsidRDefault="006E40C9">
            <w:pPr>
              <w:pStyle w:val="MeasureTableTextItalic"/>
            </w:pPr>
          </w:p>
        </w:tc>
        <w:tc>
          <w:tcPr>
            <w:tcW w:w="1124" w:type="dxa"/>
            <w:gridSpan w:val="2"/>
            <w:tcBorders>
              <w:top w:val="nil"/>
              <w:bottom w:val="nil"/>
            </w:tcBorders>
          </w:tcPr>
          <w:p w14:paraId="4FDBAB09" w14:textId="77777777" w:rsidR="006E40C9" w:rsidRDefault="006E40C9">
            <w:pPr>
              <w:pStyle w:val="MeasureTableTextLeftAligned"/>
            </w:pPr>
          </w:p>
        </w:tc>
      </w:tr>
      <w:tr w:rsidR="006E40C9" w14:paraId="7D151456" w14:textId="77777777">
        <w:trPr>
          <w:cantSplit/>
          <w:jc w:val="center"/>
        </w:trPr>
        <w:tc>
          <w:tcPr>
            <w:tcW w:w="1934" w:type="dxa"/>
            <w:gridSpan w:val="2"/>
            <w:tcBorders>
              <w:top w:val="nil"/>
              <w:bottom w:val="nil"/>
            </w:tcBorders>
          </w:tcPr>
          <w:p w14:paraId="7EFFBF4D" w14:textId="77777777" w:rsidR="006E40C9" w:rsidRDefault="006E40C9">
            <w:pPr>
              <w:pStyle w:val="MeasureTableTextItalic"/>
            </w:pPr>
            <w:r>
              <w:t>Commencement date:</w:t>
            </w:r>
          </w:p>
        </w:tc>
        <w:tc>
          <w:tcPr>
            <w:tcW w:w="3179" w:type="dxa"/>
            <w:gridSpan w:val="4"/>
            <w:tcBorders>
              <w:top w:val="nil"/>
              <w:bottom w:val="nil"/>
            </w:tcBorders>
          </w:tcPr>
          <w:p w14:paraId="345AD99F" w14:textId="77777777" w:rsidR="006E40C9" w:rsidRDefault="006E40C9">
            <w:pPr>
              <w:pStyle w:val="MeasureTableTextLeftAligned"/>
            </w:pPr>
            <w:r>
              <w:t>1998</w:t>
            </w:r>
          </w:p>
        </w:tc>
        <w:tc>
          <w:tcPr>
            <w:tcW w:w="1500" w:type="dxa"/>
            <w:gridSpan w:val="2"/>
            <w:tcBorders>
              <w:top w:val="nil"/>
              <w:bottom w:val="nil"/>
            </w:tcBorders>
          </w:tcPr>
          <w:p w14:paraId="1C5B6AED" w14:textId="77777777" w:rsidR="006E40C9" w:rsidRPr="00F32057" w:rsidRDefault="006E40C9">
            <w:pPr>
              <w:pStyle w:val="MeasureTableTextItalic"/>
            </w:pPr>
            <w:r>
              <w:t>Expiry date:</w:t>
            </w:r>
          </w:p>
        </w:tc>
        <w:tc>
          <w:tcPr>
            <w:tcW w:w="1124" w:type="dxa"/>
            <w:gridSpan w:val="2"/>
            <w:tcBorders>
              <w:top w:val="nil"/>
              <w:bottom w:val="nil"/>
            </w:tcBorders>
          </w:tcPr>
          <w:p w14:paraId="7A21C87B" w14:textId="77777777" w:rsidR="006E40C9" w:rsidRPr="00F32057" w:rsidRDefault="006E40C9">
            <w:pPr>
              <w:pStyle w:val="MeasureTableTextLeftAligned"/>
            </w:pPr>
          </w:p>
        </w:tc>
      </w:tr>
      <w:tr w:rsidR="006E40C9" w14:paraId="40B7A8E7" w14:textId="77777777">
        <w:trPr>
          <w:cantSplit/>
          <w:jc w:val="center"/>
        </w:trPr>
        <w:tc>
          <w:tcPr>
            <w:tcW w:w="1934" w:type="dxa"/>
            <w:gridSpan w:val="2"/>
            <w:tcBorders>
              <w:top w:val="nil"/>
            </w:tcBorders>
          </w:tcPr>
          <w:p w14:paraId="2CBA189C" w14:textId="77777777" w:rsidR="006E40C9" w:rsidRDefault="006E40C9">
            <w:pPr>
              <w:pStyle w:val="MeasureTableTextItalic"/>
            </w:pPr>
            <w:r>
              <w:t>Legislative reference:</w:t>
            </w:r>
          </w:p>
        </w:tc>
        <w:tc>
          <w:tcPr>
            <w:tcW w:w="5803" w:type="dxa"/>
            <w:gridSpan w:val="8"/>
            <w:tcBorders>
              <w:top w:val="nil"/>
            </w:tcBorders>
          </w:tcPr>
          <w:p w14:paraId="7A4EEBC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Part XIA of the </w:t>
            </w:r>
            <w:r>
              <w:rPr>
                <w:rFonts w:ascii="Arial" w:hAnsi="Arial" w:cs="Arial"/>
                <w:i/>
                <w:iCs/>
                <w:color w:val="000000"/>
                <w:sz w:val="16"/>
                <w:szCs w:val="16"/>
              </w:rPr>
              <w:t>Fringe Benefits Tax Assessment Act 1986</w:t>
            </w:r>
          </w:p>
        </w:tc>
      </w:tr>
    </w:tbl>
    <w:p w14:paraId="60D77291" w14:textId="77777777" w:rsidR="006E40C9" w:rsidRPr="00540040" w:rsidRDefault="006E40C9" w:rsidP="006E40C9">
      <w:pPr>
        <w:pStyle w:val="MeasureTableHeading"/>
      </w:pPr>
    </w:p>
    <w:p w14:paraId="44531DE9" w14:textId="77777777" w:rsidR="006E40C9" w:rsidRDefault="006E40C9" w:rsidP="006E40C9">
      <w:r>
        <w:t>Under the income tax benchmark, fringe benefits are classified as individual employee income, with the grossed-up value taxed at the employee’s marginal income tax rate. However, certain employers are eligible to use record keeping exemption arrangements when calculating their fringe benefits tax liability. The employer’s liability is based on their aggregate fringe benefits amount in the most recent base year (a year beginning on or after 1 April 1996) in which they qualified to use the exemption arrangements. This may result in concessional tax treatment compared to being required to keep full fringe benefits tax records.</w:t>
      </w:r>
      <w:r>
        <w:fldChar w:fldCharType="begin"/>
      </w:r>
      <w:r>
        <w:instrText xml:space="preserve"> XE "Record keeping exemption" </w:instrText>
      </w:r>
      <w:r>
        <w:fldChar w:fldCharType="end"/>
      </w:r>
    </w:p>
    <w:p w14:paraId="43AF4970" w14:textId="77777777" w:rsidR="006E40C9" w:rsidRDefault="006E40C9" w:rsidP="00D9255A">
      <w:pPr>
        <w:pStyle w:val="TESHeading5"/>
      </w:pPr>
      <w:r>
        <w:t>D51</w:t>
      </w:r>
      <w:r>
        <w:tab/>
        <w:t>Meal entertainment fringe benefits – 50/50 valuation method</w:t>
      </w:r>
    </w:p>
    <w:p w14:paraId="36A126B4" w14:textId="5A17042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E2005D" w14:textId="77777777">
        <w:trPr>
          <w:cantSplit/>
          <w:jc w:val="center"/>
        </w:trPr>
        <w:tc>
          <w:tcPr>
            <w:tcW w:w="967" w:type="dxa"/>
            <w:tcBorders>
              <w:top w:val="single" w:sz="2" w:space="0" w:color="auto"/>
              <w:bottom w:val="single" w:sz="2" w:space="0" w:color="auto"/>
            </w:tcBorders>
          </w:tcPr>
          <w:p w14:paraId="5F5699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83DB41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32070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43A3D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F1D10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EC52B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2EA65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AFA88D" w14:textId="77777777" w:rsidR="006E40C9" w:rsidRDefault="006E40C9">
            <w:pPr>
              <w:pStyle w:val="MeasureTableTextRightAligned"/>
            </w:pPr>
            <w:r>
              <w:t>2027-28</w:t>
            </w:r>
          </w:p>
        </w:tc>
      </w:tr>
      <w:tr w:rsidR="006E40C9" w14:paraId="0F129260" w14:textId="77777777">
        <w:trPr>
          <w:cantSplit/>
          <w:jc w:val="center"/>
        </w:trPr>
        <w:tc>
          <w:tcPr>
            <w:tcW w:w="967" w:type="dxa"/>
            <w:tcBorders>
              <w:top w:val="single" w:sz="2" w:space="0" w:color="auto"/>
              <w:bottom w:val="single" w:sz="2" w:space="0" w:color="auto"/>
            </w:tcBorders>
          </w:tcPr>
          <w:p w14:paraId="0734D325"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94E06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70839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75F57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57223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C74F3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3380C7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43E0C3" w14:textId="77777777" w:rsidR="006E40C9" w:rsidRDefault="006E40C9">
            <w:pPr>
              <w:pStyle w:val="MeasureTableTextRightAligned"/>
            </w:pPr>
            <w:r>
              <w:t>*</w:t>
            </w:r>
          </w:p>
        </w:tc>
      </w:tr>
      <w:tr w:rsidR="006E40C9" w14:paraId="1EE75563" w14:textId="77777777">
        <w:trPr>
          <w:cantSplit/>
          <w:jc w:val="center"/>
        </w:trPr>
        <w:tc>
          <w:tcPr>
            <w:tcW w:w="1934" w:type="dxa"/>
            <w:gridSpan w:val="2"/>
            <w:tcBorders>
              <w:top w:val="single" w:sz="2" w:space="0" w:color="auto"/>
              <w:bottom w:val="nil"/>
            </w:tcBorders>
          </w:tcPr>
          <w:p w14:paraId="5686382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626053D" w14:textId="77777777" w:rsidR="006E40C9" w:rsidRDefault="006E40C9">
            <w:pPr>
              <w:pStyle w:val="MeasureTableTextLeftAligned"/>
            </w:pPr>
            <w:r>
              <w:t>Record keeping exemption</w:t>
            </w:r>
          </w:p>
        </w:tc>
        <w:tc>
          <w:tcPr>
            <w:tcW w:w="1500" w:type="dxa"/>
            <w:gridSpan w:val="2"/>
            <w:tcBorders>
              <w:top w:val="single" w:sz="2" w:space="0" w:color="auto"/>
              <w:bottom w:val="nil"/>
            </w:tcBorders>
          </w:tcPr>
          <w:p w14:paraId="2BA3EEC5" w14:textId="1A021C2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B0BCDEA" w14:textId="77777777" w:rsidR="006E40C9" w:rsidRDefault="006E40C9">
            <w:pPr>
              <w:pStyle w:val="MeasureTableTextLeftAligned"/>
            </w:pPr>
            <w:r>
              <w:t>D51</w:t>
            </w:r>
          </w:p>
        </w:tc>
      </w:tr>
      <w:tr w:rsidR="006E40C9" w14:paraId="484C4FF5" w14:textId="77777777">
        <w:trPr>
          <w:cantSplit/>
          <w:jc w:val="center"/>
        </w:trPr>
        <w:tc>
          <w:tcPr>
            <w:tcW w:w="1934" w:type="dxa"/>
            <w:gridSpan w:val="2"/>
            <w:tcBorders>
              <w:top w:val="nil"/>
              <w:bottom w:val="nil"/>
            </w:tcBorders>
          </w:tcPr>
          <w:p w14:paraId="2BC3867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70A525C" w14:textId="77777777" w:rsidR="006E40C9" w:rsidRPr="00584CA7" w:rsidRDefault="006E40C9">
            <w:pPr>
              <w:pStyle w:val="MeasureTableTextLeftAligned"/>
            </w:pPr>
            <w:r>
              <w:t>Not Applicable</w:t>
            </w:r>
          </w:p>
        </w:tc>
        <w:tc>
          <w:tcPr>
            <w:tcW w:w="1500" w:type="dxa"/>
            <w:gridSpan w:val="2"/>
            <w:tcBorders>
              <w:top w:val="nil"/>
              <w:bottom w:val="nil"/>
            </w:tcBorders>
          </w:tcPr>
          <w:p w14:paraId="32063FB5" w14:textId="77777777" w:rsidR="006E40C9" w:rsidRDefault="006E40C9">
            <w:pPr>
              <w:pStyle w:val="MeasureTableTextItalic"/>
            </w:pPr>
            <w:r>
              <w:t>* Category</w:t>
            </w:r>
          </w:p>
        </w:tc>
        <w:tc>
          <w:tcPr>
            <w:tcW w:w="1124" w:type="dxa"/>
            <w:gridSpan w:val="2"/>
            <w:tcBorders>
              <w:top w:val="nil"/>
              <w:bottom w:val="nil"/>
            </w:tcBorders>
          </w:tcPr>
          <w:p w14:paraId="34C6C3A5" w14:textId="77777777" w:rsidR="006E40C9" w:rsidRDefault="006E40C9">
            <w:pPr>
              <w:pStyle w:val="MeasureTableTextLeftAligned"/>
            </w:pPr>
            <w:r>
              <w:t>2+</w:t>
            </w:r>
          </w:p>
        </w:tc>
      </w:tr>
      <w:tr w:rsidR="006E40C9" w14:paraId="07741FA9" w14:textId="77777777">
        <w:trPr>
          <w:cantSplit/>
          <w:jc w:val="center"/>
        </w:trPr>
        <w:tc>
          <w:tcPr>
            <w:tcW w:w="1934" w:type="dxa"/>
            <w:gridSpan w:val="2"/>
            <w:tcBorders>
              <w:top w:val="nil"/>
              <w:bottom w:val="nil"/>
            </w:tcBorders>
          </w:tcPr>
          <w:p w14:paraId="32A43AA1" w14:textId="77777777" w:rsidR="006E40C9" w:rsidRDefault="006E40C9">
            <w:pPr>
              <w:pStyle w:val="MeasureTableTextItalic"/>
            </w:pPr>
            <w:r>
              <w:t>Commencement date:</w:t>
            </w:r>
          </w:p>
        </w:tc>
        <w:tc>
          <w:tcPr>
            <w:tcW w:w="3179" w:type="dxa"/>
            <w:gridSpan w:val="4"/>
            <w:tcBorders>
              <w:top w:val="nil"/>
              <w:bottom w:val="nil"/>
            </w:tcBorders>
          </w:tcPr>
          <w:p w14:paraId="6169F70C" w14:textId="77777777" w:rsidR="006E40C9" w:rsidRDefault="006E40C9">
            <w:pPr>
              <w:pStyle w:val="MeasureTableTextLeftAligned"/>
            </w:pPr>
            <w:r>
              <w:t>1995</w:t>
            </w:r>
          </w:p>
        </w:tc>
        <w:tc>
          <w:tcPr>
            <w:tcW w:w="1500" w:type="dxa"/>
            <w:gridSpan w:val="2"/>
            <w:tcBorders>
              <w:top w:val="nil"/>
              <w:bottom w:val="nil"/>
            </w:tcBorders>
          </w:tcPr>
          <w:p w14:paraId="393768EB" w14:textId="77777777" w:rsidR="006E40C9" w:rsidRPr="00F32057" w:rsidRDefault="006E40C9">
            <w:pPr>
              <w:pStyle w:val="MeasureTableTextItalic"/>
            </w:pPr>
            <w:r>
              <w:t>Expiry date:</w:t>
            </w:r>
          </w:p>
        </w:tc>
        <w:tc>
          <w:tcPr>
            <w:tcW w:w="1124" w:type="dxa"/>
            <w:gridSpan w:val="2"/>
            <w:tcBorders>
              <w:top w:val="nil"/>
              <w:bottom w:val="nil"/>
            </w:tcBorders>
          </w:tcPr>
          <w:p w14:paraId="1DC0C5E2" w14:textId="77777777" w:rsidR="006E40C9" w:rsidRPr="00F32057" w:rsidRDefault="006E40C9">
            <w:pPr>
              <w:pStyle w:val="MeasureTableTextLeftAligned"/>
            </w:pPr>
          </w:p>
        </w:tc>
      </w:tr>
      <w:tr w:rsidR="006E40C9" w14:paraId="25D15096" w14:textId="77777777">
        <w:trPr>
          <w:cantSplit/>
          <w:jc w:val="center"/>
        </w:trPr>
        <w:tc>
          <w:tcPr>
            <w:tcW w:w="1934" w:type="dxa"/>
            <w:gridSpan w:val="2"/>
            <w:tcBorders>
              <w:top w:val="nil"/>
            </w:tcBorders>
          </w:tcPr>
          <w:p w14:paraId="0CEF3E7C" w14:textId="77777777" w:rsidR="006E40C9" w:rsidRDefault="006E40C9">
            <w:pPr>
              <w:pStyle w:val="MeasureTableTextItalic"/>
            </w:pPr>
            <w:r>
              <w:t>Legislative reference:</w:t>
            </w:r>
          </w:p>
        </w:tc>
        <w:tc>
          <w:tcPr>
            <w:tcW w:w="5803" w:type="dxa"/>
            <w:gridSpan w:val="8"/>
            <w:tcBorders>
              <w:top w:val="nil"/>
            </w:tcBorders>
          </w:tcPr>
          <w:p w14:paraId="513CD55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37BA of the </w:t>
            </w:r>
            <w:r>
              <w:rPr>
                <w:rFonts w:ascii="Arial" w:hAnsi="Arial" w:cs="Arial"/>
                <w:i/>
                <w:iCs/>
                <w:color w:val="000000"/>
                <w:sz w:val="16"/>
                <w:szCs w:val="16"/>
              </w:rPr>
              <w:t>Fringe Benefits Tax Assessment Act 1986</w:t>
            </w:r>
          </w:p>
        </w:tc>
      </w:tr>
    </w:tbl>
    <w:p w14:paraId="6A0D4622" w14:textId="77777777" w:rsidR="006E40C9" w:rsidRPr="00540040" w:rsidRDefault="006E40C9" w:rsidP="006E40C9">
      <w:pPr>
        <w:pStyle w:val="MeasureTableHeading"/>
      </w:pPr>
    </w:p>
    <w:p w14:paraId="1A4876AC" w14:textId="77777777" w:rsidR="006E40C9" w:rsidRDefault="006E40C9" w:rsidP="006E40C9">
      <w:r>
        <w:t xml:space="preserve">Under the income tax benchmark, fringe benefits are classified as individual employee income, with the grossed-up value taxed at the employee’s marginal income tax rate. However, an employer may elect to value meal entertainment fringe benefits using the 50/50 method, under which the taxable value is equal to 50 per cent of total food and drink entertainment expenditure incurred in an FBT year relating to employees and their associates as well as third parties. </w:t>
      </w:r>
      <w:r>
        <w:fldChar w:fldCharType="begin"/>
      </w:r>
      <w:r>
        <w:instrText xml:space="preserve"> XE "</w:instrText>
      </w:r>
      <w:r w:rsidRPr="00CC167A">
        <w:instrText>Fringe benefits tax:</w:instrText>
      </w:r>
      <w:r>
        <w:instrText>Allowances, a</w:instrText>
      </w:r>
      <w:r w:rsidRPr="00CC167A">
        <w:instrText>ccommodation and food benefits</w:instrText>
      </w:r>
      <w:r>
        <w:instrText xml:space="preserve">" </w:instrText>
      </w:r>
      <w:r>
        <w:fldChar w:fldCharType="end"/>
      </w:r>
    </w:p>
    <w:p w14:paraId="68FD62AC" w14:textId="77777777" w:rsidR="006E40C9" w:rsidRDefault="006E40C9" w:rsidP="00D9255A">
      <w:pPr>
        <w:pStyle w:val="TESHeading5"/>
      </w:pPr>
      <w:r>
        <w:t>D52</w:t>
      </w:r>
      <w:r>
        <w:tab/>
        <w:t>Philanthropy – rebate for certain not-for-profit, non-government bodies</w:t>
      </w:r>
    </w:p>
    <w:p w14:paraId="5BBF578B" w14:textId="76CC9ED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50A6BB" w14:textId="77777777">
        <w:trPr>
          <w:cantSplit/>
          <w:jc w:val="center"/>
        </w:trPr>
        <w:tc>
          <w:tcPr>
            <w:tcW w:w="967" w:type="dxa"/>
            <w:tcBorders>
              <w:top w:val="single" w:sz="2" w:space="0" w:color="auto"/>
              <w:bottom w:val="single" w:sz="2" w:space="0" w:color="auto"/>
            </w:tcBorders>
          </w:tcPr>
          <w:p w14:paraId="568E616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F3AF0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32566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CD26B5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F6DD55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39EFD9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737B8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568C49" w14:textId="77777777" w:rsidR="006E40C9" w:rsidRDefault="006E40C9">
            <w:pPr>
              <w:pStyle w:val="MeasureTableTextRightAligned"/>
            </w:pPr>
            <w:r>
              <w:t>2027-28</w:t>
            </w:r>
          </w:p>
        </w:tc>
      </w:tr>
      <w:tr w:rsidR="006E40C9" w14:paraId="061A1A00" w14:textId="77777777">
        <w:trPr>
          <w:cantSplit/>
          <w:jc w:val="center"/>
        </w:trPr>
        <w:tc>
          <w:tcPr>
            <w:tcW w:w="967" w:type="dxa"/>
            <w:tcBorders>
              <w:top w:val="single" w:sz="2" w:space="0" w:color="auto"/>
              <w:bottom w:val="single" w:sz="2" w:space="0" w:color="auto"/>
            </w:tcBorders>
          </w:tcPr>
          <w:p w14:paraId="12194873"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6EFD288F" w14:textId="77777777" w:rsidR="006E40C9" w:rsidRDefault="006E40C9">
            <w:pPr>
              <w:pStyle w:val="MeasureTableTextRightAligned"/>
            </w:pPr>
            <w:r>
              <w:t>45</w:t>
            </w:r>
          </w:p>
        </w:tc>
        <w:tc>
          <w:tcPr>
            <w:tcW w:w="967" w:type="dxa"/>
            <w:tcBorders>
              <w:top w:val="single" w:sz="2" w:space="0" w:color="auto"/>
              <w:bottom w:val="single" w:sz="2" w:space="0" w:color="auto"/>
            </w:tcBorders>
            <w:vAlign w:val="bottom"/>
          </w:tcPr>
          <w:p w14:paraId="0109EC6A"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74BF58B9" w14:textId="77777777" w:rsidR="006E40C9" w:rsidRDefault="006E40C9">
            <w:pPr>
              <w:pStyle w:val="MeasureTableTextRightAligned"/>
            </w:pPr>
            <w:r>
              <w:t>55</w:t>
            </w:r>
          </w:p>
        </w:tc>
        <w:tc>
          <w:tcPr>
            <w:tcW w:w="967" w:type="dxa"/>
            <w:tcBorders>
              <w:top w:val="single" w:sz="2" w:space="0" w:color="auto"/>
              <w:bottom w:val="single" w:sz="2" w:space="0" w:color="auto"/>
            </w:tcBorders>
            <w:vAlign w:val="bottom"/>
          </w:tcPr>
          <w:p w14:paraId="6BBBB694" w14:textId="77777777" w:rsidR="006E40C9" w:rsidRDefault="006E40C9">
            <w:pPr>
              <w:pStyle w:val="MeasureTableTextRightAligned"/>
            </w:pPr>
            <w:r>
              <w:t>35</w:t>
            </w:r>
          </w:p>
        </w:tc>
        <w:tc>
          <w:tcPr>
            <w:tcW w:w="967" w:type="dxa"/>
            <w:gridSpan w:val="2"/>
            <w:tcBorders>
              <w:top w:val="single" w:sz="2" w:space="0" w:color="auto"/>
              <w:bottom w:val="single" w:sz="2" w:space="0" w:color="auto"/>
            </w:tcBorders>
            <w:vAlign w:val="bottom"/>
          </w:tcPr>
          <w:p w14:paraId="1B583D6F" w14:textId="77777777" w:rsidR="006E40C9" w:rsidRDefault="006E40C9">
            <w:pPr>
              <w:pStyle w:val="MeasureTableTextRightAligned"/>
            </w:pPr>
            <w:r>
              <w:t>40</w:t>
            </w:r>
          </w:p>
        </w:tc>
        <w:tc>
          <w:tcPr>
            <w:tcW w:w="967" w:type="dxa"/>
            <w:gridSpan w:val="2"/>
            <w:tcBorders>
              <w:top w:val="single" w:sz="2" w:space="0" w:color="auto"/>
              <w:bottom w:val="single" w:sz="2" w:space="0" w:color="auto"/>
            </w:tcBorders>
            <w:vAlign w:val="bottom"/>
          </w:tcPr>
          <w:p w14:paraId="233993EF" w14:textId="77777777" w:rsidR="006E40C9" w:rsidRDefault="006E40C9">
            <w:pPr>
              <w:pStyle w:val="MeasureTableTextRightAligned"/>
            </w:pPr>
            <w:r>
              <w:t>40</w:t>
            </w:r>
          </w:p>
        </w:tc>
        <w:tc>
          <w:tcPr>
            <w:tcW w:w="968" w:type="dxa"/>
            <w:tcBorders>
              <w:top w:val="single" w:sz="2" w:space="0" w:color="auto"/>
              <w:bottom w:val="single" w:sz="2" w:space="0" w:color="auto"/>
            </w:tcBorders>
            <w:vAlign w:val="bottom"/>
          </w:tcPr>
          <w:p w14:paraId="72ECEBAC" w14:textId="77777777" w:rsidR="006E40C9" w:rsidRDefault="006E40C9">
            <w:pPr>
              <w:pStyle w:val="MeasureTableTextRightAligned"/>
            </w:pPr>
            <w:r>
              <w:t>40</w:t>
            </w:r>
          </w:p>
        </w:tc>
      </w:tr>
      <w:tr w:rsidR="006E40C9" w14:paraId="6D2E2AE7" w14:textId="77777777">
        <w:trPr>
          <w:cantSplit/>
          <w:jc w:val="center"/>
        </w:trPr>
        <w:tc>
          <w:tcPr>
            <w:tcW w:w="1934" w:type="dxa"/>
            <w:gridSpan w:val="2"/>
            <w:tcBorders>
              <w:top w:val="single" w:sz="2" w:space="0" w:color="auto"/>
              <w:bottom w:val="nil"/>
            </w:tcBorders>
          </w:tcPr>
          <w:p w14:paraId="326436D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996CFD" w14:textId="77777777" w:rsidR="006E40C9" w:rsidRDefault="006E40C9">
            <w:pPr>
              <w:pStyle w:val="MeasureTableTextLeftAligned"/>
            </w:pPr>
            <w:r>
              <w:t>Rebate</w:t>
            </w:r>
          </w:p>
        </w:tc>
        <w:tc>
          <w:tcPr>
            <w:tcW w:w="1500" w:type="dxa"/>
            <w:gridSpan w:val="2"/>
            <w:tcBorders>
              <w:top w:val="single" w:sz="2" w:space="0" w:color="auto"/>
              <w:bottom w:val="nil"/>
            </w:tcBorders>
          </w:tcPr>
          <w:p w14:paraId="1DF7024D" w14:textId="110B98C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81FF607" w14:textId="77777777" w:rsidR="006E40C9" w:rsidRDefault="006E40C9">
            <w:pPr>
              <w:pStyle w:val="MeasureTableTextLeftAligned"/>
            </w:pPr>
            <w:r>
              <w:t>D52</w:t>
            </w:r>
          </w:p>
        </w:tc>
      </w:tr>
      <w:tr w:rsidR="006E40C9" w14:paraId="26CCFFF3" w14:textId="77777777">
        <w:trPr>
          <w:cantSplit/>
          <w:jc w:val="center"/>
        </w:trPr>
        <w:tc>
          <w:tcPr>
            <w:tcW w:w="1934" w:type="dxa"/>
            <w:gridSpan w:val="2"/>
            <w:tcBorders>
              <w:top w:val="nil"/>
              <w:bottom w:val="nil"/>
            </w:tcBorders>
          </w:tcPr>
          <w:p w14:paraId="1F30E13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3DF525" w14:textId="77777777" w:rsidR="006E40C9" w:rsidRPr="00584CA7" w:rsidRDefault="006E40C9">
            <w:pPr>
              <w:pStyle w:val="MeasureTableTextLeftAligned"/>
            </w:pPr>
            <w:r>
              <w:t>Medium</w:t>
            </w:r>
          </w:p>
        </w:tc>
        <w:tc>
          <w:tcPr>
            <w:tcW w:w="1500" w:type="dxa"/>
            <w:gridSpan w:val="2"/>
            <w:tcBorders>
              <w:top w:val="nil"/>
              <w:bottom w:val="nil"/>
            </w:tcBorders>
          </w:tcPr>
          <w:p w14:paraId="30F25C51" w14:textId="77777777" w:rsidR="006E40C9" w:rsidRDefault="006E40C9">
            <w:pPr>
              <w:pStyle w:val="MeasureTableTextItalic"/>
            </w:pPr>
          </w:p>
        </w:tc>
        <w:tc>
          <w:tcPr>
            <w:tcW w:w="1124" w:type="dxa"/>
            <w:gridSpan w:val="2"/>
            <w:tcBorders>
              <w:top w:val="nil"/>
              <w:bottom w:val="nil"/>
            </w:tcBorders>
          </w:tcPr>
          <w:p w14:paraId="5CCC5B07" w14:textId="77777777" w:rsidR="006E40C9" w:rsidRDefault="006E40C9">
            <w:pPr>
              <w:pStyle w:val="MeasureTableTextLeftAligned"/>
            </w:pPr>
          </w:p>
        </w:tc>
      </w:tr>
      <w:tr w:rsidR="006E40C9" w14:paraId="583DF28A" w14:textId="77777777">
        <w:trPr>
          <w:cantSplit/>
          <w:jc w:val="center"/>
        </w:trPr>
        <w:tc>
          <w:tcPr>
            <w:tcW w:w="1934" w:type="dxa"/>
            <w:gridSpan w:val="2"/>
            <w:tcBorders>
              <w:top w:val="nil"/>
              <w:bottom w:val="nil"/>
            </w:tcBorders>
          </w:tcPr>
          <w:p w14:paraId="2183D00A" w14:textId="77777777" w:rsidR="006E40C9" w:rsidRDefault="006E40C9">
            <w:pPr>
              <w:pStyle w:val="MeasureTableTextItalic"/>
            </w:pPr>
            <w:r>
              <w:t>Commencement date:</w:t>
            </w:r>
          </w:p>
        </w:tc>
        <w:tc>
          <w:tcPr>
            <w:tcW w:w="3179" w:type="dxa"/>
            <w:gridSpan w:val="4"/>
            <w:tcBorders>
              <w:top w:val="nil"/>
              <w:bottom w:val="nil"/>
            </w:tcBorders>
          </w:tcPr>
          <w:p w14:paraId="58D0E367" w14:textId="77777777" w:rsidR="006E40C9" w:rsidRDefault="006E40C9">
            <w:pPr>
              <w:pStyle w:val="MeasureTableTextLeftAligned"/>
            </w:pPr>
            <w:r>
              <w:t>1994</w:t>
            </w:r>
          </w:p>
        </w:tc>
        <w:tc>
          <w:tcPr>
            <w:tcW w:w="1500" w:type="dxa"/>
            <w:gridSpan w:val="2"/>
            <w:tcBorders>
              <w:top w:val="nil"/>
              <w:bottom w:val="nil"/>
            </w:tcBorders>
          </w:tcPr>
          <w:p w14:paraId="60B0C31A" w14:textId="77777777" w:rsidR="006E40C9" w:rsidRPr="00F32057" w:rsidRDefault="006E40C9">
            <w:pPr>
              <w:pStyle w:val="MeasureTableTextItalic"/>
            </w:pPr>
            <w:r>
              <w:t>Expiry date:</w:t>
            </w:r>
          </w:p>
        </w:tc>
        <w:tc>
          <w:tcPr>
            <w:tcW w:w="1124" w:type="dxa"/>
            <w:gridSpan w:val="2"/>
            <w:tcBorders>
              <w:top w:val="nil"/>
              <w:bottom w:val="nil"/>
            </w:tcBorders>
          </w:tcPr>
          <w:p w14:paraId="7839B0BB" w14:textId="77777777" w:rsidR="006E40C9" w:rsidRPr="00F32057" w:rsidRDefault="006E40C9">
            <w:pPr>
              <w:pStyle w:val="MeasureTableTextLeftAligned"/>
            </w:pPr>
          </w:p>
        </w:tc>
      </w:tr>
      <w:tr w:rsidR="006E40C9" w14:paraId="4A7EC271" w14:textId="77777777">
        <w:trPr>
          <w:cantSplit/>
          <w:jc w:val="center"/>
        </w:trPr>
        <w:tc>
          <w:tcPr>
            <w:tcW w:w="1934" w:type="dxa"/>
            <w:gridSpan w:val="2"/>
            <w:tcBorders>
              <w:top w:val="nil"/>
            </w:tcBorders>
          </w:tcPr>
          <w:p w14:paraId="5B8E74AB" w14:textId="77777777" w:rsidR="006E40C9" w:rsidRDefault="006E40C9">
            <w:pPr>
              <w:pStyle w:val="MeasureTableTextItalic"/>
            </w:pPr>
            <w:r>
              <w:t>Legislative reference:</w:t>
            </w:r>
          </w:p>
        </w:tc>
        <w:tc>
          <w:tcPr>
            <w:tcW w:w="5803" w:type="dxa"/>
            <w:gridSpan w:val="8"/>
            <w:tcBorders>
              <w:top w:val="nil"/>
            </w:tcBorders>
          </w:tcPr>
          <w:p w14:paraId="031EAA7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65J of the </w:t>
            </w:r>
            <w:r>
              <w:rPr>
                <w:rFonts w:ascii="Arial" w:hAnsi="Arial" w:cs="Arial"/>
                <w:i/>
                <w:iCs/>
                <w:color w:val="000000"/>
                <w:sz w:val="16"/>
                <w:szCs w:val="16"/>
              </w:rPr>
              <w:t>Fringe Benefits Tax Assessment Act 1986</w:t>
            </w:r>
          </w:p>
        </w:tc>
      </w:tr>
    </w:tbl>
    <w:p w14:paraId="7BF644C3" w14:textId="77777777" w:rsidR="006E40C9" w:rsidRPr="00540040" w:rsidRDefault="006E40C9" w:rsidP="006E40C9">
      <w:pPr>
        <w:pStyle w:val="MeasureTableHeading"/>
      </w:pPr>
    </w:p>
    <w:p w14:paraId="31B8EA45" w14:textId="50E14822" w:rsidR="006E40C9" w:rsidRDefault="006E40C9" w:rsidP="006E40C9">
      <w:r>
        <w:t>Under the income tax benchmark, fringe benefits are classified as individual employee income, with the grossed-up value taxed at the employee’s marginal income tax rate. However, certain not</w:t>
      </w:r>
      <w:r>
        <w:noBreakHyphen/>
        <w:t>for</w:t>
      </w:r>
      <w:r>
        <w:noBreakHyphen/>
        <w:t>profit, non</w:t>
      </w:r>
      <w:r>
        <w:noBreakHyphen/>
        <w:t>government bodies</w:t>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r>
        <w:t xml:space="preserve"> (including, in general, charitable institutions but not public benevolent institutions, schools, and trade unions) are eligible for a partial rebate of the fringe benefits tax that would otherwise be payable on up to $30,000 of the grossed up taxable value of fringe benefits per employee. </w:t>
      </w:r>
    </w:p>
    <w:p w14:paraId="2D26B0D0" w14:textId="60B303F9" w:rsidR="00444820" w:rsidRDefault="00444820" w:rsidP="00444820">
      <w:pPr>
        <w:spacing w:after="0" w:line="240" w:lineRule="auto"/>
        <w:jc w:val="left"/>
      </w:pPr>
      <w:r>
        <w:br w:type="page"/>
      </w:r>
    </w:p>
    <w:p w14:paraId="1E00359B" w14:textId="77777777" w:rsidR="006E40C9" w:rsidRDefault="006E40C9" w:rsidP="003218AC">
      <w:pPr>
        <w:pStyle w:val="Heading3"/>
      </w:pPr>
      <w:bookmarkStart w:id="91" w:name="_Toc183710295"/>
      <w:r>
        <w:t>Capital Gains Tax</w:t>
      </w:r>
      <w:bookmarkEnd w:id="91"/>
    </w:p>
    <w:p w14:paraId="09153B4D" w14:textId="77777777" w:rsidR="006E40C9" w:rsidRDefault="006E40C9" w:rsidP="00D9255A">
      <w:pPr>
        <w:pStyle w:val="Heading3"/>
      </w:pPr>
      <w:r>
        <w:t>Tax expenditures for defence</w:t>
      </w:r>
    </w:p>
    <w:p w14:paraId="0E90B119" w14:textId="77777777" w:rsidR="006E40C9" w:rsidRDefault="006E40C9" w:rsidP="00D9255A">
      <w:pPr>
        <w:pStyle w:val="TESHeading5"/>
      </w:pPr>
      <w:r>
        <w:t>E1</w:t>
      </w:r>
      <w:r>
        <w:tab/>
        <w:t>Exemption for valour or brave conduct decorations</w:t>
      </w:r>
    </w:p>
    <w:p w14:paraId="5FE6C16E"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9CEC01D" w14:textId="77777777">
        <w:trPr>
          <w:cantSplit/>
          <w:jc w:val="center"/>
        </w:trPr>
        <w:tc>
          <w:tcPr>
            <w:tcW w:w="967" w:type="dxa"/>
            <w:tcBorders>
              <w:top w:val="single" w:sz="2" w:space="0" w:color="auto"/>
              <w:bottom w:val="single" w:sz="2" w:space="0" w:color="auto"/>
            </w:tcBorders>
          </w:tcPr>
          <w:p w14:paraId="32977F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FEDE6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4A7867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9DE43B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ED9B8E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981AF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4F386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342DD3" w14:textId="77777777" w:rsidR="006E40C9" w:rsidRDefault="006E40C9">
            <w:pPr>
              <w:pStyle w:val="MeasureTableTextRightAligned"/>
            </w:pPr>
            <w:r>
              <w:t>2027-28</w:t>
            </w:r>
          </w:p>
        </w:tc>
      </w:tr>
      <w:tr w:rsidR="006E40C9" w14:paraId="723620E7" w14:textId="77777777">
        <w:trPr>
          <w:cantSplit/>
          <w:jc w:val="center"/>
        </w:trPr>
        <w:tc>
          <w:tcPr>
            <w:tcW w:w="967" w:type="dxa"/>
            <w:tcBorders>
              <w:top w:val="single" w:sz="2" w:space="0" w:color="auto"/>
              <w:bottom w:val="single" w:sz="2" w:space="0" w:color="auto"/>
            </w:tcBorders>
          </w:tcPr>
          <w:p w14:paraId="5BACBE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0D13182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9314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573DAF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8A3CC5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E3B9B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158889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C7C9393" w14:textId="77777777" w:rsidR="006E40C9" w:rsidRDefault="006E40C9">
            <w:pPr>
              <w:pStyle w:val="MeasureTableTextRightAligned"/>
            </w:pPr>
            <w:r>
              <w:t>..</w:t>
            </w:r>
          </w:p>
        </w:tc>
      </w:tr>
      <w:tr w:rsidR="006E40C9" w14:paraId="586378B9" w14:textId="77777777">
        <w:trPr>
          <w:cantSplit/>
          <w:jc w:val="center"/>
        </w:trPr>
        <w:tc>
          <w:tcPr>
            <w:tcW w:w="1934" w:type="dxa"/>
            <w:gridSpan w:val="2"/>
            <w:tcBorders>
              <w:top w:val="single" w:sz="2" w:space="0" w:color="auto"/>
              <w:bottom w:val="nil"/>
            </w:tcBorders>
          </w:tcPr>
          <w:p w14:paraId="2199281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A3E309" w14:textId="77777777" w:rsidR="006E40C9" w:rsidRDefault="006E40C9">
            <w:pPr>
              <w:pStyle w:val="MeasureTableTextLeftAligned"/>
            </w:pPr>
            <w:r>
              <w:t>Exemption</w:t>
            </w:r>
          </w:p>
        </w:tc>
        <w:tc>
          <w:tcPr>
            <w:tcW w:w="1500" w:type="dxa"/>
            <w:gridSpan w:val="2"/>
            <w:tcBorders>
              <w:top w:val="single" w:sz="2" w:space="0" w:color="auto"/>
              <w:bottom w:val="nil"/>
            </w:tcBorders>
          </w:tcPr>
          <w:p w14:paraId="29497A3B" w14:textId="25843F8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2E2F87D" w14:textId="77777777" w:rsidR="006E40C9" w:rsidRDefault="006E40C9">
            <w:pPr>
              <w:pStyle w:val="MeasureTableTextLeftAligned"/>
            </w:pPr>
            <w:r>
              <w:t>E1</w:t>
            </w:r>
          </w:p>
        </w:tc>
      </w:tr>
      <w:tr w:rsidR="006E40C9" w14:paraId="0923BBFC" w14:textId="77777777">
        <w:trPr>
          <w:cantSplit/>
          <w:jc w:val="center"/>
        </w:trPr>
        <w:tc>
          <w:tcPr>
            <w:tcW w:w="1934" w:type="dxa"/>
            <w:gridSpan w:val="2"/>
            <w:tcBorders>
              <w:top w:val="nil"/>
              <w:bottom w:val="nil"/>
            </w:tcBorders>
          </w:tcPr>
          <w:p w14:paraId="7B1B3C9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EEFF5C5" w14:textId="77777777" w:rsidR="006E40C9" w:rsidRPr="00584CA7" w:rsidRDefault="006E40C9">
            <w:pPr>
              <w:pStyle w:val="MeasureTableTextLeftAligned"/>
            </w:pPr>
            <w:r>
              <w:t>Low</w:t>
            </w:r>
          </w:p>
        </w:tc>
        <w:tc>
          <w:tcPr>
            <w:tcW w:w="1500" w:type="dxa"/>
            <w:gridSpan w:val="2"/>
            <w:tcBorders>
              <w:top w:val="nil"/>
              <w:bottom w:val="nil"/>
            </w:tcBorders>
          </w:tcPr>
          <w:p w14:paraId="36B47815" w14:textId="77777777" w:rsidR="006E40C9" w:rsidRDefault="006E40C9">
            <w:pPr>
              <w:pStyle w:val="MeasureTableTextItalic"/>
            </w:pPr>
          </w:p>
        </w:tc>
        <w:tc>
          <w:tcPr>
            <w:tcW w:w="1124" w:type="dxa"/>
            <w:gridSpan w:val="2"/>
            <w:tcBorders>
              <w:top w:val="nil"/>
              <w:bottom w:val="nil"/>
            </w:tcBorders>
          </w:tcPr>
          <w:p w14:paraId="446F9E96" w14:textId="77777777" w:rsidR="006E40C9" w:rsidRDefault="006E40C9">
            <w:pPr>
              <w:pStyle w:val="MeasureTableTextLeftAligned"/>
            </w:pPr>
          </w:p>
        </w:tc>
      </w:tr>
      <w:tr w:rsidR="006E40C9" w14:paraId="03D5A1A4" w14:textId="77777777">
        <w:trPr>
          <w:cantSplit/>
          <w:jc w:val="center"/>
        </w:trPr>
        <w:tc>
          <w:tcPr>
            <w:tcW w:w="1934" w:type="dxa"/>
            <w:gridSpan w:val="2"/>
            <w:tcBorders>
              <w:top w:val="nil"/>
              <w:bottom w:val="nil"/>
            </w:tcBorders>
          </w:tcPr>
          <w:p w14:paraId="3AEF5DB5" w14:textId="77777777" w:rsidR="006E40C9" w:rsidRDefault="006E40C9">
            <w:pPr>
              <w:pStyle w:val="MeasureTableTextItalic"/>
            </w:pPr>
            <w:r>
              <w:t>Commencement date:</w:t>
            </w:r>
          </w:p>
        </w:tc>
        <w:tc>
          <w:tcPr>
            <w:tcW w:w="3179" w:type="dxa"/>
            <w:gridSpan w:val="4"/>
            <w:tcBorders>
              <w:top w:val="nil"/>
              <w:bottom w:val="nil"/>
            </w:tcBorders>
          </w:tcPr>
          <w:p w14:paraId="0BEAB436" w14:textId="77777777" w:rsidR="006E40C9" w:rsidRDefault="006E40C9">
            <w:pPr>
              <w:pStyle w:val="MeasureTableTextLeftAligned"/>
            </w:pPr>
            <w:r>
              <w:t>20 September 1985</w:t>
            </w:r>
          </w:p>
        </w:tc>
        <w:tc>
          <w:tcPr>
            <w:tcW w:w="1500" w:type="dxa"/>
            <w:gridSpan w:val="2"/>
            <w:tcBorders>
              <w:top w:val="nil"/>
              <w:bottom w:val="nil"/>
            </w:tcBorders>
          </w:tcPr>
          <w:p w14:paraId="46102BB9" w14:textId="77777777" w:rsidR="006E40C9" w:rsidRPr="00F32057" w:rsidRDefault="006E40C9">
            <w:pPr>
              <w:pStyle w:val="MeasureTableTextItalic"/>
            </w:pPr>
            <w:r>
              <w:t>Expiry date:</w:t>
            </w:r>
          </w:p>
        </w:tc>
        <w:tc>
          <w:tcPr>
            <w:tcW w:w="1124" w:type="dxa"/>
            <w:gridSpan w:val="2"/>
            <w:tcBorders>
              <w:top w:val="nil"/>
              <w:bottom w:val="nil"/>
            </w:tcBorders>
          </w:tcPr>
          <w:p w14:paraId="756A2335" w14:textId="77777777" w:rsidR="006E40C9" w:rsidRPr="00F32057" w:rsidRDefault="006E40C9">
            <w:pPr>
              <w:pStyle w:val="MeasureTableTextLeftAligned"/>
            </w:pPr>
          </w:p>
        </w:tc>
      </w:tr>
      <w:tr w:rsidR="006E40C9" w14:paraId="7D436B6E" w14:textId="77777777">
        <w:trPr>
          <w:cantSplit/>
          <w:jc w:val="center"/>
        </w:trPr>
        <w:tc>
          <w:tcPr>
            <w:tcW w:w="1934" w:type="dxa"/>
            <w:gridSpan w:val="2"/>
            <w:tcBorders>
              <w:top w:val="nil"/>
            </w:tcBorders>
          </w:tcPr>
          <w:p w14:paraId="35A6CDF2" w14:textId="77777777" w:rsidR="006E40C9" w:rsidRDefault="006E40C9">
            <w:pPr>
              <w:pStyle w:val="MeasureTableTextItalic"/>
            </w:pPr>
            <w:r>
              <w:t>Legislative reference:</w:t>
            </w:r>
          </w:p>
        </w:tc>
        <w:tc>
          <w:tcPr>
            <w:tcW w:w="5803" w:type="dxa"/>
            <w:gridSpan w:val="8"/>
            <w:tcBorders>
              <w:top w:val="nil"/>
            </w:tcBorders>
          </w:tcPr>
          <w:p w14:paraId="5B378D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Paragraph 118-5(b) of the </w:t>
            </w:r>
            <w:r>
              <w:rPr>
                <w:rFonts w:ascii="Arial" w:hAnsi="Arial" w:cs="Arial"/>
                <w:i/>
                <w:iCs/>
                <w:color w:val="000000"/>
                <w:sz w:val="16"/>
                <w:szCs w:val="16"/>
              </w:rPr>
              <w:t>Income Tax Assessment Act 1997</w:t>
            </w:r>
          </w:p>
        </w:tc>
      </w:tr>
    </w:tbl>
    <w:p w14:paraId="1E7D5AA4" w14:textId="77777777" w:rsidR="006E40C9" w:rsidRPr="00540040" w:rsidRDefault="006E40C9" w:rsidP="006E40C9">
      <w:pPr>
        <w:pStyle w:val="MeasureTableHeading"/>
      </w:pPr>
    </w:p>
    <w:p w14:paraId="3033BE68" w14:textId="3E662E48" w:rsidR="006E40C9" w:rsidRDefault="006E40C9" w:rsidP="006E40C9">
      <w:pPr>
        <w:pStyle w:val="Heading4"/>
      </w:pPr>
      <w:r>
        <w:t>Under the benchmark, realised capital gains are generally assessable to taxpayers at their applicable tax rate in the year they arise. However, capital gains or losses arising from the disposal of a decoration awarded for valour or brave conduct are exempt from capital gains tax (CGT). This exemption is available unless the owner of the decoration had paid money or given any other property for it. Tax expenditures for health</w:t>
      </w:r>
    </w:p>
    <w:p w14:paraId="4C1C5E8B" w14:textId="77777777" w:rsidR="006E40C9" w:rsidRDefault="006E40C9" w:rsidP="00D9255A">
      <w:pPr>
        <w:pStyle w:val="TESHeading5"/>
      </w:pPr>
      <w:r>
        <w:t>E2</w:t>
      </w:r>
      <w:r>
        <w:tab/>
        <w:t>Roll-over for membership interests in medical defence organisations</w:t>
      </w:r>
    </w:p>
    <w:p w14:paraId="7763CE43"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6EC76FA" w14:textId="77777777">
        <w:trPr>
          <w:cantSplit/>
          <w:jc w:val="center"/>
        </w:trPr>
        <w:tc>
          <w:tcPr>
            <w:tcW w:w="967" w:type="dxa"/>
            <w:tcBorders>
              <w:top w:val="single" w:sz="2" w:space="0" w:color="auto"/>
              <w:bottom w:val="single" w:sz="2" w:space="0" w:color="auto"/>
            </w:tcBorders>
          </w:tcPr>
          <w:p w14:paraId="4AECE36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CDC415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C310B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6587E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81BD5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D6AF8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D17AEA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094C8E9" w14:textId="77777777" w:rsidR="006E40C9" w:rsidRDefault="006E40C9">
            <w:pPr>
              <w:pStyle w:val="MeasureTableTextRightAligned"/>
            </w:pPr>
            <w:r>
              <w:t>2027-28</w:t>
            </w:r>
          </w:p>
        </w:tc>
      </w:tr>
      <w:tr w:rsidR="006E40C9" w14:paraId="4E80BFC8" w14:textId="77777777">
        <w:trPr>
          <w:cantSplit/>
          <w:jc w:val="center"/>
        </w:trPr>
        <w:tc>
          <w:tcPr>
            <w:tcW w:w="967" w:type="dxa"/>
            <w:tcBorders>
              <w:top w:val="single" w:sz="2" w:space="0" w:color="auto"/>
              <w:bottom w:val="single" w:sz="2" w:space="0" w:color="auto"/>
            </w:tcBorders>
          </w:tcPr>
          <w:p w14:paraId="589D109D" w14:textId="77777777" w:rsidR="006E40C9" w:rsidRDefault="006E40C9">
            <w:pPr>
              <w:pStyle w:val="MeasureTableTextRightAligned"/>
            </w:pPr>
            <w:r>
              <w:t>*</w:t>
            </w:r>
          </w:p>
        </w:tc>
        <w:tc>
          <w:tcPr>
            <w:tcW w:w="967" w:type="dxa"/>
            <w:tcBorders>
              <w:top w:val="single" w:sz="2" w:space="0" w:color="auto"/>
              <w:bottom w:val="single" w:sz="2" w:space="0" w:color="auto"/>
            </w:tcBorders>
          </w:tcPr>
          <w:p w14:paraId="1C932EE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7C166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4748B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61C0AB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CD375F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761E8D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22D4A1A" w14:textId="77777777" w:rsidR="006E40C9" w:rsidRDefault="006E40C9">
            <w:pPr>
              <w:pStyle w:val="MeasureTableTextRightAligned"/>
            </w:pPr>
            <w:r>
              <w:t>*</w:t>
            </w:r>
          </w:p>
        </w:tc>
      </w:tr>
      <w:tr w:rsidR="006E40C9" w14:paraId="5156EF3F" w14:textId="77777777">
        <w:trPr>
          <w:cantSplit/>
          <w:jc w:val="center"/>
        </w:trPr>
        <w:tc>
          <w:tcPr>
            <w:tcW w:w="1934" w:type="dxa"/>
            <w:gridSpan w:val="2"/>
            <w:tcBorders>
              <w:top w:val="single" w:sz="2" w:space="0" w:color="auto"/>
              <w:bottom w:val="nil"/>
            </w:tcBorders>
          </w:tcPr>
          <w:p w14:paraId="3C4A2AB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552D6F" w14:textId="77777777" w:rsidR="006E40C9" w:rsidRDefault="006E40C9">
            <w:pPr>
              <w:pStyle w:val="MeasureTableTextLeftAligned"/>
            </w:pPr>
            <w:r>
              <w:t>Deferral</w:t>
            </w:r>
          </w:p>
        </w:tc>
        <w:tc>
          <w:tcPr>
            <w:tcW w:w="1500" w:type="dxa"/>
            <w:gridSpan w:val="2"/>
            <w:tcBorders>
              <w:top w:val="single" w:sz="2" w:space="0" w:color="auto"/>
              <w:bottom w:val="nil"/>
            </w:tcBorders>
          </w:tcPr>
          <w:p w14:paraId="52BCC055" w14:textId="6AED1BB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E2B61E2" w14:textId="77777777" w:rsidR="006E40C9" w:rsidRDefault="006E40C9">
            <w:pPr>
              <w:pStyle w:val="MeasureTableTextLeftAligned"/>
            </w:pPr>
            <w:r>
              <w:t>E2</w:t>
            </w:r>
          </w:p>
        </w:tc>
      </w:tr>
      <w:tr w:rsidR="006E40C9" w14:paraId="352FD73B" w14:textId="77777777">
        <w:trPr>
          <w:cantSplit/>
          <w:jc w:val="center"/>
        </w:trPr>
        <w:tc>
          <w:tcPr>
            <w:tcW w:w="1934" w:type="dxa"/>
            <w:gridSpan w:val="2"/>
            <w:tcBorders>
              <w:top w:val="nil"/>
              <w:bottom w:val="nil"/>
            </w:tcBorders>
          </w:tcPr>
          <w:p w14:paraId="0F251D0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D85B69" w14:textId="77777777" w:rsidR="006E40C9" w:rsidRPr="00584CA7" w:rsidRDefault="006E40C9">
            <w:pPr>
              <w:pStyle w:val="MeasureTableTextLeftAligned"/>
            </w:pPr>
            <w:r>
              <w:t>Not Applicable</w:t>
            </w:r>
          </w:p>
        </w:tc>
        <w:tc>
          <w:tcPr>
            <w:tcW w:w="1500" w:type="dxa"/>
            <w:gridSpan w:val="2"/>
            <w:tcBorders>
              <w:top w:val="nil"/>
              <w:bottom w:val="nil"/>
            </w:tcBorders>
          </w:tcPr>
          <w:p w14:paraId="10377CE6" w14:textId="77777777" w:rsidR="006E40C9" w:rsidRDefault="006E40C9">
            <w:pPr>
              <w:pStyle w:val="MeasureTableTextItalic"/>
            </w:pPr>
            <w:r>
              <w:t>* Category</w:t>
            </w:r>
          </w:p>
        </w:tc>
        <w:tc>
          <w:tcPr>
            <w:tcW w:w="1124" w:type="dxa"/>
            <w:gridSpan w:val="2"/>
            <w:tcBorders>
              <w:top w:val="nil"/>
              <w:bottom w:val="nil"/>
            </w:tcBorders>
          </w:tcPr>
          <w:p w14:paraId="3BBF4E69" w14:textId="77777777" w:rsidR="006E40C9" w:rsidRDefault="006E40C9">
            <w:pPr>
              <w:pStyle w:val="MeasureTableTextLeftAligned"/>
            </w:pPr>
            <w:r>
              <w:t>1+</w:t>
            </w:r>
          </w:p>
        </w:tc>
      </w:tr>
      <w:tr w:rsidR="006E40C9" w14:paraId="56A81837" w14:textId="77777777">
        <w:trPr>
          <w:cantSplit/>
          <w:jc w:val="center"/>
        </w:trPr>
        <w:tc>
          <w:tcPr>
            <w:tcW w:w="1934" w:type="dxa"/>
            <w:gridSpan w:val="2"/>
            <w:tcBorders>
              <w:top w:val="nil"/>
              <w:bottom w:val="nil"/>
            </w:tcBorders>
          </w:tcPr>
          <w:p w14:paraId="0760B80C" w14:textId="77777777" w:rsidR="006E40C9" w:rsidRDefault="006E40C9">
            <w:pPr>
              <w:pStyle w:val="MeasureTableTextItalic"/>
            </w:pPr>
            <w:r>
              <w:t>Commencement date:</w:t>
            </w:r>
          </w:p>
        </w:tc>
        <w:tc>
          <w:tcPr>
            <w:tcW w:w="3179" w:type="dxa"/>
            <w:gridSpan w:val="4"/>
            <w:tcBorders>
              <w:top w:val="nil"/>
              <w:bottom w:val="nil"/>
            </w:tcBorders>
          </w:tcPr>
          <w:p w14:paraId="24814E06" w14:textId="77777777" w:rsidR="006E40C9" w:rsidRDefault="006E40C9">
            <w:pPr>
              <w:pStyle w:val="MeasureTableTextLeftAligned"/>
            </w:pPr>
            <w:r>
              <w:t>2007</w:t>
            </w:r>
          </w:p>
        </w:tc>
        <w:tc>
          <w:tcPr>
            <w:tcW w:w="1500" w:type="dxa"/>
            <w:gridSpan w:val="2"/>
            <w:tcBorders>
              <w:top w:val="nil"/>
              <w:bottom w:val="nil"/>
            </w:tcBorders>
          </w:tcPr>
          <w:p w14:paraId="0F9AEF5C" w14:textId="77777777" w:rsidR="006E40C9" w:rsidRPr="00F32057" w:rsidRDefault="006E40C9">
            <w:pPr>
              <w:pStyle w:val="MeasureTableTextItalic"/>
            </w:pPr>
            <w:r>
              <w:t>Expiry date:</w:t>
            </w:r>
          </w:p>
        </w:tc>
        <w:tc>
          <w:tcPr>
            <w:tcW w:w="1124" w:type="dxa"/>
            <w:gridSpan w:val="2"/>
            <w:tcBorders>
              <w:top w:val="nil"/>
              <w:bottom w:val="nil"/>
            </w:tcBorders>
          </w:tcPr>
          <w:p w14:paraId="45DD5238" w14:textId="77777777" w:rsidR="006E40C9" w:rsidRPr="00F32057" w:rsidRDefault="006E40C9">
            <w:pPr>
              <w:pStyle w:val="MeasureTableTextLeftAligned"/>
            </w:pPr>
          </w:p>
        </w:tc>
      </w:tr>
      <w:tr w:rsidR="006E40C9" w14:paraId="026227EA" w14:textId="77777777">
        <w:trPr>
          <w:cantSplit/>
          <w:jc w:val="center"/>
        </w:trPr>
        <w:tc>
          <w:tcPr>
            <w:tcW w:w="1934" w:type="dxa"/>
            <w:gridSpan w:val="2"/>
            <w:tcBorders>
              <w:top w:val="nil"/>
            </w:tcBorders>
          </w:tcPr>
          <w:p w14:paraId="09B5E913" w14:textId="77777777" w:rsidR="006E40C9" w:rsidRDefault="006E40C9">
            <w:pPr>
              <w:pStyle w:val="MeasureTableTextItalic"/>
            </w:pPr>
            <w:r>
              <w:t>Legislative reference:</w:t>
            </w:r>
          </w:p>
        </w:tc>
        <w:tc>
          <w:tcPr>
            <w:tcW w:w="5803" w:type="dxa"/>
            <w:gridSpan w:val="8"/>
            <w:tcBorders>
              <w:top w:val="nil"/>
            </w:tcBorders>
          </w:tcPr>
          <w:p w14:paraId="22BB316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Subdivision 124-P of the</w:t>
            </w:r>
            <w:r>
              <w:rPr>
                <w:rFonts w:ascii="Arial" w:hAnsi="Arial" w:cs="Arial"/>
                <w:i/>
                <w:iCs/>
                <w:color w:val="000000"/>
                <w:sz w:val="16"/>
                <w:szCs w:val="16"/>
              </w:rPr>
              <w:t xml:space="preserve"> Income Tax Assessment Act 1997</w:t>
            </w:r>
          </w:p>
        </w:tc>
      </w:tr>
    </w:tbl>
    <w:p w14:paraId="0AA1EF0A" w14:textId="77777777" w:rsidR="006E40C9" w:rsidRPr="00540040" w:rsidRDefault="006E40C9" w:rsidP="006E40C9">
      <w:pPr>
        <w:pStyle w:val="MeasureTableHeading"/>
      </w:pPr>
    </w:p>
    <w:p w14:paraId="015BFA80" w14:textId="710A43F7" w:rsidR="006E40C9" w:rsidRDefault="006E40C9" w:rsidP="006E40C9">
      <w:r>
        <w:t>Under the benchmark, realised capital gains are generally assessable to taxpayers at their applicable tax rate in the year they arise. However, a CGT roll</w:t>
      </w:r>
      <w:r>
        <w:rPr>
          <w:rFonts w:cs="Book Antiqua"/>
        </w:rPr>
        <w:noBreakHyphen/>
        <w:t>over is available for capital gains arising from the exchange of a membership interest in a medical defence organisation</w:t>
      </w:r>
      <w:r>
        <w:rPr>
          <w:rFonts w:cs="Book Antiqua"/>
        </w:rPr>
        <w:fldChar w:fldCharType="begin"/>
      </w:r>
      <w:r>
        <w:instrText xml:space="preserve"> XE "</w:instrText>
      </w:r>
      <w:r>
        <w:rPr>
          <w:rFonts w:cs="Book Antiqua"/>
        </w:rPr>
        <w:instrText>Medical defence organisation</w:instrText>
      </w:r>
      <w:r>
        <w:instrText xml:space="preserve">" </w:instrText>
      </w:r>
      <w:r>
        <w:rPr>
          <w:rFonts w:cs="Book Antiqua"/>
        </w:rPr>
        <w:fldChar w:fldCharType="end"/>
      </w:r>
      <w:r>
        <w:rPr>
          <w:rFonts w:cs="Book Antiqua"/>
        </w:rPr>
        <w:t xml:space="preserve"> for a similar interest in another medical defence org</w:t>
      </w:r>
      <w:r>
        <w:t xml:space="preserve">anisation where both organisations are companies limited by guarantee and subject to certain other conditions, </w:t>
      </w:r>
      <w:r>
        <w:rPr>
          <w:rFonts w:cs="Book Antiqua"/>
        </w:rPr>
        <w:t>until the ultimate di</w:t>
      </w:r>
      <w:r>
        <w:t>sposal of the replacement membership interest.</w:t>
      </w:r>
    </w:p>
    <w:p w14:paraId="40A5BCE2" w14:textId="77777777" w:rsidR="006E40C9" w:rsidRDefault="006E40C9" w:rsidP="00D9255A">
      <w:pPr>
        <w:pStyle w:val="Heading3"/>
      </w:pPr>
      <w:r>
        <w:t>Tax expenditures for social security and welfare</w:t>
      </w:r>
    </w:p>
    <w:p w14:paraId="314C041F" w14:textId="77777777" w:rsidR="006E40C9" w:rsidRDefault="006E40C9" w:rsidP="00D9255A">
      <w:pPr>
        <w:pStyle w:val="TESHeading5"/>
      </w:pPr>
      <w:r>
        <w:t>E3</w:t>
      </w:r>
      <w:r>
        <w:tab/>
        <w:t>Exemptions for special disability trusts</w:t>
      </w:r>
    </w:p>
    <w:p w14:paraId="4C46E563" w14:textId="77777777" w:rsidR="006E40C9" w:rsidRDefault="006E40C9" w:rsidP="006E40C9">
      <w:pPr>
        <w:pStyle w:val="MeasureTableHeading"/>
      </w:pPr>
      <w:r>
        <w:t>Social security and welfare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994D5E" w14:textId="77777777">
        <w:trPr>
          <w:cantSplit/>
          <w:jc w:val="center"/>
        </w:trPr>
        <w:tc>
          <w:tcPr>
            <w:tcW w:w="967" w:type="dxa"/>
            <w:tcBorders>
              <w:top w:val="single" w:sz="2" w:space="0" w:color="auto"/>
              <w:bottom w:val="single" w:sz="2" w:space="0" w:color="auto"/>
            </w:tcBorders>
          </w:tcPr>
          <w:p w14:paraId="56DAF5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913EC4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5CF60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564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24483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F2898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F92879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6952C7" w14:textId="77777777" w:rsidR="006E40C9" w:rsidRDefault="006E40C9">
            <w:pPr>
              <w:pStyle w:val="MeasureTableTextRightAligned"/>
            </w:pPr>
            <w:r>
              <w:t>2027-28</w:t>
            </w:r>
          </w:p>
        </w:tc>
      </w:tr>
      <w:tr w:rsidR="006E40C9" w14:paraId="4B340A80" w14:textId="77777777">
        <w:trPr>
          <w:cantSplit/>
          <w:jc w:val="center"/>
        </w:trPr>
        <w:tc>
          <w:tcPr>
            <w:tcW w:w="967" w:type="dxa"/>
            <w:tcBorders>
              <w:top w:val="single" w:sz="2" w:space="0" w:color="auto"/>
              <w:bottom w:val="single" w:sz="2" w:space="0" w:color="auto"/>
            </w:tcBorders>
          </w:tcPr>
          <w:p w14:paraId="663A0E6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46633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586BB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22899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95BDC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9E8C4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6786BD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4CDEE18" w14:textId="77777777" w:rsidR="006E40C9" w:rsidRDefault="006E40C9">
            <w:pPr>
              <w:pStyle w:val="MeasureTableTextRightAligned"/>
            </w:pPr>
            <w:r>
              <w:t>*</w:t>
            </w:r>
          </w:p>
        </w:tc>
      </w:tr>
      <w:tr w:rsidR="006E40C9" w14:paraId="1859AA03" w14:textId="77777777">
        <w:trPr>
          <w:cantSplit/>
          <w:jc w:val="center"/>
        </w:trPr>
        <w:tc>
          <w:tcPr>
            <w:tcW w:w="1934" w:type="dxa"/>
            <w:gridSpan w:val="2"/>
            <w:tcBorders>
              <w:top w:val="single" w:sz="2" w:space="0" w:color="auto"/>
              <w:bottom w:val="nil"/>
            </w:tcBorders>
          </w:tcPr>
          <w:p w14:paraId="2683AD0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49218A0" w14:textId="77777777" w:rsidR="006E40C9" w:rsidRDefault="006E40C9">
            <w:pPr>
              <w:pStyle w:val="MeasureTableTextLeftAligned"/>
            </w:pPr>
            <w:r>
              <w:t>Exemption</w:t>
            </w:r>
          </w:p>
        </w:tc>
        <w:tc>
          <w:tcPr>
            <w:tcW w:w="1500" w:type="dxa"/>
            <w:gridSpan w:val="2"/>
            <w:tcBorders>
              <w:top w:val="single" w:sz="2" w:space="0" w:color="auto"/>
              <w:bottom w:val="nil"/>
            </w:tcBorders>
          </w:tcPr>
          <w:p w14:paraId="13C76A40" w14:textId="498E6FB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443CE99" w14:textId="77777777" w:rsidR="006E40C9" w:rsidRDefault="006E40C9">
            <w:pPr>
              <w:pStyle w:val="MeasureTableTextLeftAligned"/>
            </w:pPr>
            <w:r>
              <w:t>E3</w:t>
            </w:r>
          </w:p>
        </w:tc>
      </w:tr>
      <w:tr w:rsidR="006E40C9" w14:paraId="2671EA46" w14:textId="77777777">
        <w:trPr>
          <w:cantSplit/>
          <w:jc w:val="center"/>
        </w:trPr>
        <w:tc>
          <w:tcPr>
            <w:tcW w:w="1934" w:type="dxa"/>
            <w:gridSpan w:val="2"/>
            <w:tcBorders>
              <w:top w:val="nil"/>
              <w:bottom w:val="nil"/>
            </w:tcBorders>
          </w:tcPr>
          <w:p w14:paraId="42DBF4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33604E" w14:textId="77777777" w:rsidR="006E40C9" w:rsidRPr="00584CA7" w:rsidRDefault="006E40C9">
            <w:pPr>
              <w:pStyle w:val="MeasureTableTextLeftAligned"/>
            </w:pPr>
            <w:r>
              <w:t>Not Applicable</w:t>
            </w:r>
          </w:p>
        </w:tc>
        <w:tc>
          <w:tcPr>
            <w:tcW w:w="1500" w:type="dxa"/>
            <w:gridSpan w:val="2"/>
            <w:tcBorders>
              <w:top w:val="nil"/>
              <w:bottom w:val="nil"/>
            </w:tcBorders>
          </w:tcPr>
          <w:p w14:paraId="4D0250C6" w14:textId="77777777" w:rsidR="006E40C9" w:rsidRDefault="006E40C9">
            <w:pPr>
              <w:pStyle w:val="MeasureTableTextItalic"/>
            </w:pPr>
            <w:r>
              <w:t>* Category</w:t>
            </w:r>
          </w:p>
        </w:tc>
        <w:tc>
          <w:tcPr>
            <w:tcW w:w="1124" w:type="dxa"/>
            <w:gridSpan w:val="2"/>
            <w:tcBorders>
              <w:top w:val="nil"/>
              <w:bottom w:val="nil"/>
            </w:tcBorders>
          </w:tcPr>
          <w:p w14:paraId="6CE19DDC" w14:textId="77777777" w:rsidR="006E40C9" w:rsidRDefault="006E40C9">
            <w:pPr>
              <w:pStyle w:val="MeasureTableTextLeftAligned"/>
            </w:pPr>
            <w:r>
              <w:t>2+</w:t>
            </w:r>
          </w:p>
        </w:tc>
      </w:tr>
      <w:tr w:rsidR="006E40C9" w14:paraId="39734BB0" w14:textId="77777777">
        <w:trPr>
          <w:cantSplit/>
          <w:jc w:val="center"/>
        </w:trPr>
        <w:tc>
          <w:tcPr>
            <w:tcW w:w="1934" w:type="dxa"/>
            <w:gridSpan w:val="2"/>
            <w:tcBorders>
              <w:top w:val="nil"/>
              <w:bottom w:val="nil"/>
            </w:tcBorders>
          </w:tcPr>
          <w:p w14:paraId="7B3541E3" w14:textId="77777777" w:rsidR="006E40C9" w:rsidRDefault="006E40C9">
            <w:pPr>
              <w:pStyle w:val="MeasureTableTextItalic"/>
            </w:pPr>
            <w:r>
              <w:t>Commencement date:</w:t>
            </w:r>
          </w:p>
        </w:tc>
        <w:tc>
          <w:tcPr>
            <w:tcW w:w="3179" w:type="dxa"/>
            <w:gridSpan w:val="4"/>
            <w:tcBorders>
              <w:top w:val="nil"/>
              <w:bottom w:val="nil"/>
            </w:tcBorders>
          </w:tcPr>
          <w:p w14:paraId="452DA617" w14:textId="77777777" w:rsidR="006E40C9" w:rsidRDefault="006E40C9">
            <w:pPr>
              <w:pStyle w:val="MeasureTableTextLeftAligned"/>
            </w:pPr>
            <w:r>
              <w:t>1 July 2006</w:t>
            </w:r>
          </w:p>
        </w:tc>
        <w:tc>
          <w:tcPr>
            <w:tcW w:w="1500" w:type="dxa"/>
            <w:gridSpan w:val="2"/>
            <w:tcBorders>
              <w:top w:val="nil"/>
              <w:bottom w:val="nil"/>
            </w:tcBorders>
          </w:tcPr>
          <w:p w14:paraId="03498751" w14:textId="77777777" w:rsidR="006E40C9" w:rsidRPr="00F32057" w:rsidRDefault="006E40C9">
            <w:pPr>
              <w:pStyle w:val="MeasureTableTextItalic"/>
            </w:pPr>
            <w:r>
              <w:t>Expiry date:</w:t>
            </w:r>
          </w:p>
        </w:tc>
        <w:tc>
          <w:tcPr>
            <w:tcW w:w="1124" w:type="dxa"/>
            <w:gridSpan w:val="2"/>
            <w:tcBorders>
              <w:top w:val="nil"/>
              <w:bottom w:val="nil"/>
            </w:tcBorders>
          </w:tcPr>
          <w:p w14:paraId="36D8E26D" w14:textId="77777777" w:rsidR="006E40C9" w:rsidRPr="00F32057" w:rsidRDefault="006E40C9">
            <w:pPr>
              <w:pStyle w:val="MeasureTableTextLeftAligned"/>
            </w:pPr>
          </w:p>
        </w:tc>
      </w:tr>
      <w:tr w:rsidR="006E40C9" w14:paraId="6F7F8D4D" w14:textId="77777777">
        <w:trPr>
          <w:cantSplit/>
          <w:jc w:val="center"/>
        </w:trPr>
        <w:tc>
          <w:tcPr>
            <w:tcW w:w="1934" w:type="dxa"/>
            <w:gridSpan w:val="2"/>
            <w:tcBorders>
              <w:top w:val="nil"/>
            </w:tcBorders>
          </w:tcPr>
          <w:p w14:paraId="172B727C" w14:textId="77777777" w:rsidR="006E40C9" w:rsidRDefault="006E40C9">
            <w:pPr>
              <w:pStyle w:val="MeasureTableTextItalic"/>
            </w:pPr>
            <w:r>
              <w:t>Legislative reference:</w:t>
            </w:r>
          </w:p>
        </w:tc>
        <w:tc>
          <w:tcPr>
            <w:tcW w:w="5803" w:type="dxa"/>
            <w:gridSpan w:val="8"/>
            <w:tcBorders>
              <w:top w:val="nil"/>
            </w:tcBorders>
          </w:tcPr>
          <w:p w14:paraId="78D3C6D3" w14:textId="77777777" w:rsidR="006E40C9" w:rsidRPr="00F32057" w:rsidRDefault="006E40C9">
            <w:pPr>
              <w:widowControl w:val="0"/>
              <w:autoSpaceDE w:val="0"/>
              <w:autoSpaceDN w:val="0"/>
              <w:adjustRightInd w:val="0"/>
              <w:spacing w:after="0" w:line="240" w:lineRule="auto"/>
            </w:pPr>
            <w:r>
              <w:rPr>
                <w:rFonts w:ascii="Arial" w:hAnsi="Arial" w:cs="Arial"/>
                <w:sz w:val="17"/>
                <w:szCs w:val="17"/>
              </w:rPr>
              <w:t xml:space="preserve">Sections 118-85 and 118-215 to 118-230 of the </w:t>
            </w:r>
            <w:r>
              <w:rPr>
                <w:rFonts w:ascii="Arial" w:hAnsi="Arial" w:cs="Arial"/>
                <w:i/>
                <w:iCs/>
                <w:color w:val="000000"/>
                <w:sz w:val="16"/>
                <w:szCs w:val="16"/>
              </w:rPr>
              <w:t>Income Tax Assessment Act 1997</w:t>
            </w:r>
          </w:p>
        </w:tc>
      </w:tr>
    </w:tbl>
    <w:p w14:paraId="0B5CBE88" w14:textId="77777777" w:rsidR="006E40C9" w:rsidRPr="00540040" w:rsidRDefault="006E40C9" w:rsidP="006E40C9">
      <w:pPr>
        <w:pStyle w:val="MeasureTableHeading"/>
      </w:pPr>
    </w:p>
    <w:p w14:paraId="00062F1E" w14:textId="31DE4355" w:rsidR="006E40C9" w:rsidRDefault="006E40C9" w:rsidP="006E40C9">
      <w:r>
        <w:t>Under the benchmark, realised capital gains are generally assessable to taxpayers at their applicable tax rate in the year they arise. A tax expenditure arises because assets donated to a special disability trust (SDT)</w:t>
      </w:r>
      <w:r>
        <w:fldChar w:fldCharType="begin"/>
      </w:r>
      <w:r>
        <w:instrText xml:space="preserve"> XE "Special Disability Trust" </w:instrText>
      </w:r>
      <w:r>
        <w:fldChar w:fldCharType="end"/>
      </w:r>
      <w:r>
        <w:t xml:space="preserve"> are exempt from CGT. A trustee of a SDT is also eligible for the CGT main residence exemption to the extent that the individual who is or has been the principal beneficiary of the trust uses the dwelling as a home. </w:t>
      </w:r>
    </w:p>
    <w:p w14:paraId="084A3EDC" w14:textId="77777777" w:rsidR="006E40C9" w:rsidRDefault="006E40C9" w:rsidP="00D9255A">
      <w:pPr>
        <w:pStyle w:val="Heading3"/>
      </w:pPr>
      <w:r>
        <w:t>Tax concessions for certain taxpayers</w:t>
      </w:r>
    </w:p>
    <w:p w14:paraId="235A30CD" w14:textId="77777777" w:rsidR="006E40C9" w:rsidRDefault="006E40C9" w:rsidP="00D9255A">
      <w:pPr>
        <w:pStyle w:val="TESHeading5"/>
      </w:pPr>
      <w:r>
        <w:t>E4</w:t>
      </w:r>
      <w:r>
        <w:tab/>
        <w:t>Exemption for granny flat arrangements</w:t>
      </w:r>
    </w:p>
    <w:p w14:paraId="560EF66A"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F9DAFD2" w14:textId="77777777">
        <w:trPr>
          <w:cantSplit/>
          <w:jc w:val="center"/>
        </w:trPr>
        <w:tc>
          <w:tcPr>
            <w:tcW w:w="967" w:type="dxa"/>
            <w:tcBorders>
              <w:top w:val="single" w:sz="2" w:space="0" w:color="auto"/>
              <w:bottom w:val="single" w:sz="2" w:space="0" w:color="auto"/>
            </w:tcBorders>
          </w:tcPr>
          <w:p w14:paraId="1710354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3D78B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F12708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172C02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A41A5D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38388D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824626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6DF4D19" w14:textId="77777777" w:rsidR="006E40C9" w:rsidRDefault="006E40C9">
            <w:pPr>
              <w:pStyle w:val="MeasureTableTextRightAligned"/>
            </w:pPr>
            <w:r>
              <w:t>2027-28</w:t>
            </w:r>
          </w:p>
        </w:tc>
      </w:tr>
      <w:tr w:rsidR="006E40C9" w14:paraId="55B6B6CD" w14:textId="77777777">
        <w:trPr>
          <w:cantSplit/>
          <w:jc w:val="center"/>
        </w:trPr>
        <w:tc>
          <w:tcPr>
            <w:tcW w:w="967" w:type="dxa"/>
            <w:tcBorders>
              <w:top w:val="single" w:sz="2" w:space="0" w:color="auto"/>
              <w:bottom w:val="single" w:sz="2" w:space="0" w:color="auto"/>
            </w:tcBorders>
          </w:tcPr>
          <w:p w14:paraId="7F6EC8CD" w14:textId="77777777" w:rsidR="006E40C9" w:rsidRDefault="006E40C9">
            <w:pPr>
              <w:pStyle w:val="MeasureTableTextRightAligned"/>
            </w:pPr>
            <w:r>
              <w:t>-</w:t>
            </w:r>
          </w:p>
        </w:tc>
        <w:tc>
          <w:tcPr>
            <w:tcW w:w="967" w:type="dxa"/>
            <w:tcBorders>
              <w:top w:val="single" w:sz="2" w:space="0" w:color="auto"/>
              <w:bottom w:val="single" w:sz="2" w:space="0" w:color="auto"/>
            </w:tcBorders>
          </w:tcPr>
          <w:p w14:paraId="581A658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7B6761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DDE10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2FA42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DB985F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1565DF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95F3D11" w14:textId="77777777" w:rsidR="006E40C9" w:rsidRDefault="006E40C9">
            <w:pPr>
              <w:pStyle w:val="MeasureTableTextRightAligned"/>
            </w:pPr>
            <w:r>
              <w:t>*</w:t>
            </w:r>
          </w:p>
        </w:tc>
      </w:tr>
      <w:tr w:rsidR="006E40C9" w14:paraId="3A7EA1A3" w14:textId="77777777">
        <w:trPr>
          <w:cantSplit/>
          <w:jc w:val="center"/>
        </w:trPr>
        <w:tc>
          <w:tcPr>
            <w:tcW w:w="1934" w:type="dxa"/>
            <w:gridSpan w:val="2"/>
            <w:tcBorders>
              <w:top w:val="single" w:sz="2" w:space="0" w:color="auto"/>
              <w:bottom w:val="nil"/>
            </w:tcBorders>
          </w:tcPr>
          <w:p w14:paraId="5D8FB99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DD02EB2" w14:textId="77777777" w:rsidR="006E40C9" w:rsidRDefault="006E40C9">
            <w:pPr>
              <w:pStyle w:val="MeasureTableTextLeftAligned"/>
            </w:pPr>
            <w:r>
              <w:t>Exemption</w:t>
            </w:r>
          </w:p>
        </w:tc>
        <w:tc>
          <w:tcPr>
            <w:tcW w:w="1500" w:type="dxa"/>
            <w:gridSpan w:val="2"/>
            <w:tcBorders>
              <w:top w:val="single" w:sz="2" w:space="0" w:color="auto"/>
              <w:bottom w:val="nil"/>
            </w:tcBorders>
          </w:tcPr>
          <w:p w14:paraId="669C5620" w14:textId="2A3D6F1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6A10662" w14:textId="77777777" w:rsidR="006E40C9" w:rsidRDefault="006E40C9">
            <w:pPr>
              <w:pStyle w:val="MeasureTableTextLeftAligned"/>
            </w:pPr>
            <w:r>
              <w:t>E4</w:t>
            </w:r>
          </w:p>
        </w:tc>
      </w:tr>
      <w:tr w:rsidR="006E40C9" w14:paraId="26F2B6D8" w14:textId="77777777">
        <w:trPr>
          <w:cantSplit/>
          <w:jc w:val="center"/>
        </w:trPr>
        <w:tc>
          <w:tcPr>
            <w:tcW w:w="1934" w:type="dxa"/>
            <w:gridSpan w:val="2"/>
            <w:tcBorders>
              <w:top w:val="nil"/>
              <w:bottom w:val="nil"/>
            </w:tcBorders>
          </w:tcPr>
          <w:p w14:paraId="270BC1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905A36B" w14:textId="77777777" w:rsidR="006E40C9" w:rsidRPr="00584CA7" w:rsidRDefault="006E40C9">
            <w:pPr>
              <w:pStyle w:val="MeasureTableTextLeftAligned"/>
            </w:pPr>
            <w:r>
              <w:t>Not Applicable</w:t>
            </w:r>
          </w:p>
        </w:tc>
        <w:tc>
          <w:tcPr>
            <w:tcW w:w="1500" w:type="dxa"/>
            <w:gridSpan w:val="2"/>
            <w:tcBorders>
              <w:top w:val="nil"/>
              <w:bottom w:val="nil"/>
            </w:tcBorders>
          </w:tcPr>
          <w:p w14:paraId="385AEDCE" w14:textId="77777777" w:rsidR="006E40C9" w:rsidRDefault="006E40C9">
            <w:pPr>
              <w:pStyle w:val="MeasureTableTextItalic"/>
            </w:pPr>
            <w:r>
              <w:t>* Category</w:t>
            </w:r>
          </w:p>
        </w:tc>
        <w:tc>
          <w:tcPr>
            <w:tcW w:w="1124" w:type="dxa"/>
            <w:gridSpan w:val="2"/>
            <w:tcBorders>
              <w:top w:val="nil"/>
              <w:bottom w:val="nil"/>
            </w:tcBorders>
          </w:tcPr>
          <w:p w14:paraId="1361B894" w14:textId="77777777" w:rsidR="006E40C9" w:rsidRDefault="006E40C9">
            <w:pPr>
              <w:pStyle w:val="MeasureTableTextLeftAligned"/>
            </w:pPr>
            <w:r>
              <w:t>2+</w:t>
            </w:r>
          </w:p>
        </w:tc>
      </w:tr>
      <w:tr w:rsidR="006E40C9" w14:paraId="45769E66" w14:textId="77777777">
        <w:trPr>
          <w:cantSplit/>
          <w:jc w:val="center"/>
        </w:trPr>
        <w:tc>
          <w:tcPr>
            <w:tcW w:w="1934" w:type="dxa"/>
            <w:gridSpan w:val="2"/>
            <w:tcBorders>
              <w:top w:val="nil"/>
              <w:bottom w:val="nil"/>
            </w:tcBorders>
          </w:tcPr>
          <w:p w14:paraId="485D5555" w14:textId="77777777" w:rsidR="006E40C9" w:rsidRDefault="006E40C9">
            <w:pPr>
              <w:pStyle w:val="MeasureTableTextItalic"/>
            </w:pPr>
            <w:r>
              <w:t>Commencement date:</w:t>
            </w:r>
          </w:p>
        </w:tc>
        <w:tc>
          <w:tcPr>
            <w:tcW w:w="3179" w:type="dxa"/>
            <w:gridSpan w:val="4"/>
            <w:tcBorders>
              <w:top w:val="nil"/>
              <w:bottom w:val="nil"/>
            </w:tcBorders>
          </w:tcPr>
          <w:p w14:paraId="3F9F880D" w14:textId="77777777" w:rsidR="006E40C9" w:rsidRDefault="006E40C9">
            <w:pPr>
              <w:pStyle w:val="MeasureTableTextLeftAligned"/>
            </w:pPr>
            <w:r>
              <w:t>1 July 2021</w:t>
            </w:r>
          </w:p>
        </w:tc>
        <w:tc>
          <w:tcPr>
            <w:tcW w:w="1500" w:type="dxa"/>
            <w:gridSpan w:val="2"/>
            <w:tcBorders>
              <w:top w:val="nil"/>
              <w:bottom w:val="nil"/>
            </w:tcBorders>
          </w:tcPr>
          <w:p w14:paraId="66334352" w14:textId="77777777" w:rsidR="006E40C9" w:rsidRPr="00F32057" w:rsidRDefault="006E40C9">
            <w:pPr>
              <w:pStyle w:val="MeasureTableTextItalic"/>
            </w:pPr>
            <w:r>
              <w:t>Expiry date:</w:t>
            </w:r>
          </w:p>
        </w:tc>
        <w:tc>
          <w:tcPr>
            <w:tcW w:w="1124" w:type="dxa"/>
            <w:gridSpan w:val="2"/>
            <w:tcBorders>
              <w:top w:val="nil"/>
              <w:bottom w:val="nil"/>
            </w:tcBorders>
          </w:tcPr>
          <w:p w14:paraId="57AA9082" w14:textId="77777777" w:rsidR="006E40C9" w:rsidRPr="00F32057" w:rsidRDefault="006E40C9">
            <w:pPr>
              <w:pStyle w:val="MeasureTableTextLeftAligned"/>
            </w:pPr>
          </w:p>
        </w:tc>
      </w:tr>
      <w:tr w:rsidR="006E40C9" w14:paraId="15EEDAE4" w14:textId="77777777">
        <w:trPr>
          <w:cantSplit/>
          <w:jc w:val="center"/>
        </w:trPr>
        <w:tc>
          <w:tcPr>
            <w:tcW w:w="1934" w:type="dxa"/>
            <w:gridSpan w:val="2"/>
            <w:tcBorders>
              <w:top w:val="nil"/>
            </w:tcBorders>
          </w:tcPr>
          <w:p w14:paraId="72A77A5B" w14:textId="77777777" w:rsidR="006E40C9" w:rsidRDefault="006E40C9">
            <w:pPr>
              <w:pStyle w:val="MeasureTableTextItalic"/>
            </w:pPr>
            <w:r>
              <w:t>Legislative reference:</w:t>
            </w:r>
          </w:p>
        </w:tc>
        <w:tc>
          <w:tcPr>
            <w:tcW w:w="5803" w:type="dxa"/>
            <w:gridSpan w:val="8"/>
            <w:tcBorders>
              <w:top w:val="nil"/>
            </w:tcBorders>
          </w:tcPr>
          <w:p w14:paraId="1E0DE3F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137 of the </w:t>
            </w:r>
            <w:r>
              <w:rPr>
                <w:rFonts w:ascii="Arial" w:hAnsi="Arial" w:cs="Arial"/>
                <w:i/>
                <w:iCs/>
                <w:color w:val="000000"/>
                <w:sz w:val="16"/>
                <w:szCs w:val="16"/>
              </w:rPr>
              <w:t>Income Tax Assessment Act 1997</w:t>
            </w:r>
          </w:p>
        </w:tc>
      </w:tr>
    </w:tbl>
    <w:p w14:paraId="075008BD" w14:textId="77777777" w:rsidR="006E40C9" w:rsidRPr="00540040" w:rsidRDefault="006E40C9" w:rsidP="006E40C9">
      <w:pPr>
        <w:pStyle w:val="MeasureTableHeading"/>
      </w:pPr>
    </w:p>
    <w:p w14:paraId="246BFF12" w14:textId="36C9DD3C" w:rsidR="006E40C9" w:rsidRDefault="006E40C9" w:rsidP="006E40C9">
      <w:r w:rsidRPr="00295CF6">
        <w:t xml:space="preserve">Under the benchmark, realised capital gains are generally assessable to taxpayers at their applicable tax rate in the year they arise. However, from 1 July 2021, capital gains or losses on the creation, variation and disposal of formal granny flat arrangements will be exempt from CGT. The exemption applies to granny flat arrangements entered into with Australians who have reached </w:t>
      </w:r>
      <w:r w:rsidR="00AA6DB0">
        <w:t xml:space="preserve">the </w:t>
      </w:r>
      <w:r w:rsidRPr="00295CF6">
        <w:t>age pension age or those with a disability.</w:t>
      </w:r>
    </w:p>
    <w:p w14:paraId="5E252928" w14:textId="77777777" w:rsidR="006E40C9" w:rsidRDefault="006E40C9" w:rsidP="00D9255A">
      <w:pPr>
        <w:pStyle w:val="Heading3"/>
      </w:pPr>
      <w:r>
        <w:t>Tax expenditures for housing and community amenities</w:t>
      </w:r>
    </w:p>
    <w:p w14:paraId="52A8D8A5" w14:textId="77777777" w:rsidR="006E40C9" w:rsidRDefault="006E40C9" w:rsidP="00D9255A">
      <w:pPr>
        <w:pStyle w:val="TESHeading5"/>
      </w:pPr>
      <w:r>
        <w:t>E5</w:t>
      </w:r>
      <w:r>
        <w:tab/>
        <w:t>Additional 10 per cent Capital Gains Tax discount for affordable housing</w:t>
      </w:r>
    </w:p>
    <w:p w14:paraId="328C081C"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990A20" w14:textId="77777777">
        <w:trPr>
          <w:cantSplit/>
          <w:jc w:val="center"/>
        </w:trPr>
        <w:tc>
          <w:tcPr>
            <w:tcW w:w="967" w:type="dxa"/>
            <w:tcBorders>
              <w:top w:val="single" w:sz="2" w:space="0" w:color="auto"/>
              <w:bottom w:val="single" w:sz="2" w:space="0" w:color="auto"/>
            </w:tcBorders>
          </w:tcPr>
          <w:p w14:paraId="411FEFA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13A304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05A5C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9E2BE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006FA3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6BB235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44841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312782C" w14:textId="77777777" w:rsidR="006E40C9" w:rsidRDefault="006E40C9">
            <w:pPr>
              <w:pStyle w:val="MeasureTableTextRightAligned"/>
            </w:pPr>
            <w:r>
              <w:t>2027-28</w:t>
            </w:r>
          </w:p>
        </w:tc>
      </w:tr>
      <w:tr w:rsidR="006E40C9" w14:paraId="020989A2" w14:textId="77777777">
        <w:trPr>
          <w:cantSplit/>
          <w:jc w:val="center"/>
        </w:trPr>
        <w:tc>
          <w:tcPr>
            <w:tcW w:w="967" w:type="dxa"/>
            <w:tcBorders>
              <w:top w:val="single" w:sz="2" w:space="0" w:color="auto"/>
              <w:bottom w:val="single" w:sz="2" w:space="0" w:color="auto"/>
            </w:tcBorders>
          </w:tcPr>
          <w:p w14:paraId="282634CF" w14:textId="77777777" w:rsidR="006E40C9" w:rsidRDefault="006E40C9">
            <w:pPr>
              <w:pStyle w:val="MeasureTableTextRightAligned"/>
            </w:pPr>
            <w:r>
              <w:t>-</w:t>
            </w:r>
          </w:p>
        </w:tc>
        <w:tc>
          <w:tcPr>
            <w:tcW w:w="967" w:type="dxa"/>
            <w:tcBorders>
              <w:top w:val="single" w:sz="2" w:space="0" w:color="auto"/>
              <w:bottom w:val="single" w:sz="2" w:space="0" w:color="auto"/>
            </w:tcBorders>
          </w:tcPr>
          <w:p w14:paraId="5CC4B21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F185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9C966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440CF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3B279F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FC989E"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577DA97" w14:textId="77777777" w:rsidR="006E40C9" w:rsidRDefault="006E40C9">
            <w:pPr>
              <w:pStyle w:val="MeasureTableTextRightAligned"/>
            </w:pPr>
            <w:r>
              <w:t>*</w:t>
            </w:r>
          </w:p>
        </w:tc>
      </w:tr>
      <w:tr w:rsidR="006E40C9" w14:paraId="519E3A03" w14:textId="77777777">
        <w:trPr>
          <w:cantSplit/>
          <w:jc w:val="center"/>
        </w:trPr>
        <w:tc>
          <w:tcPr>
            <w:tcW w:w="1934" w:type="dxa"/>
            <w:gridSpan w:val="2"/>
            <w:tcBorders>
              <w:top w:val="single" w:sz="2" w:space="0" w:color="auto"/>
              <w:bottom w:val="nil"/>
            </w:tcBorders>
          </w:tcPr>
          <w:p w14:paraId="42F1B6D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E00F9CE"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67C2330" w14:textId="50CAEA0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35EA9A0" w14:textId="77777777" w:rsidR="006E40C9" w:rsidRDefault="006E40C9">
            <w:pPr>
              <w:pStyle w:val="MeasureTableTextLeftAligned"/>
            </w:pPr>
            <w:r>
              <w:t>E5</w:t>
            </w:r>
          </w:p>
        </w:tc>
      </w:tr>
      <w:tr w:rsidR="006E40C9" w14:paraId="0325BE5E" w14:textId="77777777">
        <w:trPr>
          <w:cantSplit/>
          <w:jc w:val="center"/>
        </w:trPr>
        <w:tc>
          <w:tcPr>
            <w:tcW w:w="1934" w:type="dxa"/>
            <w:gridSpan w:val="2"/>
            <w:tcBorders>
              <w:top w:val="nil"/>
              <w:bottom w:val="nil"/>
            </w:tcBorders>
          </w:tcPr>
          <w:p w14:paraId="3E246B9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406C48" w14:textId="77777777" w:rsidR="006E40C9" w:rsidRPr="00584CA7" w:rsidRDefault="006E40C9">
            <w:pPr>
              <w:pStyle w:val="MeasureTableTextLeftAligned"/>
            </w:pPr>
            <w:r>
              <w:t>Not Applicable</w:t>
            </w:r>
          </w:p>
        </w:tc>
        <w:tc>
          <w:tcPr>
            <w:tcW w:w="1500" w:type="dxa"/>
            <w:gridSpan w:val="2"/>
            <w:tcBorders>
              <w:top w:val="nil"/>
              <w:bottom w:val="nil"/>
            </w:tcBorders>
          </w:tcPr>
          <w:p w14:paraId="4086B343" w14:textId="77777777" w:rsidR="006E40C9" w:rsidRDefault="006E40C9">
            <w:pPr>
              <w:pStyle w:val="MeasureTableTextItalic"/>
            </w:pPr>
            <w:r>
              <w:t>* Category</w:t>
            </w:r>
          </w:p>
        </w:tc>
        <w:tc>
          <w:tcPr>
            <w:tcW w:w="1124" w:type="dxa"/>
            <w:gridSpan w:val="2"/>
            <w:tcBorders>
              <w:top w:val="nil"/>
              <w:bottom w:val="nil"/>
            </w:tcBorders>
          </w:tcPr>
          <w:p w14:paraId="0A97F885" w14:textId="77777777" w:rsidR="006E40C9" w:rsidRDefault="006E40C9">
            <w:pPr>
              <w:pStyle w:val="MeasureTableTextLeftAligned"/>
            </w:pPr>
            <w:r>
              <w:t>1+</w:t>
            </w:r>
          </w:p>
        </w:tc>
      </w:tr>
      <w:tr w:rsidR="006E40C9" w14:paraId="4D82F7AA" w14:textId="77777777">
        <w:trPr>
          <w:cantSplit/>
          <w:jc w:val="center"/>
        </w:trPr>
        <w:tc>
          <w:tcPr>
            <w:tcW w:w="1934" w:type="dxa"/>
            <w:gridSpan w:val="2"/>
            <w:tcBorders>
              <w:top w:val="nil"/>
              <w:bottom w:val="nil"/>
            </w:tcBorders>
          </w:tcPr>
          <w:p w14:paraId="5A04CA87" w14:textId="77777777" w:rsidR="006E40C9" w:rsidRDefault="006E40C9">
            <w:pPr>
              <w:pStyle w:val="MeasureTableTextItalic"/>
            </w:pPr>
            <w:r>
              <w:t>Commencement date:</w:t>
            </w:r>
          </w:p>
        </w:tc>
        <w:tc>
          <w:tcPr>
            <w:tcW w:w="3179" w:type="dxa"/>
            <w:gridSpan w:val="4"/>
            <w:tcBorders>
              <w:top w:val="nil"/>
              <w:bottom w:val="nil"/>
            </w:tcBorders>
          </w:tcPr>
          <w:p w14:paraId="04DA8799" w14:textId="77777777" w:rsidR="006E40C9" w:rsidRDefault="006E40C9">
            <w:pPr>
              <w:pStyle w:val="MeasureTableTextLeftAligned"/>
            </w:pPr>
            <w:r>
              <w:t>1 January 2018</w:t>
            </w:r>
          </w:p>
        </w:tc>
        <w:tc>
          <w:tcPr>
            <w:tcW w:w="1500" w:type="dxa"/>
            <w:gridSpan w:val="2"/>
            <w:tcBorders>
              <w:top w:val="nil"/>
              <w:bottom w:val="nil"/>
            </w:tcBorders>
          </w:tcPr>
          <w:p w14:paraId="4E90A7F0" w14:textId="77777777" w:rsidR="006E40C9" w:rsidRPr="00F32057" w:rsidRDefault="006E40C9">
            <w:pPr>
              <w:pStyle w:val="MeasureTableTextItalic"/>
            </w:pPr>
            <w:r>
              <w:t>Expiry date:</w:t>
            </w:r>
          </w:p>
        </w:tc>
        <w:tc>
          <w:tcPr>
            <w:tcW w:w="1124" w:type="dxa"/>
            <w:gridSpan w:val="2"/>
            <w:tcBorders>
              <w:top w:val="nil"/>
              <w:bottom w:val="nil"/>
            </w:tcBorders>
          </w:tcPr>
          <w:p w14:paraId="1E87743D" w14:textId="77777777" w:rsidR="006E40C9" w:rsidRPr="00F32057" w:rsidRDefault="006E40C9">
            <w:pPr>
              <w:pStyle w:val="MeasureTableTextLeftAligned"/>
            </w:pPr>
          </w:p>
        </w:tc>
      </w:tr>
      <w:tr w:rsidR="006E40C9" w14:paraId="0ADFE30A" w14:textId="77777777">
        <w:trPr>
          <w:cantSplit/>
          <w:jc w:val="center"/>
        </w:trPr>
        <w:tc>
          <w:tcPr>
            <w:tcW w:w="1934" w:type="dxa"/>
            <w:gridSpan w:val="2"/>
            <w:tcBorders>
              <w:top w:val="nil"/>
            </w:tcBorders>
          </w:tcPr>
          <w:p w14:paraId="346414BE" w14:textId="77777777" w:rsidR="006E40C9" w:rsidRDefault="006E40C9">
            <w:pPr>
              <w:pStyle w:val="MeasureTableTextItalic"/>
            </w:pPr>
            <w:r>
              <w:t>Legislative reference:</w:t>
            </w:r>
          </w:p>
        </w:tc>
        <w:tc>
          <w:tcPr>
            <w:tcW w:w="5803" w:type="dxa"/>
            <w:gridSpan w:val="8"/>
            <w:tcBorders>
              <w:top w:val="nil"/>
            </w:tcBorders>
          </w:tcPr>
          <w:p w14:paraId="7E7C8AA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115-125 of the </w:t>
            </w:r>
            <w:r>
              <w:rPr>
                <w:rFonts w:ascii="Arial" w:hAnsi="Arial" w:cs="Arial"/>
                <w:i/>
                <w:iCs/>
                <w:color w:val="000000"/>
                <w:sz w:val="16"/>
                <w:szCs w:val="16"/>
              </w:rPr>
              <w:t>Income Tax Assessment Act 1997</w:t>
            </w:r>
          </w:p>
        </w:tc>
      </w:tr>
    </w:tbl>
    <w:p w14:paraId="4A15BD4A" w14:textId="77777777" w:rsidR="006E40C9" w:rsidRPr="00540040" w:rsidRDefault="006E40C9" w:rsidP="006E40C9">
      <w:pPr>
        <w:pStyle w:val="MeasureTableHeading"/>
      </w:pPr>
    </w:p>
    <w:p w14:paraId="3F0BA4BD" w14:textId="77777777" w:rsidR="006E40C9" w:rsidRPr="0099313D" w:rsidRDefault="006E40C9" w:rsidP="006E40C9">
      <w:r w:rsidRPr="0099313D">
        <w:t xml:space="preserve">Under the benchmark, realised capital gains are generally assessable to taxpayers at their applicable tax rate in the year they arise. From 1 January 2018, resident individuals who dispose of an investment in qualifying affordable housing will receive an additional CGT discount of up to ten percentage points, increasing the discount from 50 per cent to 60 per cent. </w:t>
      </w:r>
    </w:p>
    <w:p w14:paraId="3CBBACDE" w14:textId="77777777" w:rsidR="006E40C9" w:rsidRPr="0099313D" w:rsidRDefault="006E40C9" w:rsidP="006E40C9">
      <w:r w:rsidRPr="0099313D">
        <w:t xml:space="preserve">The tax </w:t>
      </w:r>
      <w:r>
        <w:t>expenditure</w:t>
      </w:r>
      <w:r w:rsidRPr="0099313D">
        <w:t xml:space="preserve"> occurs beyond 2020</w:t>
      </w:r>
      <w:r w:rsidRPr="0099313D">
        <w:noBreakHyphen/>
        <w:t>21 due to the qualifying condition that a property is rented as affordable housing for at least 3 years after the commencement date.</w:t>
      </w:r>
    </w:p>
    <w:p w14:paraId="06E3A20F" w14:textId="793919F7" w:rsidR="006E40C9" w:rsidRDefault="006E40C9" w:rsidP="006E40C9">
      <w:r w:rsidRPr="0099313D">
        <w:t xml:space="preserve">See tax </w:t>
      </w:r>
      <w:r>
        <w:t>expenditure</w:t>
      </w:r>
      <w:r w:rsidRPr="0099313D">
        <w:t xml:space="preserve"> E15 for detail on the 50 per cent discount applying to assets held by individuals or trusts where the asset has been owned for at least 12 months. </w:t>
      </w:r>
    </w:p>
    <w:p w14:paraId="65CCD205" w14:textId="77777777" w:rsidR="006E40C9" w:rsidRDefault="006E40C9" w:rsidP="00D9255A">
      <w:pPr>
        <w:pStyle w:val="TESHeading5"/>
      </w:pPr>
      <w:r>
        <w:t>E6</w:t>
      </w:r>
      <w:r>
        <w:tab/>
        <w:t>Concessions for conservation covenants</w:t>
      </w:r>
    </w:p>
    <w:p w14:paraId="7DA1E8F9"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093A075" w14:textId="77777777">
        <w:trPr>
          <w:cantSplit/>
          <w:jc w:val="center"/>
        </w:trPr>
        <w:tc>
          <w:tcPr>
            <w:tcW w:w="967" w:type="dxa"/>
            <w:tcBorders>
              <w:top w:val="single" w:sz="2" w:space="0" w:color="auto"/>
              <w:bottom w:val="single" w:sz="2" w:space="0" w:color="auto"/>
            </w:tcBorders>
          </w:tcPr>
          <w:p w14:paraId="47738C8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6E2B21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D70C2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1F9E7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B43F61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944E5F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337EA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3312CE2" w14:textId="77777777" w:rsidR="006E40C9" w:rsidRDefault="006E40C9">
            <w:pPr>
              <w:pStyle w:val="MeasureTableTextRightAligned"/>
            </w:pPr>
            <w:r>
              <w:t>2027-28</w:t>
            </w:r>
          </w:p>
        </w:tc>
      </w:tr>
      <w:tr w:rsidR="006E40C9" w14:paraId="26F39DBF" w14:textId="77777777">
        <w:trPr>
          <w:cantSplit/>
          <w:jc w:val="center"/>
        </w:trPr>
        <w:tc>
          <w:tcPr>
            <w:tcW w:w="967" w:type="dxa"/>
            <w:tcBorders>
              <w:top w:val="single" w:sz="2" w:space="0" w:color="auto"/>
              <w:bottom w:val="single" w:sz="2" w:space="0" w:color="auto"/>
            </w:tcBorders>
          </w:tcPr>
          <w:p w14:paraId="4A7F97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BF1368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FC592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995718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30937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39542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29AF2B"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31E38E" w14:textId="77777777" w:rsidR="006E40C9" w:rsidRDefault="006E40C9">
            <w:pPr>
              <w:pStyle w:val="MeasureTableTextRightAligned"/>
            </w:pPr>
            <w:r>
              <w:t>*</w:t>
            </w:r>
          </w:p>
        </w:tc>
      </w:tr>
      <w:tr w:rsidR="006E40C9" w14:paraId="2C42AC46" w14:textId="77777777">
        <w:trPr>
          <w:cantSplit/>
          <w:jc w:val="center"/>
        </w:trPr>
        <w:tc>
          <w:tcPr>
            <w:tcW w:w="1934" w:type="dxa"/>
            <w:gridSpan w:val="2"/>
            <w:tcBorders>
              <w:top w:val="single" w:sz="2" w:space="0" w:color="auto"/>
              <w:bottom w:val="nil"/>
            </w:tcBorders>
          </w:tcPr>
          <w:p w14:paraId="6AF7761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27A11B2"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10059C21" w14:textId="43BE7D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4355E3" w14:textId="77777777" w:rsidR="006E40C9" w:rsidRDefault="006E40C9">
            <w:pPr>
              <w:pStyle w:val="MeasureTableTextLeftAligned"/>
            </w:pPr>
            <w:r>
              <w:t>E6</w:t>
            </w:r>
          </w:p>
        </w:tc>
      </w:tr>
      <w:tr w:rsidR="006E40C9" w14:paraId="5B31F5FA" w14:textId="77777777">
        <w:trPr>
          <w:cantSplit/>
          <w:jc w:val="center"/>
        </w:trPr>
        <w:tc>
          <w:tcPr>
            <w:tcW w:w="1934" w:type="dxa"/>
            <w:gridSpan w:val="2"/>
            <w:tcBorders>
              <w:top w:val="nil"/>
              <w:bottom w:val="nil"/>
            </w:tcBorders>
          </w:tcPr>
          <w:p w14:paraId="14D7C5D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4CE46E3" w14:textId="77777777" w:rsidR="006E40C9" w:rsidRPr="00584CA7" w:rsidRDefault="006E40C9">
            <w:pPr>
              <w:pStyle w:val="MeasureTableTextLeftAligned"/>
            </w:pPr>
            <w:r>
              <w:t>Not Applicable</w:t>
            </w:r>
          </w:p>
        </w:tc>
        <w:tc>
          <w:tcPr>
            <w:tcW w:w="1500" w:type="dxa"/>
            <w:gridSpan w:val="2"/>
            <w:tcBorders>
              <w:top w:val="nil"/>
              <w:bottom w:val="nil"/>
            </w:tcBorders>
          </w:tcPr>
          <w:p w14:paraId="6882549E" w14:textId="77777777" w:rsidR="006E40C9" w:rsidRDefault="006E40C9">
            <w:pPr>
              <w:pStyle w:val="MeasureTableTextItalic"/>
            </w:pPr>
            <w:r>
              <w:t>* Category</w:t>
            </w:r>
          </w:p>
        </w:tc>
        <w:tc>
          <w:tcPr>
            <w:tcW w:w="1124" w:type="dxa"/>
            <w:gridSpan w:val="2"/>
            <w:tcBorders>
              <w:top w:val="nil"/>
              <w:bottom w:val="nil"/>
            </w:tcBorders>
          </w:tcPr>
          <w:p w14:paraId="6AF52FA6" w14:textId="77777777" w:rsidR="006E40C9" w:rsidRDefault="006E40C9">
            <w:pPr>
              <w:pStyle w:val="MeasureTableTextLeftAligned"/>
            </w:pPr>
            <w:r>
              <w:t>1+</w:t>
            </w:r>
          </w:p>
        </w:tc>
      </w:tr>
      <w:tr w:rsidR="006E40C9" w14:paraId="52F87C45" w14:textId="77777777">
        <w:trPr>
          <w:cantSplit/>
          <w:jc w:val="center"/>
        </w:trPr>
        <w:tc>
          <w:tcPr>
            <w:tcW w:w="1934" w:type="dxa"/>
            <w:gridSpan w:val="2"/>
            <w:tcBorders>
              <w:top w:val="nil"/>
              <w:bottom w:val="nil"/>
            </w:tcBorders>
          </w:tcPr>
          <w:p w14:paraId="26B66FA2" w14:textId="77777777" w:rsidR="006E40C9" w:rsidRDefault="006E40C9">
            <w:pPr>
              <w:pStyle w:val="MeasureTableTextItalic"/>
            </w:pPr>
            <w:r>
              <w:t>Commencement date:</w:t>
            </w:r>
          </w:p>
        </w:tc>
        <w:tc>
          <w:tcPr>
            <w:tcW w:w="3179" w:type="dxa"/>
            <w:gridSpan w:val="4"/>
            <w:tcBorders>
              <w:top w:val="nil"/>
              <w:bottom w:val="nil"/>
            </w:tcBorders>
          </w:tcPr>
          <w:p w14:paraId="3FE55E56" w14:textId="77777777" w:rsidR="006E40C9" w:rsidRDefault="006E40C9">
            <w:pPr>
              <w:pStyle w:val="MeasureTableTextLeftAligned"/>
            </w:pPr>
            <w:r>
              <w:t>15 June 2000</w:t>
            </w:r>
          </w:p>
        </w:tc>
        <w:tc>
          <w:tcPr>
            <w:tcW w:w="1500" w:type="dxa"/>
            <w:gridSpan w:val="2"/>
            <w:tcBorders>
              <w:top w:val="nil"/>
              <w:bottom w:val="nil"/>
            </w:tcBorders>
          </w:tcPr>
          <w:p w14:paraId="5D60E3D4" w14:textId="77777777" w:rsidR="006E40C9" w:rsidRPr="00F32057" w:rsidRDefault="006E40C9">
            <w:pPr>
              <w:pStyle w:val="MeasureTableTextItalic"/>
            </w:pPr>
            <w:r>
              <w:t>Expiry date:</w:t>
            </w:r>
          </w:p>
        </w:tc>
        <w:tc>
          <w:tcPr>
            <w:tcW w:w="1124" w:type="dxa"/>
            <w:gridSpan w:val="2"/>
            <w:tcBorders>
              <w:top w:val="nil"/>
              <w:bottom w:val="nil"/>
            </w:tcBorders>
          </w:tcPr>
          <w:p w14:paraId="69112D01" w14:textId="77777777" w:rsidR="006E40C9" w:rsidRPr="00F32057" w:rsidRDefault="006E40C9">
            <w:pPr>
              <w:pStyle w:val="MeasureTableTextLeftAligned"/>
            </w:pPr>
          </w:p>
        </w:tc>
      </w:tr>
      <w:tr w:rsidR="006E40C9" w14:paraId="78163882" w14:textId="77777777">
        <w:trPr>
          <w:cantSplit/>
          <w:jc w:val="center"/>
        </w:trPr>
        <w:tc>
          <w:tcPr>
            <w:tcW w:w="1934" w:type="dxa"/>
            <w:gridSpan w:val="2"/>
            <w:tcBorders>
              <w:top w:val="nil"/>
            </w:tcBorders>
          </w:tcPr>
          <w:p w14:paraId="21C4350A" w14:textId="77777777" w:rsidR="006E40C9" w:rsidRDefault="006E40C9">
            <w:pPr>
              <w:pStyle w:val="MeasureTableTextItalic"/>
            </w:pPr>
            <w:r>
              <w:t>Legislative reference:</w:t>
            </w:r>
          </w:p>
        </w:tc>
        <w:tc>
          <w:tcPr>
            <w:tcW w:w="5803" w:type="dxa"/>
            <w:gridSpan w:val="8"/>
            <w:tcBorders>
              <w:top w:val="nil"/>
            </w:tcBorders>
          </w:tcPr>
          <w:p w14:paraId="7F338F8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104-47 of the </w:t>
            </w:r>
            <w:r>
              <w:rPr>
                <w:rFonts w:ascii="Arial" w:hAnsi="Arial" w:cs="Arial"/>
                <w:i/>
                <w:iCs/>
                <w:color w:val="000000"/>
                <w:sz w:val="16"/>
                <w:szCs w:val="16"/>
              </w:rPr>
              <w:t>Income Tax Assessment Act 1997</w:t>
            </w:r>
          </w:p>
        </w:tc>
      </w:tr>
    </w:tbl>
    <w:p w14:paraId="0782C6D8" w14:textId="77777777" w:rsidR="006E40C9" w:rsidRPr="00540040" w:rsidRDefault="006E40C9" w:rsidP="006E40C9">
      <w:pPr>
        <w:pStyle w:val="MeasureTableHeading"/>
      </w:pPr>
    </w:p>
    <w:p w14:paraId="3F130A6F" w14:textId="1EA60A66" w:rsidR="006E40C9" w:rsidRDefault="006E40C9" w:rsidP="006E40C9">
      <w:r>
        <w:t xml:space="preserve">Under the benchmark, realised capital gains are generally assessable to taxpayers at their applicable tax rate in the year they arise. However, for CGT purposes, perpetual conservation covenants are treated as a part disposal of land, rather than the creation of a right. This treatment results in a reduced capital gain because a portion of the cost base of the land is taken into account. Landowners can also benefit from any CGT concession or exemption that may apply to the capital gain. </w:t>
      </w:r>
    </w:p>
    <w:p w14:paraId="5884267B" w14:textId="77777777" w:rsidR="006E40C9" w:rsidRDefault="006E40C9" w:rsidP="00D9255A">
      <w:pPr>
        <w:pStyle w:val="TESHeading5"/>
      </w:pPr>
      <w:r>
        <w:t>E7</w:t>
      </w:r>
      <w:r>
        <w:tab/>
        <w:t>Main residence exemption</w:t>
      </w:r>
    </w:p>
    <w:p w14:paraId="60C51493"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1A91FC0" w14:textId="77777777">
        <w:trPr>
          <w:cantSplit/>
          <w:jc w:val="center"/>
        </w:trPr>
        <w:tc>
          <w:tcPr>
            <w:tcW w:w="967" w:type="dxa"/>
            <w:tcBorders>
              <w:top w:val="single" w:sz="2" w:space="0" w:color="auto"/>
              <w:bottom w:val="single" w:sz="2" w:space="0" w:color="auto"/>
            </w:tcBorders>
          </w:tcPr>
          <w:p w14:paraId="03B327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0768E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5136F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4B5BC8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0D6B7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CE1975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576D06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A25A7F5" w14:textId="77777777" w:rsidR="006E40C9" w:rsidRDefault="006E40C9">
            <w:pPr>
              <w:pStyle w:val="MeasureTableTextRightAligned"/>
            </w:pPr>
            <w:r>
              <w:t>2027-28</w:t>
            </w:r>
          </w:p>
        </w:tc>
      </w:tr>
      <w:tr w:rsidR="006E40C9" w14:paraId="0DFF1E80" w14:textId="77777777">
        <w:trPr>
          <w:cantSplit/>
          <w:jc w:val="center"/>
        </w:trPr>
        <w:tc>
          <w:tcPr>
            <w:tcW w:w="967" w:type="dxa"/>
            <w:tcBorders>
              <w:top w:val="single" w:sz="2" w:space="0" w:color="auto"/>
              <w:bottom w:val="single" w:sz="2" w:space="0" w:color="auto"/>
            </w:tcBorders>
          </w:tcPr>
          <w:p w14:paraId="5033AFA3" w14:textId="77777777" w:rsidR="006E40C9" w:rsidRDefault="006E40C9">
            <w:pPr>
              <w:pStyle w:val="MeasureTableTextRightAligned"/>
            </w:pPr>
            <w:r>
              <w:t>14,000</w:t>
            </w:r>
          </w:p>
        </w:tc>
        <w:tc>
          <w:tcPr>
            <w:tcW w:w="967" w:type="dxa"/>
            <w:tcBorders>
              <w:top w:val="single" w:sz="2" w:space="0" w:color="auto"/>
              <w:bottom w:val="single" w:sz="2" w:space="0" w:color="auto"/>
            </w:tcBorders>
          </w:tcPr>
          <w:p w14:paraId="69E5E478" w14:textId="77777777" w:rsidR="006E40C9" w:rsidRDefault="006E40C9">
            <w:pPr>
              <w:pStyle w:val="MeasureTableTextRightAligned"/>
            </w:pPr>
            <w:r>
              <w:t>19,000</w:t>
            </w:r>
          </w:p>
        </w:tc>
        <w:tc>
          <w:tcPr>
            <w:tcW w:w="967" w:type="dxa"/>
            <w:tcBorders>
              <w:top w:val="single" w:sz="2" w:space="0" w:color="auto"/>
              <w:bottom w:val="single" w:sz="2" w:space="0" w:color="auto"/>
            </w:tcBorders>
            <w:vAlign w:val="bottom"/>
          </w:tcPr>
          <w:p w14:paraId="337AB63F" w14:textId="77777777" w:rsidR="006E40C9" w:rsidRDefault="006E40C9">
            <w:pPr>
              <w:pStyle w:val="MeasureTableTextRightAligned"/>
            </w:pPr>
            <w:r>
              <w:t>31,000</w:t>
            </w:r>
          </w:p>
        </w:tc>
        <w:tc>
          <w:tcPr>
            <w:tcW w:w="967" w:type="dxa"/>
            <w:tcBorders>
              <w:top w:val="single" w:sz="2" w:space="0" w:color="auto"/>
              <w:bottom w:val="single" w:sz="2" w:space="0" w:color="auto"/>
            </w:tcBorders>
            <w:vAlign w:val="bottom"/>
          </w:tcPr>
          <w:p w14:paraId="05AE62E3" w14:textId="77777777" w:rsidR="006E40C9" w:rsidRDefault="006E40C9">
            <w:pPr>
              <w:pStyle w:val="MeasureTableTextRightAligned"/>
            </w:pPr>
            <w:r>
              <w:t>23,000</w:t>
            </w:r>
          </w:p>
        </w:tc>
        <w:tc>
          <w:tcPr>
            <w:tcW w:w="967" w:type="dxa"/>
            <w:tcBorders>
              <w:top w:val="single" w:sz="2" w:space="0" w:color="auto"/>
              <w:bottom w:val="single" w:sz="2" w:space="0" w:color="auto"/>
            </w:tcBorders>
            <w:vAlign w:val="bottom"/>
          </w:tcPr>
          <w:p w14:paraId="0E144355" w14:textId="77777777" w:rsidR="006E40C9" w:rsidRDefault="006E40C9">
            <w:pPr>
              <w:pStyle w:val="MeasureTableTextRightAligned"/>
            </w:pPr>
            <w:r>
              <w:t>24,500</w:t>
            </w:r>
          </w:p>
        </w:tc>
        <w:tc>
          <w:tcPr>
            <w:tcW w:w="967" w:type="dxa"/>
            <w:gridSpan w:val="2"/>
            <w:tcBorders>
              <w:top w:val="single" w:sz="2" w:space="0" w:color="auto"/>
              <w:bottom w:val="single" w:sz="2" w:space="0" w:color="auto"/>
            </w:tcBorders>
            <w:vAlign w:val="bottom"/>
          </w:tcPr>
          <w:p w14:paraId="3A67D571" w14:textId="77777777" w:rsidR="006E40C9" w:rsidRDefault="006E40C9">
            <w:pPr>
              <w:pStyle w:val="MeasureTableTextRightAligned"/>
            </w:pPr>
            <w:r>
              <w:t>27,000</w:t>
            </w:r>
          </w:p>
        </w:tc>
        <w:tc>
          <w:tcPr>
            <w:tcW w:w="967" w:type="dxa"/>
            <w:gridSpan w:val="2"/>
            <w:tcBorders>
              <w:top w:val="single" w:sz="2" w:space="0" w:color="auto"/>
              <w:bottom w:val="single" w:sz="2" w:space="0" w:color="auto"/>
            </w:tcBorders>
            <w:vAlign w:val="bottom"/>
          </w:tcPr>
          <w:p w14:paraId="3C74276B" w14:textId="77777777" w:rsidR="006E40C9" w:rsidRDefault="006E40C9">
            <w:pPr>
              <w:pStyle w:val="MeasureTableTextRightAligned"/>
            </w:pPr>
            <w:r>
              <w:t>28,000</w:t>
            </w:r>
          </w:p>
        </w:tc>
        <w:tc>
          <w:tcPr>
            <w:tcW w:w="968" w:type="dxa"/>
            <w:tcBorders>
              <w:top w:val="single" w:sz="2" w:space="0" w:color="auto"/>
              <w:bottom w:val="single" w:sz="2" w:space="0" w:color="auto"/>
            </w:tcBorders>
            <w:vAlign w:val="bottom"/>
          </w:tcPr>
          <w:p w14:paraId="4F1905C4" w14:textId="77777777" w:rsidR="006E40C9" w:rsidRDefault="006E40C9">
            <w:pPr>
              <w:pStyle w:val="MeasureTableTextRightAligned"/>
            </w:pPr>
            <w:r>
              <w:t>31,000</w:t>
            </w:r>
          </w:p>
        </w:tc>
      </w:tr>
      <w:tr w:rsidR="006E40C9" w14:paraId="71628E84" w14:textId="77777777">
        <w:trPr>
          <w:cantSplit/>
          <w:jc w:val="center"/>
        </w:trPr>
        <w:tc>
          <w:tcPr>
            <w:tcW w:w="1934" w:type="dxa"/>
            <w:gridSpan w:val="2"/>
            <w:tcBorders>
              <w:top w:val="single" w:sz="2" w:space="0" w:color="auto"/>
              <w:bottom w:val="nil"/>
            </w:tcBorders>
          </w:tcPr>
          <w:p w14:paraId="0F41D6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C97AA9" w14:textId="77777777" w:rsidR="006E40C9" w:rsidRDefault="006E40C9">
            <w:pPr>
              <w:pStyle w:val="MeasureTableTextLeftAligned"/>
            </w:pPr>
            <w:r>
              <w:t>Exemption</w:t>
            </w:r>
          </w:p>
        </w:tc>
        <w:tc>
          <w:tcPr>
            <w:tcW w:w="1500" w:type="dxa"/>
            <w:gridSpan w:val="2"/>
            <w:tcBorders>
              <w:top w:val="single" w:sz="2" w:space="0" w:color="auto"/>
              <w:bottom w:val="nil"/>
            </w:tcBorders>
          </w:tcPr>
          <w:p w14:paraId="2B738D2C" w14:textId="1F103B4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AFB9A7E" w14:textId="77777777" w:rsidR="006E40C9" w:rsidRDefault="006E40C9">
            <w:pPr>
              <w:pStyle w:val="MeasureTableTextLeftAligned"/>
            </w:pPr>
            <w:r>
              <w:t>E7</w:t>
            </w:r>
          </w:p>
        </w:tc>
      </w:tr>
      <w:tr w:rsidR="006E40C9" w14:paraId="3EB83F46" w14:textId="77777777">
        <w:trPr>
          <w:cantSplit/>
          <w:jc w:val="center"/>
        </w:trPr>
        <w:tc>
          <w:tcPr>
            <w:tcW w:w="1934" w:type="dxa"/>
            <w:gridSpan w:val="2"/>
            <w:tcBorders>
              <w:top w:val="nil"/>
              <w:bottom w:val="nil"/>
            </w:tcBorders>
          </w:tcPr>
          <w:p w14:paraId="6D02476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B791D99" w14:textId="77777777" w:rsidR="006E40C9" w:rsidRPr="00584CA7" w:rsidRDefault="006E40C9">
            <w:pPr>
              <w:pStyle w:val="MeasureTableTextLeftAligned"/>
            </w:pPr>
            <w:r>
              <w:t>Medium</w:t>
            </w:r>
          </w:p>
        </w:tc>
        <w:tc>
          <w:tcPr>
            <w:tcW w:w="1500" w:type="dxa"/>
            <w:gridSpan w:val="2"/>
            <w:tcBorders>
              <w:top w:val="nil"/>
              <w:bottom w:val="nil"/>
            </w:tcBorders>
          </w:tcPr>
          <w:p w14:paraId="40712377" w14:textId="77777777" w:rsidR="006E40C9" w:rsidRDefault="006E40C9">
            <w:pPr>
              <w:pStyle w:val="MeasureTableTextItalic"/>
            </w:pPr>
          </w:p>
        </w:tc>
        <w:tc>
          <w:tcPr>
            <w:tcW w:w="1124" w:type="dxa"/>
            <w:gridSpan w:val="2"/>
            <w:tcBorders>
              <w:top w:val="nil"/>
              <w:bottom w:val="nil"/>
            </w:tcBorders>
          </w:tcPr>
          <w:p w14:paraId="4F6A5E80" w14:textId="77777777" w:rsidR="006E40C9" w:rsidRDefault="006E40C9">
            <w:pPr>
              <w:pStyle w:val="MeasureTableTextLeftAligned"/>
            </w:pPr>
          </w:p>
        </w:tc>
      </w:tr>
      <w:tr w:rsidR="006E40C9" w14:paraId="304FD068" w14:textId="77777777">
        <w:trPr>
          <w:cantSplit/>
          <w:jc w:val="center"/>
        </w:trPr>
        <w:tc>
          <w:tcPr>
            <w:tcW w:w="1934" w:type="dxa"/>
            <w:gridSpan w:val="2"/>
            <w:tcBorders>
              <w:top w:val="nil"/>
              <w:bottom w:val="nil"/>
            </w:tcBorders>
          </w:tcPr>
          <w:p w14:paraId="3D60340D" w14:textId="77777777" w:rsidR="006E40C9" w:rsidRDefault="006E40C9">
            <w:pPr>
              <w:pStyle w:val="MeasureTableTextItalic"/>
            </w:pPr>
            <w:r>
              <w:t>Commencement date:</w:t>
            </w:r>
          </w:p>
        </w:tc>
        <w:tc>
          <w:tcPr>
            <w:tcW w:w="3179" w:type="dxa"/>
            <w:gridSpan w:val="4"/>
            <w:tcBorders>
              <w:top w:val="nil"/>
              <w:bottom w:val="nil"/>
            </w:tcBorders>
          </w:tcPr>
          <w:p w14:paraId="2EB9A579" w14:textId="77777777" w:rsidR="006E40C9" w:rsidRDefault="006E40C9">
            <w:pPr>
              <w:pStyle w:val="MeasureTableTextLeftAligned"/>
            </w:pPr>
            <w:r>
              <w:t>20 September 1985</w:t>
            </w:r>
          </w:p>
        </w:tc>
        <w:tc>
          <w:tcPr>
            <w:tcW w:w="1500" w:type="dxa"/>
            <w:gridSpan w:val="2"/>
            <w:tcBorders>
              <w:top w:val="nil"/>
              <w:bottom w:val="nil"/>
            </w:tcBorders>
          </w:tcPr>
          <w:p w14:paraId="230DE920" w14:textId="77777777" w:rsidR="006E40C9" w:rsidRPr="00F32057" w:rsidRDefault="006E40C9">
            <w:pPr>
              <w:pStyle w:val="MeasureTableTextItalic"/>
            </w:pPr>
            <w:r>
              <w:t>Expiry date:</w:t>
            </w:r>
          </w:p>
        </w:tc>
        <w:tc>
          <w:tcPr>
            <w:tcW w:w="1124" w:type="dxa"/>
            <w:gridSpan w:val="2"/>
            <w:tcBorders>
              <w:top w:val="nil"/>
              <w:bottom w:val="nil"/>
            </w:tcBorders>
          </w:tcPr>
          <w:p w14:paraId="67B5461E" w14:textId="77777777" w:rsidR="006E40C9" w:rsidRPr="00F32057" w:rsidRDefault="006E40C9">
            <w:pPr>
              <w:pStyle w:val="MeasureTableTextLeftAligned"/>
            </w:pPr>
          </w:p>
        </w:tc>
      </w:tr>
      <w:tr w:rsidR="006E40C9" w14:paraId="6E3B2F72" w14:textId="77777777">
        <w:trPr>
          <w:cantSplit/>
          <w:jc w:val="center"/>
        </w:trPr>
        <w:tc>
          <w:tcPr>
            <w:tcW w:w="1934" w:type="dxa"/>
            <w:gridSpan w:val="2"/>
            <w:tcBorders>
              <w:top w:val="nil"/>
            </w:tcBorders>
          </w:tcPr>
          <w:p w14:paraId="00FAE1A7" w14:textId="77777777" w:rsidR="006E40C9" w:rsidRDefault="006E40C9">
            <w:pPr>
              <w:pStyle w:val="MeasureTableTextItalic"/>
            </w:pPr>
            <w:r>
              <w:t>Legislative reference:</w:t>
            </w:r>
          </w:p>
        </w:tc>
        <w:tc>
          <w:tcPr>
            <w:tcW w:w="5803" w:type="dxa"/>
            <w:gridSpan w:val="8"/>
            <w:tcBorders>
              <w:top w:val="nil"/>
            </w:tcBorders>
          </w:tcPr>
          <w:p w14:paraId="33AF7C2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118-B of the </w:t>
            </w:r>
            <w:r>
              <w:rPr>
                <w:rFonts w:ascii="Arial" w:hAnsi="Arial" w:cs="Arial"/>
                <w:i/>
                <w:iCs/>
                <w:color w:val="000000"/>
                <w:sz w:val="16"/>
                <w:szCs w:val="16"/>
              </w:rPr>
              <w:t>Income Tax Assessment Act 1997</w:t>
            </w:r>
          </w:p>
        </w:tc>
      </w:tr>
    </w:tbl>
    <w:p w14:paraId="6F982C19" w14:textId="77777777" w:rsidR="006E40C9" w:rsidRPr="00540040" w:rsidRDefault="006E40C9" w:rsidP="006E40C9">
      <w:pPr>
        <w:pStyle w:val="MeasureTableHeading"/>
      </w:pPr>
    </w:p>
    <w:p w14:paraId="3BE0B118" w14:textId="62E9B3A9" w:rsidR="006E40C9" w:rsidRDefault="006E40C9" w:rsidP="006E40C9">
      <w:r>
        <w:t>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w:t>
      </w:r>
    </w:p>
    <w:p w14:paraId="35F6C2DB" w14:textId="2682F07B" w:rsidR="006E40C9" w:rsidRDefault="006E40C9" w:rsidP="006E40C9">
      <w:pPr>
        <w:rPr>
          <w:rFonts w:ascii="Calibri" w:hAnsi="Calibri"/>
        </w:rPr>
      </w:pPr>
      <w:r>
        <w:t xml:space="preserve">Foreign residents are unable to access the CGT main residence exemption when they sell property in Australia, other than when specific life events occur and a person is a foreign resident for a period of 6 years or less. This was introduced from 9 May 2017, and transitional arrangements enabled foreign tax residents who held property on 9 May 2017 to access the exemption if they sold their property before 1 July 2020. </w:t>
      </w:r>
    </w:p>
    <w:p w14:paraId="569E1CEE" w14:textId="77777777" w:rsidR="006E40C9" w:rsidRDefault="006E40C9" w:rsidP="006E40C9">
      <w:r>
        <w:t>This tax expenditure covers the exemption of any capital gain or loss after the 50 per cent CGT discount for individuals and trusts has been applied. See tax expenditure E8 for the 50 per cent discount component of the main residence exemption.</w:t>
      </w:r>
      <w:r>
        <w:fldChar w:fldCharType="begin"/>
      </w:r>
      <w:r>
        <w:instrText xml:space="preserve"> XE "Capital gains tax:Main residence" </w:instrText>
      </w:r>
      <w:r>
        <w:fldChar w:fldCharType="end"/>
      </w:r>
      <w:r>
        <w:t xml:space="preserve"> </w:t>
      </w:r>
    </w:p>
    <w:p w14:paraId="0AC8BA58" w14:textId="77777777" w:rsidR="006E40C9" w:rsidRDefault="006E40C9" w:rsidP="00D9255A">
      <w:pPr>
        <w:pStyle w:val="TESHeading5"/>
      </w:pPr>
      <w:r>
        <w:t>E8</w:t>
      </w:r>
      <w:r>
        <w:tab/>
        <w:t>Main residence exemption – discount component</w:t>
      </w:r>
    </w:p>
    <w:p w14:paraId="51A17A50"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82996D" w14:textId="77777777">
        <w:trPr>
          <w:cantSplit/>
          <w:jc w:val="center"/>
        </w:trPr>
        <w:tc>
          <w:tcPr>
            <w:tcW w:w="967" w:type="dxa"/>
            <w:tcBorders>
              <w:top w:val="single" w:sz="2" w:space="0" w:color="auto"/>
              <w:bottom w:val="single" w:sz="2" w:space="0" w:color="auto"/>
            </w:tcBorders>
          </w:tcPr>
          <w:p w14:paraId="3ADE3FA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3DD04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D6BF40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17CBDD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98B445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C9544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B4417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A403D75" w14:textId="77777777" w:rsidR="006E40C9" w:rsidRDefault="006E40C9">
            <w:pPr>
              <w:pStyle w:val="MeasureTableTextRightAligned"/>
            </w:pPr>
            <w:r>
              <w:t>2027-28</w:t>
            </w:r>
          </w:p>
        </w:tc>
      </w:tr>
      <w:tr w:rsidR="006E40C9" w14:paraId="2BEA21DF" w14:textId="77777777">
        <w:trPr>
          <w:cantSplit/>
          <w:jc w:val="center"/>
        </w:trPr>
        <w:tc>
          <w:tcPr>
            <w:tcW w:w="967" w:type="dxa"/>
            <w:tcBorders>
              <w:top w:val="single" w:sz="2" w:space="0" w:color="auto"/>
              <w:bottom w:val="single" w:sz="2" w:space="0" w:color="auto"/>
            </w:tcBorders>
          </w:tcPr>
          <w:p w14:paraId="4644E854" w14:textId="77777777" w:rsidR="006E40C9" w:rsidRDefault="006E40C9">
            <w:pPr>
              <w:pStyle w:val="MeasureTableTextRightAligned"/>
            </w:pPr>
            <w:r>
              <w:t>15,000</w:t>
            </w:r>
          </w:p>
        </w:tc>
        <w:tc>
          <w:tcPr>
            <w:tcW w:w="967" w:type="dxa"/>
            <w:tcBorders>
              <w:top w:val="single" w:sz="2" w:space="0" w:color="auto"/>
              <w:bottom w:val="single" w:sz="2" w:space="0" w:color="auto"/>
            </w:tcBorders>
          </w:tcPr>
          <w:p w14:paraId="5C91B090" w14:textId="77777777" w:rsidR="006E40C9" w:rsidRDefault="006E40C9">
            <w:pPr>
              <w:pStyle w:val="MeasureTableTextRightAligned"/>
            </w:pPr>
            <w:r>
              <w:t>20,500</w:t>
            </w:r>
          </w:p>
        </w:tc>
        <w:tc>
          <w:tcPr>
            <w:tcW w:w="967" w:type="dxa"/>
            <w:tcBorders>
              <w:top w:val="single" w:sz="2" w:space="0" w:color="auto"/>
              <w:bottom w:val="single" w:sz="2" w:space="0" w:color="auto"/>
            </w:tcBorders>
            <w:vAlign w:val="bottom"/>
          </w:tcPr>
          <w:p w14:paraId="5C2F5A2E" w14:textId="77777777" w:rsidR="006E40C9" w:rsidRDefault="006E40C9">
            <w:pPr>
              <w:pStyle w:val="MeasureTableTextRightAligned"/>
            </w:pPr>
            <w:r>
              <w:t>33,000</w:t>
            </w:r>
          </w:p>
        </w:tc>
        <w:tc>
          <w:tcPr>
            <w:tcW w:w="967" w:type="dxa"/>
            <w:tcBorders>
              <w:top w:val="single" w:sz="2" w:space="0" w:color="auto"/>
              <w:bottom w:val="single" w:sz="2" w:space="0" w:color="auto"/>
            </w:tcBorders>
            <w:vAlign w:val="bottom"/>
          </w:tcPr>
          <w:p w14:paraId="1FA376B2" w14:textId="77777777" w:rsidR="006E40C9" w:rsidRDefault="006E40C9">
            <w:pPr>
              <w:pStyle w:val="MeasureTableTextRightAligned"/>
            </w:pPr>
            <w:r>
              <w:t>25,000</w:t>
            </w:r>
          </w:p>
        </w:tc>
        <w:tc>
          <w:tcPr>
            <w:tcW w:w="967" w:type="dxa"/>
            <w:tcBorders>
              <w:top w:val="single" w:sz="2" w:space="0" w:color="auto"/>
              <w:bottom w:val="single" w:sz="2" w:space="0" w:color="auto"/>
            </w:tcBorders>
            <w:vAlign w:val="bottom"/>
          </w:tcPr>
          <w:p w14:paraId="5D0D584A" w14:textId="77777777" w:rsidR="006E40C9" w:rsidRDefault="006E40C9">
            <w:pPr>
              <w:pStyle w:val="MeasureTableTextRightAligned"/>
            </w:pPr>
            <w:r>
              <w:t>27,000</w:t>
            </w:r>
          </w:p>
        </w:tc>
        <w:tc>
          <w:tcPr>
            <w:tcW w:w="967" w:type="dxa"/>
            <w:gridSpan w:val="2"/>
            <w:tcBorders>
              <w:top w:val="single" w:sz="2" w:space="0" w:color="auto"/>
              <w:bottom w:val="single" w:sz="2" w:space="0" w:color="auto"/>
            </w:tcBorders>
            <w:vAlign w:val="bottom"/>
          </w:tcPr>
          <w:p w14:paraId="6400EF9D" w14:textId="77777777" w:rsidR="006E40C9" w:rsidRDefault="006E40C9">
            <w:pPr>
              <w:pStyle w:val="MeasureTableTextRightAligned"/>
            </w:pPr>
            <w:r>
              <w:t>30,000</w:t>
            </w:r>
          </w:p>
        </w:tc>
        <w:tc>
          <w:tcPr>
            <w:tcW w:w="967" w:type="dxa"/>
            <w:gridSpan w:val="2"/>
            <w:tcBorders>
              <w:top w:val="single" w:sz="2" w:space="0" w:color="auto"/>
              <w:bottom w:val="single" w:sz="2" w:space="0" w:color="auto"/>
            </w:tcBorders>
            <w:vAlign w:val="bottom"/>
          </w:tcPr>
          <w:p w14:paraId="12F546FC" w14:textId="77777777" w:rsidR="006E40C9" w:rsidRDefault="006E40C9">
            <w:pPr>
              <w:pStyle w:val="MeasureTableTextRightAligned"/>
            </w:pPr>
            <w:r>
              <w:t>31,000</w:t>
            </w:r>
          </w:p>
        </w:tc>
        <w:tc>
          <w:tcPr>
            <w:tcW w:w="968" w:type="dxa"/>
            <w:tcBorders>
              <w:top w:val="single" w:sz="2" w:space="0" w:color="auto"/>
              <w:bottom w:val="single" w:sz="2" w:space="0" w:color="auto"/>
            </w:tcBorders>
            <w:vAlign w:val="bottom"/>
          </w:tcPr>
          <w:p w14:paraId="66B0E911" w14:textId="77777777" w:rsidR="006E40C9" w:rsidRDefault="006E40C9">
            <w:pPr>
              <w:pStyle w:val="MeasureTableTextRightAligned"/>
            </w:pPr>
            <w:r>
              <w:t>34,000</w:t>
            </w:r>
          </w:p>
        </w:tc>
      </w:tr>
      <w:tr w:rsidR="006E40C9" w14:paraId="27ACCE2D" w14:textId="77777777">
        <w:trPr>
          <w:cantSplit/>
          <w:jc w:val="center"/>
        </w:trPr>
        <w:tc>
          <w:tcPr>
            <w:tcW w:w="1934" w:type="dxa"/>
            <w:gridSpan w:val="2"/>
            <w:tcBorders>
              <w:top w:val="single" w:sz="2" w:space="0" w:color="auto"/>
              <w:bottom w:val="nil"/>
            </w:tcBorders>
          </w:tcPr>
          <w:p w14:paraId="502222A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8994FAB"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C922086" w14:textId="3EEB41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CF68082" w14:textId="77777777" w:rsidR="006E40C9" w:rsidRDefault="006E40C9">
            <w:pPr>
              <w:pStyle w:val="MeasureTableTextLeftAligned"/>
            </w:pPr>
            <w:r>
              <w:t>E8</w:t>
            </w:r>
          </w:p>
        </w:tc>
      </w:tr>
      <w:tr w:rsidR="006E40C9" w14:paraId="22A3A65A" w14:textId="77777777">
        <w:trPr>
          <w:cantSplit/>
          <w:jc w:val="center"/>
        </w:trPr>
        <w:tc>
          <w:tcPr>
            <w:tcW w:w="1934" w:type="dxa"/>
            <w:gridSpan w:val="2"/>
            <w:tcBorders>
              <w:top w:val="nil"/>
              <w:bottom w:val="nil"/>
            </w:tcBorders>
          </w:tcPr>
          <w:p w14:paraId="2B6E4AB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1365648" w14:textId="77777777" w:rsidR="006E40C9" w:rsidRPr="00584CA7" w:rsidRDefault="006E40C9">
            <w:pPr>
              <w:pStyle w:val="MeasureTableTextLeftAligned"/>
            </w:pPr>
            <w:r>
              <w:t>Medium</w:t>
            </w:r>
          </w:p>
        </w:tc>
        <w:tc>
          <w:tcPr>
            <w:tcW w:w="1500" w:type="dxa"/>
            <w:gridSpan w:val="2"/>
            <w:tcBorders>
              <w:top w:val="nil"/>
              <w:bottom w:val="nil"/>
            </w:tcBorders>
          </w:tcPr>
          <w:p w14:paraId="5C98DA47" w14:textId="77777777" w:rsidR="006E40C9" w:rsidRDefault="006E40C9">
            <w:pPr>
              <w:pStyle w:val="MeasureTableTextItalic"/>
            </w:pPr>
          </w:p>
        </w:tc>
        <w:tc>
          <w:tcPr>
            <w:tcW w:w="1124" w:type="dxa"/>
            <w:gridSpan w:val="2"/>
            <w:tcBorders>
              <w:top w:val="nil"/>
              <w:bottom w:val="nil"/>
            </w:tcBorders>
          </w:tcPr>
          <w:p w14:paraId="6EFAB2A0" w14:textId="77777777" w:rsidR="006E40C9" w:rsidRDefault="006E40C9">
            <w:pPr>
              <w:pStyle w:val="MeasureTableTextLeftAligned"/>
            </w:pPr>
          </w:p>
        </w:tc>
      </w:tr>
      <w:tr w:rsidR="006E40C9" w14:paraId="2D3857EA" w14:textId="77777777">
        <w:trPr>
          <w:cantSplit/>
          <w:jc w:val="center"/>
        </w:trPr>
        <w:tc>
          <w:tcPr>
            <w:tcW w:w="1934" w:type="dxa"/>
            <w:gridSpan w:val="2"/>
            <w:tcBorders>
              <w:top w:val="nil"/>
              <w:bottom w:val="nil"/>
            </w:tcBorders>
          </w:tcPr>
          <w:p w14:paraId="7B3198D8" w14:textId="77777777" w:rsidR="006E40C9" w:rsidRDefault="006E40C9">
            <w:pPr>
              <w:pStyle w:val="MeasureTableTextItalic"/>
            </w:pPr>
            <w:r>
              <w:t>Commencement date:</w:t>
            </w:r>
          </w:p>
        </w:tc>
        <w:tc>
          <w:tcPr>
            <w:tcW w:w="3179" w:type="dxa"/>
            <w:gridSpan w:val="4"/>
            <w:tcBorders>
              <w:top w:val="nil"/>
              <w:bottom w:val="nil"/>
            </w:tcBorders>
          </w:tcPr>
          <w:p w14:paraId="38C1819E" w14:textId="77777777" w:rsidR="006E40C9" w:rsidRDefault="006E40C9">
            <w:pPr>
              <w:pStyle w:val="MeasureTableTextLeftAligned"/>
            </w:pPr>
            <w:r>
              <w:t>20 September 1999</w:t>
            </w:r>
          </w:p>
        </w:tc>
        <w:tc>
          <w:tcPr>
            <w:tcW w:w="1500" w:type="dxa"/>
            <w:gridSpan w:val="2"/>
            <w:tcBorders>
              <w:top w:val="nil"/>
              <w:bottom w:val="nil"/>
            </w:tcBorders>
          </w:tcPr>
          <w:p w14:paraId="72965AA5" w14:textId="77777777" w:rsidR="006E40C9" w:rsidRPr="00F32057" w:rsidRDefault="006E40C9">
            <w:pPr>
              <w:pStyle w:val="MeasureTableTextItalic"/>
            </w:pPr>
            <w:r>
              <w:t>Expiry date:</w:t>
            </w:r>
          </w:p>
        </w:tc>
        <w:tc>
          <w:tcPr>
            <w:tcW w:w="1124" w:type="dxa"/>
            <w:gridSpan w:val="2"/>
            <w:tcBorders>
              <w:top w:val="nil"/>
              <w:bottom w:val="nil"/>
            </w:tcBorders>
          </w:tcPr>
          <w:p w14:paraId="0D205A64" w14:textId="77777777" w:rsidR="006E40C9" w:rsidRPr="00F32057" w:rsidRDefault="006E40C9">
            <w:pPr>
              <w:pStyle w:val="MeasureTableTextLeftAligned"/>
            </w:pPr>
          </w:p>
        </w:tc>
      </w:tr>
      <w:tr w:rsidR="006E40C9" w14:paraId="5620B9DB" w14:textId="77777777">
        <w:trPr>
          <w:cantSplit/>
          <w:jc w:val="center"/>
        </w:trPr>
        <w:tc>
          <w:tcPr>
            <w:tcW w:w="1934" w:type="dxa"/>
            <w:gridSpan w:val="2"/>
            <w:tcBorders>
              <w:top w:val="nil"/>
            </w:tcBorders>
          </w:tcPr>
          <w:p w14:paraId="65917E94" w14:textId="77777777" w:rsidR="006E40C9" w:rsidRDefault="006E40C9">
            <w:pPr>
              <w:pStyle w:val="MeasureTableTextItalic"/>
            </w:pPr>
            <w:r>
              <w:t>Legislative reference:</w:t>
            </w:r>
          </w:p>
        </w:tc>
        <w:tc>
          <w:tcPr>
            <w:tcW w:w="5803" w:type="dxa"/>
            <w:gridSpan w:val="8"/>
            <w:tcBorders>
              <w:top w:val="nil"/>
            </w:tcBorders>
          </w:tcPr>
          <w:p w14:paraId="19B1D40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115 of the </w:t>
            </w:r>
            <w:r>
              <w:rPr>
                <w:rFonts w:ascii="Arial" w:hAnsi="Arial" w:cs="Arial"/>
                <w:i/>
                <w:iCs/>
                <w:color w:val="000000"/>
                <w:sz w:val="16"/>
                <w:szCs w:val="16"/>
              </w:rPr>
              <w:t>Income Tax Assessment Act 1997</w:t>
            </w:r>
          </w:p>
        </w:tc>
      </w:tr>
    </w:tbl>
    <w:p w14:paraId="4086FD2C" w14:textId="77777777" w:rsidR="006E40C9" w:rsidRPr="00540040" w:rsidRDefault="006E40C9" w:rsidP="006E40C9">
      <w:pPr>
        <w:pStyle w:val="MeasureTableHeading"/>
      </w:pPr>
    </w:p>
    <w:p w14:paraId="15AB4911" w14:textId="3A9E349C" w:rsidR="006E40C9" w:rsidRDefault="006E40C9" w:rsidP="006E40C9">
      <w:r>
        <w:t xml:space="preserve">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 </w:t>
      </w:r>
    </w:p>
    <w:p w14:paraId="671EE0F9" w14:textId="77777777" w:rsidR="006E40C9" w:rsidRDefault="006E40C9" w:rsidP="006E40C9">
      <w:r>
        <w:t xml:space="preserve">Disposals of other assets by individuals or trusts receive a CGT exemption applying to 50 per cent of any nominal gain where the asset has been owned for at least 12 months. The 50 per cent CGT discount is not available to the extent that a capital gain was accrued while the individual was a foreign or temporary resident. </w:t>
      </w:r>
    </w:p>
    <w:p w14:paraId="26A99B75" w14:textId="77777777" w:rsidR="006E40C9" w:rsidRDefault="006E40C9" w:rsidP="006E40C9">
      <w:r>
        <w:t>The CGT treatment of the main residence effectively provides a 100 per cent exemption. Conceptually, this can be split into a component reflecting the 50 per cent discount provided to disposals of non</w:t>
      </w:r>
      <w:r>
        <w:noBreakHyphen/>
        <w:t>main residence assets and a ‘top up’ component that brings the concession up to 100 per cent.</w:t>
      </w:r>
      <w:r>
        <w:fldChar w:fldCharType="begin"/>
      </w:r>
      <w:r>
        <w:instrText xml:space="preserve"> XE "Capital gains tax:Main residence" </w:instrText>
      </w:r>
      <w:r>
        <w:fldChar w:fldCharType="end"/>
      </w:r>
      <w:r>
        <w:t xml:space="preserve"> </w:t>
      </w:r>
    </w:p>
    <w:p w14:paraId="53BD99AA" w14:textId="043E0B1A" w:rsidR="006E40C9" w:rsidRDefault="006E40C9" w:rsidP="006E40C9">
      <w:r>
        <w:t xml:space="preserve">See </w:t>
      </w:r>
      <w:r w:rsidR="009A6521">
        <w:t xml:space="preserve">tax </w:t>
      </w:r>
      <w:r>
        <w:t>expenditure E7 for the remainder of the value of the CGT main residence exemption. See tax expenditure E15 for detail on the 50 per cent discount applying to other assets.</w:t>
      </w:r>
    </w:p>
    <w:p w14:paraId="2BBCF782" w14:textId="77777777" w:rsidR="006E40C9" w:rsidRDefault="006E40C9" w:rsidP="00D9255A">
      <w:pPr>
        <w:pStyle w:val="TESHeading5"/>
      </w:pPr>
      <w:r>
        <w:t>E9</w:t>
      </w:r>
      <w:r>
        <w:tab/>
        <w:t>Main residence exemption extensions</w:t>
      </w:r>
    </w:p>
    <w:p w14:paraId="0B700D86"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0AA1CD1" w14:textId="77777777">
        <w:trPr>
          <w:cantSplit/>
          <w:jc w:val="center"/>
        </w:trPr>
        <w:tc>
          <w:tcPr>
            <w:tcW w:w="967" w:type="dxa"/>
            <w:tcBorders>
              <w:top w:val="single" w:sz="2" w:space="0" w:color="auto"/>
              <w:bottom w:val="single" w:sz="2" w:space="0" w:color="auto"/>
            </w:tcBorders>
          </w:tcPr>
          <w:p w14:paraId="64C372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902A6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CB2D0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E8BA90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EE06DE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2E5E4A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881C66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A5B1FE" w14:textId="77777777" w:rsidR="006E40C9" w:rsidRDefault="006E40C9">
            <w:pPr>
              <w:pStyle w:val="MeasureTableTextRightAligned"/>
            </w:pPr>
            <w:r>
              <w:t>2027-28</w:t>
            </w:r>
          </w:p>
        </w:tc>
      </w:tr>
      <w:tr w:rsidR="006E40C9" w14:paraId="60961AF7" w14:textId="77777777">
        <w:trPr>
          <w:cantSplit/>
          <w:jc w:val="center"/>
        </w:trPr>
        <w:tc>
          <w:tcPr>
            <w:tcW w:w="967" w:type="dxa"/>
            <w:tcBorders>
              <w:top w:val="single" w:sz="2" w:space="0" w:color="auto"/>
              <w:bottom w:val="single" w:sz="2" w:space="0" w:color="auto"/>
            </w:tcBorders>
          </w:tcPr>
          <w:p w14:paraId="6920329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3420C0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D3FFF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10ADD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EA8AB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D783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7EA8DC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4DD2A0" w14:textId="77777777" w:rsidR="006E40C9" w:rsidRDefault="006E40C9">
            <w:pPr>
              <w:pStyle w:val="MeasureTableTextRightAligned"/>
            </w:pPr>
            <w:r>
              <w:t>*</w:t>
            </w:r>
          </w:p>
        </w:tc>
      </w:tr>
      <w:tr w:rsidR="006E40C9" w14:paraId="3987EC2D" w14:textId="77777777">
        <w:trPr>
          <w:cantSplit/>
          <w:jc w:val="center"/>
        </w:trPr>
        <w:tc>
          <w:tcPr>
            <w:tcW w:w="1934" w:type="dxa"/>
            <w:gridSpan w:val="2"/>
            <w:tcBorders>
              <w:top w:val="single" w:sz="2" w:space="0" w:color="auto"/>
              <w:bottom w:val="nil"/>
            </w:tcBorders>
          </w:tcPr>
          <w:p w14:paraId="7995639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19E32E" w14:textId="77777777" w:rsidR="006E40C9" w:rsidRDefault="006E40C9">
            <w:pPr>
              <w:pStyle w:val="MeasureTableTextLeftAligned"/>
            </w:pPr>
            <w:r>
              <w:t>Exemption</w:t>
            </w:r>
          </w:p>
        </w:tc>
        <w:tc>
          <w:tcPr>
            <w:tcW w:w="1500" w:type="dxa"/>
            <w:gridSpan w:val="2"/>
            <w:tcBorders>
              <w:top w:val="single" w:sz="2" w:space="0" w:color="auto"/>
              <w:bottom w:val="nil"/>
            </w:tcBorders>
          </w:tcPr>
          <w:p w14:paraId="432D4164" w14:textId="78FD36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325F89" w14:textId="77777777" w:rsidR="006E40C9" w:rsidRDefault="006E40C9">
            <w:pPr>
              <w:pStyle w:val="MeasureTableTextLeftAligned"/>
            </w:pPr>
            <w:r>
              <w:t>E9</w:t>
            </w:r>
          </w:p>
        </w:tc>
      </w:tr>
      <w:tr w:rsidR="006E40C9" w14:paraId="7A706ED8" w14:textId="77777777">
        <w:trPr>
          <w:cantSplit/>
          <w:jc w:val="center"/>
        </w:trPr>
        <w:tc>
          <w:tcPr>
            <w:tcW w:w="1934" w:type="dxa"/>
            <w:gridSpan w:val="2"/>
            <w:tcBorders>
              <w:top w:val="nil"/>
              <w:bottom w:val="nil"/>
            </w:tcBorders>
          </w:tcPr>
          <w:p w14:paraId="2E7C594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79FE50" w14:textId="77777777" w:rsidR="006E40C9" w:rsidRPr="00584CA7" w:rsidRDefault="006E40C9">
            <w:pPr>
              <w:pStyle w:val="MeasureTableTextLeftAligned"/>
            </w:pPr>
            <w:r>
              <w:t>Not Applicable</w:t>
            </w:r>
          </w:p>
        </w:tc>
        <w:tc>
          <w:tcPr>
            <w:tcW w:w="1500" w:type="dxa"/>
            <w:gridSpan w:val="2"/>
            <w:tcBorders>
              <w:top w:val="nil"/>
              <w:bottom w:val="nil"/>
            </w:tcBorders>
          </w:tcPr>
          <w:p w14:paraId="2A1E3721" w14:textId="77777777" w:rsidR="006E40C9" w:rsidRDefault="006E40C9">
            <w:pPr>
              <w:pStyle w:val="MeasureTableTextItalic"/>
            </w:pPr>
            <w:r>
              <w:t>* Category</w:t>
            </w:r>
          </w:p>
        </w:tc>
        <w:tc>
          <w:tcPr>
            <w:tcW w:w="1124" w:type="dxa"/>
            <w:gridSpan w:val="2"/>
            <w:tcBorders>
              <w:top w:val="nil"/>
              <w:bottom w:val="nil"/>
            </w:tcBorders>
          </w:tcPr>
          <w:p w14:paraId="6435AE66" w14:textId="77777777" w:rsidR="006E40C9" w:rsidRDefault="006E40C9">
            <w:pPr>
              <w:pStyle w:val="MeasureTableTextLeftAligned"/>
            </w:pPr>
            <w:r>
              <w:t>3+</w:t>
            </w:r>
          </w:p>
        </w:tc>
      </w:tr>
      <w:tr w:rsidR="006E40C9" w14:paraId="29A9108B" w14:textId="77777777">
        <w:trPr>
          <w:cantSplit/>
          <w:jc w:val="center"/>
        </w:trPr>
        <w:tc>
          <w:tcPr>
            <w:tcW w:w="1934" w:type="dxa"/>
            <w:gridSpan w:val="2"/>
            <w:tcBorders>
              <w:top w:val="nil"/>
              <w:bottom w:val="nil"/>
            </w:tcBorders>
          </w:tcPr>
          <w:p w14:paraId="465954F9" w14:textId="77777777" w:rsidR="006E40C9" w:rsidRDefault="006E40C9">
            <w:pPr>
              <w:pStyle w:val="MeasureTableTextItalic"/>
            </w:pPr>
            <w:r>
              <w:t>Commencement date:</w:t>
            </w:r>
          </w:p>
        </w:tc>
        <w:tc>
          <w:tcPr>
            <w:tcW w:w="3179" w:type="dxa"/>
            <w:gridSpan w:val="4"/>
            <w:tcBorders>
              <w:top w:val="nil"/>
              <w:bottom w:val="nil"/>
            </w:tcBorders>
          </w:tcPr>
          <w:p w14:paraId="6C1D9BB6" w14:textId="77777777" w:rsidR="006E40C9" w:rsidRDefault="006E40C9">
            <w:pPr>
              <w:pStyle w:val="MeasureTableTextLeftAligned"/>
            </w:pPr>
            <w:r>
              <w:t>1985 and 1996</w:t>
            </w:r>
          </w:p>
        </w:tc>
        <w:tc>
          <w:tcPr>
            <w:tcW w:w="1500" w:type="dxa"/>
            <w:gridSpan w:val="2"/>
            <w:tcBorders>
              <w:top w:val="nil"/>
              <w:bottom w:val="nil"/>
            </w:tcBorders>
          </w:tcPr>
          <w:p w14:paraId="46EB8B5B" w14:textId="77777777" w:rsidR="006E40C9" w:rsidRPr="00F32057" w:rsidRDefault="006E40C9">
            <w:pPr>
              <w:pStyle w:val="MeasureTableTextItalic"/>
            </w:pPr>
            <w:r>
              <w:t>Expiry date:</w:t>
            </w:r>
          </w:p>
        </w:tc>
        <w:tc>
          <w:tcPr>
            <w:tcW w:w="1124" w:type="dxa"/>
            <w:gridSpan w:val="2"/>
            <w:tcBorders>
              <w:top w:val="nil"/>
              <w:bottom w:val="nil"/>
            </w:tcBorders>
          </w:tcPr>
          <w:p w14:paraId="554DEDCF" w14:textId="77777777" w:rsidR="006E40C9" w:rsidRPr="00F32057" w:rsidRDefault="006E40C9">
            <w:pPr>
              <w:pStyle w:val="MeasureTableTextLeftAligned"/>
            </w:pPr>
          </w:p>
        </w:tc>
      </w:tr>
      <w:tr w:rsidR="006E40C9" w14:paraId="46FA561A" w14:textId="77777777">
        <w:trPr>
          <w:cantSplit/>
          <w:jc w:val="center"/>
        </w:trPr>
        <w:tc>
          <w:tcPr>
            <w:tcW w:w="1934" w:type="dxa"/>
            <w:gridSpan w:val="2"/>
            <w:tcBorders>
              <w:top w:val="nil"/>
            </w:tcBorders>
          </w:tcPr>
          <w:p w14:paraId="55EC5F04" w14:textId="77777777" w:rsidR="006E40C9" w:rsidRDefault="006E40C9">
            <w:pPr>
              <w:pStyle w:val="MeasureTableTextItalic"/>
            </w:pPr>
            <w:r>
              <w:t>Legislative reference:</w:t>
            </w:r>
          </w:p>
        </w:tc>
        <w:tc>
          <w:tcPr>
            <w:tcW w:w="5803" w:type="dxa"/>
            <w:gridSpan w:val="8"/>
            <w:tcBorders>
              <w:top w:val="nil"/>
            </w:tcBorders>
          </w:tcPr>
          <w:p w14:paraId="6805F0F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118-145, 118-195 and 118-200 of the </w:t>
            </w:r>
            <w:r>
              <w:rPr>
                <w:rFonts w:ascii="Arial" w:hAnsi="Arial" w:cs="Arial"/>
                <w:i/>
                <w:iCs/>
                <w:color w:val="000000"/>
                <w:sz w:val="16"/>
                <w:szCs w:val="16"/>
              </w:rPr>
              <w:t>Income Tax Assessment Act 1997</w:t>
            </w:r>
          </w:p>
        </w:tc>
      </w:tr>
    </w:tbl>
    <w:p w14:paraId="0CC5EE87" w14:textId="77777777" w:rsidR="006E40C9" w:rsidRPr="00540040" w:rsidRDefault="006E40C9" w:rsidP="006E40C9">
      <w:pPr>
        <w:pStyle w:val="MeasureTableHeading"/>
      </w:pPr>
    </w:p>
    <w:p w14:paraId="205C64AC" w14:textId="625512D2" w:rsidR="006E40C9" w:rsidRDefault="006E40C9" w:rsidP="00516FA7">
      <w:r>
        <w:t xml:space="preserve">Under the benchmark, realised capital gains are generally assessable to taxpayers at their applicable tax rate in the year they arise. However, capital gains or losses on the disposal of an individual’s main residence and up to 2 hectares of adjacent land are exempt from CGT, to the extent the dwelling is used as a home. </w:t>
      </w:r>
    </w:p>
    <w:p w14:paraId="138ED3BC" w14:textId="4C2A53F5" w:rsidR="006E40C9" w:rsidRDefault="006E40C9" w:rsidP="00516FA7">
      <w:r>
        <w:t>A taxpayer’s dwelling may continue to be treated as their main residence even if it ceases to be their main residence</w:t>
      </w:r>
      <w:r w:rsidRPr="00B87404">
        <w:t xml:space="preserve"> </w:t>
      </w:r>
      <w:r>
        <w:t>for up to 6 years, if the dwelling is used to produce assessable income; or indefinitely, if the dwelling is not used to produce assessable income.</w:t>
      </w:r>
      <w:r w:rsidRPr="00AF3FBF">
        <w:t xml:space="preserve"> </w:t>
      </w:r>
      <w:r>
        <w:t>This is provided that no other dwelling is treated as the taxpayer’s main residence during the period of absence.</w:t>
      </w:r>
    </w:p>
    <w:p w14:paraId="695D7E14" w14:textId="77777777" w:rsidR="006E40C9" w:rsidRDefault="006E40C9" w:rsidP="00516FA7">
      <w:r w:rsidRPr="00E666DC">
        <w:t xml:space="preserve">In addition, a taxpayer who receives a dwelling as beneficiary of a deceased estate, or who owns the dwelling as the trustee of a deceased estate, may be able to </w:t>
      </w:r>
      <w:r>
        <w:t xml:space="preserve">disregard all or a proportion of a capital gain or loss if certain conditions are met. </w:t>
      </w:r>
    </w:p>
    <w:p w14:paraId="42BABA9A" w14:textId="77777777" w:rsidR="006E40C9" w:rsidRDefault="006E40C9" w:rsidP="00D9255A">
      <w:pPr>
        <w:pStyle w:val="Heading3"/>
      </w:pPr>
      <w:r>
        <w:t>Tax expenditures for recreation and culture</w:t>
      </w:r>
    </w:p>
    <w:p w14:paraId="10959105" w14:textId="77777777" w:rsidR="006E40C9" w:rsidRDefault="006E40C9" w:rsidP="00D9255A">
      <w:pPr>
        <w:pStyle w:val="TESHeading5"/>
      </w:pPr>
      <w:r>
        <w:t>E10</w:t>
      </w:r>
      <w:r>
        <w:tab/>
        <w:t>Exemption for the disposal of assets under the Cultural Gifts program</w:t>
      </w:r>
    </w:p>
    <w:p w14:paraId="54E935F2"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06C6E4" w14:textId="77777777">
        <w:trPr>
          <w:cantSplit/>
          <w:jc w:val="center"/>
        </w:trPr>
        <w:tc>
          <w:tcPr>
            <w:tcW w:w="967" w:type="dxa"/>
            <w:tcBorders>
              <w:top w:val="single" w:sz="2" w:space="0" w:color="auto"/>
              <w:bottom w:val="single" w:sz="2" w:space="0" w:color="auto"/>
            </w:tcBorders>
          </w:tcPr>
          <w:p w14:paraId="11C7698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A28D12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ECFFA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118FA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651766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380C4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73C0F3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620310E" w14:textId="77777777" w:rsidR="006E40C9" w:rsidRDefault="006E40C9">
            <w:pPr>
              <w:pStyle w:val="MeasureTableTextRightAligned"/>
            </w:pPr>
            <w:r>
              <w:t>2027-28</w:t>
            </w:r>
          </w:p>
        </w:tc>
      </w:tr>
      <w:tr w:rsidR="006E40C9" w14:paraId="52D3B868" w14:textId="77777777">
        <w:trPr>
          <w:cantSplit/>
          <w:jc w:val="center"/>
        </w:trPr>
        <w:tc>
          <w:tcPr>
            <w:tcW w:w="967" w:type="dxa"/>
            <w:tcBorders>
              <w:top w:val="single" w:sz="2" w:space="0" w:color="auto"/>
              <w:bottom w:val="single" w:sz="2" w:space="0" w:color="auto"/>
            </w:tcBorders>
          </w:tcPr>
          <w:p w14:paraId="0B090CBF" w14:textId="77777777" w:rsidR="006E40C9" w:rsidRDefault="006E40C9">
            <w:pPr>
              <w:pStyle w:val="MeasureTableTextRightAligned"/>
            </w:pPr>
            <w:r>
              <w:t>*</w:t>
            </w:r>
          </w:p>
        </w:tc>
        <w:tc>
          <w:tcPr>
            <w:tcW w:w="967" w:type="dxa"/>
            <w:tcBorders>
              <w:top w:val="single" w:sz="2" w:space="0" w:color="auto"/>
              <w:bottom w:val="single" w:sz="2" w:space="0" w:color="auto"/>
            </w:tcBorders>
          </w:tcPr>
          <w:p w14:paraId="753AAE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75046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D9D97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1CCDD9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B5D8EA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3630F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D01A2EA" w14:textId="77777777" w:rsidR="006E40C9" w:rsidRDefault="006E40C9">
            <w:pPr>
              <w:pStyle w:val="MeasureTableTextRightAligned"/>
            </w:pPr>
            <w:r>
              <w:t>*</w:t>
            </w:r>
          </w:p>
        </w:tc>
      </w:tr>
      <w:tr w:rsidR="006E40C9" w14:paraId="02272B6F" w14:textId="77777777">
        <w:trPr>
          <w:cantSplit/>
          <w:jc w:val="center"/>
        </w:trPr>
        <w:tc>
          <w:tcPr>
            <w:tcW w:w="1934" w:type="dxa"/>
            <w:gridSpan w:val="2"/>
            <w:tcBorders>
              <w:top w:val="single" w:sz="2" w:space="0" w:color="auto"/>
              <w:bottom w:val="nil"/>
            </w:tcBorders>
          </w:tcPr>
          <w:p w14:paraId="1F565F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ACA667" w14:textId="77777777" w:rsidR="006E40C9" w:rsidRDefault="006E40C9">
            <w:pPr>
              <w:pStyle w:val="MeasureTableTextLeftAligned"/>
            </w:pPr>
            <w:r>
              <w:t>Exemption</w:t>
            </w:r>
          </w:p>
        </w:tc>
        <w:tc>
          <w:tcPr>
            <w:tcW w:w="1500" w:type="dxa"/>
            <w:gridSpan w:val="2"/>
            <w:tcBorders>
              <w:top w:val="single" w:sz="2" w:space="0" w:color="auto"/>
              <w:bottom w:val="nil"/>
            </w:tcBorders>
          </w:tcPr>
          <w:p w14:paraId="2D789A2E" w14:textId="5A9826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BFAB9C" w14:textId="77777777" w:rsidR="006E40C9" w:rsidRDefault="006E40C9">
            <w:pPr>
              <w:pStyle w:val="MeasureTableTextLeftAligned"/>
            </w:pPr>
            <w:r>
              <w:t>E10</w:t>
            </w:r>
          </w:p>
        </w:tc>
      </w:tr>
      <w:tr w:rsidR="006E40C9" w14:paraId="2C5656A4" w14:textId="77777777">
        <w:trPr>
          <w:cantSplit/>
          <w:jc w:val="center"/>
        </w:trPr>
        <w:tc>
          <w:tcPr>
            <w:tcW w:w="1934" w:type="dxa"/>
            <w:gridSpan w:val="2"/>
            <w:tcBorders>
              <w:top w:val="nil"/>
              <w:bottom w:val="nil"/>
            </w:tcBorders>
          </w:tcPr>
          <w:p w14:paraId="33B9F7C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06428FA" w14:textId="77777777" w:rsidR="006E40C9" w:rsidRPr="00584CA7" w:rsidRDefault="006E40C9">
            <w:pPr>
              <w:pStyle w:val="MeasureTableTextLeftAligned"/>
            </w:pPr>
            <w:r>
              <w:t>Not Applicable</w:t>
            </w:r>
          </w:p>
        </w:tc>
        <w:tc>
          <w:tcPr>
            <w:tcW w:w="1500" w:type="dxa"/>
            <w:gridSpan w:val="2"/>
            <w:tcBorders>
              <w:top w:val="nil"/>
              <w:bottom w:val="nil"/>
            </w:tcBorders>
          </w:tcPr>
          <w:p w14:paraId="1D84BD76" w14:textId="77777777" w:rsidR="006E40C9" w:rsidRDefault="006E40C9">
            <w:pPr>
              <w:pStyle w:val="MeasureTableTextItalic"/>
            </w:pPr>
            <w:r>
              <w:t>* Category</w:t>
            </w:r>
          </w:p>
        </w:tc>
        <w:tc>
          <w:tcPr>
            <w:tcW w:w="1124" w:type="dxa"/>
            <w:gridSpan w:val="2"/>
            <w:tcBorders>
              <w:top w:val="nil"/>
              <w:bottom w:val="nil"/>
            </w:tcBorders>
          </w:tcPr>
          <w:p w14:paraId="08652C04" w14:textId="77777777" w:rsidR="006E40C9" w:rsidRDefault="006E40C9">
            <w:pPr>
              <w:pStyle w:val="MeasureTableTextLeftAligned"/>
            </w:pPr>
            <w:r>
              <w:t>1+</w:t>
            </w:r>
          </w:p>
        </w:tc>
      </w:tr>
      <w:tr w:rsidR="006E40C9" w14:paraId="07AA1539" w14:textId="77777777">
        <w:trPr>
          <w:cantSplit/>
          <w:jc w:val="center"/>
        </w:trPr>
        <w:tc>
          <w:tcPr>
            <w:tcW w:w="1934" w:type="dxa"/>
            <w:gridSpan w:val="2"/>
            <w:tcBorders>
              <w:top w:val="nil"/>
              <w:bottom w:val="nil"/>
            </w:tcBorders>
          </w:tcPr>
          <w:p w14:paraId="0746AC78" w14:textId="77777777" w:rsidR="006E40C9" w:rsidRDefault="006E40C9">
            <w:pPr>
              <w:pStyle w:val="MeasureTableTextItalic"/>
            </w:pPr>
            <w:r>
              <w:t>Commencement date:</w:t>
            </w:r>
          </w:p>
        </w:tc>
        <w:tc>
          <w:tcPr>
            <w:tcW w:w="3179" w:type="dxa"/>
            <w:gridSpan w:val="4"/>
            <w:tcBorders>
              <w:top w:val="nil"/>
              <w:bottom w:val="nil"/>
            </w:tcBorders>
          </w:tcPr>
          <w:p w14:paraId="3D5337BC" w14:textId="77777777" w:rsidR="006E40C9" w:rsidRDefault="006E40C9">
            <w:pPr>
              <w:pStyle w:val="MeasureTableTextLeftAligned"/>
            </w:pPr>
            <w:r>
              <w:t>1 July 1999</w:t>
            </w:r>
          </w:p>
        </w:tc>
        <w:tc>
          <w:tcPr>
            <w:tcW w:w="1500" w:type="dxa"/>
            <w:gridSpan w:val="2"/>
            <w:tcBorders>
              <w:top w:val="nil"/>
              <w:bottom w:val="nil"/>
            </w:tcBorders>
          </w:tcPr>
          <w:p w14:paraId="3C8DED5B" w14:textId="77777777" w:rsidR="006E40C9" w:rsidRPr="00F32057" w:rsidRDefault="006E40C9">
            <w:pPr>
              <w:pStyle w:val="MeasureTableTextItalic"/>
            </w:pPr>
            <w:r>
              <w:t>Expiry date:</w:t>
            </w:r>
          </w:p>
        </w:tc>
        <w:tc>
          <w:tcPr>
            <w:tcW w:w="1124" w:type="dxa"/>
            <w:gridSpan w:val="2"/>
            <w:tcBorders>
              <w:top w:val="nil"/>
              <w:bottom w:val="nil"/>
            </w:tcBorders>
          </w:tcPr>
          <w:p w14:paraId="2BD78F88" w14:textId="77777777" w:rsidR="006E40C9" w:rsidRPr="00F32057" w:rsidRDefault="006E40C9">
            <w:pPr>
              <w:pStyle w:val="MeasureTableTextLeftAligned"/>
            </w:pPr>
          </w:p>
        </w:tc>
      </w:tr>
      <w:tr w:rsidR="006E40C9" w14:paraId="34FDB71C" w14:textId="77777777">
        <w:trPr>
          <w:cantSplit/>
          <w:jc w:val="center"/>
        </w:trPr>
        <w:tc>
          <w:tcPr>
            <w:tcW w:w="1934" w:type="dxa"/>
            <w:gridSpan w:val="2"/>
            <w:tcBorders>
              <w:top w:val="nil"/>
            </w:tcBorders>
          </w:tcPr>
          <w:p w14:paraId="22FCE3C1" w14:textId="77777777" w:rsidR="006E40C9" w:rsidRDefault="006E40C9">
            <w:pPr>
              <w:pStyle w:val="MeasureTableTextItalic"/>
            </w:pPr>
            <w:r>
              <w:t>Legislative reference:</w:t>
            </w:r>
          </w:p>
        </w:tc>
        <w:tc>
          <w:tcPr>
            <w:tcW w:w="5803" w:type="dxa"/>
            <w:gridSpan w:val="8"/>
            <w:tcBorders>
              <w:top w:val="nil"/>
            </w:tcBorders>
          </w:tcPr>
          <w:p w14:paraId="5ABA37D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30-15 and subsection 118-60(2) of the </w:t>
            </w:r>
            <w:r>
              <w:rPr>
                <w:rFonts w:ascii="Arial" w:hAnsi="Arial" w:cs="Arial"/>
                <w:i/>
                <w:iCs/>
                <w:color w:val="000000"/>
                <w:sz w:val="16"/>
                <w:szCs w:val="16"/>
              </w:rPr>
              <w:t>Income Tax Assessment Act 1997</w:t>
            </w:r>
          </w:p>
        </w:tc>
      </w:tr>
    </w:tbl>
    <w:p w14:paraId="04666BE4" w14:textId="77777777" w:rsidR="006E40C9" w:rsidRPr="00540040" w:rsidRDefault="006E40C9" w:rsidP="006E40C9">
      <w:pPr>
        <w:pStyle w:val="MeasureTableHeading"/>
      </w:pPr>
    </w:p>
    <w:p w14:paraId="6845BE93" w14:textId="74BFED6F" w:rsidR="006E40C9" w:rsidRDefault="006E40C9" w:rsidP="006E40C9">
      <w:r>
        <w:t>Under the benchmark, realised capital gains are generally assessable to taxpayers at their applicable tax rate in the year they arise. However, capital gains or losses arising from gifts made under the Cultural Gifts program are exempt from CGT. The Cultural Gifts program, which does not apply to testamentary gifts, encourages donations of significant cultural items from private collections to public art galleries, public museums and public libraries or Artbank by offering tax incentives to the donor.</w:t>
      </w:r>
    </w:p>
    <w:p w14:paraId="56AD08CF" w14:textId="77777777" w:rsidR="006E40C9" w:rsidRDefault="006E40C9" w:rsidP="00D9255A">
      <w:pPr>
        <w:pStyle w:val="Heading3"/>
      </w:pPr>
      <w:r>
        <w:t>Tax expenditures for other economic affairs</w:t>
      </w:r>
    </w:p>
    <w:p w14:paraId="4737CD42" w14:textId="77777777" w:rsidR="006E40C9" w:rsidRDefault="006E40C9" w:rsidP="00D9255A">
      <w:pPr>
        <w:pStyle w:val="TESHeading5"/>
      </w:pPr>
      <w:r>
        <w:t>E11</w:t>
      </w:r>
      <w:r>
        <w:tab/>
        <w:t>Roll-over for worker entitlement funds</w:t>
      </w:r>
    </w:p>
    <w:p w14:paraId="42CA3192" w14:textId="0125E563" w:rsidR="006E40C9" w:rsidRDefault="006E40C9" w:rsidP="006E40C9">
      <w:pPr>
        <w:pStyle w:val="MeasureTableHeading"/>
      </w:pPr>
      <w:r>
        <w:t>Other economic affairs</w:t>
      </w:r>
      <w:r w:rsidR="009F5E3D">
        <w:t xml:space="preserve"> – </w:t>
      </w:r>
      <w:r>
        <w:t>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E084774" w14:textId="77777777">
        <w:trPr>
          <w:cantSplit/>
          <w:jc w:val="center"/>
        </w:trPr>
        <w:tc>
          <w:tcPr>
            <w:tcW w:w="967" w:type="dxa"/>
            <w:tcBorders>
              <w:top w:val="single" w:sz="2" w:space="0" w:color="auto"/>
              <w:bottom w:val="single" w:sz="2" w:space="0" w:color="auto"/>
            </w:tcBorders>
          </w:tcPr>
          <w:p w14:paraId="61DC8AA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BFEFA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258A77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E1E428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E9E50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D04A7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A7E2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B9C005" w14:textId="77777777" w:rsidR="006E40C9" w:rsidRDefault="006E40C9">
            <w:pPr>
              <w:pStyle w:val="MeasureTableTextRightAligned"/>
            </w:pPr>
            <w:r>
              <w:t>2027-28</w:t>
            </w:r>
          </w:p>
        </w:tc>
      </w:tr>
      <w:tr w:rsidR="006E40C9" w14:paraId="6D7894B1" w14:textId="77777777">
        <w:trPr>
          <w:cantSplit/>
          <w:jc w:val="center"/>
        </w:trPr>
        <w:tc>
          <w:tcPr>
            <w:tcW w:w="967" w:type="dxa"/>
            <w:tcBorders>
              <w:top w:val="single" w:sz="2" w:space="0" w:color="auto"/>
              <w:bottom w:val="single" w:sz="2" w:space="0" w:color="auto"/>
            </w:tcBorders>
          </w:tcPr>
          <w:p w14:paraId="6EA9D320" w14:textId="77777777" w:rsidR="006E40C9" w:rsidRDefault="006E40C9">
            <w:pPr>
              <w:pStyle w:val="MeasureTableTextRightAligned"/>
            </w:pPr>
            <w:r>
              <w:t>*</w:t>
            </w:r>
          </w:p>
        </w:tc>
        <w:tc>
          <w:tcPr>
            <w:tcW w:w="967" w:type="dxa"/>
            <w:tcBorders>
              <w:top w:val="single" w:sz="2" w:space="0" w:color="auto"/>
              <w:bottom w:val="single" w:sz="2" w:space="0" w:color="auto"/>
            </w:tcBorders>
          </w:tcPr>
          <w:p w14:paraId="0415765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6A1AC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9169E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899A70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9AA849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DADCA7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F3DB5EA" w14:textId="77777777" w:rsidR="006E40C9" w:rsidRDefault="006E40C9">
            <w:pPr>
              <w:pStyle w:val="MeasureTableTextRightAligned"/>
            </w:pPr>
            <w:r>
              <w:t>*</w:t>
            </w:r>
          </w:p>
        </w:tc>
      </w:tr>
      <w:tr w:rsidR="006E40C9" w14:paraId="5AA1F703" w14:textId="77777777">
        <w:trPr>
          <w:cantSplit/>
          <w:jc w:val="center"/>
        </w:trPr>
        <w:tc>
          <w:tcPr>
            <w:tcW w:w="1934" w:type="dxa"/>
            <w:gridSpan w:val="2"/>
            <w:tcBorders>
              <w:top w:val="single" w:sz="2" w:space="0" w:color="auto"/>
              <w:bottom w:val="nil"/>
            </w:tcBorders>
          </w:tcPr>
          <w:p w14:paraId="45ED3D7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5BDF1D" w14:textId="77777777" w:rsidR="006E40C9" w:rsidRDefault="006E40C9">
            <w:pPr>
              <w:pStyle w:val="MeasureTableTextLeftAligned"/>
            </w:pPr>
            <w:r>
              <w:t>Deferral</w:t>
            </w:r>
          </w:p>
        </w:tc>
        <w:tc>
          <w:tcPr>
            <w:tcW w:w="1500" w:type="dxa"/>
            <w:gridSpan w:val="2"/>
            <w:tcBorders>
              <w:top w:val="single" w:sz="2" w:space="0" w:color="auto"/>
              <w:bottom w:val="nil"/>
            </w:tcBorders>
          </w:tcPr>
          <w:p w14:paraId="148B300F" w14:textId="6D79CF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BF5EBB" w14:textId="77777777" w:rsidR="006E40C9" w:rsidRDefault="006E40C9">
            <w:pPr>
              <w:pStyle w:val="MeasureTableTextLeftAligned"/>
            </w:pPr>
            <w:r>
              <w:t>E11</w:t>
            </w:r>
          </w:p>
        </w:tc>
      </w:tr>
      <w:tr w:rsidR="006E40C9" w14:paraId="3D7E189D" w14:textId="77777777">
        <w:trPr>
          <w:cantSplit/>
          <w:jc w:val="center"/>
        </w:trPr>
        <w:tc>
          <w:tcPr>
            <w:tcW w:w="1934" w:type="dxa"/>
            <w:gridSpan w:val="2"/>
            <w:tcBorders>
              <w:top w:val="nil"/>
              <w:bottom w:val="nil"/>
            </w:tcBorders>
          </w:tcPr>
          <w:p w14:paraId="128E081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D8C6DF" w14:textId="77777777" w:rsidR="006E40C9" w:rsidRPr="00584CA7" w:rsidRDefault="006E40C9">
            <w:pPr>
              <w:pStyle w:val="MeasureTableTextLeftAligned"/>
            </w:pPr>
            <w:r>
              <w:t>Not Applicable</w:t>
            </w:r>
          </w:p>
        </w:tc>
        <w:tc>
          <w:tcPr>
            <w:tcW w:w="1500" w:type="dxa"/>
            <w:gridSpan w:val="2"/>
            <w:tcBorders>
              <w:top w:val="nil"/>
              <w:bottom w:val="nil"/>
            </w:tcBorders>
          </w:tcPr>
          <w:p w14:paraId="30525086" w14:textId="77777777" w:rsidR="006E40C9" w:rsidRDefault="006E40C9">
            <w:pPr>
              <w:pStyle w:val="MeasureTableTextItalic"/>
            </w:pPr>
            <w:r>
              <w:t>* Category</w:t>
            </w:r>
          </w:p>
        </w:tc>
        <w:tc>
          <w:tcPr>
            <w:tcW w:w="1124" w:type="dxa"/>
            <w:gridSpan w:val="2"/>
            <w:tcBorders>
              <w:top w:val="nil"/>
              <w:bottom w:val="nil"/>
            </w:tcBorders>
          </w:tcPr>
          <w:p w14:paraId="60E7F3BA" w14:textId="77777777" w:rsidR="006E40C9" w:rsidRDefault="006E40C9">
            <w:pPr>
              <w:pStyle w:val="MeasureTableTextLeftAligned"/>
            </w:pPr>
            <w:r>
              <w:t>0</w:t>
            </w:r>
          </w:p>
        </w:tc>
      </w:tr>
      <w:tr w:rsidR="006E40C9" w14:paraId="1CB3DCFF" w14:textId="77777777">
        <w:trPr>
          <w:cantSplit/>
          <w:jc w:val="center"/>
        </w:trPr>
        <w:tc>
          <w:tcPr>
            <w:tcW w:w="1934" w:type="dxa"/>
            <w:gridSpan w:val="2"/>
            <w:tcBorders>
              <w:top w:val="nil"/>
              <w:bottom w:val="nil"/>
            </w:tcBorders>
          </w:tcPr>
          <w:p w14:paraId="2983040C" w14:textId="77777777" w:rsidR="006E40C9" w:rsidRDefault="006E40C9">
            <w:pPr>
              <w:pStyle w:val="MeasureTableTextItalic"/>
            </w:pPr>
            <w:r>
              <w:t>Commencement date:</w:t>
            </w:r>
          </w:p>
        </w:tc>
        <w:tc>
          <w:tcPr>
            <w:tcW w:w="3179" w:type="dxa"/>
            <w:gridSpan w:val="4"/>
            <w:tcBorders>
              <w:top w:val="nil"/>
              <w:bottom w:val="nil"/>
            </w:tcBorders>
          </w:tcPr>
          <w:p w14:paraId="223EFF00" w14:textId="77777777" w:rsidR="006E40C9" w:rsidRDefault="006E40C9">
            <w:pPr>
              <w:pStyle w:val="MeasureTableTextLeftAligned"/>
            </w:pPr>
            <w:r>
              <w:t>2003</w:t>
            </w:r>
          </w:p>
        </w:tc>
        <w:tc>
          <w:tcPr>
            <w:tcW w:w="1500" w:type="dxa"/>
            <w:gridSpan w:val="2"/>
            <w:tcBorders>
              <w:top w:val="nil"/>
              <w:bottom w:val="nil"/>
            </w:tcBorders>
          </w:tcPr>
          <w:p w14:paraId="65C97724" w14:textId="77777777" w:rsidR="006E40C9" w:rsidRPr="00F32057" w:rsidRDefault="006E40C9">
            <w:pPr>
              <w:pStyle w:val="MeasureTableTextItalic"/>
            </w:pPr>
            <w:r>
              <w:t>Expiry date:</w:t>
            </w:r>
          </w:p>
        </w:tc>
        <w:tc>
          <w:tcPr>
            <w:tcW w:w="1124" w:type="dxa"/>
            <w:gridSpan w:val="2"/>
            <w:tcBorders>
              <w:top w:val="nil"/>
              <w:bottom w:val="nil"/>
            </w:tcBorders>
          </w:tcPr>
          <w:p w14:paraId="7CEC9F9A" w14:textId="77777777" w:rsidR="006E40C9" w:rsidRPr="00F32057" w:rsidRDefault="006E40C9">
            <w:pPr>
              <w:pStyle w:val="MeasureTableTextLeftAligned"/>
            </w:pPr>
          </w:p>
        </w:tc>
      </w:tr>
      <w:tr w:rsidR="006E40C9" w14:paraId="719EF90C" w14:textId="77777777">
        <w:trPr>
          <w:cantSplit/>
          <w:jc w:val="center"/>
        </w:trPr>
        <w:tc>
          <w:tcPr>
            <w:tcW w:w="1934" w:type="dxa"/>
            <w:gridSpan w:val="2"/>
            <w:tcBorders>
              <w:top w:val="nil"/>
            </w:tcBorders>
          </w:tcPr>
          <w:p w14:paraId="3B31D477" w14:textId="77777777" w:rsidR="006E40C9" w:rsidRDefault="006E40C9">
            <w:pPr>
              <w:pStyle w:val="MeasureTableTextItalic"/>
            </w:pPr>
            <w:r>
              <w:t>Legislative reference:</w:t>
            </w:r>
          </w:p>
        </w:tc>
        <w:tc>
          <w:tcPr>
            <w:tcW w:w="5803" w:type="dxa"/>
            <w:gridSpan w:val="8"/>
            <w:tcBorders>
              <w:top w:val="nil"/>
            </w:tcBorders>
          </w:tcPr>
          <w:p w14:paraId="01B0AB0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126-C of the </w:t>
            </w:r>
            <w:r>
              <w:rPr>
                <w:rFonts w:ascii="Arial" w:hAnsi="Arial" w:cs="Arial"/>
                <w:i/>
                <w:iCs/>
                <w:color w:val="000000"/>
                <w:sz w:val="16"/>
                <w:szCs w:val="16"/>
              </w:rPr>
              <w:t>Income Tax Assessment Act 1997</w:t>
            </w:r>
          </w:p>
        </w:tc>
      </w:tr>
    </w:tbl>
    <w:p w14:paraId="7AC52DB4" w14:textId="77777777" w:rsidR="006E40C9" w:rsidRPr="00540040" w:rsidRDefault="006E40C9" w:rsidP="006E40C9">
      <w:pPr>
        <w:pStyle w:val="MeasureTableHeading"/>
      </w:pPr>
    </w:p>
    <w:p w14:paraId="79775C55" w14:textId="0204B1CA" w:rsidR="006E40C9" w:rsidRDefault="006E40C9" w:rsidP="006E40C9">
      <w:r>
        <w:t>Under the benchmark, realised capital gains are generally assessable to taxpayers at their applicable tax rate in the year they arise. However, a CGT roll</w:t>
      </w:r>
      <w:r>
        <w:noBreakHyphen/>
        <w:t xml:space="preserve">over </w:t>
      </w:r>
      <w:r>
        <w:fldChar w:fldCharType="begin"/>
      </w:r>
      <w:r>
        <w:instrText xml:space="preserve"> XE "Capital gains tax:Roll-over" </w:instrText>
      </w:r>
      <w:r>
        <w:fldChar w:fldCharType="end"/>
      </w:r>
      <w:r>
        <w:t xml:space="preserve">is available for a fund that amends or replaces its trust deed in order to become an approved worker entitlement fund for fringe benefits tax purposes. </w:t>
      </w:r>
    </w:p>
    <w:p w14:paraId="731E1226" w14:textId="77777777" w:rsidR="006E40C9" w:rsidRDefault="006E40C9" w:rsidP="00D9255A">
      <w:pPr>
        <w:pStyle w:val="TESHeading5"/>
      </w:pPr>
      <w:r>
        <w:t>E12</w:t>
      </w:r>
      <w:r>
        <w:tab/>
        <w:t>Concession for non-portfolio interests in foreign companies with active businesses</w:t>
      </w:r>
    </w:p>
    <w:p w14:paraId="63AB43F3" w14:textId="4596FA9D"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B7A4C0" w14:textId="77777777">
        <w:trPr>
          <w:cantSplit/>
          <w:jc w:val="center"/>
        </w:trPr>
        <w:tc>
          <w:tcPr>
            <w:tcW w:w="967" w:type="dxa"/>
            <w:tcBorders>
              <w:top w:val="single" w:sz="2" w:space="0" w:color="auto"/>
              <w:bottom w:val="single" w:sz="2" w:space="0" w:color="auto"/>
            </w:tcBorders>
          </w:tcPr>
          <w:p w14:paraId="3C5A9C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B3CDCB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8EC970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76A97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4B662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9BC19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45F61C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A36DC8C" w14:textId="77777777" w:rsidR="006E40C9" w:rsidRDefault="006E40C9">
            <w:pPr>
              <w:pStyle w:val="MeasureTableTextRightAligned"/>
            </w:pPr>
            <w:r>
              <w:t>2027-28</w:t>
            </w:r>
          </w:p>
        </w:tc>
      </w:tr>
      <w:tr w:rsidR="006E40C9" w14:paraId="3CF1C6E7" w14:textId="77777777">
        <w:trPr>
          <w:cantSplit/>
          <w:jc w:val="center"/>
        </w:trPr>
        <w:tc>
          <w:tcPr>
            <w:tcW w:w="967" w:type="dxa"/>
            <w:tcBorders>
              <w:top w:val="single" w:sz="2" w:space="0" w:color="auto"/>
              <w:bottom w:val="single" w:sz="2" w:space="0" w:color="auto"/>
            </w:tcBorders>
          </w:tcPr>
          <w:p w14:paraId="313834F0" w14:textId="77777777" w:rsidR="006E40C9" w:rsidRDefault="006E40C9">
            <w:pPr>
              <w:pStyle w:val="MeasureTableTextRightAligned"/>
            </w:pPr>
            <w:r>
              <w:t>*</w:t>
            </w:r>
          </w:p>
        </w:tc>
        <w:tc>
          <w:tcPr>
            <w:tcW w:w="967" w:type="dxa"/>
            <w:tcBorders>
              <w:top w:val="single" w:sz="2" w:space="0" w:color="auto"/>
              <w:bottom w:val="single" w:sz="2" w:space="0" w:color="auto"/>
            </w:tcBorders>
          </w:tcPr>
          <w:p w14:paraId="5453B73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AA7FB7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966D93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A7529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319501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D2344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D122A68" w14:textId="77777777" w:rsidR="006E40C9" w:rsidRDefault="006E40C9">
            <w:pPr>
              <w:pStyle w:val="MeasureTableTextRightAligned"/>
            </w:pPr>
            <w:r>
              <w:t>*</w:t>
            </w:r>
          </w:p>
        </w:tc>
      </w:tr>
      <w:tr w:rsidR="006E40C9" w14:paraId="38B33A01" w14:textId="77777777">
        <w:trPr>
          <w:cantSplit/>
          <w:jc w:val="center"/>
        </w:trPr>
        <w:tc>
          <w:tcPr>
            <w:tcW w:w="1934" w:type="dxa"/>
            <w:gridSpan w:val="2"/>
            <w:tcBorders>
              <w:top w:val="single" w:sz="2" w:space="0" w:color="auto"/>
              <w:bottom w:val="nil"/>
            </w:tcBorders>
          </w:tcPr>
          <w:p w14:paraId="22684DC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67CBE89"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4AA64F2E" w14:textId="14906E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9388780" w14:textId="77777777" w:rsidR="006E40C9" w:rsidRDefault="006E40C9">
            <w:pPr>
              <w:pStyle w:val="MeasureTableTextLeftAligned"/>
            </w:pPr>
            <w:r>
              <w:t>E12</w:t>
            </w:r>
          </w:p>
        </w:tc>
      </w:tr>
      <w:tr w:rsidR="006E40C9" w14:paraId="07999C47" w14:textId="77777777">
        <w:trPr>
          <w:cantSplit/>
          <w:jc w:val="center"/>
        </w:trPr>
        <w:tc>
          <w:tcPr>
            <w:tcW w:w="1934" w:type="dxa"/>
            <w:gridSpan w:val="2"/>
            <w:tcBorders>
              <w:top w:val="nil"/>
              <w:bottom w:val="nil"/>
            </w:tcBorders>
          </w:tcPr>
          <w:p w14:paraId="4EC4FF8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8C66C3" w14:textId="77777777" w:rsidR="006E40C9" w:rsidRPr="00584CA7" w:rsidRDefault="006E40C9">
            <w:pPr>
              <w:pStyle w:val="MeasureTableTextLeftAligned"/>
            </w:pPr>
            <w:r>
              <w:t>Not Applicable</w:t>
            </w:r>
          </w:p>
        </w:tc>
        <w:tc>
          <w:tcPr>
            <w:tcW w:w="1500" w:type="dxa"/>
            <w:gridSpan w:val="2"/>
            <w:tcBorders>
              <w:top w:val="nil"/>
              <w:bottom w:val="nil"/>
            </w:tcBorders>
          </w:tcPr>
          <w:p w14:paraId="034F3CEE" w14:textId="77777777" w:rsidR="006E40C9" w:rsidRDefault="006E40C9">
            <w:pPr>
              <w:pStyle w:val="MeasureTableTextItalic"/>
            </w:pPr>
            <w:r>
              <w:t>* Category</w:t>
            </w:r>
          </w:p>
        </w:tc>
        <w:tc>
          <w:tcPr>
            <w:tcW w:w="1124" w:type="dxa"/>
            <w:gridSpan w:val="2"/>
            <w:tcBorders>
              <w:top w:val="nil"/>
              <w:bottom w:val="nil"/>
            </w:tcBorders>
          </w:tcPr>
          <w:p w14:paraId="11E13421" w14:textId="77777777" w:rsidR="006E40C9" w:rsidRDefault="006E40C9">
            <w:pPr>
              <w:pStyle w:val="MeasureTableTextLeftAligned"/>
            </w:pPr>
            <w:r>
              <w:t>3+</w:t>
            </w:r>
          </w:p>
        </w:tc>
      </w:tr>
      <w:tr w:rsidR="006E40C9" w14:paraId="3C7B7BF9" w14:textId="77777777">
        <w:trPr>
          <w:cantSplit/>
          <w:jc w:val="center"/>
        </w:trPr>
        <w:tc>
          <w:tcPr>
            <w:tcW w:w="1934" w:type="dxa"/>
            <w:gridSpan w:val="2"/>
            <w:tcBorders>
              <w:top w:val="nil"/>
              <w:bottom w:val="nil"/>
            </w:tcBorders>
          </w:tcPr>
          <w:p w14:paraId="2B0D0272" w14:textId="77777777" w:rsidR="006E40C9" w:rsidRDefault="006E40C9">
            <w:pPr>
              <w:pStyle w:val="MeasureTableTextItalic"/>
            </w:pPr>
            <w:r>
              <w:t>Commencement date:</w:t>
            </w:r>
          </w:p>
        </w:tc>
        <w:tc>
          <w:tcPr>
            <w:tcW w:w="3179" w:type="dxa"/>
            <w:gridSpan w:val="4"/>
            <w:tcBorders>
              <w:top w:val="nil"/>
              <w:bottom w:val="nil"/>
            </w:tcBorders>
          </w:tcPr>
          <w:p w14:paraId="2D23A12A" w14:textId="77777777" w:rsidR="006E40C9" w:rsidRDefault="006E40C9">
            <w:pPr>
              <w:pStyle w:val="MeasureTableTextLeftAligned"/>
            </w:pPr>
            <w:r>
              <w:t>2004</w:t>
            </w:r>
          </w:p>
        </w:tc>
        <w:tc>
          <w:tcPr>
            <w:tcW w:w="1500" w:type="dxa"/>
            <w:gridSpan w:val="2"/>
            <w:tcBorders>
              <w:top w:val="nil"/>
              <w:bottom w:val="nil"/>
            </w:tcBorders>
          </w:tcPr>
          <w:p w14:paraId="4AEA8241" w14:textId="77777777" w:rsidR="006E40C9" w:rsidRPr="00F32057" w:rsidRDefault="006E40C9">
            <w:pPr>
              <w:pStyle w:val="MeasureTableTextItalic"/>
            </w:pPr>
            <w:r>
              <w:t>Expiry date:</w:t>
            </w:r>
          </w:p>
        </w:tc>
        <w:tc>
          <w:tcPr>
            <w:tcW w:w="1124" w:type="dxa"/>
            <w:gridSpan w:val="2"/>
            <w:tcBorders>
              <w:top w:val="nil"/>
              <w:bottom w:val="nil"/>
            </w:tcBorders>
          </w:tcPr>
          <w:p w14:paraId="2193C1B8" w14:textId="77777777" w:rsidR="006E40C9" w:rsidRPr="00F32057" w:rsidRDefault="006E40C9">
            <w:pPr>
              <w:pStyle w:val="MeasureTableTextLeftAligned"/>
            </w:pPr>
          </w:p>
        </w:tc>
      </w:tr>
      <w:tr w:rsidR="006E40C9" w14:paraId="5BD74EE9" w14:textId="77777777">
        <w:trPr>
          <w:cantSplit/>
          <w:jc w:val="center"/>
        </w:trPr>
        <w:tc>
          <w:tcPr>
            <w:tcW w:w="1934" w:type="dxa"/>
            <w:gridSpan w:val="2"/>
            <w:tcBorders>
              <w:top w:val="nil"/>
            </w:tcBorders>
          </w:tcPr>
          <w:p w14:paraId="684FC7E9" w14:textId="77777777" w:rsidR="006E40C9" w:rsidRDefault="006E40C9">
            <w:pPr>
              <w:pStyle w:val="MeasureTableTextItalic"/>
            </w:pPr>
            <w:r>
              <w:t>Legislative reference:</w:t>
            </w:r>
          </w:p>
        </w:tc>
        <w:tc>
          <w:tcPr>
            <w:tcW w:w="5803" w:type="dxa"/>
            <w:gridSpan w:val="8"/>
            <w:tcBorders>
              <w:top w:val="nil"/>
            </w:tcBorders>
          </w:tcPr>
          <w:p w14:paraId="57B5284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768-505 of the </w:t>
            </w:r>
            <w:r>
              <w:rPr>
                <w:rFonts w:ascii="Arial" w:hAnsi="Arial" w:cs="Arial"/>
                <w:i/>
                <w:iCs/>
                <w:color w:val="000000"/>
                <w:sz w:val="16"/>
                <w:szCs w:val="16"/>
              </w:rPr>
              <w:t>Income Tax Assessment Act 1997</w:t>
            </w:r>
          </w:p>
        </w:tc>
      </w:tr>
    </w:tbl>
    <w:p w14:paraId="6DFB2B0A" w14:textId="77777777" w:rsidR="006E40C9" w:rsidRPr="00540040" w:rsidRDefault="006E40C9" w:rsidP="006E40C9">
      <w:pPr>
        <w:pStyle w:val="MeasureTableHeading"/>
      </w:pPr>
    </w:p>
    <w:p w14:paraId="57AF1C23" w14:textId="77777777" w:rsidR="006E40C9" w:rsidRDefault="006E40C9" w:rsidP="006E40C9">
      <w:r>
        <w:t>Under the benchmark, Australian companies are generally subject to tax on any capital gains made on the disposal of their interests in a foreign company. However, capital gains and losses of Australian companies and controlled foreign companies</w:t>
      </w:r>
      <w:r>
        <w:fldChar w:fldCharType="begin"/>
      </w:r>
      <w:r>
        <w:instrText xml:space="preserve"> XE "Controlled foreign companies" </w:instrText>
      </w:r>
      <w:r>
        <w:fldChar w:fldCharType="end"/>
      </w:r>
      <w:r>
        <w:t xml:space="preserve"> arising from certain CGT events related to non</w:t>
      </w:r>
      <w:r>
        <w:noBreakHyphen/>
        <w:t>portfolio interests in foreign companies with active business assets are reduced. The reduction reflects the degree to which the assets of the foreign company are used in active business. The concession applies where the Australian company holds a direct voting percentage of 10 per cent or more in the foreign company throughout a 12</w:t>
      </w:r>
      <w:r>
        <w:noBreakHyphen/>
        <w:t>month period.</w:t>
      </w:r>
    </w:p>
    <w:p w14:paraId="73D74E24" w14:textId="77777777" w:rsidR="006E40C9" w:rsidRDefault="006E40C9" w:rsidP="00D9255A">
      <w:pPr>
        <w:pStyle w:val="TESHeading5"/>
      </w:pPr>
      <w:r>
        <w:t>E13</w:t>
      </w:r>
      <w:r>
        <w:tab/>
        <w:t>Deferral of liability when taxpayer dies</w:t>
      </w:r>
    </w:p>
    <w:p w14:paraId="25DDBCB5" w14:textId="7CD7478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B77F76" w14:textId="77777777">
        <w:trPr>
          <w:cantSplit/>
          <w:jc w:val="center"/>
        </w:trPr>
        <w:tc>
          <w:tcPr>
            <w:tcW w:w="967" w:type="dxa"/>
            <w:tcBorders>
              <w:top w:val="single" w:sz="2" w:space="0" w:color="auto"/>
              <w:bottom w:val="single" w:sz="2" w:space="0" w:color="auto"/>
            </w:tcBorders>
          </w:tcPr>
          <w:p w14:paraId="469D288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6285C1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60EB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3CC8E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0F3DC9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6639B0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63F182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8EB4B7" w14:textId="77777777" w:rsidR="006E40C9" w:rsidRDefault="006E40C9">
            <w:pPr>
              <w:pStyle w:val="MeasureTableTextRightAligned"/>
            </w:pPr>
            <w:r>
              <w:t>2027-28</w:t>
            </w:r>
          </w:p>
        </w:tc>
      </w:tr>
      <w:tr w:rsidR="006E40C9" w14:paraId="24D64EC8" w14:textId="77777777">
        <w:trPr>
          <w:cantSplit/>
          <w:jc w:val="center"/>
        </w:trPr>
        <w:tc>
          <w:tcPr>
            <w:tcW w:w="967" w:type="dxa"/>
            <w:tcBorders>
              <w:top w:val="single" w:sz="2" w:space="0" w:color="auto"/>
              <w:bottom w:val="single" w:sz="2" w:space="0" w:color="auto"/>
            </w:tcBorders>
          </w:tcPr>
          <w:p w14:paraId="38A1A770" w14:textId="77777777" w:rsidR="006E40C9" w:rsidRDefault="006E40C9">
            <w:pPr>
              <w:pStyle w:val="MeasureTableTextRightAligned"/>
            </w:pPr>
            <w:r>
              <w:t>*</w:t>
            </w:r>
          </w:p>
        </w:tc>
        <w:tc>
          <w:tcPr>
            <w:tcW w:w="967" w:type="dxa"/>
            <w:tcBorders>
              <w:top w:val="single" w:sz="2" w:space="0" w:color="auto"/>
              <w:bottom w:val="single" w:sz="2" w:space="0" w:color="auto"/>
            </w:tcBorders>
          </w:tcPr>
          <w:p w14:paraId="2CA137C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E66B3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AC22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7B75C6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061F1E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88A141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4329DA4" w14:textId="77777777" w:rsidR="006E40C9" w:rsidRDefault="006E40C9">
            <w:pPr>
              <w:pStyle w:val="MeasureTableTextRightAligned"/>
            </w:pPr>
            <w:r>
              <w:t>*</w:t>
            </w:r>
          </w:p>
        </w:tc>
      </w:tr>
      <w:tr w:rsidR="006E40C9" w14:paraId="0347E88F" w14:textId="77777777">
        <w:trPr>
          <w:cantSplit/>
          <w:jc w:val="center"/>
        </w:trPr>
        <w:tc>
          <w:tcPr>
            <w:tcW w:w="1934" w:type="dxa"/>
            <w:gridSpan w:val="2"/>
            <w:tcBorders>
              <w:top w:val="single" w:sz="2" w:space="0" w:color="auto"/>
              <w:bottom w:val="nil"/>
            </w:tcBorders>
          </w:tcPr>
          <w:p w14:paraId="4C991CF5"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F8B5BA" w14:textId="77777777" w:rsidR="006E40C9" w:rsidRDefault="006E40C9">
            <w:pPr>
              <w:pStyle w:val="MeasureTableTextLeftAligned"/>
            </w:pPr>
            <w:r>
              <w:t>Deferral</w:t>
            </w:r>
          </w:p>
        </w:tc>
        <w:tc>
          <w:tcPr>
            <w:tcW w:w="1500" w:type="dxa"/>
            <w:gridSpan w:val="2"/>
            <w:tcBorders>
              <w:top w:val="single" w:sz="2" w:space="0" w:color="auto"/>
              <w:bottom w:val="nil"/>
            </w:tcBorders>
          </w:tcPr>
          <w:p w14:paraId="6860686D" w14:textId="5E865A4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592FEDB" w14:textId="77777777" w:rsidR="006E40C9" w:rsidRDefault="006E40C9">
            <w:pPr>
              <w:pStyle w:val="MeasureTableTextLeftAligned"/>
            </w:pPr>
            <w:r>
              <w:t>E13</w:t>
            </w:r>
          </w:p>
        </w:tc>
      </w:tr>
      <w:tr w:rsidR="006E40C9" w14:paraId="14DF7DE9" w14:textId="77777777">
        <w:trPr>
          <w:cantSplit/>
          <w:jc w:val="center"/>
        </w:trPr>
        <w:tc>
          <w:tcPr>
            <w:tcW w:w="1934" w:type="dxa"/>
            <w:gridSpan w:val="2"/>
            <w:tcBorders>
              <w:top w:val="nil"/>
              <w:bottom w:val="nil"/>
            </w:tcBorders>
          </w:tcPr>
          <w:p w14:paraId="78B176F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2E94DD" w14:textId="77777777" w:rsidR="006E40C9" w:rsidRPr="00584CA7" w:rsidRDefault="006E40C9">
            <w:pPr>
              <w:pStyle w:val="MeasureTableTextLeftAligned"/>
            </w:pPr>
            <w:r>
              <w:t>Not Applicable</w:t>
            </w:r>
          </w:p>
        </w:tc>
        <w:tc>
          <w:tcPr>
            <w:tcW w:w="1500" w:type="dxa"/>
            <w:gridSpan w:val="2"/>
            <w:tcBorders>
              <w:top w:val="nil"/>
              <w:bottom w:val="nil"/>
            </w:tcBorders>
          </w:tcPr>
          <w:p w14:paraId="5511C1AB" w14:textId="77777777" w:rsidR="006E40C9" w:rsidRDefault="006E40C9">
            <w:pPr>
              <w:pStyle w:val="MeasureTableTextItalic"/>
            </w:pPr>
            <w:r>
              <w:t>* Category</w:t>
            </w:r>
          </w:p>
        </w:tc>
        <w:tc>
          <w:tcPr>
            <w:tcW w:w="1124" w:type="dxa"/>
            <w:gridSpan w:val="2"/>
            <w:tcBorders>
              <w:top w:val="nil"/>
              <w:bottom w:val="nil"/>
            </w:tcBorders>
          </w:tcPr>
          <w:p w14:paraId="253F9FBB" w14:textId="77777777" w:rsidR="006E40C9" w:rsidRDefault="006E40C9">
            <w:pPr>
              <w:pStyle w:val="MeasureTableTextLeftAligned"/>
            </w:pPr>
            <w:r>
              <w:t>3+</w:t>
            </w:r>
          </w:p>
        </w:tc>
      </w:tr>
      <w:tr w:rsidR="006E40C9" w14:paraId="2FFA7857" w14:textId="77777777">
        <w:trPr>
          <w:cantSplit/>
          <w:jc w:val="center"/>
        </w:trPr>
        <w:tc>
          <w:tcPr>
            <w:tcW w:w="1934" w:type="dxa"/>
            <w:gridSpan w:val="2"/>
            <w:tcBorders>
              <w:top w:val="nil"/>
              <w:bottom w:val="nil"/>
            </w:tcBorders>
          </w:tcPr>
          <w:p w14:paraId="5CEE173A" w14:textId="77777777" w:rsidR="006E40C9" w:rsidRDefault="006E40C9">
            <w:pPr>
              <w:pStyle w:val="MeasureTableTextItalic"/>
            </w:pPr>
            <w:r>
              <w:t>Commencement date:</w:t>
            </w:r>
          </w:p>
        </w:tc>
        <w:tc>
          <w:tcPr>
            <w:tcW w:w="3179" w:type="dxa"/>
            <w:gridSpan w:val="4"/>
            <w:tcBorders>
              <w:top w:val="nil"/>
              <w:bottom w:val="nil"/>
            </w:tcBorders>
          </w:tcPr>
          <w:p w14:paraId="34FE0621" w14:textId="77777777" w:rsidR="006E40C9" w:rsidRDefault="006E40C9">
            <w:pPr>
              <w:pStyle w:val="MeasureTableTextLeftAligned"/>
            </w:pPr>
            <w:r>
              <w:t>20 September 1985</w:t>
            </w:r>
          </w:p>
        </w:tc>
        <w:tc>
          <w:tcPr>
            <w:tcW w:w="1500" w:type="dxa"/>
            <w:gridSpan w:val="2"/>
            <w:tcBorders>
              <w:top w:val="nil"/>
              <w:bottom w:val="nil"/>
            </w:tcBorders>
          </w:tcPr>
          <w:p w14:paraId="103DF5B6" w14:textId="77777777" w:rsidR="006E40C9" w:rsidRPr="00F32057" w:rsidRDefault="006E40C9">
            <w:pPr>
              <w:pStyle w:val="MeasureTableTextItalic"/>
            </w:pPr>
            <w:r>
              <w:t>Expiry date:</w:t>
            </w:r>
          </w:p>
        </w:tc>
        <w:tc>
          <w:tcPr>
            <w:tcW w:w="1124" w:type="dxa"/>
            <w:gridSpan w:val="2"/>
            <w:tcBorders>
              <w:top w:val="nil"/>
              <w:bottom w:val="nil"/>
            </w:tcBorders>
          </w:tcPr>
          <w:p w14:paraId="3407F2CD" w14:textId="77777777" w:rsidR="006E40C9" w:rsidRPr="00F32057" w:rsidRDefault="006E40C9">
            <w:pPr>
              <w:pStyle w:val="MeasureTableTextLeftAligned"/>
            </w:pPr>
          </w:p>
        </w:tc>
      </w:tr>
      <w:tr w:rsidR="006E40C9" w14:paraId="7E538E6A" w14:textId="77777777">
        <w:trPr>
          <w:cantSplit/>
          <w:jc w:val="center"/>
        </w:trPr>
        <w:tc>
          <w:tcPr>
            <w:tcW w:w="1934" w:type="dxa"/>
            <w:gridSpan w:val="2"/>
            <w:tcBorders>
              <w:top w:val="nil"/>
            </w:tcBorders>
          </w:tcPr>
          <w:p w14:paraId="36E78197" w14:textId="77777777" w:rsidR="006E40C9" w:rsidRDefault="006E40C9">
            <w:pPr>
              <w:pStyle w:val="MeasureTableTextItalic"/>
            </w:pPr>
            <w:r>
              <w:t>Legislative reference:</w:t>
            </w:r>
          </w:p>
        </w:tc>
        <w:tc>
          <w:tcPr>
            <w:tcW w:w="5803" w:type="dxa"/>
            <w:gridSpan w:val="8"/>
            <w:tcBorders>
              <w:top w:val="nil"/>
            </w:tcBorders>
          </w:tcPr>
          <w:p w14:paraId="6A634B7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128 of the </w:t>
            </w:r>
            <w:r>
              <w:rPr>
                <w:rFonts w:ascii="Arial" w:hAnsi="Arial" w:cs="Arial"/>
                <w:i/>
                <w:iCs/>
                <w:color w:val="000000"/>
                <w:sz w:val="16"/>
                <w:szCs w:val="16"/>
              </w:rPr>
              <w:t>Income Tax Assessment Act 1997</w:t>
            </w:r>
          </w:p>
        </w:tc>
      </w:tr>
    </w:tbl>
    <w:p w14:paraId="668B6574" w14:textId="77777777" w:rsidR="006E40C9" w:rsidRPr="00540040" w:rsidRDefault="006E40C9" w:rsidP="006E40C9">
      <w:pPr>
        <w:pStyle w:val="MeasureTableHeading"/>
      </w:pPr>
    </w:p>
    <w:p w14:paraId="0CBFF12E" w14:textId="09254C9B" w:rsidR="006E40C9" w:rsidRDefault="006E40C9" w:rsidP="006E40C9">
      <w:pPr>
        <w:rPr>
          <w:rFonts w:eastAsia="Calibri"/>
          <w:lang w:eastAsia="en-US"/>
        </w:rPr>
      </w:pPr>
      <w:r>
        <w:t xml:space="preserve">Under the benchmark, realised capital gains are generally assessable to taxpayers at their applicable tax rate in the year they arise. However, there is no CGT taxing point when a taxpayer dies. Recognition of the gains or losses accruing during the life of the deceased is deferred until the person inheriting the CGT asset later disposes of it. An exception applies if the asset passes to an exempt entity, the trustee of a complying superannuation entity, or a foreign resident. </w:t>
      </w:r>
    </w:p>
    <w:p w14:paraId="3A94239D" w14:textId="77777777" w:rsidR="006E40C9" w:rsidRDefault="006E40C9" w:rsidP="00D9255A">
      <w:pPr>
        <w:pStyle w:val="TESHeading5"/>
      </w:pPr>
      <w:r>
        <w:t>E14</w:t>
      </w:r>
      <w:r>
        <w:tab/>
        <w:t>Demerger concessions</w:t>
      </w:r>
    </w:p>
    <w:p w14:paraId="602716D3" w14:textId="6D1B7C9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0028E24" w14:textId="77777777">
        <w:trPr>
          <w:cantSplit/>
          <w:jc w:val="center"/>
        </w:trPr>
        <w:tc>
          <w:tcPr>
            <w:tcW w:w="967" w:type="dxa"/>
            <w:tcBorders>
              <w:top w:val="single" w:sz="2" w:space="0" w:color="auto"/>
              <w:bottom w:val="single" w:sz="2" w:space="0" w:color="auto"/>
            </w:tcBorders>
          </w:tcPr>
          <w:p w14:paraId="56A37FD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96CE14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10B502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A0E256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BBDE6B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47DA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A7CDD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A913747" w14:textId="77777777" w:rsidR="006E40C9" w:rsidRDefault="006E40C9">
            <w:pPr>
              <w:pStyle w:val="MeasureTableTextRightAligned"/>
            </w:pPr>
            <w:r>
              <w:t>2027-28</w:t>
            </w:r>
          </w:p>
        </w:tc>
      </w:tr>
      <w:tr w:rsidR="006E40C9" w14:paraId="549821F3" w14:textId="77777777">
        <w:trPr>
          <w:cantSplit/>
          <w:jc w:val="center"/>
        </w:trPr>
        <w:tc>
          <w:tcPr>
            <w:tcW w:w="967" w:type="dxa"/>
            <w:tcBorders>
              <w:top w:val="single" w:sz="2" w:space="0" w:color="auto"/>
              <w:bottom w:val="single" w:sz="2" w:space="0" w:color="auto"/>
            </w:tcBorders>
          </w:tcPr>
          <w:p w14:paraId="6D13C27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A18ECD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943774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43EA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480BAC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8A5B9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BE81D3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B4FE99" w14:textId="77777777" w:rsidR="006E40C9" w:rsidRDefault="006E40C9">
            <w:pPr>
              <w:pStyle w:val="MeasureTableTextRightAligned"/>
            </w:pPr>
            <w:r>
              <w:t>*</w:t>
            </w:r>
          </w:p>
        </w:tc>
      </w:tr>
      <w:tr w:rsidR="006E40C9" w14:paraId="4F1DB865" w14:textId="77777777">
        <w:trPr>
          <w:cantSplit/>
          <w:jc w:val="center"/>
        </w:trPr>
        <w:tc>
          <w:tcPr>
            <w:tcW w:w="1934" w:type="dxa"/>
            <w:gridSpan w:val="2"/>
            <w:tcBorders>
              <w:top w:val="single" w:sz="2" w:space="0" w:color="auto"/>
              <w:bottom w:val="nil"/>
            </w:tcBorders>
          </w:tcPr>
          <w:p w14:paraId="6B5B567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A1128B7"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6F53B657" w14:textId="08A3E7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871AD8" w14:textId="77777777" w:rsidR="006E40C9" w:rsidRDefault="006E40C9">
            <w:pPr>
              <w:pStyle w:val="MeasureTableTextLeftAligned"/>
            </w:pPr>
            <w:r>
              <w:t>E14</w:t>
            </w:r>
          </w:p>
        </w:tc>
      </w:tr>
      <w:tr w:rsidR="006E40C9" w14:paraId="67537DDD" w14:textId="77777777">
        <w:trPr>
          <w:cantSplit/>
          <w:jc w:val="center"/>
        </w:trPr>
        <w:tc>
          <w:tcPr>
            <w:tcW w:w="1934" w:type="dxa"/>
            <w:gridSpan w:val="2"/>
            <w:tcBorders>
              <w:top w:val="nil"/>
              <w:bottom w:val="nil"/>
            </w:tcBorders>
          </w:tcPr>
          <w:p w14:paraId="4237D2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2853B37" w14:textId="77777777" w:rsidR="006E40C9" w:rsidRPr="00584CA7" w:rsidRDefault="006E40C9">
            <w:pPr>
              <w:pStyle w:val="MeasureTableTextLeftAligned"/>
            </w:pPr>
            <w:r>
              <w:t>Not Applicable</w:t>
            </w:r>
          </w:p>
        </w:tc>
        <w:tc>
          <w:tcPr>
            <w:tcW w:w="1500" w:type="dxa"/>
            <w:gridSpan w:val="2"/>
            <w:tcBorders>
              <w:top w:val="nil"/>
              <w:bottom w:val="nil"/>
            </w:tcBorders>
          </w:tcPr>
          <w:p w14:paraId="7C3D9727" w14:textId="77777777" w:rsidR="006E40C9" w:rsidRDefault="006E40C9">
            <w:pPr>
              <w:pStyle w:val="MeasureTableTextItalic"/>
            </w:pPr>
            <w:r>
              <w:t>* Category</w:t>
            </w:r>
          </w:p>
        </w:tc>
        <w:tc>
          <w:tcPr>
            <w:tcW w:w="1124" w:type="dxa"/>
            <w:gridSpan w:val="2"/>
            <w:tcBorders>
              <w:top w:val="nil"/>
              <w:bottom w:val="nil"/>
            </w:tcBorders>
          </w:tcPr>
          <w:p w14:paraId="61DC9BD7" w14:textId="77777777" w:rsidR="006E40C9" w:rsidRDefault="006E40C9">
            <w:pPr>
              <w:pStyle w:val="MeasureTableTextLeftAligned"/>
            </w:pPr>
            <w:r>
              <w:t>3+</w:t>
            </w:r>
          </w:p>
        </w:tc>
      </w:tr>
      <w:tr w:rsidR="006E40C9" w14:paraId="416B4EEE" w14:textId="77777777">
        <w:trPr>
          <w:cantSplit/>
          <w:jc w:val="center"/>
        </w:trPr>
        <w:tc>
          <w:tcPr>
            <w:tcW w:w="1934" w:type="dxa"/>
            <w:gridSpan w:val="2"/>
            <w:tcBorders>
              <w:top w:val="nil"/>
              <w:bottom w:val="nil"/>
            </w:tcBorders>
          </w:tcPr>
          <w:p w14:paraId="091083AB" w14:textId="77777777" w:rsidR="006E40C9" w:rsidRDefault="006E40C9">
            <w:pPr>
              <w:pStyle w:val="MeasureTableTextItalic"/>
            </w:pPr>
            <w:r>
              <w:t>Commencement date:</w:t>
            </w:r>
          </w:p>
        </w:tc>
        <w:tc>
          <w:tcPr>
            <w:tcW w:w="3179" w:type="dxa"/>
            <w:gridSpan w:val="4"/>
            <w:tcBorders>
              <w:top w:val="nil"/>
              <w:bottom w:val="nil"/>
            </w:tcBorders>
          </w:tcPr>
          <w:p w14:paraId="5997FEAD" w14:textId="77777777" w:rsidR="006E40C9" w:rsidRDefault="006E40C9">
            <w:pPr>
              <w:pStyle w:val="MeasureTableTextLeftAligned"/>
            </w:pPr>
            <w:r>
              <w:t>2002</w:t>
            </w:r>
          </w:p>
        </w:tc>
        <w:tc>
          <w:tcPr>
            <w:tcW w:w="1500" w:type="dxa"/>
            <w:gridSpan w:val="2"/>
            <w:tcBorders>
              <w:top w:val="nil"/>
              <w:bottom w:val="nil"/>
            </w:tcBorders>
          </w:tcPr>
          <w:p w14:paraId="37121E98" w14:textId="77777777" w:rsidR="006E40C9" w:rsidRPr="00F32057" w:rsidRDefault="006E40C9">
            <w:pPr>
              <w:pStyle w:val="MeasureTableTextItalic"/>
            </w:pPr>
            <w:r>
              <w:t>Expiry date:</w:t>
            </w:r>
          </w:p>
        </w:tc>
        <w:tc>
          <w:tcPr>
            <w:tcW w:w="1124" w:type="dxa"/>
            <w:gridSpan w:val="2"/>
            <w:tcBorders>
              <w:top w:val="nil"/>
              <w:bottom w:val="nil"/>
            </w:tcBorders>
          </w:tcPr>
          <w:p w14:paraId="4D2C8EB3" w14:textId="77777777" w:rsidR="006E40C9" w:rsidRPr="00F32057" w:rsidRDefault="006E40C9">
            <w:pPr>
              <w:pStyle w:val="MeasureTableTextLeftAligned"/>
            </w:pPr>
          </w:p>
        </w:tc>
      </w:tr>
      <w:tr w:rsidR="006E40C9" w14:paraId="017B6A96" w14:textId="77777777">
        <w:trPr>
          <w:cantSplit/>
          <w:jc w:val="center"/>
        </w:trPr>
        <w:tc>
          <w:tcPr>
            <w:tcW w:w="1934" w:type="dxa"/>
            <w:gridSpan w:val="2"/>
            <w:tcBorders>
              <w:top w:val="nil"/>
            </w:tcBorders>
          </w:tcPr>
          <w:p w14:paraId="4CBFDB80" w14:textId="77777777" w:rsidR="006E40C9" w:rsidRDefault="006E40C9">
            <w:pPr>
              <w:pStyle w:val="MeasureTableTextItalic"/>
            </w:pPr>
            <w:r>
              <w:t>Legislative reference:</w:t>
            </w:r>
          </w:p>
        </w:tc>
        <w:tc>
          <w:tcPr>
            <w:tcW w:w="5803" w:type="dxa"/>
            <w:gridSpan w:val="8"/>
            <w:tcBorders>
              <w:top w:val="nil"/>
            </w:tcBorders>
          </w:tcPr>
          <w:p w14:paraId="77548B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125 of the </w:t>
            </w:r>
            <w:r>
              <w:rPr>
                <w:rFonts w:ascii="Arial" w:hAnsi="Arial" w:cs="Arial"/>
                <w:i/>
                <w:iCs/>
                <w:color w:val="000000"/>
                <w:sz w:val="16"/>
                <w:szCs w:val="16"/>
              </w:rPr>
              <w:t>Income Tax Assessment Act 1997</w:t>
            </w:r>
            <w:r>
              <w:rPr>
                <w:rFonts w:ascii="Arial" w:hAnsi="Arial" w:cs="Arial"/>
                <w:color w:val="000000"/>
                <w:sz w:val="16"/>
                <w:szCs w:val="16"/>
              </w:rPr>
              <w:br/>
              <w:t xml:space="preserve">Subsection 44(4) of the </w:t>
            </w:r>
            <w:r>
              <w:rPr>
                <w:rFonts w:ascii="Arial" w:hAnsi="Arial" w:cs="Arial"/>
                <w:i/>
                <w:iCs/>
                <w:color w:val="000000"/>
                <w:sz w:val="16"/>
                <w:szCs w:val="16"/>
              </w:rPr>
              <w:t>Income Tax Assessment Act 1936</w:t>
            </w:r>
          </w:p>
        </w:tc>
      </w:tr>
    </w:tbl>
    <w:p w14:paraId="76B4AA6C" w14:textId="77777777" w:rsidR="006E40C9" w:rsidRPr="00540040" w:rsidRDefault="006E40C9" w:rsidP="006E40C9">
      <w:pPr>
        <w:pStyle w:val="MeasureTableHeading"/>
      </w:pPr>
    </w:p>
    <w:p w14:paraId="0BFAD857" w14:textId="77777777" w:rsidR="006E40C9" w:rsidRDefault="006E40C9" w:rsidP="006E40C9">
      <w:r>
        <w:t>The benchmark treatment is that capital gains are taxed upon realisation at the taxpayer’s marginal tax rate, or the headline rate where they are a company. Concessions are available to defer or exempt the CGT payable in respect of the restructuring of a corporate or trust group</w:t>
      </w:r>
      <w:r>
        <w:fldChar w:fldCharType="begin"/>
      </w:r>
      <w:r>
        <w:instrText xml:space="preserve"> XE "Restructuring of a corporate or trust group" </w:instrText>
      </w:r>
      <w:r>
        <w:fldChar w:fldCharType="end"/>
      </w:r>
      <w:r>
        <w:t>, where the group is split into two or more entities or groups (that is, by demerging). There are three elements to demerger relief:</w:t>
      </w:r>
    </w:p>
    <w:p w14:paraId="314A3E39" w14:textId="77777777" w:rsidR="006E40C9" w:rsidRDefault="006E40C9" w:rsidP="006E40C9">
      <w:pPr>
        <w:pStyle w:val="Bullet"/>
        <w:numPr>
          <w:ilvl w:val="0"/>
          <w:numId w:val="38"/>
        </w:numPr>
      </w:pPr>
      <w:r>
        <w:tab/>
        <w:t>CGT roll</w:t>
      </w:r>
      <w:r>
        <w:noBreakHyphen/>
        <w:t>over at the shareholder or trust membership interest level for interests such as shares that are exchanged during the demerger process;</w:t>
      </w:r>
    </w:p>
    <w:p w14:paraId="0841E887" w14:textId="77777777" w:rsidR="006E40C9" w:rsidRDefault="006E40C9" w:rsidP="006E40C9">
      <w:pPr>
        <w:pStyle w:val="Bullet"/>
        <w:numPr>
          <w:ilvl w:val="0"/>
          <w:numId w:val="38"/>
        </w:numPr>
      </w:pPr>
      <w:r>
        <w:tab/>
        <w:t>a CGT exemption for certain capital gains and losses at the entity level; and</w:t>
      </w:r>
    </w:p>
    <w:p w14:paraId="63823205" w14:textId="77777777" w:rsidR="006E40C9" w:rsidRDefault="006E40C9" w:rsidP="006E40C9">
      <w:pPr>
        <w:pStyle w:val="Bullet"/>
        <w:numPr>
          <w:ilvl w:val="0"/>
          <w:numId w:val="38"/>
        </w:numPr>
      </w:pPr>
      <w:r>
        <w:t>an income tax exemption for certain ‘demerger dividends’.</w:t>
      </w:r>
    </w:p>
    <w:p w14:paraId="14C5E5C0" w14:textId="77777777" w:rsidR="006E40C9" w:rsidRDefault="006E40C9" w:rsidP="00D9255A">
      <w:pPr>
        <w:pStyle w:val="TESHeading5"/>
      </w:pPr>
      <w:r>
        <w:t>E15</w:t>
      </w:r>
      <w:r>
        <w:tab/>
        <w:t>Discount for individuals and trusts</w:t>
      </w:r>
    </w:p>
    <w:p w14:paraId="070BBADD" w14:textId="24B43FB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11D0C0F" w14:textId="77777777">
        <w:trPr>
          <w:cantSplit/>
          <w:jc w:val="center"/>
        </w:trPr>
        <w:tc>
          <w:tcPr>
            <w:tcW w:w="967" w:type="dxa"/>
            <w:tcBorders>
              <w:top w:val="single" w:sz="2" w:space="0" w:color="auto"/>
              <w:bottom w:val="single" w:sz="2" w:space="0" w:color="auto"/>
            </w:tcBorders>
          </w:tcPr>
          <w:p w14:paraId="680C68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FFDA2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8606B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61261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A452A0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A694A1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44B68F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C075A3A" w14:textId="77777777" w:rsidR="006E40C9" w:rsidRDefault="006E40C9">
            <w:pPr>
              <w:pStyle w:val="MeasureTableTextRightAligned"/>
            </w:pPr>
            <w:r>
              <w:t>2027-28</w:t>
            </w:r>
          </w:p>
        </w:tc>
      </w:tr>
      <w:tr w:rsidR="006E40C9" w14:paraId="3F85A47A" w14:textId="77777777">
        <w:trPr>
          <w:cantSplit/>
          <w:jc w:val="center"/>
        </w:trPr>
        <w:tc>
          <w:tcPr>
            <w:tcW w:w="967" w:type="dxa"/>
            <w:tcBorders>
              <w:top w:val="single" w:sz="2" w:space="0" w:color="auto"/>
              <w:bottom w:val="single" w:sz="2" w:space="0" w:color="auto"/>
            </w:tcBorders>
          </w:tcPr>
          <w:p w14:paraId="22645CA4" w14:textId="77777777" w:rsidR="006E40C9" w:rsidRDefault="006E40C9">
            <w:pPr>
              <w:pStyle w:val="MeasureTableTextRightAligned"/>
            </w:pPr>
            <w:r>
              <w:t>9,270</w:t>
            </w:r>
          </w:p>
        </w:tc>
        <w:tc>
          <w:tcPr>
            <w:tcW w:w="967" w:type="dxa"/>
            <w:tcBorders>
              <w:top w:val="single" w:sz="2" w:space="0" w:color="auto"/>
              <w:bottom w:val="single" w:sz="2" w:space="0" w:color="auto"/>
            </w:tcBorders>
          </w:tcPr>
          <w:p w14:paraId="7F42B419" w14:textId="77777777" w:rsidR="006E40C9" w:rsidRDefault="006E40C9">
            <w:pPr>
              <w:pStyle w:val="MeasureTableTextRightAligned"/>
            </w:pPr>
            <w:r>
              <w:t>15,590</w:t>
            </w:r>
          </w:p>
        </w:tc>
        <w:tc>
          <w:tcPr>
            <w:tcW w:w="967" w:type="dxa"/>
            <w:tcBorders>
              <w:top w:val="single" w:sz="2" w:space="0" w:color="auto"/>
              <w:bottom w:val="single" w:sz="2" w:space="0" w:color="auto"/>
            </w:tcBorders>
            <w:vAlign w:val="bottom"/>
          </w:tcPr>
          <w:p w14:paraId="3D042FF3" w14:textId="77777777" w:rsidR="006E40C9" w:rsidRDefault="006E40C9">
            <w:pPr>
              <w:pStyle w:val="MeasureTableTextRightAligned"/>
            </w:pPr>
            <w:r>
              <w:t>23,460</w:t>
            </w:r>
          </w:p>
        </w:tc>
        <w:tc>
          <w:tcPr>
            <w:tcW w:w="967" w:type="dxa"/>
            <w:tcBorders>
              <w:top w:val="single" w:sz="2" w:space="0" w:color="auto"/>
              <w:bottom w:val="single" w:sz="2" w:space="0" w:color="auto"/>
            </w:tcBorders>
            <w:vAlign w:val="bottom"/>
          </w:tcPr>
          <w:p w14:paraId="64B04355" w14:textId="77777777" w:rsidR="006E40C9" w:rsidRDefault="006E40C9">
            <w:pPr>
              <w:pStyle w:val="MeasureTableTextRightAligned"/>
            </w:pPr>
            <w:r>
              <w:t>19,000</w:t>
            </w:r>
          </w:p>
        </w:tc>
        <w:tc>
          <w:tcPr>
            <w:tcW w:w="967" w:type="dxa"/>
            <w:tcBorders>
              <w:top w:val="single" w:sz="2" w:space="0" w:color="auto"/>
              <w:bottom w:val="single" w:sz="2" w:space="0" w:color="auto"/>
            </w:tcBorders>
            <w:vAlign w:val="bottom"/>
          </w:tcPr>
          <w:p w14:paraId="59140DB6" w14:textId="77777777" w:rsidR="006E40C9" w:rsidRDefault="006E40C9">
            <w:pPr>
              <w:pStyle w:val="MeasureTableTextRightAligned"/>
            </w:pPr>
            <w:r>
              <w:t>22,730</w:t>
            </w:r>
          </w:p>
        </w:tc>
        <w:tc>
          <w:tcPr>
            <w:tcW w:w="967" w:type="dxa"/>
            <w:gridSpan w:val="2"/>
            <w:tcBorders>
              <w:top w:val="single" w:sz="2" w:space="0" w:color="auto"/>
              <w:bottom w:val="single" w:sz="2" w:space="0" w:color="auto"/>
            </w:tcBorders>
            <w:vAlign w:val="bottom"/>
          </w:tcPr>
          <w:p w14:paraId="715EE64A" w14:textId="77777777" w:rsidR="006E40C9" w:rsidRDefault="006E40C9">
            <w:pPr>
              <w:pStyle w:val="MeasureTableTextRightAligned"/>
            </w:pPr>
            <w:r>
              <w:t>14,310</w:t>
            </w:r>
          </w:p>
        </w:tc>
        <w:tc>
          <w:tcPr>
            <w:tcW w:w="967" w:type="dxa"/>
            <w:gridSpan w:val="2"/>
            <w:tcBorders>
              <w:top w:val="single" w:sz="2" w:space="0" w:color="auto"/>
              <w:bottom w:val="single" w:sz="2" w:space="0" w:color="auto"/>
            </w:tcBorders>
            <w:vAlign w:val="bottom"/>
          </w:tcPr>
          <w:p w14:paraId="60B5A9A7" w14:textId="77777777" w:rsidR="006E40C9" w:rsidRDefault="006E40C9">
            <w:pPr>
              <w:pStyle w:val="MeasureTableTextRightAligned"/>
            </w:pPr>
            <w:r>
              <w:t>15,490</w:t>
            </w:r>
          </w:p>
        </w:tc>
        <w:tc>
          <w:tcPr>
            <w:tcW w:w="968" w:type="dxa"/>
            <w:tcBorders>
              <w:top w:val="single" w:sz="2" w:space="0" w:color="auto"/>
              <w:bottom w:val="single" w:sz="2" w:space="0" w:color="auto"/>
            </w:tcBorders>
            <w:vAlign w:val="bottom"/>
          </w:tcPr>
          <w:p w14:paraId="343A66C7" w14:textId="77777777" w:rsidR="006E40C9" w:rsidRDefault="006E40C9">
            <w:pPr>
              <w:pStyle w:val="MeasureTableTextRightAligned"/>
            </w:pPr>
            <w:r>
              <w:t>16,520</w:t>
            </w:r>
          </w:p>
        </w:tc>
      </w:tr>
      <w:tr w:rsidR="006E40C9" w14:paraId="4A879664" w14:textId="77777777">
        <w:trPr>
          <w:cantSplit/>
          <w:jc w:val="center"/>
        </w:trPr>
        <w:tc>
          <w:tcPr>
            <w:tcW w:w="1934" w:type="dxa"/>
            <w:gridSpan w:val="2"/>
            <w:tcBorders>
              <w:top w:val="single" w:sz="2" w:space="0" w:color="auto"/>
              <w:bottom w:val="nil"/>
            </w:tcBorders>
          </w:tcPr>
          <w:p w14:paraId="0503C1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C1F412A"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5613E3AA" w14:textId="00DCE8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411D0E4" w14:textId="77777777" w:rsidR="006E40C9" w:rsidRDefault="006E40C9">
            <w:pPr>
              <w:pStyle w:val="MeasureTableTextLeftAligned"/>
            </w:pPr>
            <w:r>
              <w:t>E15</w:t>
            </w:r>
          </w:p>
        </w:tc>
      </w:tr>
      <w:tr w:rsidR="006E40C9" w14:paraId="66782E29" w14:textId="77777777">
        <w:trPr>
          <w:cantSplit/>
          <w:jc w:val="center"/>
        </w:trPr>
        <w:tc>
          <w:tcPr>
            <w:tcW w:w="1934" w:type="dxa"/>
            <w:gridSpan w:val="2"/>
            <w:tcBorders>
              <w:top w:val="nil"/>
              <w:bottom w:val="nil"/>
            </w:tcBorders>
          </w:tcPr>
          <w:p w14:paraId="4EA152D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DF309A0" w14:textId="524D63D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0FC4EF9B" w14:textId="77777777" w:rsidR="006E40C9" w:rsidRDefault="006E40C9">
            <w:pPr>
              <w:pStyle w:val="MeasureTableTextItalic"/>
            </w:pPr>
          </w:p>
        </w:tc>
        <w:tc>
          <w:tcPr>
            <w:tcW w:w="1124" w:type="dxa"/>
            <w:gridSpan w:val="2"/>
            <w:tcBorders>
              <w:top w:val="nil"/>
              <w:bottom w:val="nil"/>
            </w:tcBorders>
          </w:tcPr>
          <w:p w14:paraId="1128D4CB" w14:textId="77777777" w:rsidR="006E40C9" w:rsidRDefault="006E40C9">
            <w:pPr>
              <w:pStyle w:val="MeasureTableTextLeftAligned"/>
            </w:pPr>
          </w:p>
        </w:tc>
      </w:tr>
      <w:tr w:rsidR="006E40C9" w14:paraId="2882951E" w14:textId="77777777">
        <w:trPr>
          <w:cantSplit/>
          <w:jc w:val="center"/>
        </w:trPr>
        <w:tc>
          <w:tcPr>
            <w:tcW w:w="1934" w:type="dxa"/>
            <w:gridSpan w:val="2"/>
            <w:tcBorders>
              <w:top w:val="nil"/>
              <w:bottom w:val="nil"/>
            </w:tcBorders>
          </w:tcPr>
          <w:p w14:paraId="2B8FC080" w14:textId="77777777" w:rsidR="006E40C9" w:rsidRDefault="006E40C9">
            <w:pPr>
              <w:pStyle w:val="MeasureTableTextItalic"/>
            </w:pPr>
            <w:r>
              <w:t>Commencement date:</w:t>
            </w:r>
          </w:p>
        </w:tc>
        <w:tc>
          <w:tcPr>
            <w:tcW w:w="3179" w:type="dxa"/>
            <w:gridSpan w:val="4"/>
            <w:tcBorders>
              <w:top w:val="nil"/>
              <w:bottom w:val="nil"/>
            </w:tcBorders>
          </w:tcPr>
          <w:p w14:paraId="44D8ADAA" w14:textId="77777777" w:rsidR="006E40C9" w:rsidRDefault="006E40C9">
            <w:pPr>
              <w:pStyle w:val="MeasureTableTextLeftAligned"/>
            </w:pPr>
            <w:r>
              <w:t>1999</w:t>
            </w:r>
          </w:p>
        </w:tc>
        <w:tc>
          <w:tcPr>
            <w:tcW w:w="1500" w:type="dxa"/>
            <w:gridSpan w:val="2"/>
            <w:tcBorders>
              <w:top w:val="nil"/>
              <w:bottom w:val="nil"/>
            </w:tcBorders>
          </w:tcPr>
          <w:p w14:paraId="478B3151" w14:textId="77777777" w:rsidR="006E40C9" w:rsidRPr="00F32057" w:rsidRDefault="006E40C9">
            <w:pPr>
              <w:pStyle w:val="MeasureTableTextItalic"/>
            </w:pPr>
            <w:r>
              <w:t>Expiry date:</w:t>
            </w:r>
          </w:p>
        </w:tc>
        <w:tc>
          <w:tcPr>
            <w:tcW w:w="1124" w:type="dxa"/>
            <w:gridSpan w:val="2"/>
            <w:tcBorders>
              <w:top w:val="nil"/>
              <w:bottom w:val="nil"/>
            </w:tcBorders>
          </w:tcPr>
          <w:p w14:paraId="41EFD31B" w14:textId="77777777" w:rsidR="006E40C9" w:rsidRPr="00F32057" w:rsidRDefault="006E40C9">
            <w:pPr>
              <w:pStyle w:val="MeasureTableTextLeftAligned"/>
            </w:pPr>
          </w:p>
        </w:tc>
      </w:tr>
      <w:tr w:rsidR="006E40C9" w14:paraId="481D11C1" w14:textId="77777777">
        <w:trPr>
          <w:cantSplit/>
          <w:jc w:val="center"/>
        </w:trPr>
        <w:tc>
          <w:tcPr>
            <w:tcW w:w="1934" w:type="dxa"/>
            <w:gridSpan w:val="2"/>
            <w:tcBorders>
              <w:top w:val="nil"/>
            </w:tcBorders>
          </w:tcPr>
          <w:p w14:paraId="349F5F5D" w14:textId="77777777" w:rsidR="006E40C9" w:rsidRDefault="006E40C9">
            <w:pPr>
              <w:pStyle w:val="MeasureTableTextItalic"/>
            </w:pPr>
            <w:r>
              <w:t>Legislative reference:</w:t>
            </w:r>
          </w:p>
        </w:tc>
        <w:tc>
          <w:tcPr>
            <w:tcW w:w="5803" w:type="dxa"/>
            <w:gridSpan w:val="8"/>
            <w:tcBorders>
              <w:top w:val="nil"/>
            </w:tcBorders>
          </w:tcPr>
          <w:p w14:paraId="611A46D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115 of the </w:t>
            </w:r>
            <w:r>
              <w:rPr>
                <w:rFonts w:ascii="Arial" w:hAnsi="Arial" w:cs="Arial"/>
                <w:i/>
                <w:iCs/>
                <w:color w:val="000000"/>
                <w:sz w:val="16"/>
                <w:szCs w:val="16"/>
              </w:rPr>
              <w:t>Income Tax Assessment Act 1997</w:t>
            </w:r>
          </w:p>
        </w:tc>
      </w:tr>
    </w:tbl>
    <w:p w14:paraId="1E3EFCEC" w14:textId="77777777" w:rsidR="006E40C9" w:rsidRPr="00540040" w:rsidRDefault="006E40C9" w:rsidP="006E40C9">
      <w:pPr>
        <w:pStyle w:val="MeasureTableHeading"/>
      </w:pPr>
    </w:p>
    <w:p w14:paraId="71799B1C" w14:textId="77777777" w:rsidR="006E40C9" w:rsidRDefault="006E40C9" w:rsidP="006E40C9">
      <w:r>
        <w:t xml:space="preserve">Under the benchmark, realised capital gains are generally assessable to taxpayers at their applicable tax rate in the year they arise. However, a CGT exemption applies to 50 per cent of any nominal capital gain made by a resident individual or trust where the asset has been owned for at least 12 months. Different rules may apply to assets acquired before 21 September 1999. </w:t>
      </w:r>
      <w:r>
        <w:fldChar w:fldCharType="begin"/>
      </w:r>
      <w:r>
        <w:instrText xml:space="preserve"> XE "</w:instrText>
      </w:r>
      <w:r>
        <w:rPr>
          <w:lang w:val="en-US"/>
        </w:rPr>
        <w:instrText>Capital gains tax:Discount</w:instrText>
      </w:r>
      <w:r>
        <w:instrText xml:space="preserve">" </w:instrText>
      </w:r>
      <w:r>
        <w:fldChar w:fldCharType="end"/>
      </w:r>
    </w:p>
    <w:p w14:paraId="614075E9" w14:textId="77777777" w:rsidR="006E40C9" w:rsidRDefault="006E40C9" w:rsidP="00D9255A">
      <w:pPr>
        <w:pStyle w:val="TESHeading5"/>
      </w:pPr>
      <w:r>
        <w:t>E16</w:t>
      </w:r>
      <w:r>
        <w:tab/>
        <w:t>Discount for investors in listed investment companies</w:t>
      </w:r>
    </w:p>
    <w:p w14:paraId="00F8457D" w14:textId="48ADE08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54B9DB" w14:textId="77777777">
        <w:trPr>
          <w:cantSplit/>
          <w:jc w:val="center"/>
        </w:trPr>
        <w:tc>
          <w:tcPr>
            <w:tcW w:w="967" w:type="dxa"/>
            <w:tcBorders>
              <w:top w:val="single" w:sz="2" w:space="0" w:color="auto"/>
              <w:bottom w:val="single" w:sz="2" w:space="0" w:color="auto"/>
            </w:tcBorders>
          </w:tcPr>
          <w:p w14:paraId="4F8E77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93A73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683827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E31B92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98A21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8E806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BDFDC0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091417" w14:textId="77777777" w:rsidR="006E40C9" w:rsidRDefault="006E40C9">
            <w:pPr>
              <w:pStyle w:val="MeasureTableTextRightAligned"/>
            </w:pPr>
            <w:r>
              <w:t>2027-28</w:t>
            </w:r>
          </w:p>
        </w:tc>
      </w:tr>
      <w:tr w:rsidR="006E40C9" w14:paraId="5DF63EFF" w14:textId="77777777">
        <w:trPr>
          <w:cantSplit/>
          <w:jc w:val="center"/>
        </w:trPr>
        <w:tc>
          <w:tcPr>
            <w:tcW w:w="967" w:type="dxa"/>
            <w:tcBorders>
              <w:top w:val="single" w:sz="2" w:space="0" w:color="auto"/>
              <w:bottom w:val="single" w:sz="2" w:space="0" w:color="auto"/>
            </w:tcBorders>
          </w:tcPr>
          <w:p w14:paraId="2E6AD802" w14:textId="77777777" w:rsidR="006E40C9" w:rsidRDefault="006E40C9">
            <w:pPr>
              <w:pStyle w:val="MeasureTableTextRightAligned"/>
            </w:pPr>
            <w:r>
              <w:t>80</w:t>
            </w:r>
          </w:p>
        </w:tc>
        <w:tc>
          <w:tcPr>
            <w:tcW w:w="967" w:type="dxa"/>
            <w:tcBorders>
              <w:top w:val="single" w:sz="2" w:space="0" w:color="auto"/>
              <w:bottom w:val="single" w:sz="2" w:space="0" w:color="auto"/>
            </w:tcBorders>
          </w:tcPr>
          <w:p w14:paraId="53ED8936" w14:textId="77777777" w:rsidR="006E40C9" w:rsidRDefault="006E40C9">
            <w:pPr>
              <w:pStyle w:val="MeasureTableTextRightAligned"/>
            </w:pPr>
            <w:r>
              <w:t>60</w:t>
            </w:r>
          </w:p>
        </w:tc>
        <w:tc>
          <w:tcPr>
            <w:tcW w:w="967" w:type="dxa"/>
            <w:tcBorders>
              <w:top w:val="single" w:sz="2" w:space="0" w:color="auto"/>
              <w:bottom w:val="single" w:sz="2" w:space="0" w:color="auto"/>
            </w:tcBorders>
            <w:vAlign w:val="bottom"/>
          </w:tcPr>
          <w:p w14:paraId="5AB5B734" w14:textId="77777777" w:rsidR="006E40C9" w:rsidRDefault="006E40C9">
            <w:pPr>
              <w:pStyle w:val="MeasureTableTextRightAligned"/>
            </w:pPr>
            <w:r>
              <w:t>95</w:t>
            </w:r>
          </w:p>
        </w:tc>
        <w:tc>
          <w:tcPr>
            <w:tcW w:w="967" w:type="dxa"/>
            <w:tcBorders>
              <w:top w:val="single" w:sz="2" w:space="0" w:color="auto"/>
              <w:bottom w:val="single" w:sz="2" w:space="0" w:color="auto"/>
            </w:tcBorders>
            <w:vAlign w:val="bottom"/>
          </w:tcPr>
          <w:p w14:paraId="084236E3" w14:textId="77777777" w:rsidR="006E40C9" w:rsidRDefault="006E40C9">
            <w:pPr>
              <w:pStyle w:val="MeasureTableTextRightAligned"/>
            </w:pPr>
            <w:r>
              <w:t>80</w:t>
            </w:r>
          </w:p>
        </w:tc>
        <w:tc>
          <w:tcPr>
            <w:tcW w:w="967" w:type="dxa"/>
            <w:tcBorders>
              <w:top w:val="single" w:sz="2" w:space="0" w:color="auto"/>
              <w:bottom w:val="single" w:sz="2" w:space="0" w:color="auto"/>
            </w:tcBorders>
            <w:vAlign w:val="bottom"/>
          </w:tcPr>
          <w:p w14:paraId="6F4052A4" w14:textId="77777777" w:rsidR="006E40C9" w:rsidRDefault="006E40C9">
            <w:pPr>
              <w:pStyle w:val="MeasureTableTextRightAligned"/>
            </w:pPr>
            <w:r>
              <w:t>85</w:t>
            </w:r>
          </w:p>
        </w:tc>
        <w:tc>
          <w:tcPr>
            <w:tcW w:w="967" w:type="dxa"/>
            <w:gridSpan w:val="2"/>
            <w:tcBorders>
              <w:top w:val="single" w:sz="2" w:space="0" w:color="auto"/>
              <w:bottom w:val="single" w:sz="2" w:space="0" w:color="auto"/>
            </w:tcBorders>
            <w:vAlign w:val="bottom"/>
          </w:tcPr>
          <w:p w14:paraId="11AF55EB" w14:textId="77777777" w:rsidR="006E40C9" w:rsidRDefault="006E40C9">
            <w:pPr>
              <w:pStyle w:val="MeasureTableTextRightAligned"/>
            </w:pPr>
            <w:r>
              <w:t>90</w:t>
            </w:r>
          </w:p>
        </w:tc>
        <w:tc>
          <w:tcPr>
            <w:tcW w:w="967" w:type="dxa"/>
            <w:gridSpan w:val="2"/>
            <w:tcBorders>
              <w:top w:val="single" w:sz="2" w:space="0" w:color="auto"/>
              <w:bottom w:val="single" w:sz="2" w:space="0" w:color="auto"/>
            </w:tcBorders>
            <w:vAlign w:val="bottom"/>
          </w:tcPr>
          <w:p w14:paraId="0E7FC10F" w14:textId="77777777" w:rsidR="006E40C9" w:rsidRDefault="006E40C9">
            <w:pPr>
              <w:pStyle w:val="MeasureTableTextRightAligned"/>
            </w:pPr>
            <w:r>
              <w:t>100</w:t>
            </w:r>
          </w:p>
        </w:tc>
        <w:tc>
          <w:tcPr>
            <w:tcW w:w="968" w:type="dxa"/>
            <w:tcBorders>
              <w:top w:val="single" w:sz="2" w:space="0" w:color="auto"/>
              <w:bottom w:val="single" w:sz="2" w:space="0" w:color="auto"/>
            </w:tcBorders>
            <w:vAlign w:val="bottom"/>
          </w:tcPr>
          <w:p w14:paraId="561E2820" w14:textId="77777777" w:rsidR="006E40C9" w:rsidRDefault="006E40C9">
            <w:pPr>
              <w:pStyle w:val="MeasureTableTextRightAligned"/>
            </w:pPr>
            <w:r>
              <w:t>110</w:t>
            </w:r>
          </w:p>
        </w:tc>
      </w:tr>
      <w:tr w:rsidR="006E40C9" w14:paraId="6F029847" w14:textId="77777777">
        <w:trPr>
          <w:cantSplit/>
          <w:jc w:val="center"/>
        </w:trPr>
        <w:tc>
          <w:tcPr>
            <w:tcW w:w="1934" w:type="dxa"/>
            <w:gridSpan w:val="2"/>
            <w:tcBorders>
              <w:top w:val="single" w:sz="2" w:space="0" w:color="auto"/>
              <w:bottom w:val="nil"/>
            </w:tcBorders>
          </w:tcPr>
          <w:p w14:paraId="4ADBA1A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6D4E4B8" w14:textId="77777777" w:rsidR="006E40C9" w:rsidRDefault="006E40C9">
            <w:pPr>
              <w:pStyle w:val="MeasureTableTextLeftAligned"/>
            </w:pPr>
            <w:r>
              <w:t>Deduction</w:t>
            </w:r>
          </w:p>
        </w:tc>
        <w:tc>
          <w:tcPr>
            <w:tcW w:w="1500" w:type="dxa"/>
            <w:gridSpan w:val="2"/>
            <w:tcBorders>
              <w:top w:val="single" w:sz="2" w:space="0" w:color="auto"/>
              <w:bottom w:val="nil"/>
            </w:tcBorders>
          </w:tcPr>
          <w:p w14:paraId="10576660" w14:textId="66F8205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3FF2A33" w14:textId="77777777" w:rsidR="006E40C9" w:rsidRDefault="006E40C9">
            <w:pPr>
              <w:pStyle w:val="MeasureTableTextLeftAligned"/>
            </w:pPr>
            <w:r>
              <w:t>E16</w:t>
            </w:r>
          </w:p>
        </w:tc>
      </w:tr>
      <w:tr w:rsidR="006E40C9" w14:paraId="7BAD5106" w14:textId="77777777">
        <w:trPr>
          <w:cantSplit/>
          <w:jc w:val="center"/>
        </w:trPr>
        <w:tc>
          <w:tcPr>
            <w:tcW w:w="1934" w:type="dxa"/>
            <w:gridSpan w:val="2"/>
            <w:tcBorders>
              <w:top w:val="nil"/>
              <w:bottom w:val="nil"/>
            </w:tcBorders>
          </w:tcPr>
          <w:p w14:paraId="5198CD0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FDB13F" w14:textId="77777777" w:rsidR="006E40C9" w:rsidRPr="00584CA7" w:rsidRDefault="006E40C9">
            <w:pPr>
              <w:pStyle w:val="MeasureTableTextLeftAligned"/>
            </w:pPr>
            <w:r>
              <w:t>Low</w:t>
            </w:r>
          </w:p>
        </w:tc>
        <w:tc>
          <w:tcPr>
            <w:tcW w:w="1500" w:type="dxa"/>
            <w:gridSpan w:val="2"/>
            <w:tcBorders>
              <w:top w:val="nil"/>
              <w:bottom w:val="nil"/>
            </w:tcBorders>
          </w:tcPr>
          <w:p w14:paraId="3885B0D4" w14:textId="77777777" w:rsidR="006E40C9" w:rsidRDefault="006E40C9">
            <w:pPr>
              <w:pStyle w:val="MeasureTableTextItalic"/>
            </w:pPr>
          </w:p>
        </w:tc>
        <w:tc>
          <w:tcPr>
            <w:tcW w:w="1124" w:type="dxa"/>
            <w:gridSpan w:val="2"/>
            <w:tcBorders>
              <w:top w:val="nil"/>
              <w:bottom w:val="nil"/>
            </w:tcBorders>
          </w:tcPr>
          <w:p w14:paraId="7BDD8111" w14:textId="77777777" w:rsidR="006E40C9" w:rsidRDefault="006E40C9">
            <w:pPr>
              <w:pStyle w:val="MeasureTableTextLeftAligned"/>
            </w:pPr>
          </w:p>
        </w:tc>
      </w:tr>
      <w:tr w:rsidR="006E40C9" w14:paraId="1DF88DE6" w14:textId="77777777">
        <w:trPr>
          <w:cantSplit/>
          <w:jc w:val="center"/>
        </w:trPr>
        <w:tc>
          <w:tcPr>
            <w:tcW w:w="1934" w:type="dxa"/>
            <w:gridSpan w:val="2"/>
            <w:tcBorders>
              <w:top w:val="nil"/>
              <w:bottom w:val="nil"/>
            </w:tcBorders>
          </w:tcPr>
          <w:p w14:paraId="430A4A17" w14:textId="77777777" w:rsidR="006E40C9" w:rsidRDefault="006E40C9">
            <w:pPr>
              <w:pStyle w:val="MeasureTableTextItalic"/>
            </w:pPr>
            <w:r>
              <w:t>Commencement date:</w:t>
            </w:r>
          </w:p>
        </w:tc>
        <w:tc>
          <w:tcPr>
            <w:tcW w:w="3179" w:type="dxa"/>
            <w:gridSpan w:val="4"/>
            <w:tcBorders>
              <w:top w:val="nil"/>
              <w:bottom w:val="nil"/>
            </w:tcBorders>
          </w:tcPr>
          <w:p w14:paraId="7CC93862" w14:textId="77777777" w:rsidR="006E40C9" w:rsidRDefault="006E40C9">
            <w:pPr>
              <w:pStyle w:val="MeasureTableTextLeftAligned"/>
            </w:pPr>
            <w:r>
              <w:t>2001</w:t>
            </w:r>
          </w:p>
        </w:tc>
        <w:tc>
          <w:tcPr>
            <w:tcW w:w="1500" w:type="dxa"/>
            <w:gridSpan w:val="2"/>
            <w:tcBorders>
              <w:top w:val="nil"/>
              <w:bottom w:val="nil"/>
            </w:tcBorders>
          </w:tcPr>
          <w:p w14:paraId="4E84F43F" w14:textId="77777777" w:rsidR="006E40C9" w:rsidRPr="00F32057" w:rsidRDefault="006E40C9">
            <w:pPr>
              <w:pStyle w:val="MeasureTableTextItalic"/>
            </w:pPr>
            <w:r>
              <w:t>Expiry date:</w:t>
            </w:r>
          </w:p>
        </w:tc>
        <w:tc>
          <w:tcPr>
            <w:tcW w:w="1124" w:type="dxa"/>
            <w:gridSpan w:val="2"/>
            <w:tcBorders>
              <w:top w:val="nil"/>
              <w:bottom w:val="nil"/>
            </w:tcBorders>
          </w:tcPr>
          <w:p w14:paraId="5D9AFD69" w14:textId="77777777" w:rsidR="006E40C9" w:rsidRPr="00F32057" w:rsidRDefault="006E40C9">
            <w:pPr>
              <w:pStyle w:val="MeasureTableTextLeftAligned"/>
            </w:pPr>
          </w:p>
        </w:tc>
      </w:tr>
      <w:tr w:rsidR="006E40C9" w14:paraId="1942EEE0" w14:textId="77777777">
        <w:trPr>
          <w:cantSplit/>
          <w:jc w:val="center"/>
        </w:trPr>
        <w:tc>
          <w:tcPr>
            <w:tcW w:w="1934" w:type="dxa"/>
            <w:gridSpan w:val="2"/>
            <w:tcBorders>
              <w:top w:val="nil"/>
            </w:tcBorders>
          </w:tcPr>
          <w:p w14:paraId="6368617B" w14:textId="77777777" w:rsidR="006E40C9" w:rsidRDefault="006E40C9">
            <w:pPr>
              <w:pStyle w:val="MeasureTableTextItalic"/>
            </w:pPr>
            <w:r>
              <w:t>Legislative reference:</w:t>
            </w:r>
          </w:p>
        </w:tc>
        <w:tc>
          <w:tcPr>
            <w:tcW w:w="5803" w:type="dxa"/>
            <w:gridSpan w:val="8"/>
            <w:tcBorders>
              <w:top w:val="nil"/>
            </w:tcBorders>
          </w:tcPr>
          <w:p w14:paraId="36709CF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115-D of the </w:t>
            </w:r>
            <w:r>
              <w:rPr>
                <w:rFonts w:ascii="Arial" w:hAnsi="Arial" w:cs="Arial"/>
                <w:i/>
                <w:iCs/>
                <w:color w:val="000000"/>
                <w:sz w:val="16"/>
                <w:szCs w:val="16"/>
              </w:rPr>
              <w:t>Income Tax Assessment Act 1997</w:t>
            </w:r>
          </w:p>
        </w:tc>
      </w:tr>
    </w:tbl>
    <w:p w14:paraId="37D2C8DD" w14:textId="77777777" w:rsidR="006E40C9" w:rsidRPr="00540040" w:rsidRDefault="006E40C9" w:rsidP="006E40C9">
      <w:pPr>
        <w:pStyle w:val="MeasureTableHeading"/>
      </w:pPr>
    </w:p>
    <w:p w14:paraId="2C7096AF" w14:textId="77777777" w:rsidR="006E40C9" w:rsidRDefault="006E40C9" w:rsidP="006E40C9">
      <w:r>
        <w:t>Under the benchmark treatment, capital gains are taxed at the company level at the corporate tax rate. Distributions to stakeholders may then be franked and shareholders taxed at their marginal personal income tax rate on the distribution. However, shareholders of a listed investment company (LIC) who receive dividends that represent a distribution of capital gains made by that company are entitled to a deduction equivalent to the CGT discount they would have received if they had realised the capital gains themselves. This concession applies in respect of gains realised by a LIC on or after 1 July 2001, provided the assets have been held by the LIC for at least 12 months. The shareholders receive their concession when the listed company has advised their share of the attributable part.</w:t>
      </w:r>
      <w:r>
        <w:fldChar w:fldCharType="begin"/>
      </w:r>
      <w:r>
        <w:instrText xml:space="preserve"> XE "Capital gains tax:Discount" </w:instrText>
      </w:r>
      <w:r>
        <w:fldChar w:fldCharType="end"/>
      </w:r>
    </w:p>
    <w:p w14:paraId="76518D97" w14:textId="77777777" w:rsidR="006E40C9" w:rsidRDefault="006E40C9" w:rsidP="00D9255A">
      <w:pPr>
        <w:pStyle w:val="TESHeading5"/>
      </w:pPr>
      <w:r>
        <w:t>E17</w:t>
      </w:r>
      <w:r>
        <w:tab/>
        <w:t>Early stage investors – capital gains tax exemption</w:t>
      </w:r>
    </w:p>
    <w:p w14:paraId="31B1C7C7" w14:textId="1EB42389"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731B7CC" w14:textId="77777777">
        <w:trPr>
          <w:cantSplit/>
          <w:jc w:val="center"/>
        </w:trPr>
        <w:tc>
          <w:tcPr>
            <w:tcW w:w="967" w:type="dxa"/>
            <w:tcBorders>
              <w:top w:val="single" w:sz="2" w:space="0" w:color="auto"/>
              <w:bottom w:val="single" w:sz="2" w:space="0" w:color="auto"/>
            </w:tcBorders>
          </w:tcPr>
          <w:p w14:paraId="0C49E2C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98CC8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8E92E4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A268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80EB1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C7A0E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E75A08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19D361C" w14:textId="77777777" w:rsidR="006E40C9" w:rsidRDefault="006E40C9">
            <w:pPr>
              <w:pStyle w:val="MeasureTableTextRightAligned"/>
            </w:pPr>
            <w:r>
              <w:t>2027-28</w:t>
            </w:r>
          </w:p>
        </w:tc>
      </w:tr>
      <w:tr w:rsidR="006E40C9" w14:paraId="73F6D476" w14:textId="77777777">
        <w:trPr>
          <w:cantSplit/>
          <w:jc w:val="center"/>
        </w:trPr>
        <w:tc>
          <w:tcPr>
            <w:tcW w:w="967" w:type="dxa"/>
            <w:tcBorders>
              <w:top w:val="single" w:sz="2" w:space="0" w:color="auto"/>
              <w:bottom w:val="single" w:sz="2" w:space="0" w:color="auto"/>
            </w:tcBorders>
          </w:tcPr>
          <w:p w14:paraId="0964EF0B" w14:textId="77777777" w:rsidR="006E40C9" w:rsidRDefault="006E40C9">
            <w:pPr>
              <w:pStyle w:val="MeasureTableTextRightAligned"/>
            </w:pPr>
            <w:r>
              <w:t>*</w:t>
            </w:r>
          </w:p>
        </w:tc>
        <w:tc>
          <w:tcPr>
            <w:tcW w:w="967" w:type="dxa"/>
            <w:tcBorders>
              <w:top w:val="single" w:sz="2" w:space="0" w:color="auto"/>
              <w:bottom w:val="single" w:sz="2" w:space="0" w:color="auto"/>
            </w:tcBorders>
          </w:tcPr>
          <w:p w14:paraId="00333BF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890F4D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C0E6C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5B8A5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D6591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2561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91BA0DB" w14:textId="77777777" w:rsidR="006E40C9" w:rsidRDefault="006E40C9">
            <w:pPr>
              <w:pStyle w:val="MeasureTableTextRightAligned"/>
            </w:pPr>
            <w:r>
              <w:t>*</w:t>
            </w:r>
          </w:p>
        </w:tc>
      </w:tr>
      <w:tr w:rsidR="006E40C9" w14:paraId="5730DA0F" w14:textId="77777777">
        <w:trPr>
          <w:cantSplit/>
          <w:jc w:val="center"/>
        </w:trPr>
        <w:tc>
          <w:tcPr>
            <w:tcW w:w="1934" w:type="dxa"/>
            <w:gridSpan w:val="2"/>
            <w:tcBorders>
              <w:top w:val="single" w:sz="2" w:space="0" w:color="auto"/>
              <w:bottom w:val="nil"/>
            </w:tcBorders>
          </w:tcPr>
          <w:p w14:paraId="5F41AA1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5269ACD" w14:textId="77777777" w:rsidR="006E40C9" w:rsidRDefault="006E40C9">
            <w:pPr>
              <w:pStyle w:val="MeasureTableTextLeftAligned"/>
            </w:pPr>
            <w:r>
              <w:t>Exemption</w:t>
            </w:r>
          </w:p>
        </w:tc>
        <w:tc>
          <w:tcPr>
            <w:tcW w:w="1500" w:type="dxa"/>
            <w:gridSpan w:val="2"/>
            <w:tcBorders>
              <w:top w:val="single" w:sz="2" w:space="0" w:color="auto"/>
              <w:bottom w:val="nil"/>
            </w:tcBorders>
          </w:tcPr>
          <w:p w14:paraId="650DACFF" w14:textId="585D3752"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B29CA9" w14:textId="77777777" w:rsidR="006E40C9" w:rsidRDefault="006E40C9">
            <w:pPr>
              <w:pStyle w:val="MeasureTableTextLeftAligned"/>
            </w:pPr>
            <w:r>
              <w:t>E17</w:t>
            </w:r>
          </w:p>
        </w:tc>
      </w:tr>
      <w:tr w:rsidR="006E40C9" w14:paraId="744A0185" w14:textId="77777777">
        <w:trPr>
          <w:cantSplit/>
          <w:jc w:val="center"/>
        </w:trPr>
        <w:tc>
          <w:tcPr>
            <w:tcW w:w="1934" w:type="dxa"/>
            <w:gridSpan w:val="2"/>
            <w:tcBorders>
              <w:top w:val="nil"/>
              <w:bottom w:val="nil"/>
            </w:tcBorders>
          </w:tcPr>
          <w:p w14:paraId="082A430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85AF5C8" w14:textId="77777777" w:rsidR="006E40C9" w:rsidRPr="00584CA7" w:rsidRDefault="006E40C9">
            <w:pPr>
              <w:pStyle w:val="MeasureTableTextLeftAligned"/>
            </w:pPr>
            <w:r>
              <w:t>Low</w:t>
            </w:r>
          </w:p>
        </w:tc>
        <w:tc>
          <w:tcPr>
            <w:tcW w:w="1500" w:type="dxa"/>
            <w:gridSpan w:val="2"/>
            <w:tcBorders>
              <w:top w:val="nil"/>
              <w:bottom w:val="nil"/>
            </w:tcBorders>
          </w:tcPr>
          <w:p w14:paraId="3493CC01" w14:textId="77777777" w:rsidR="006E40C9" w:rsidRDefault="006E40C9">
            <w:pPr>
              <w:pStyle w:val="MeasureTableTextItalic"/>
            </w:pPr>
            <w:r>
              <w:t>* Category</w:t>
            </w:r>
          </w:p>
        </w:tc>
        <w:tc>
          <w:tcPr>
            <w:tcW w:w="1124" w:type="dxa"/>
            <w:gridSpan w:val="2"/>
            <w:tcBorders>
              <w:top w:val="nil"/>
              <w:bottom w:val="nil"/>
            </w:tcBorders>
          </w:tcPr>
          <w:p w14:paraId="25060DBE" w14:textId="77777777" w:rsidR="006E40C9" w:rsidRDefault="006E40C9">
            <w:pPr>
              <w:pStyle w:val="MeasureTableTextLeftAligned"/>
            </w:pPr>
            <w:r>
              <w:t>2+</w:t>
            </w:r>
          </w:p>
        </w:tc>
      </w:tr>
      <w:tr w:rsidR="006E40C9" w14:paraId="0CB52B84" w14:textId="77777777">
        <w:trPr>
          <w:cantSplit/>
          <w:jc w:val="center"/>
        </w:trPr>
        <w:tc>
          <w:tcPr>
            <w:tcW w:w="1934" w:type="dxa"/>
            <w:gridSpan w:val="2"/>
            <w:tcBorders>
              <w:top w:val="nil"/>
              <w:bottom w:val="nil"/>
            </w:tcBorders>
          </w:tcPr>
          <w:p w14:paraId="562940CE" w14:textId="77777777" w:rsidR="006E40C9" w:rsidRDefault="006E40C9">
            <w:pPr>
              <w:pStyle w:val="MeasureTableTextItalic"/>
            </w:pPr>
            <w:r>
              <w:t>Commencement date:</w:t>
            </w:r>
          </w:p>
        </w:tc>
        <w:tc>
          <w:tcPr>
            <w:tcW w:w="3179" w:type="dxa"/>
            <w:gridSpan w:val="4"/>
            <w:tcBorders>
              <w:top w:val="nil"/>
              <w:bottom w:val="nil"/>
            </w:tcBorders>
          </w:tcPr>
          <w:p w14:paraId="07A7F17C" w14:textId="77777777" w:rsidR="006E40C9" w:rsidRDefault="006E40C9">
            <w:pPr>
              <w:pStyle w:val="MeasureTableTextLeftAligned"/>
            </w:pPr>
            <w:r>
              <w:t>2016</w:t>
            </w:r>
          </w:p>
        </w:tc>
        <w:tc>
          <w:tcPr>
            <w:tcW w:w="1500" w:type="dxa"/>
            <w:gridSpan w:val="2"/>
            <w:tcBorders>
              <w:top w:val="nil"/>
              <w:bottom w:val="nil"/>
            </w:tcBorders>
          </w:tcPr>
          <w:p w14:paraId="50E7E2EF" w14:textId="77777777" w:rsidR="006E40C9" w:rsidRPr="00F32057" w:rsidRDefault="006E40C9">
            <w:pPr>
              <w:pStyle w:val="MeasureTableTextItalic"/>
            </w:pPr>
            <w:r>
              <w:t>Expiry date:</w:t>
            </w:r>
          </w:p>
        </w:tc>
        <w:tc>
          <w:tcPr>
            <w:tcW w:w="1124" w:type="dxa"/>
            <w:gridSpan w:val="2"/>
            <w:tcBorders>
              <w:top w:val="nil"/>
              <w:bottom w:val="nil"/>
            </w:tcBorders>
          </w:tcPr>
          <w:p w14:paraId="6AF9D033" w14:textId="77777777" w:rsidR="006E40C9" w:rsidRPr="00F32057" w:rsidRDefault="006E40C9">
            <w:pPr>
              <w:pStyle w:val="MeasureTableTextLeftAligned"/>
            </w:pPr>
          </w:p>
        </w:tc>
      </w:tr>
      <w:tr w:rsidR="006E40C9" w14:paraId="4B5FD250" w14:textId="77777777">
        <w:trPr>
          <w:cantSplit/>
          <w:jc w:val="center"/>
        </w:trPr>
        <w:tc>
          <w:tcPr>
            <w:tcW w:w="1934" w:type="dxa"/>
            <w:gridSpan w:val="2"/>
            <w:tcBorders>
              <w:top w:val="nil"/>
            </w:tcBorders>
          </w:tcPr>
          <w:p w14:paraId="1D532B84" w14:textId="77777777" w:rsidR="006E40C9" w:rsidRDefault="006E40C9">
            <w:pPr>
              <w:pStyle w:val="MeasureTableTextItalic"/>
            </w:pPr>
            <w:r>
              <w:t>Legislative reference:</w:t>
            </w:r>
          </w:p>
        </w:tc>
        <w:tc>
          <w:tcPr>
            <w:tcW w:w="5803" w:type="dxa"/>
            <w:gridSpan w:val="8"/>
            <w:tcBorders>
              <w:top w:val="nil"/>
            </w:tcBorders>
          </w:tcPr>
          <w:p w14:paraId="1AB9222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360 of the </w:t>
            </w:r>
            <w:r>
              <w:rPr>
                <w:rFonts w:ascii="Arial" w:hAnsi="Arial" w:cs="Arial"/>
                <w:i/>
                <w:iCs/>
                <w:color w:val="000000"/>
                <w:sz w:val="16"/>
                <w:szCs w:val="16"/>
              </w:rPr>
              <w:t xml:space="preserve">Income Tax Assessment Act 1997 </w:t>
            </w:r>
          </w:p>
        </w:tc>
      </w:tr>
    </w:tbl>
    <w:p w14:paraId="36141DFB" w14:textId="77777777" w:rsidR="006E40C9" w:rsidRPr="00540040" w:rsidRDefault="006E40C9" w:rsidP="006E40C9">
      <w:pPr>
        <w:pStyle w:val="MeasureTableHeading"/>
      </w:pPr>
    </w:p>
    <w:p w14:paraId="3CCEF4A2" w14:textId="77777777" w:rsidR="006E40C9" w:rsidRDefault="006E40C9" w:rsidP="006E40C9">
      <w:r>
        <w:t>The benchmark tax treatment is that gains and income from investments are generally assessable.</w:t>
      </w:r>
    </w:p>
    <w:p w14:paraId="6A8BCB82" w14:textId="0EE3B79F" w:rsidR="006E40C9" w:rsidRDefault="006E40C9" w:rsidP="006E40C9">
      <w:pPr>
        <w:rPr>
          <w:rFonts w:eastAsia="Calibri"/>
          <w:lang w:eastAsia="en-US"/>
        </w:rPr>
      </w:pPr>
      <w:r>
        <w:t xml:space="preserve">A tax expenditure arises because </w:t>
      </w:r>
      <w:r>
        <w:rPr>
          <w:lang w:val="en"/>
        </w:rPr>
        <w:t>eligible investors in qualifying early stage innovation companies receive a 10 year exemption from capital gains tax on their investment provided a minimum 12 month holding period has been met.</w:t>
      </w:r>
      <w:r>
        <w:rPr>
          <w:rFonts w:eastAsia="Calibri"/>
          <w:lang w:eastAsia="en-US"/>
        </w:rPr>
        <w:fldChar w:fldCharType="begin"/>
      </w:r>
      <w:r>
        <w:instrText xml:space="preserve"> XE "Early-stage investments" </w:instrText>
      </w:r>
      <w:r>
        <w:rPr>
          <w:rFonts w:eastAsia="Calibri"/>
          <w:lang w:eastAsia="en-US"/>
        </w:rPr>
        <w:fldChar w:fldCharType="end"/>
      </w:r>
    </w:p>
    <w:p w14:paraId="100B2035" w14:textId="77777777" w:rsidR="006E40C9" w:rsidRDefault="006E40C9" w:rsidP="00D9255A">
      <w:pPr>
        <w:pStyle w:val="TESHeading5"/>
      </w:pPr>
      <w:r>
        <w:t>E18</w:t>
      </w:r>
      <w:r>
        <w:tab/>
        <w:t>Exemption for assets acquired before commencement of CGT</w:t>
      </w:r>
    </w:p>
    <w:p w14:paraId="15DF4CE6" w14:textId="1EDA426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9552A0E" w14:textId="77777777">
        <w:trPr>
          <w:cantSplit/>
          <w:jc w:val="center"/>
        </w:trPr>
        <w:tc>
          <w:tcPr>
            <w:tcW w:w="967" w:type="dxa"/>
            <w:tcBorders>
              <w:top w:val="single" w:sz="2" w:space="0" w:color="auto"/>
              <w:bottom w:val="single" w:sz="2" w:space="0" w:color="auto"/>
            </w:tcBorders>
          </w:tcPr>
          <w:p w14:paraId="3295DD8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A5FA8C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2DAD15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F9E5B9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92C66E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775965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159E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749A6D" w14:textId="77777777" w:rsidR="006E40C9" w:rsidRDefault="006E40C9">
            <w:pPr>
              <w:pStyle w:val="MeasureTableTextRightAligned"/>
            </w:pPr>
            <w:r>
              <w:t>2027-28</w:t>
            </w:r>
          </w:p>
        </w:tc>
      </w:tr>
      <w:tr w:rsidR="006E40C9" w14:paraId="4EC3AFD5" w14:textId="77777777">
        <w:trPr>
          <w:cantSplit/>
          <w:jc w:val="center"/>
        </w:trPr>
        <w:tc>
          <w:tcPr>
            <w:tcW w:w="967" w:type="dxa"/>
            <w:tcBorders>
              <w:top w:val="single" w:sz="2" w:space="0" w:color="auto"/>
              <w:bottom w:val="single" w:sz="2" w:space="0" w:color="auto"/>
            </w:tcBorders>
          </w:tcPr>
          <w:p w14:paraId="633B287C" w14:textId="77777777" w:rsidR="006E40C9" w:rsidRDefault="006E40C9">
            <w:pPr>
              <w:pStyle w:val="MeasureTableTextRightAligned"/>
            </w:pPr>
            <w:r>
              <w:t>*</w:t>
            </w:r>
          </w:p>
        </w:tc>
        <w:tc>
          <w:tcPr>
            <w:tcW w:w="967" w:type="dxa"/>
            <w:tcBorders>
              <w:top w:val="single" w:sz="2" w:space="0" w:color="auto"/>
              <w:bottom w:val="single" w:sz="2" w:space="0" w:color="auto"/>
            </w:tcBorders>
          </w:tcPr>
          <w:p w14:paraId="6F8D0F3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8E6A1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896AA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CD17C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81707D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6947A0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91A3DDB" w14:textId="77777777" w:rsidR="006E40C9" w:rsidRDefault="006E40C9">
            <w:pPr>
              <w:pStyle w:val="MeasureTableTextRightAligned"/>
            </w:pPr>
            <w:r>
              <w:t>*</w:t>
            </w:r>
          </w:p>
        </w:tc>
      </w:tr>
      <w:tr w:rsidR="006E40C9" w14:paraId="590700B4" w14:textId="77777777">
        <w:trPr>
          <w:cantSplit/>
          <w:jc w:val="center"/>
        </w:trPr>
        <w:tc>
          <w:tcPr>
            <w:tcW w:w="1934" w:type="dxa"/>
            <w:gridSpan w:val="2"/>
            <w:tcBorders>
              <w:top w:val="single" w:sz="2" w:space="0" w:color="auto"/>
              <w:bottom w:val="nil"/>
            </w:tcBorders>
          </w:tcPr>
          <w:p w14:paraId="443D5D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45C452" w14:textId="77777777" w:rsidR="006E40C9" w:rsidRDefault="006E40C9">
            <w:pPr>
              <w:pStyle w:val="MeasureTableTextLeftAligned"/>
            </w:pPr>
            <w:r>
              <w:t>Exemption</w:t>
            </w:r>
          </w:p>
        </w:tc>
        <w:tc>
          <w:tcPr>
            <w:tcW w:w="1500" w:type="dxa"/>
            <w:gridSpan w:val="2"/>
            <w:tcBorders>
              <w:top w:val="single" w:sz="2" w:space="0" w:color="auto"/>
              <w:bottom w:val="nil"/>
            </w:tcBorders>
          </w:tcPr>
          <w:p w14:paraId="6C892EA4" w14:textId="694403A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CF33E7" w14:textId="77777777" w:rsidR="006E40C9" w:rsidRDefault="006E40C9">
            <w:pPr>
              <w:pStyle w:val="MeasureTableTextLeftAligned"/>
            </w:pPr>
            <w:r>
              <w:t>E18</w:t>
            </w:r>
          </w:p>
        </w:tc>
      </w:tr>
      <w:tr w:rsidR="006E40C9" w14:paraId="1E745C03" w14:textId="77777777">
        <w:trPr>
          <w:cantSplit/>
          <w:jc w:val="center"/>
        </w:trPr>
        <w:tc>
          <w:tcPr>
            <w:tcW w:w="1934" w:type="dxa"/>
            <w:gridSpan w:val="2"/>
            <w:tcBorders>
              <w:top w:val="nil"/>
              <w:bottom w:val="nil"/>
            </w:tcBorders>
          </w:tcPr>
          <w:p w14:paraId="7CB2E6C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64C8E59" w14:textId="77777777" w:rsidR="006E40C9" w:rsidRPr="00584CA7" w:rsidRDefault="006E40C9">
            <w:pPr>
              <w:pStyle w:val="MeasureTableTextLeftAligned"/>
            </w:pPr>
            <w:r>
              <w:t>Not Applicable</w:t>
            </w:r>
          </w:p>
        </w:tc>
        <w:tc>
          <w:tcPr>
            <w:tcW w:w="1500" w:type="dxa"/>
            <w:gridSpan w:val="2"/>
            <w:tcBorders>
              <w:top w:val="nil"/>
              <w:bottom w:val="nil"/>
            </w:tcBorders>
          </w:tcPr>
          <w:p w14:paraId="71FDEABC" w14:textId="77777777" w:rsidR="006E40C9" w:rsidRDefault="006E40C9">
            <w:pPr>
              <w:pStyle w:val="MeasureTableTextItalic"/>
            </w:pPr>
            <w:r>
              <w:t>* Category</w:t>
            </w:r>
          </w:p>
        </w:tc>
        <w:tc>
          <w:tcPr>
            <w:tcW w:w="1124" w:type="dxa"/>
            <w:gridSpan w:val="2"/>
            <w:tcBorders>
              <w:top w:val="nil"/>
              <w:bottom w:val="nil"/>
            </w:tcBorders>
          </w:tcPr>
          <w:p w14:paraId="3523189F" w14:textId="77777777" w:rsidR="006E40C9" w:rsidRDefault="006E40C9">
            <w:pPr>
              <w:pStyle w:val="MeasureTableTextLeftAligned"/>
            </w:pPr>
            <w:r>
              <w:t>2+</w:t>
            </w:r>
          </w:p>
        </w:tc>
      </w:tr>
      <w:tr w:rsidR="006E40C9" w14:paraId="6D8C1270" w14:textId="77777777">
        <w:trPr>
          <w:cantSplit/>
          <w:jc w:val="center"/>
        </w:trPr>
        <w:tc>
          <w:tcPr>
            <w:tcW w:w="1934" w:type="dxa"/>
            <w:gridSpan w:val="2"/>
            <w:tcBorders>
              <w:top w:val="nil"/>
              <w:bottom w:val="nil"/>
            </w:tcBorders>
          </w:tcPr>
          <w:p w14:paraId="70FAA72B" w14:textId="77777777" w:rsidR="006E40C9" w:rsidRDefault="006E40C9">
            <w:pPr>
              <w:pStyle w:val="MeasureTableTextItalic"/>
            </w:pPr>
            <w:r>
              <w:t>Commencement date:</w:t>
            </w:r>
          </w:p>
        </w:tc>
        <w:tc>
          <w:tcPr>
            <w:tcW w:w="3179" w:type="dxa"/>
            <w:gridSpan w:val="4"/>
            <w:tcBorders>
              <w:top w:val="nil"/>
              <w:bottom w:val="nil"/>
            </w:tcBorders>
          </w:tcPr>
          <w:p w14:paraId="5AEC12C8" w14:textId="77777777" w:rsidR="006E40C9" w:rsidRDefault="006E40C9">
            <w:pPr>
              <w:pStyle w:val="MeasureTableTextLeftAligned"/>
            </w:pPr>
            <w:r>
              <w:t>20 September 1985</w:t>
            </w:r>
          </w:p>
        </w:tc>
        <w:tc>
          <w:tcPr>
            <w:tcW w:w="1500" w:type="dxa"/>
            <w:gridSpan w:val="2"/>
            <w:tcBorders>
              <w:top w:val="nil"/>
              <w:bottom w:val="nil"/>
            </w:tcBorders>
          </w:tcPr>
          <w:p w14:paraId="2D996DBB" w14:textId="77777777" w:rsidR="006E40C9" w:rsidRPr="00F32057" w:rsidRDefault="006E40C9">
            <w:pPr>
              <w:pStyle w:val="MeasureTableTextItalic"/>
            </w:pPr>
            <w:r>
              <w:t>Expiry date:</w:t>
            </w:r>
          </w:p>
        </w:tc>
        <w:tc>
          <w:tcPr>
            <w:tcW w:w="1124" w:type="dxa"/>
            <w:gridSpan w:val="2"/>
            <w:tcBorders>
              <w:top w:val="nil"/>
              <w:bottom w:val="nil"/>
            </w:tcBorders>
          </w:tcPr>
          <w:p w14:paraId="72136810" w14:textId="77777777" w:rsidR="006E40C9" w:rsidRPr="00F32057" w:rsidRDefault="006E40C9">
            <w:pPr>
              <w:pStyle w:val="MeasureTableTextLeftAligned"/>
            </w:pPr>
          </w:p>
        </w:tc>
      </w:tr>
      <w:tr w:rsidR="006E40C9" w14:paraId="03269E45" w14:textId="77777777">
        <w:trPr>
          <w:cantSplit/>
          <w:jc w:val="center"/>
        </w:trPr>
        <w:tc>
          <w:tcPr>
            <w:tcW w:w="1934" w:type="dxa"/>
            <w:gridSpan w:val="2"/>
            <w:tcBorders>
              <w:top w:val="nil"/>
            </w:tcBorders>
          </w:tcPr>
          <w:p w14:paraId="31AC50CB" w14:textId="77777777" w:rsidR="006E40C9" w:rsidRDefault="006E40C9">
            <w:pPr>
              <w:pStyle w:val="MeasureTableTextItalic"/>
            </w:pPr>
            <w:r>
              <w:t>Legislative reference:</w:t>
            </w:r>
          </w:p>
        </w:tc>
        <w:tc>
          <w:tcPr>
            <w:tcW w:w="5803" w:type="dxa"/>
            <w:gridSpan w:val="8"/>
            <w:tcBorders>
              <w:top w:val="nil"/>
            </w:tcBorders>
          </w:tcPr>
          <w:p w14:paraId="3AA44A32"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Division 104 of the </w:t>
            </w:r>
            <w:r>
              <w:rPr>
                <w:rFonts w:ascii="Arial" w:hAnsi="Arial" w:cs="Arial"/>
                <w:i/>
                <w:iCs/>
                <w:color w:val="000000"/>
                <w:sz w:val="16"/>
                <w:szCs w:val="16"/>
              </w:rPr>
              <w:t>Income Tax Assessment Act 1997</w:t>
            </w:r>
          </w:p>
          <w:p w14:paraId="4BBF40D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102-25(2) of the </w:t>
            </w:r>
            <w:r>
              <w:rPr>
                <w:rFonts w:ascii="Arial" w:hAnsi="Arial" w:cs="Arial"/>
                <w:i/>
                <w:iCs/>
                <w:color w:val="000000"/>
                <w:sz w:val="16"/>
                <w:szCs w:val="16"/>
              </w:rPr>
              <w:t>Income Tax (Transitional Provisions) Act 1997</w:t>
            </w:r>
          </w:p>
        </w:tc>
      </w:tr>
    </w:tbl>
    <w:p w14:paraId="7B9278B5" w14:textId="77777777" w:rsidR="006E40C9" w:rsidRPr="00540040" w:rsidRDefault="006E40C9" w:rsidP="006E40C9">
      <w:pPr>
        <w:pStyle w:val="MeasureTableHeading"/>
      </w:pPr>
    </w:p>
    <w:p w14:paraId="3D2DA813" w14:textId="77777777" w:rsidR="006E40C9" w:rsidRDefault="006E40C9" w:rsidP="006E40C9">
      <w:r w:rsidRPr="00F613D0">
        <w:t>Under the benchmark, realised capital gains are generally assessable to taxpayers at their applicable tax rate in the year they arise. However, capital gains or losses on assets acquired before 20 September 1985 (or before 24 October 2015 for Norfolk Island residents) are generally exempt from CGT.</w:t>
      </w:r>
      <w:r w:rsidRPr="00F613D0">
        <w:fldChar w:fldCharType="begin"/>
      </w:r>
      <w:r w:rsidRPr="00F613D0">
        <w:instrText xml:space="preserve"> XE "</w:instrText>
      </w:r>
      <w:r w:rsidRPr="00F613D0">
        <w:rPr>
          <w:lang w:val="en-US"/>
        </w:rPr>
        <w:instrText>Capital gains tax:Exemption</w:instrText>
      </w:r>
      <w:r w:rsidRPr="00F613D0">
        <w:instrText xml:space="preserve">" </w:instrText>
      </w:r>
      <w:r w:rsidRPr="00F613D0">
        <w:fldChar w:fldCharType="end"/>
      </w:r>
    </w:p>
    <w:p w14:paraId="1B95B619" w14:textId="77777777" w:rsidR="006E40C9" w:rsidRDefault="006E40C9" w:rsidP="00D9255A">
      <w:pPr>
        <w:pStyle w:val="TESHeading5"/>
      </w:pPr>
      <w:r>
        <w:t>E19</w:t>
      </w:r>
      <w:r>
        <w:tab/>
        <w:t>Exemption for demutualisation of mutual entities</w:t>
      </w:r>
    </w:p>
    <w:p w14:paraId="5977A4B6" w14:textId="3B5D50E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501BE55" w14:textId="77777777">
        <w:trPr>
          <w:cantSplit/>
          <w:jc w:val="center"/>
        </w:trPr>
        <w:tc>
          <w:tcPr>
            <w:tcW w:w="967" w:type="dxa"/>
            <w:tcBorders>
              <w:top w:val="single" w:sz="2" w:space="0" w:color="auto"/>
              <w:bottom w:val="single" w:sz="2" w:space="0" w:color="auto"/>
            </w:tcBorders>
          </w:tcPr>
          <w:p w14:paraId="5DF6CCD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1CE4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800CF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E7D2AB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2DC1B3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10D3FD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456BE5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ED03804" w14:textId="77777777" w:rsidR="006E40C9" w:rsidRDefault="006E40C9">
            <w:pPr>
              <w:pStyle w:val="MeasureTableTextRightAligned"/>
            </w:pPr>
            <w:r>
              <w:t>2027-28</w:t>
            </w:r>
          </w:p>
        </w:tc>
      </w:tr>
      <w:tr w:rsidR="006E40C9" w14:paraId="5CA2F20D" w14:textId="77777777">
        <w:trPr>
          <w:cantSplit/>
          <w:jc w:val="center"/>
        </w:trPr>
        <w:tc>
          <w:tcPr>
            <w:tcW w:w="967" w:type="dxa"/>
            <w:tcBorders>
              <w:top w:val="single" w:sz="2" w:space="0" w:color="auto"/>
              <w:bottom w:val="single" w:sz="2" w:space="0" w:color="auto"/>
            </w:tcBorders>
          </w:tcPr>
          <w:p w14:paraId="2EEF844B" w14:textId="77777777" w:rsidR="006E40C9" w:rsidRDefault="006E40C9">
            <w:pPr>
              <w:pStyle w:val="MeasureTableTextRightAligned"/>
            </w:pPr>
            <w:r>
              <w:t>*</w:t>
            </w:r>
          </w:p>
        </w:tc>
        <w:tc>
          <w:tcPr>
            <w:tcW w:w="967" w:type="dxa"/>
            <w:tcBorders>
              <w:top w:val="single" w:sz="2" w:space="0" w:color="auto"/>
              <w:bottom w:val="single" w:sz="2" w:space="0" w:color="auto"/>
            </w:tcBorders>
          </w:tcPr>
          <w:p w14:paraId="35B2FA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4798F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C4E91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C2F06A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1DF7D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FBA23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2FE9B91" w14:textId="77777777" w:rsidR="006E40C9" w:rsidRDefault="006E40C9">
            <w:pPr>
              <w:pStyle w:val="MeasureTableTextRightAligned"/>
            </w:pPr>
            <w:r>
              <w:t>*</w:t>
            </w:r>
          </w:p>
        </w:tc>
      </w:tr>
      <w:tr w:rsidR="006E40C9" w14:paraId="32BAA3F3" w14:textId="77777777">
        <w:trPr>
          <w:cantSplit/>
          <w:jc w:val="center"/>
        </w:trPr>
        <w:tc>
          <w:tcPr>
            <w:tcW w:w="1934" w:type="dxa"/>
            <w:gridSpan w:val="2"/>
            <w:tcBorders>
              <w:top w:val="single" w:sz="2" w:space="0" w:color="auto"/>
              <w:bottom w:val="nil"/>
            </w:tcBorders>
          </w:tcPr>
          <w:p w14:paraId="722CB78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889E24E" w14:textId="77777777" w:rsidR="006E40C9" w:rsidRDefault="006E40C9">
            <w:pPr>
              <w:pStyle w:val="MeasureTableTextLeftAligned"/>
            </w:pPr>
            <w:r>
              <w:t>Exemption</w:t>
            </w:r>
          </w:p>
        </w:tc>
        <w:tc>
          <w:tcPr>
            <w:tcW w:w="1500" w:type="dxa"/>
            <w:gridSpan w:val="2"/>
            <w:tcBorders>
              <w:top w:val="single" w:sz="2" w:space="0" w:color="auto"/>
              <w:bottom w:val="nil"/>
            </w:tcBorders>
          </w:tcPr>
          <w:p w14:paraId="1CBB9498" w14:textId="4AE6BA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403EEB" w14:textId="77777777" w:rsidR="006E40C9" w:rsidRDefault="006E40C9">
            <w:pPr>
              <w:pStyle w:val="MeasureTableTextLeftAligned"/>
            </w:pPr>
            <w:r>
              <w:t>E19</w:t>
            </w:r>
          </w:p>
        </w:tc>
      </w:tr>
      <w:tr w:rsidR="006E40C9" w14:paraId="6BC2082A" w14:textId="77777777">
        <w:trPr>
          <w:cantSplit/>
          <w:jc w:val="center"/>
        </w:trPr>
        <w:tc>
          <w:tcPr>
            <w:tcW w:w="1934" w:type="dxa"/>
            <w:gridSpan w:val="2"/>
            <w:tcBorders>
              <w:top w:val="nil"/>
              <w:bottom w:val="nil"/>
            </w:tcBorders>
          </w:tcPr>
          <w:p w14:paraId="3D306E4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0475B0" w14:textId="77777777" w:rsidR="006E40C9" w:rsidRPr="00584CA7" w:rsidRDefault="006E40C9">
            <w:pPr>
              <w:pStyle w:val="MeasureTableTextLeftAligned"/>
            </w:pPr>
            <w:r>
              <w:t>Not Applicable</w:t>
            </w:r>
          </w:p>
        </w:tc>
        <w:tc>
          <w:tcPr>
            <w:tcW w:w="1500" w:type="dxa"/>
            <w:gridSpan w:val="2"/>
            <w:tcBorders>
              <w:top w:val="nil"/>
              <w:bottom w:val="nil"/>
            </w:tcBorders>
          </w:tcPr>
          <w:p w14:paraId="7423A21F" w14:textId="77777777" w:rsidR="006E40C9" w:rsidRDefault="006E40C9">
            <w:pPr>
              <w:pStyle w:val="MeasureTableTextItalic"/>
            </w:pPr>
            <w:r>
              <w:t>* Category</w:t>
            </w:r>
          </w:p>
        </w:tc>
        <w:tc>
          <w:tcPr>
            <w:tcW w:w="1124" w:type="dxa"/>
            <w:gridSpan w:val="2"/>
            <w:tcBorders>
              <w:top w:val="nil"/>
              <w:bottom w:val="nil"/>
            </w:tcBorders>
          </w:tcPr>
          <w:p w14:paraId="160F8084" w14:textId="77777777" w:rsidR="006E40C9" w:rsidRDefault="006E40C9">
            <w:pPr>
              <w:pStyle w:val="MeasureTableTextLeftAligned"/>
            </w:pPr>
            <w:r>
              <w:t>2+</w:t>
            </w:r>
          </w:p>
        </w:tc>
      </w:tr>
      <w:tr w:rsidR="006E40C9" w14:paraId="7B42EFEF" w14:textId="77777777">
        <w:trPr>
          <w:cantSplit/>
          <w:jc w:val="center"/>
        </w:trPr>
        <w:tc>
          <w:tcPr>
            <w:tcW w:w="1934" w:type="dxa"/>
            <w:gridSpan w:val="2"/>
            <w:tcBorders>
              <w:top w:val="nil"/>
              <w:bottom w:val="nil"/>
            </w:tcBorders>
          </w:tcPr>
          <w:p w14:paraId="0DC026A7" w14:textId="77777777" w:rsidR="006E40C9" w:rsidRDefault="006E40C9">
            <w:pPr>
              <w:pStyle w:val="MeasureTableTextItalic"/>
            </w:pPr>
            <w:r>
              <w:t>Commencement date:</w:t>
            </w:r>
          </w:p>
        </w:tc>
        <w:tc>
          <w:tcPr>
            <w:tcW w:w="3179" w:type="dxa"/>
            <w:gridSpan w:val="4"/>
            <w:tcBorders>
              <w:top w:val="nil"/>
              <w:bottom w:val="nil"/>
            </w:tcBorders>
          </w:tcPr>
          <w:p w14:paraId="1F977DA8" w14:textId="77777777" w:rsidR="006E40C9" w:rsidRDefault="006E40C9">
            <w:pPr>
              <w:pStyle w:val="MeasureTableTextLeftAligned"/>
            </w:pPr>
            <w:r>
              <w:t>1995 (mutual entities); 2007 (health insurers); 2008 (friendly societies)</w:t>
            </w:r>
          </w:p>
        </w:tc>
        <w:tc>
          <w:tcPr>
            <w:tcW w:w="1500" w:type="dxa"/>
            <w:gridSpan w:val="2"/>
            <w:tcBorders>
              <w:top w:val="nil"/>
              <w:bottom w:val="nil"/>
            </w:tcBorders>
          </w:tcPr>
          <w:p w14:paraId="11BC5739" w14:textId="77777777" w:rsidR="006E40C9" w:rsidRPr="00F32057" w:rsidRDefault="006E40C9">
            <w:pPr>
              <w:pStyle w:val="MeasureTableTextItalic"/>
            </w:pPr>
            <w:r>
              <w:t>Expiry date:</w:t>
            </w:r>
          </w:p>
        </w:tc>
        <w:tc>
          <w:tcPr>
            <w:tcW w:w="1124" w:type="dxa"/>
            <w:gridSpan w:val="2"/>
            <w:tcBorders>
              <w:top w:val="nil"/>
              <w:bottom w:val="nil"/>
            </w:tcBorders>
          </w:tcPr>
          <w:p w14:paraId="016ADA3C" w14:textId="77777777" w:rsidR="006E40C9" w:rsidRPr="00F32057" w:rsidRDefault="006E40C9">
            <w:pPr>
              <w:pStyle w:val="MeasureTableTextLeftAligned"/>
            </w:pPr>
          </w:p>
        </w:tc>
      </w:tr>
      <w:tr w:rsidR="006E40C9" w14:paraId="49DADA30" w14:textId="77777777">
        <w:trPr>
          <w:cantSplit/>
          <w:jc w:val="center"/>
        </w:trPr>
        <w:tc>
          <w:tcPr>
            <w:tcW w:w="1934" w:type="dxa"/>
            <w:gridSpan w:val="2"/>
            <w:tcBorders>
              <w:top w:val="nil"/>
            </w:tcBorders>
          </w:tcPr>
          <w:p w14:paraId="51FB903F" w14:textId="77777777" w:rsidR="006E40C9" w:rsidRDefault="006E40C9">
            <w:pPr>
              <w:pStyle w:val="MeasureTableTextItalic"/>
            </w:pPr>
            <w:r>
              <w:t>Legislative reference:</w:t>
            </w:r>
          </w:p>
        </w:tc>
        <w:tc>
          <w:tcPr>
            <w:tcW w:w="5803" w:type="dxa"/>
            <w:gridSpan w:val="8"/>
            <w:tcBorders>
              <w:top w:val="nil"/>
            </w:tcBorders>
          </w:tcPr>
          <w:p w14:paraId="3AD99FF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9AA and Schedule 2H of the </w:t>
            </w:r>
            <w:r>
              <w:rPr>
                <w:rFonts w:ascii="Arial" w:hAnsi="Arial" w:cs="Arial"/>
                <w:i/>
                <w:iCs/>
                <w:color w:val="000000"/>
                <w:sz w:val="16"/>
                <w:szCs w:val="16"/>
              </w:rPr>
              <w:t>Income Tax Assessment Act 1936</w:t>
            </w:r>
            <w:r>
              <w:rPr>
                <w:rFonts w:ascii="Arial" w:hAnsi="Arial" w:cs="Arial"/>
                <w:color w:val="000000"/>
                <w:sz w:val="16"/>
                <w:szCs w:val="16"/>
              </w:rPr>
              <w:br/>
              <w:t xml:space="preserve">Division 315 and 316 of the </w:t>
            </w:r>
            <w:r>
              <w:rPr>
                <w:rFonts w:ascii="Arial" w:hAnsi="Arial" w:cs="Arial"/>
                <w:i/>
                <w:iCs/>
                <w:color w:val="000000"/>
                <w:sz w:val="16"/>
                <w:szCs w:val="16"/>
              </w:rPr>
              <w:t>Income Tax Assessment Act 1997</w:t>
            </w:r>
          </w:p>
        </w:tc>
      </w:tr>
    </w:tbl>
    <w:p w14:paraId="6BF14F42" w14:textId="77777777" w:rsidR="006E40C9" w:rsidRPr="00540040" w:rsidRDefault="006E40C9" w:rsidP="006E40C9">
      <w:pPr>
        <w:pStyle w:val="MeasureTableHeading"/>
      </w:pPr>
    </w:p>
    <w:p w14:paraId="237A7F6E" w14:textId="77777777" w:rsidR="006E40C9" w:rsidRDefault="006E40C9" w:rsidP="00516FA7">
      <w:r w:rsidRPr="00516FA7">
        <w:t>Under the tax benchmark capital gains are taxed when they are realised, which would include during a demutualisation event. However, capital gains and losses arising under the demutualisation</w:t>
      </w:r>
      <w:r w:rsidRPr="00516FA7">
        <w:fldChar w:fldCharType="begin"/>
      </w:r>
      <w:r w:rsidRPr="00516FA7">
        <w:instrText xml:space="preserve"> XE "Demutualisation" </w:instrText>
      </w:r>
      <w:r w:rsidRPr="00516FA7">
        <w:fldChar w:fldCharType="end"/>
      </w:r>
      <w:r w:rsidRPr="00516FA7">
        <w:t xml:space="preserve"> of a mutual entity, including a life insurer, general insurer or health insurer are disregarded for members and/or policyholders that receive shares in the demutualised entity. Special rules determine the cost base of the shares received</w:t>
      </w:r>
      <w:r>
        <w:t xml:space="preserve">. </w:t>
      </w:r>
    </w:p>
    <w:p w14:paraId="2D775A88" w14:textId="77777777" w:rsidR="006E40C9" w:rsidRDefault="006E40C9" w:rsidP="00D9255A">
      <w:pPr>
        <w:pStyle w:val="TESHeading5"/>
      </w:pPr>
      <w:r>
        <w:t>E20</w:t>
      </w:r>
      <w:r>
        <w:tab/>
        <w:t>Exemption for testamentary gifts to deductible gift recipients</w:t>
      </w:r>
    </w:p>
    <w:p w14:paraId="56D8D664" w14:textId="63B4B0D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1FDF770" w14:textId="77777777">
        <w:trPr>
          <w:cantSplit/>
          <w:jc w:val="center"/>
        </w:trPr>
        <w:tc>
          <w:tcPr>
            <w:tcW w:w="967" w:type="dxa"/>
            <w:tcBorders>
              <w:top w:val="single" w:sz="2" w:space="0" w:color="auto"/>
              <w:bottom w:val="single" w:sz="2" w:space="0" w:color="auto"/>
            </w:tcBorders>
          </w:tcPr>
          <w:p w14:paraId="57A5A30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86B2DB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C487F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A1C09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6625D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9C7744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3C50F0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DE58B6" w14:textId="77777777" w:rsidR="006E40C9" w:rsidRDefault="006E40C9">
            <w:pPr>
              <w:pStyle w:val="MeasureTableTextRightAligned"/>
            </w:pPr>
            <w:r>
              <w:t>2027-28</w:t>
            </w:r>
          </w:p>
        </w:tc>
      </w:tr>
      <w:tr w:rsidR="006E40C9" w14:paraId="7648574E" w14:textId="77777777">
        <w:trPr>
          <w:cantSplit/>
          <w:jc w:val="center"/>
        </w:trPr>
        <w:tc>
          <w:tcPr>
            <w:tcW w:w="967" w:type="dxa"/>
            <w:tcBorders>
              <w:top w:val="single" w:sz="2" w:space="0" w:color="auto"/>
              <w:bottom w:val="single" w:sz="2" w:space="0" w:color="auto"/>
            </w:tcBorders>
          </w:tcPr>
          <w:p w14:paraId="170A5B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0370B8B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66A23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DC529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F58A16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635AC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419A26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6773566" w14:textId="77777777" w:rsidR="006E40C9" w:rsidRDefault="006E40C9">
            <w:pPr>
              <w:pStyle w:val="MeasureTableTextRightAligned"/>
            </w:pPr>
            <w:r>
              <w:t>*</w:t>
            </w:r>
          </w:p>
        </w:tc>
      </w:tr>
      <w:tr w:rsidR="006E40C9" w14:paraId="15DF5423" w14:textId="77777777">
        <w:trPr>
          <w:cantSplit/>
          <w:jc w:val="center"/>
        </w:trPr>
        <w:tc>
          <w:tcPr>
            <w:tcW w:w="1934" w:type="dxa"/>
            <w:gridSpan w:val="2"/>
            <w:tcBorders>
              <w:top w:val="single" w:sz="2" w:space="0" w:color="auto"/>
              <w:bottom w:val="nil"/>
            </w:tcBorders>
          </w:tcPr>
          <w:p w14:paraId="504A2F9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108F31" w14:textId="77777777" w:rsidR="006E40C9" w:rsidRDefault="006E40C9">
            <w:pPr>
              <w:pStyle w:val="MeasureTableTextLeftAligned"/>
            </w:pPr>
            <w:r>
              <w:t>Exemption</w:t>
            </w:r>
          </w:p>
        </w:tc>
        <w:tc>
          <w:tcPr>
            <w:tcW w:w="1500" w:type="dxa"/>
            <w:gridSpan w:val="2"/>
            <w:tcBorders>
              <w:top w:val="single" w:sz="2" w:space="0" w:color="auto"/>
              <w:bottom w:val="nil"/>
            </w:tcBorders>
          </w:tcPr>
          <w:p w14:paraId="1B5234C0" w14:textId="477A294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BE7D72" w14:textId="77777777" w:rsidR="006E40C9" w:rsidRDefault="006E40C9">
            <w:pPr>
              <w:pStyle w:val="MeasureTableTextLeftAligned"/>
            </w:pPr>
            <w:r>
              <w:t>E20</w:t>
            </w:r>
          </w:p>
        </w:tc>
      </w:tr>
      <w:tr w:rsidR="006E40C9" w14:paraId="11260554" w14:textId="77777777">
        <w:trPr>
          <w:cantSplit/>
          <w:jc w:val="center"/>
        </w:trPr>
        <w:tc>
          <w:tcPr>
            <w:tcW w:w="1934" w:type="dxa"/>
            <w:gridSpan w:val="2"/>
            <w:tcBorders>
              <w:top w:val="nil"/>
              <w:bottom w:val="nil"/>
            </w:tcBorders>
          </w:tcPr>
          <w:p w14:paraId="33AB6E6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B714EC" w14:textId="77777777" w:rsidR="006E40C9" w:rsidRPr="00584CA7" w:rsidRDefault="006E40C9">
            <w:pPr>
              <w:pStyle w:val="MeasureTableTextLeftAligned"/>
            </w:pPr>
            <w:r>
              <w:t>Not Applicable</w:t>
            </w:r>
          </w:p>
        </w:tc>
        <w:tc>
          <w:tcPr>
            <w:tcW w:w="1500" w:type="dxa"/>
            <w:gridSpan w:val="2"/>
            <w:tcBorders>
              <w:top w:val="nil"/>
              <w:bottom w:val="nil"/>
            </w:tcBorders>
          </w:tcPr>
          <w:p w14:paraId="54AA81B7" w14:textId="77777777" w:rsidR="006E40C9" w:rsidRDefault="006E40C9">
            <w:pPr>
              <w:pStyle w:val="MeasureTableTextItalic"/>
            </w:pPr>
            <w:r>
              <w:t>* Category</w:t>
            </w:r>
          </w:p>
        </w:tc>
        <w:tc>
          <w:tcPr>
            <w:tcW w:w="1124" w:type="dxa"/>
            <w:gridSpan w:val="2"/>
            <w:tcBorders>
              <w:top w:val="nil"/>
              <w:bottom w:val="nil"/>
            </w:tcBorders>
          </w:tcPr>
          <w:p w14:paraId="2C3F3D79" w14:textId="77777777" w:rsidR="006E40C9" w:rsidRDefault="006E40C9">
            <w:pPr>
              <w:pStyle w:val="MeasureTableTextLeftAligned"/>
            </w:pPr>
            <w:r>
              <w:t>2+</w:t>
            </w:r>
          </w:p>
        </w:tc>
      </w:tr>
      <w:tr w:rsidR="006E40C9" w14:paraId="35DD5AFF" w14:textId="77777777">
        <w:trPr>
          <w:cantSplit/>
          <w:jc w:val="center"/>
        </w:trPr>
        <w:tc>
          <w:tcPr>
            <w:tcW w:w="1934" w:type="dxa"/>
            <w:gridSpan w:val="2"/>
            <w:tcBorders>
              <w:top w:val="nil"/>
              <w:bottom w:val="nil"/>
            </w:tcBorders>
          </w:tcPr>
          <w:p w14:paraId="7AA72E18" w14:textId="77777777" w:rsidR="006E40C9" w:rsidRDefault="006E40C9">
            <w:pPr>
              <w:pStyle w:val="MeasureTableTextItalic"/>
            </w:pPr>
            <w:r>
              <w:t>Commencement date:</w:t>
            </w:r>
          </w:p>
        </w:tc>
        <w:tc>
          <w:tcPr>
            <w:tcW w:w="3179" w:type="dxa"/>
            <w:gridSpan w:val="4"/>
            <w:tcBorders>
              <w:top w:val="nil"/>
              <w:bottom w:val="nil"/>
            </w:tcBorders>
          </w:tcPr>
          <w:p w14:paraId="7AA052F7" w14:textId="77777777" w:rsidR="006E40C9" w:rsidRDefault="006E40C9">
            <w:pPr>
              <w:pStyle w:val="MeasureTableTextLeftAligned"/>
            </w:pPr>
            <w:r>
              <w:t>1999 (expanded 2005)</w:t>
            </w:r>
          </w:p>
        </w:tc>
        <w:tc>
          <w:tcPr>
            <w:tcW w:w="1500" w:type="dxa"/>
            <w:gridSpan w:val="2"/>
            <w:tcBorders>
              <w:top w:val="nil"/>
              <w:bottom w:val="nil"/>
            </w:tcBorders>
          </w:tcPr>
          <w:p w14:paraId="739BBE7F" w14:textId="77777777" w:rsidR="006E40C9" w:rsidRPr="00F32057" w:rsidRDefault="006E40C9">
            <w:pPr>
              <w:pStyle w:val="MeasureTableTextItalic"/>
            </w:pPr>
            <w:r>
              <w:t>Expiry date:</w:t>
            </w:r>
          </w:p>
        </w:tc>
        <w:tc>
          <w:tcPr>
            <w:tcW w:w="1124" w:type="dxa"/>
            <w:gridSpan w:val="2"/>
            <w:tcBorders>
              <w:top w:val="nil"/>
              <w:bottom w:val="nil"/>
            </w:tcBorders>
          </w:tcPr>
          <w:p w14:paraId="38E7F636" w14:textId="77777777" w:rsidR="006E40C9" w:rsidRPr="00F32057" w:rsidRDefault="006E40C9">
            <w:pPr>
              <w:pStyle w:val="MeasureTableTextLeftAligned"/>
            </w:pPr>
          </w:p>
        </w:tc>
      </w:tr>
      <w:tr w:rsidR="006E40C9" w14:paraId="3EEA701D" w14:textId="77777777">
        <w:trPr>
          <w:cantSplit/>
          <w:jc w:val="center"/>
        </w:trPr>
        <w:tc>
          <w:tcPr>
            <w:tcW w:w="1934" w:type="dxa"/>
            <w:gridSpan w:val="2"/>
            <w:tcBorders>
              <w:top w:val="nil"/>
            </w:tcBorders>
          </w:tcPr>
          <w:p w14:paraId="07F8B943" w14:textId="77777777" w:rsidR="006E40C9" w:rsidRDefault="006E40C9">
            <w:pPr>
              <w:pStyle w:val="MeasureTableTextItalic"/>
            </w:pPr>
            <w:r>
              <w:t>Legislative reference:</w:t>
            </w:r>
          </w:p>
        </w:tc>
        <w:tc>
          <w:tcPr>
            <w:tcW w:w="5803" w:type="dxa"/>
            <w:gridSpan w:val="8"/>
            <w:tcBorders>
              <w:top w:val="nil"/>
            </w:tcBorders>
          </w:tcPr>
          <w:p w14:paraId="6BE803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Subsections 118-60(1) and (1A) of the </w:t>
            </w:r>
            <w:r>
              <w:rPr>
                <w:rFonts w:ascii="Arial" w:hAnsi="Arial" w:cs="Arial"/>
                <w:i/>
                <w:iCs/>
                <w:color w:val="000000"/>
                <w:sz w:val="16"/>
                <w:szCs w:val="16"/>
              </w:rPr>
              <w:t>Income Tax Assessment Act 1997</w:t>
            </w:r>
          </w:p>
        </w:tc>
      </w:tr>
    </w:tbl>
    <w:p w14:paraId="42DBCF31" w14:textId="77777777" w:rsidR="006E40C9" w:rsidRPr="00540040" w:rsidRDefault="006E40C9" w:rsidP="006E40C9">
      <w:pPr>
        <w:pStyle w:val="MeasureTableHeading"/>
      </w:pPr>
    </w:p>
    <w:p w14:paraId="05A86FA8" w14:textId="77777777" w:rsidR="006E40C9" w:rsidRDefault="006E40C9" w:rsidP="006E40C9">
      <w:r>
        <w:t xml:space="preserve">Under the benchmark, realised capital gains are generally assessable to taxpayers at their applicable tax rate in the year they arise. However, testamentary gifts </w:t>
      </w:r>
      <w:r>
        <w:fldChar w:fldCharType="begin"/>
      </w:r>
      <w:r>
        <w:instrText xml:space="preserve"> XE "Testamentary gifts" </w:instrText>
      </w:r>
      <w:r>
        <w:fldChar w:fldCharType="end"/>
      </w:r>
      <w:r>
        <w:t xml:space="preserve">(gifts made under a will) of certain property to deductible gift recipients are exempt from CGT. </w:t>
      </w:r>
    </w:p>
    <w:p w14:paraId="29D0463E" w14:textId="77777777" w:rsidR="006E40C9" w:rsidRDefault="006E40C9" w:rsidP="00D9255A">
      <w:pPr>
        <w:pStyle w:val="TESHeading5"/>
      </w:pPr>
      <w:r>
        <w:t>E21</w:t>
      </w:r>
      <w:r>
        <w:tab/>
        <w:t>Exemption from the market value substitution rule for certain interests in widely held entities</w:t>
      </w:r>
    </w:p>
    <w:p w14:paraId="36237391" w14:textId="193AB282"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CE9079" w14:textId="77777777">
        <w:trPr>
          <w:cantSplit/>
          <w:jc w:val="center"/>
        </w:trPr>
        <w:tc>
          <w:tcPr>
            <w:tcW w:w="967" w:type="dxa"/>
            <w:tcBorders>
              <w:top w:val="single" w:sz="2" w:space="0" w:color="auto"/>
              <w:bottom w:val="single" w:sz="2" w:space="0" w:color="auto"/>
            </w:tcBorders>
          </w:tcPr>
          <w:p w14:paraId="0915609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281FD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259FC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2872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CF56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3863D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5B42CA"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61E19C0" w14:textId="77777777" w:rsidR="006E40C9" w:rsidRDefault="006E40C9">
            <w:pPr>
              <w:pStyle w:val="MeasureTableTextRightAligned"/>
            </w:pPr>
            <w:r>
              <w:t>2027-28</w:t>
            </w:r>
          </w:p>
        </w:tc>
      </w:tr>
      <w:tr w:rsidR="006E40C9" w14:paraId="3C31ED01" w14:textId="77777777">
        <w:trPr>
          <w:cantSplit/>
          <w:jc w:val="center"/>
        </w:trPr>
        <w:tc>
          <w:tcPr>
            <w:tcW w:w="967" w:type="dxa"/>
            <w:tcBorders>
              <w:top w:val="single" w:sz="2" w:space="0" w:color="auto"/>
              <w:bottom w:val="single" w:sz="2" w:space="0" w:color="auto"/>
            </w:tcBorders>
          </w:tcPr>
          <w:p w14:paraId="4E8954DD" w14:textId="77777777" w:rsidR="006E40C9" w:rsidRDefault="006E40C9">
            <w:pPr>
              <w:pStyle w:val="MeasureTableTextRightAligned"/>
            </w:pPr>
            <w:r>
              <w:t>*</w:t>
            </w:r>
          </w:p>
        </w:tc>
        <w:tc>
          <w:tcPr>
            <w:tcW w:w="967" w:type="dxa"/>
            <w:tcBorders>
              <w:top w:val="single" w:sz="2" w:space="0" w:color="auto"/>
              <w:bottom w:val="single" w:sz="2" w:space="0" w:color="auto"/>
            </w:tcBorders>
          </w:tcPr>
          <w:p w14:paraId="0589732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12B8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48FF1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700FE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F1E908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29C01D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60014FD" w14:textId="77777777" w:rsidR="006E40C9" w:rsidRDefault="006E40C9">
            <w:pPr>
              <w:pStyle w:val="MeasureTableTextRightAligned"/>
            </w:pPr>
            <w:r>
              <w:t>*</w:t>
            </w:r>
          </w:p>
        </w:tc>
      </w:tr>
      <w:tr w:rsidR="006E40C9" w14:paraId="56251A70" w14:textId="77777777">
        <w:trPr>
          <w:cantSplit/>
          <w:jc w:val="center"/>
        </w:trPr>
        <w:tc>
          <w:tcPr>
            <w:tcW w:w="1934" w:type="dxa"/>
            <w:gridSpan w:val="2"/>
            <w:tcBorders>
              <w:top w:val="single" w:sz="2" w:space="0" w:color="auto"/>
              <w:bottom w:val="nil"/>
            </w:tcBorders>
          </w:tcPr>
          <w:p w14:paraId="625E07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562FF4" w14:textId="77777777" w:rsidR="006E40C9" w:rsidRDefault="006E40C9">
            <w:pPr>
              <w:pStyle w:val="MeasureTableTextLeftAligned"/>
            </w:pPr>
            <w:r>
              <w:t>Exemption</w:t>
            </w:r>
          </w:p>
        </w:tc>
        <w:tc>
          <w:tcPr>
            <w:tcW w:w="1500" w:type="dxa"/>
            <w:gridSpan w:val="2"/>
            <w:tcBorders>
              <w:top w:val="single" w:sz="2" w:space="0" w:color="auto"/>
              <w:bottom w:val="nil"/>
            </w:tcBorders>
          </w:tcPr>
          <w:p w14:paraId="217A8666" w14:textId="315F91A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482B9F6" w14:textId="77777777" w:rsidR="006E40C9" w:rsidRDefault="006E40C9">
            <w:pPr>
              <w:pStyle w:val="MeasureTableTextLeftAligned"/>
            </w:pPr>
            <w:r>
              <w:t>E21</w:t>
            </w:r>
          </w:p>
        </w:tc>
      </w:tr>
      <w:tr w:rsidR="006E40C9" w14:paraId="3A7ECF58" w14:textId="77777777">
        <w:trPr>
          <w:cantSplit/>
          <w:jc w:val="center"/>
        </w:trPr>
        <w:tc>
          <w:tcPr>
            <w:tcW w:w="1934" w:type="dxa"/>
            <w:gridSpan w:val="2"/>
            <w:tcBorders>
              <w:top w:val="nil"/>
              <w:bottom w:val="nil"/>
            </w:tcBorders>
          </w:tcPr>
          <w:p w14:paraId="68740F2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7755A07" w14:textId="77777777" w:rsidR="006E40C9" w:rsidRPr="00584CA7" w:rsidRDefault="006E40C9">
            <w:pPr>
              <w:pStyle w:val="MeasureTableTextLeftAligned"/>
            </w:pPr>
            <w:r>
              <w:t>Not Applicable</w:t>
            </w:r>
          </w:p>
        </w:tc>
        <w:tc>
          <w:tcPr>
            <w:tcW w:w="1500" w:type="dxa"/>
            <w:gridSpan w:val="2"/>
            <w:tcBorders>
              <w:top w:val="nil"/>
              <w:bottom w:val="nil"/>
            </w:tcBorders>
          </w:tcPr>
          <w:p w14:paraId="7C0B8DBD" w14:textId="77777777" w:rsidR="006E40C9" w:rsidRDefault="006E40C9">
            <w:pPr>
              <w:pStyle w:val="MeasureTableTextItalic"/>
            </w:pPr>
            <w:r>
              <w:t>* Category</w:t>
            </w:r>
          </w:p>
        </w:tc>
        <w:tc>
          <w:tcPr>
            <w:tcW w:w="1124" w:type="dxa"/>
            <w:gridSpan w:val="2"/>
            <w:tcBorders>
              <w:top w:val="nil"/>
              <w:bottom w:val="nil"/>
            </w:tcBorders>
          </w:tcPr>
          <w:p w14:paraId="62498BA3" w14:textId="77777777" w:rsidR="006E40C9" w:rsidRDefault="006E40C9">
            <w:pPr>
              <w:pStyle w:val="MeasureTableTextLeftAligned"/>
            </w:pPr>
            <w:r>
              <w:t>NA</w:t>
            </w:r>
          </w:p>
        </w:tc>
      </w:tr>
      <w:tr w:rsidR="006E40C9" w14:paraId="5B38005D" w14:textId="77777777">
        <w:trPr>
          <w:cantSplit/>
          <w:jc w:val="center"/>
        </w:trPr>
        <w:tc>
          <w:tcPr>
            <w:tcW w:w="1934" w:type="dxa"/>
            <w:gridSpan w:val="2"/>
            <w:tcBorders>
              <w:top w:val="nil"/>
              <w:bottom w:val="nil"/>
            </w:tcBorders>
          </w:tcPr>
          <w:p w14:paraId="2DE548B9" w14:textId="77777777" w:rsidR="006E40C9" w:rsidRDefault="006E40C9">
            <w:pPr>
              <w:pStyle w:val="MeasureTableTextItalic"/>
            </w:pPr>
            <w:r>
              <w:t>Commencement date:</w:t>
            </w:r>
          </w:p>
        </w:tc>
        <w:tc>
          <w:tcPr>
            <w:tcW w:w="3179" w:type="dxa"/>
            <w:gridSpan w:val="4"/>
            <w:tcBorders>
              <w:top w:val="nil"/>
              <w:bottom w:val="nil"/>
            </w:tcBorders>
          </w:tcPr>
          <w:p w14:paraId="5023AE4F" w14:textId="77777777" w:rsidR="006E40C9" w:rsidRDefault="006E40C9">
            <w:pPr>
              <w:pStyle w:val="MeasureTableTextLeftAligned"/>
            </w:pPr>
            <w:r>
              <w:t>2006</w:t>
            </w:r>
          </w:p>
        </w:tc>
        <w:tc>
          <w:tcPr>
            <w:tcW w:w="1500" w:type="dxa"/>
            <w:gridSpan w:val="2"/>
            <w:tcBorders>
              <w:top w:val="nil"/>
              <w:bottom w:val="nil"/>
            </w:tcBorders>
          </w:tcPr>
          <w:p w14:paraId="03E2E305" w14:textId="77777777" w:rsidR="006E40C9" w:rsidRPr="00F32057" w:rsidRDefault="006E40C9">
            <w:pPr>
              <w:pStyle w:val="MeasureTableTextItalic"/>
            </w:pPr>
            <w:r>
              <w:t>Expiry date:</w:t>
            </w:r>
          </w:p>
        </w:tc>
        <w:tc>
          <w:tcPr>
            <w:tcW w:w="1124" w:type="dxa"/>
            <w:gridSpan w:val="2"/>
            <w:tcBorders>
              <w:top w:val="nil"/>
              <w:bottom w:val="nil"/>
            </w:tcBorders>
          </w:tcPr>
          <w:p w14:paraId="322BF3E2" w14:textId="77777777" w:rsidR="006E40C9" w:rsidRPr="00F32057" w:rsidRDefault="006E40C9">
            <w:pPr>
              <w:pStyle w:val="MeasureTableTextLeftAligned"/>
            </w:pPr>
          </w:p>
        </w:tc>
      </w:tr>
      <w:tr w:rsidR="006E40C9" w14:paraId="08BE722A" w14:textId="77777777">
        <w:trPr>
          <w:cantSplit/>
          <w:jc w:val="center"/>
        </w:trPr>
        <w:tc>
          <w:tcPr>
            <w:tcW w:w="1934" w:type="dxa"/>
            <w:gridSpan w:val="2"/>
            <w:tcBorders>
              <w:top w:val="nil"/>
            </w:tcBorders>
          </w:tcPr>
          <w:p w14:paraId="0E72D2C5" w14:textId="77777777" w:rsidR="006E40C9" w:rsidRDefault="006E40C9">
            <w:pPr>
              <w:pStyle w:val="MeasureTableTextItalic"/>
            </w:pPr>
            <w:r>
              <w:t>Legislative reference:</w:t>
            </w:r>
          </w:p>
        </w:tc>
        <w:tc>
          <w:tcPr>
            <w:tcW w:w="5803" w:type="dxa"/>
            <w:gridSpan w:val="8"/>
            <w:tcBorders>
              <w:top w:val="nil"/>
            </w:tcBorders>
          </w:tcPr>
          <w:p w14:paraId="660C810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116-30 of the </w:t>
            </w:r>
            <w:r>
              <w:rPr>
                <w:rFonts w:ascii="Arial" w:hAnsi="Arial" w:cs="Arial"/>
                <w:i/>
                <w:iCs/>
                <w:color w:val="000000"/>
                <w:sz w:val="16"/>
                <w:szCs w:val="16"/>
              </w:rPr>
              <w:t>Income Tax Assessment Act 1997</w:t>
            </w:r>
          </w:p>
        </w:tc>
      </w:tr>
    </w:tbl>
    <w:p w14:paraId="0D2E6477" w14:textId="77777777" w:rsidR="006E40C9" w:rsidRPr="00540040" w:rsidRDefault="006E40C9" w:rsidP="006E40C9">
      <w:pPr>
        <w:pStyle w:val="MeasureTableHeading"/>
      </w:pPr>
    </w:p>
    <w:p w14:paraId="47D0ED57" w14:textId="77777777" w:rsidR="006E40C9" w:rsidRDefault="006E40C9" w:rsidP="006E40C9">
      <w:pPr>
        <w:rPr>
          <w:rFonts w:cs="Book Antiqua"/>
        </w:rPr>
      </w:pPr>
      <w:r>
        <w:rPr>
          <w:rFonts w:cs="Book Antiqua"/>
        </w:rPr>
        <w:t>The benchmark treatment of disposals of capital assets for less than their market value, or where the market value of the proceeds cannot be ascertained is to deem the proceeds to be the market value (the market value substitution rule)</w:t>
      </w:r>
      <w:r>
        <w:rPr>
          <w:rFonts w:cs="Book Antiqua"/>
        </w:rPr>
        <w:fldChar w:fldCharType="begin"/>
      </w:r>
      <w:r>
        <w:instrText xml:space="preserve"> XE "</w:instrText>
      </w:r>
      <w:r>
        <w:rPr>
          <w:rFonts w:cs="Book Antiqua"/>
        </w:rPr>
        <w:instrText>Capital gains tax:Market value substitution rule</w:instrText>
      </w:r>
      <w:r>
        <w:instrText xml:space="preserve">" </w:instrText>
      </w:r>
      <w:r>
        <w:rPr>
          <w:rFonts w:cs="Book Antiqua"/>
        </w:rPr>
        <w:fldChar w:fldCharType="end"/>
      </w:r>
      <w:r>
        <w:rPr>
          <w:rFonts w:cs="Book Antiqua"/>
        </w:rPr>
        <w:t>. Disposal of membership interests in widely</w:t>
      </w:r>
      <w:r>
        <w:rPr>
          <w:rFonts w:cs="Book Antiqua"/>
        </w:rPr>
        <w:noBreakHyphen/>
        <w:t>held entities by way of a redemption, cancellation or surrender of the interest are exempt from the market value substitution rule</w:t>
      </w:r>
      <w:r>
        <w:t>, that is, they are subject to CGT at their disposal value</w:t>
      </w:r>
      <w:r>
        <w:rPr>
          <w:rFonts w:cs="Book Antiqua"/>
        </w:rPr>
        <w:t>.</w:t>
      </w:r>
    </w:p>
    <w:p w14:paraId="352E00B7" w14:textId="77777777" w:rsidR="006E40C9" w:rsidRDefault="006E40C9" w:rsidP="00D9255A">
      <w:pPr>
        <w:pStyle w:val="TESHeading5"/>
      </w:pPr>
      <w:r>
        <w:t>E22</w:t>
      </w:r>
      <w:r>
        <w:tab/>
        <w:t>Legacy arrangements for the indexation of the cost base</w:t>
      </w:r>
    </w:p>
    <w:p w14:paraId="40DE4BB7" w14:textId="317C686C"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DFB44F" w14:textId="77777777">
        <w:trPr>
          <w:cantSplit/>
          <w:jc w:val="center"/>
        </w:trPr>
        <w:tc>
          <w:tcPr>
            <w:tcW w:w="967" w:type="dxa"/>
            <w:tcBorders>
              <w:top w:val="single" w:sz="2" w:space="0" w:color="auto"/>
              <w:bottom w:val="single" w:sz="2" w:space="0" w:color="auto"/>
            </w:tcBorders>
          </w:tcPr>
          <w:p w14:paraId="2B0B802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340156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C8139C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93483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146184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1D71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98E4C7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3191FA5" w14:textId="77777777" w:rsidR="006E40C9" w:rsidRDefault="006E40C9">
            <w:pPr>
              <w:pStyle w:val="MeasureTableTextRightAligned"/>
            </w:pPr>
            <w:r>
              <w:t>2027-28</w:t>
            </w:r>
          </w:p>
        </w:tc>
      </w:tr>
      <w:tr w:rsidR="006E40C9" w14:paraId="1A24B573" w14:textId="77777777">
        <w:trPr>
          <w:cantSplit/>
          <w:jc w:val="center"/>
        </w:trPr>
        <w:tc>
          <w:tcPr>
            <w:tcW w:w="967" w:type="dxa"/>
            <w:tcBorders>
              <w:top w:val="single" w:sz="2" w:space="0" w:color="auto"/>
              <w:bottom w:val="single" w:sz="2" w:space="0" w:color="auto"/>
            </w:tcBorders>
          </w:tcPr>
          <w:p w14:paraId="221543D3"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D7A9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085E86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31889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350F1A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5363E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12B868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DD471F6" w14:textId="77777777" w:rsidR="006E40C9" w:rsidRDefault="006E40C9">
            <w:pPr>
              <w:pStyle w:val="MeasureTableTextRightAligned"/>
            </w:pPr>
            <w:r>
              <w:t>*</w:t>
            </w:r>
          </w:p>
        </w:tc>
      </w:tr>
      <w:tr w:rsidR="006E40C9" w14:paraId="2BD10981" w14:textId="77777777">
        <w:trPr>
          <w:cantSplit/>
          <w:jc w:val="center"/>
        </w:trPr>
        <w:tc>
          <w:tcPr>
            <w:tcW w:w="1934" w:type="dxa"/>
            <w:gridSpan w:val="2"/>
            <w:tcBorders>
              <w:top w:val="single" w:sz="2" w:space="0" w:color="auto"/>
              <w:bottom w:val="nil"/>
            </w:tcBorders>
          </w:tcPr>
          <w:p w14:paraId="0D51B06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E93F08" w14:textId="77777777" w:rsidR="006E40C9" w:rsidRDefault="006E40C9">
            <w:pPr>
              <w:pStyle w:val="MeasureTableTextLeftAligned"/>
            </w:pPr>
            <w:r>
              <w:t>Reduction in taxable value</w:t>
            </w:r>
          </w:p>
        </w:tc>
        <w:tc>
          <w:tcPr>
            <w:tcW w:w="1500" w:type="dxa"/>
            <w:gridSpan w:val="2"/>
            <w:tcBorders>
              <w:top w:val="single" w:sz="2" w:space="0" w:color="auto"/>
              <w:bottom w:val="nil"/>
            </w:tcBorders>
          </w:tcPr>
          <w:p w14:paraId="3C23C0B1" w14:textId="22A40DE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2A41546" w14:textId="77777777" w:rsidR="006E40C9" w:rsidRDefault="006E40C9">
            <w:pPr>
              <w:pStyle w:val="MeasureTableTextLeftAligned"/>
            </w:pPr>
            <w:r>
              <w:t>E22</w:t>
            </w:r>
          </w:p>
        </w:tc>
      </w:tr>
      <w:tr w:rsidR="006E40C9" w14:paraId="33EA955E" w14:textId="77777777">
        <w:trPr>
          <w:cantSplit/>
          <w:jc w:val="center"/>
        </w:trPr>
        <w:tc>
          <w:tcPr>
            <w:tcW w:w="1934" w:type="dxa"/>
            <w:gridSpan w:val="2"/>
            <w:tcBorders>
              <w:top w:val="nil"/>
              <w:bottom w:val="nil"/>
            </w:tcBorders>
          </w:tcPr>
          <w:p w14:paraId="0D6662F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BF08EE7" w14:textId="77777777" w:rsidR="006E40C9" w:rsidRPr="00584CA7" w:rsidRDefault="006E40C9">
            <w:pPr>
              <w:pStyle w:val="MeasureTableTextLeftAligned"/>
            </w:pPr>
            <w:r>
              <w:t>Not Applicable</w:t>
            </w:r>
          </w:p>
        </w:tc>
        <w:tc>
          <w:tcPr>
            <w:tcW w:w="1500" w:type="dxa"/>
            <w:gridSpan w:val="2"/>
            <w:tcBorders>
              <w:top w:val="nil"/>
              <w:bottom w:val="nil"/>
            </w:tcBorders>
          </w:tcPr>
          <w:p w14:paraId="46A70B96" w14:textId="77777777" w:rsidR="006E40C9" w:rsidRDefault="006E40C9">
            <w:pPr>
              <w:pStyle w:val="MeasureTableTextItalic"/>
            </w:pPr>
            <w:r>
              <w:t>* Category</w:t>
            </w:r>
          </w:p>
        </w:tc>
        <w:tc>
          <w:tcPr>
            <w:tcW w:w="1124" w:type="dxa"/>
            <w:gridSpan w:val="2"/>
            <w:tcBorders>
              <w:top w:val="nil"/>
              <w:bottom w:val="nil"/>
            </w:tcBorders>
          </w:tcPr>
          <w:p w14:paraId="117440E7" w14:textId="77777777" w:rsidR="006E40C9" w:rsidRDefault="006E40C9">
            <w:pPr>
              <w:pStyle w:val="MeasureTableTextLeftAligned"/>
            </w:pPr>
            <w:r>
              <w:t>1+</w:t>
            </w:r>
          </w:p>
        </w:tc>
      </w:tr>
      <w:tr w:rsidR="006E40C9" w14:paraId="251C958D" w14:textId="77777777">
        <w:trPr>
          <w:cantSplit/>
          <w:jc w:val="center"/>
        </w:trPr>
        <w:tc>
          <w:tcPr>
            <w:tcW w:w="1934" w:type="dxa"/>
            <w:gridSpan w:val="2"/>
            <w:tcBorders>
              <w:top w:val="nil"/>
              <w:bottom w:val="nil"/>
            </w:tcBorders>
          </w:tcPr>
          <w:p w14:paraId="4970FA82" w14:textId="77777777" w:rsidR="006E40C9" w:rsidRDefault="006E40C9">
            <w:pPr>
              <w:pStyle w:val="MeasureTableTextItalic"/>
            </w:pPr>
            <w:r>
              <w:t>Commencement date:</w:t>
            </w:r>
          </w:p>
        </w:tc>
        <w:tc>
          <w:tcPr>
            <w:tcW w:w="3179" w:type="dxa"/>
            <w:gridSpan w:val="4"/>
            <w:tcBorders>
              <w:top w:val="nil"/>
              <w:bottom w:val="nil"/>
            </w:tcBorders>
          </w:tcPr>
          <w:p w14:paraId="0E473262" w14:textId="77777777" w:rsidR="006E40C9" w:rsidRDefault="006E40C9">
            <w:pPr>
              <w:pStyle w:val="MeasureTableTextLeftAligned"/>
            </w:pPr>
            <w:r>
              <w:t>20 September 1985</w:t>
            </w:r>
          </w:p>
        </w:tc>
        <w:tc>
          <w:tcPr>
            <w:tcW w:w="1500" w:type="dxa"/>
            <w:gridSpan w:val="2"/>
            <w:tcBorders>
              <w:top w:val="nil"/>
              <w:bottom w:val="nil"/>
            </w:tcBorders>
          </w:tcPr>
          <w:p w14:paraId="5C649551" w14:textId="77777777" w:rsidR="006E40C9" w:rsidRPr="00F32057" w:rsidRDefault="006E40C9">
            <w:pPr>
              <w:pStyle w:val="MeasureTableTextItalic"/>
            </w:pPr>
            <w:r>
              <w:t>Expiry date:</w:t>
            </w:r>
          </w:p>
        </w:tc>
        <w:tc>
          <w:tcPr>
            <w:tcW w:w="1124" w:type="dxa"/>
            <w:gridSpan w:val="2"/>
            <w:tcBorders>
              <w:top w:val="nil"/>
              <w:bottom w:val="nil"/>
            </w:tcBorders>
          </w:tcPr>
          <w:p w14:paraId="19C13BB7" w14:textId="77777777" w:rsidR="006E40C9" w:rsidRPr="00F32057" w:rsidRDefault="006E40C9">
            <w:pPr>
              <w:pStyle w:val="MeasureTableTextLeftAligned"/>
            </w:pPr>
          </w:p>
        </w:tc>
      </w:tr>
      <w:tr w:rsidR="006E40C9" w14:paraId="5196003A" w14:textId="77777777">
        <w:trPr>
          <w:cantSplit/>
          <w:jc w:val="center"/>
        </w:trPr>
        <w:tc>
          <w:tcPr>
            <w:tcW w:w="1934" w:type="dxa"/>
            <w:gridSpan w:val="2"/>
            <w:tcBorders>
              <w:top w:val="nil"/>
            </w:tcBorders>
          </w:tcPr>
          <w:p w14:paraId="54A2134B" w14:textId="77777777" w:rsidR="006E40C9" w:rsidRDefault="006E40C9">
            <w:pPr>
              <w:pStyle w:val="MeasureTableTextItalic"/>
            </w:pPr>
            <w:r>
              <w:t>Legislative reference:</w:t>
            </w:r>
          </w:p>
        </w:tc>
        <w:tc>
          <w:tcPr>
            <w:tcW w:w="5803" w:type="dxa"/>
            <w:gridSpan w:val="8"/>
            <w:tcBorders>
              <w:top w:val="nil"/>
            </w:tcBorders>
          </w:tcPr>
          <w:p w14:paraId="68CB129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110-36 and Division 114 of the </w:t>
            </w:r>
            <w:r>
              <w:rPr>
                <w:rFonts w:ascii="Arial" w:hAnsi="Arial" w:cs="Arial"/>
                <w:i/>
                <w:iCs/>
                <w:color w:val="000000"/>
                <w:sz w:val="16"/>
                <w:szCs w:val="16"/>
              </w:rPr>
              <w:t>Income Tax Assessment Act 1997</w:t>
            </w:r>
          </w:p>
        </w:tc>
      </w:tr>
    </w:tbl>
    <w:p w14:paraId="0293A031" w14:textId="77777777" w:rsidR="006E40C9" w:rsidRPr="00540040" w:rsidRDefault="006E40C9" w:rsidP="006E40C9">
      <w:pPr>
        <w:pStyle w:val="MeasureTableHeading"/>
      </w:pPr>
    </w:p>
    <w:p w14:paraId="74753996" w14:textId="77777777" w:rsidR="006E40C9" w:rsidRDefault="006E40C9" w:rsidP="006E40C9">
      <w:r>
        <w:t xml:space="preserve">Under the benchmark, realised capital gains are generally assessable to taxpayers at their applicable tax rate in the year they arise. However, for assets acquired at or before 11:45 am AEST on 21 September 1999, taxpayers may choose to calculate the capital gain on the asset by reference to its indexed cost base. The indexed cost base for these assets was frozen as at 30 September 1999. Taxpayers that choose to use the indexed cost base cannot access the CGT discount. </w:t>
      </w:r>
      <w:r>
        <w:fldChar w:fldCharType="begin"/>
      </w:r>
      <w:r>
        <w:instrText xml:space="preserve"> XE "Indexed cost base" </w:instrText>
      </w:r>
      <w:r>
        <w:fldChar w:fldCharType="end"/>
      </w:r>
    </w:p>
    <w:p w14:paraId="502F1BC4" w14:textId="77777777" w:rsidR="006E40C9" w:rsidRDefault="006E40C9" w:rsidP="00D9255A">
      <w:pPr>
        <w:pStyle w:val="TESHeading5"/>
      </w:pPr>
      <w:r>
        <w:t>E23</w:t>
      </w:r>
      <w:r>
        <w:tab/>
        <w:t>Quarantining of capital losses</w:t>
      </w:r>
    </w:p>
    <w:p w14:paraId="3A490ABE" w14:textId="0E98A0E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F2F8B2A" w14:textId="77777777">
        <w:trPr>
          <w:cantSplit/>
          <w:jc w:val="center"/>
        </w:trPr>
        <w:tc>
          <w:tcPr>
            <w:tcW w:w="967" w:type="dxa"/>
            <w:tcBorders>
              <w:top w:val="single" w:sz="2" w:space="0" w:color="auto"/>
              <w:bottom w:val="single" w:sz="2" w:space="0" w:color="auto"/>
            </w:tcBorders>
          </w:tcPr>
          <w:p w14:paraId="1F2DDB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37E09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3AF431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5AE95F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5BBE3D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1FC6E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1D8C8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2A56C10" w14:textId="77777777" w:rsidR="006E40C9" w:rsidRDefault="006E40C9">
            <w:pPr>
              <w:pStyle w:val="MeasureTableTextRightAligned"/>
            </w:pPr>
            <w:r>
              <w:t>2027-28</w:t>
            </w:r>
          </w:p>
        </w:tc>
      </w:tr>
      <w:tr w:rsidR="006E40C9" w14:paraId="52E89EEE" w14:textId="77777777">
        <w:trPr>
          <w:cantSplit/>
          <w:jc w:val="center"/>
        </w:trPr>
        <w:tc>
          <w:tcPr>
            <w:tcW w:w="967" w:type="dxa"/>
            <w:tcBorders>
              <w:top w:val="single" w:sz="2" w:space="0" w:color="auto"/>
              <w:bottom w:val="single" w:sz="2" w:space="0" w:color="auto"/>
            </w:tcBorders>
          </w:tcPr>
          <w:p w14:paraId="3DFAA393" w14:textId="77777777" w:rsidR="006E40C9" w:rsidRDefault="006E40C9">
            <w:pPr>
              <w:pStyle w:val="MeasureTableTextRightAligned"/>
            </w:pPr>
            <w:r>
              <w:t>*</w:t>
            </w:r>
          </w:p>
        </w:tc>
        <w:tc>
          <w:tcPr>
            <w:tcW w:w="967" w:type="dxa"/>
            <w:tcBorders>
              <w:top w:val="single" w:sz="2" w:space="0" w:color="auto"/>
              <w:bottom w:val="single" w:sz="2" w:space="0" w:color="auto"/>
            </w:tcBorders>
          </w:tcPr>
          <w:p w14:paraId="536205A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27FF4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1CAC6A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B34729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61D47A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C538780"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B81F033" w14:textId="77777777" w:rsidR="006E40C9" w:rsidRDefault="006E40C9">
            <w:pPr>
              <w:pStyle w:val="MeasureTableTextRightAligned"/>
            </w:pPr>
            <w:r>
              <w:t>*</w:t>
            </w:r>
          </w:p>
        </w:tc>
      </w:tr>
      <w:tr w:rsidR="006E40C9" w14:paraId="1E6C934E" w14:textId="77777777">
        <w:trPr>
          <w:cantSplit/>
          <w:jc w:val="center"/>
        </w:trPr>
        <w:tc>
          <w:tcPr>
            <w:tcW w:w="1934" w:type="dxa"/>
            <w:gridSpan w:val="2"/>
            <w:tcBorders>
              <w:top w:val="single" w:sz="2" w:space="0" w:color="auto"/>
              <w:bottom w:val="nil"/>
            </w:tcBorders>
          </w:tcPr>
          <w:p w14:paraId="4125F87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8B9A533" w14:textId="77777777" w:rsidR="006E40C9" w:rsidRDefault="006E40C9">
            <w:pPr>
              <w:pStyle w:val="MeasureTableTextLeftAligned"/>
            </w:pPr>
            <w:r>
              <w:t>Denial of deduction</w:t>
            </w:r>
          </w:p>
        </w:tc>
        <w:tc>
          <w:tcPr>
            <w:tcW w:w="1500" w:type="dxa"/>
            <w:gridSpan w:val="2"/>
            <w:tcBorders>
              <w:top w:val="single" w:sz="2" w:space="0" w:color="auto"/>
              <w:bottom w:val="nil"/>
            </w:tcBorders>
          </w:tcPr>
          <w:p w14:paraId="350389AB" w14:textId="6F754B4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C52D6D" w14:textId="77777777" w:rsidR="006E40C9" w:rsidRDefault="006E40C9">
            <w:pPr>
              <w:pStyle w:val="MeasureTableTextLeftAligned"/>
            </w:pPr>
            <w:r>
              <w:t>E23</w:t>
            </w:r>
          </w:p>
        </w:tc>
      </w:tr>
      <w:tr w:rsidR="006E40C9" w14:paraId="6A146A20" w14:textId="77777777">
        <w:trPr>
          <w:cantSplit/>
          <w:jc w:val="center"/>
        </w:trPr>
        <w:tc>
          <w:tcPr>
            <w:tcW w:w="1934" w:type="dxa"/>
            <w:gridSpan w:val="2"/>
            <w:tcBorders>
              <w:top w:val="nil"/>
              <w:bottom w:val="nil"/>
            </w:tcBorders>
          </w:tcPr>
          <w:p w14:paraId="465BCF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3856F5" w14:textId="77777777" w:rsidR="006E40C9" w:rsidRPr="00584CA7" w:rsidRDefault="006E40C9">
            <w:pPr>
              <w:pStyle w:val="MeasureTableTextLeftAligned"/>
            </w:pPr>
            <w:r>
              <w:t>Not Applicable</w:t>
            </w:r>
          </w:p>
        </w:tc>
        <w:tc>
          <w:tcPr>
            <w:tcW w:w="1500" w:type="dxa"/>
            <w:gridSpan w:val="2"/>
            <w:tcBorders>
              <w:top w:val="nil"/>
              <w:bottom w:val="nil"/>
            </w:tcBorders>
          </w:tcPr>
          <w:p w14:paraId="4B6CD330" w14:textId="77777777" w:rsidR="006E40C9" w:rsidRDefault="006E40C9">
            <w:pPr>
              <w:pStyle w:val="MeasureTableTextItalic"/>
            </w:pPr>
            <w:r>
              <w:t>* Category</w:t>
            </w:r>
          </w:p>
        </w:tc>
        <w:tc>
          <w:tcPr>
            <w:tcW w:w="1124" w:type="dxa"/>
            <w:gridSpan w:val="2"/>
            <w:tcBorders>
              <w:top w:val="nil"/>
              <w:bottom w:val="nil"/>
            </w:tcBorders>
          </w:tcPr>
          <w:p w14:paraId="28EEBEA4" w14:textId="77777777" w:rsidR="006E40C9" w:rsidRDefault="006E40C9">
            <w:pPr>
              <w:pStyle w:val="MeasureTableTextLeftAligned"/>
            </w:pPr>
            <w:r>
              <w:t>4-</w:t>
            </w:r>
          </w:p>
        </w:tc>
      </w:tr>
      <w:tr w:rsidR="006E40C9" w14:paraId="233F11AB" w14:textId="77777777">
        <w:trPr>
          <w:cantSplit/>
          <w:jc w:val="center"/>
        </w:trPr>
        <w:tc>
          <w:tcPr>
            <w:tcW w:w="1934" w:type="dxa"/>
            <w:gridSpan w:val="2"/>
            <w:tcBorders>
              <w:top w:val="nil"/>
              <w:bottom w:val="nil"/>
            </w:tcBorders>
          </w:tcPr>
          <w:p w14:paraId="2C383195" w14:textId="77777777" w:rsidR="006E40C9" w:rsidRDefault="006E40C9">
            <w:pPr>
              <w:pStyle w:val="MeasureTableTextItalic"/>
            </w:pPr>
            <w:r>
              <w:t>Commencement date:</w:t>
            </w:r>
          </w:p>
        </w:tc>
        <w:tc>
          <w:tcPr>
            <w:tcW w:w="3179" w:type="dxa"/>
            <w:gridSpan w:val="4"/>
            <w:tcBorders>
              <w:top w:val="nil"/>
              <w:bottom w:val="nil"/>
            </w:tcBorders>
          </w:tcPr>
          <w:p w14:paraId="02D2E073" w14:textId="77777777" w:rsidR="006E40C9" w:rsidRDefault="006E40C9">
            <w:pPr>
              <w:pStyle w:val="MeasureTableTextLeftAligned"/>
            </w:pPr>
            <w:r>
              <w:t>20 September 1985</w:t>
            </w:r>
          </w:p>
        </w:tc>
        <w:tc>
          <w:tcPr>
            <w:tcW w:w="1500" w:type="dxa"/>
            <w:gridSpan w:val="2"/>
            <w:tcBorders>
              <w:top w:val="nil"/>
              <w:bottom w:val="nil"/>
            </w:tcBorders>
          </w:tcPr>
          <w:p w14:paraId="6EF93B8B" w14:textId="77777777" w:rsidR="006E40C9" w:rsidRPr="00F32057" w:rsidRDefault="006E40C9">
            <w:pPr>
              <w:pStyle w:val="MeasureTableTextItalic"/>
            </w:pPr>
            <w:r>
              <w:t>Expiry date:</w:t>
            </w:r>
          </w:p>
        </w:tc>
        <w:tc>
          <w:tcPr>
            <w:tcW w:w="1124" w:type="dxa"/>
            <w:gridSpan w:val="2"/>
            <w:tcBorders>
              <w:top w:val="nil"/>
              <w:bottom w:val="nil"/>
            </w:tcBorders>
          </w:tcPr>
          <w:p w14:paraId="6A6E444C" w14:textId="77777777" w:rsidR="006E40C9" w:rsidRPr="00F32057" w:rsidRDefault="006E40C9">
            <w:pPr>
              <w:pStyle w:val="MeasureTableTextLeftAligned"/>
            </w:pPr>
          </w:p>
        </w:tc>
      </w:tr>
      <w:tr w:rsidR="006E40C9" w14:paraId="2301820A" w14:textId="77777777">
        <w:trPr>
          <w:cantSplit/>
          <w:jc w:val="center"/>
        </w:trPr>
        <w:tc>
          <w:tcPr>
            <w:tcW w:w="1934" w:type="dxa"/>
            <w:gridSpan w:val="2"/>
            <w:tcBorders>
              <w:top w:val="nil"/>
            </w:tcBorders>
          </w:tcPr>
          <w:p w14:paraId="4595A2D7" w14:textId="77777777" w:rsidR="006E40C9" w:rsidRDefault="006E40C9">
            <w:pPr>
              <w:pStyle w:val="MeasureTableTextItalic"/>
            </w:pPr>
            <w:r>
              <w:t>Legislative reference:</w:t>
            </w:r>
          </w:p>
        </w:tc>
        <w:tc>
          <w:tcPr>
            <w:tcW w:w="5803" w:type="dxa"/>
            <w:gridSpan w:val="8"/>
            <w:tcBorders>
              <w:top w:val="nil"/>
            </w:tcBorders>
          </w:tcPr>
          <w:p w14:paraId="1894E42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100-50 of the </w:t>
            </w:r>
            <w:r>
              <w:rPr>
                <w:rFonts w:ascii="Arial" w:hAnsi="Arial" w:cs="Arial"/>
                <w:i/>
                <w:iCs/>
                <w:color w:val="000000"/>
                <w:sz w:val="16"/>
                <w:szCs w:val="16"/>
              </w:rPr>
              <w:t>Income Tax Assessment Act 1997</w:t>
            </w:r>
          </w:p>
        </w:tc>
      </w:tr>
    </w:tbl>
    <w:p w14:paraId="0BE67342" w14:textId="77777777" w:rsidR="006E40C9" w:rsidRPr="00540040" w:rsidRDefault="006E40C9" w:rsidP="006E40C9">
      <w:pPr>
        <w:pStyle w:val="MeasureTableHeading"/>
      </w:pPr>
    </w:p>
    <w:p w14:paraId="22E0523E" w14:textId="77777777" w:rsidR="006E40C9" w:rsidRDefault="006E40C9" w:rsidP="006E40C9">
      <w:r>
        <w:t>Under the benchmark, expenses are deductible if they are connected to income earning activity. However, capital losses</w:t>
      </w:r>
      <w:r>
        <w:fldChar w:fldCharType="begin"/>
      </w:r>
      <w:r>
        <w:instrText xml:space="preserve"> XE "Capital losses" </w:instrText>
      </w:r>
      <w:r>
        <w:fldChar w:fldCharType="end"/>
      </w:r>
      <w:r>
        <w:t xml:space="preserve"> are quarantined from ordinary income which means they may only be offset against capital gains.</w:t>
      </w:r>
    </w:p>
    <w:p w14:paraId="12BFCEE5" w14:textId="77777777" w:rsidR="006E40C9" w:rsidRDefault="006E40C9" w:rsidP="00D9255A">
      <w:pPr>
        <w:pStyle w:val="TESHeading5"/>
      </w:pPr>
      <w:r>
        <w:t>E24</w:t>
      </w:r>
      <w:r>
        <w:tab/>
        <w:t>Removal of taxation of certain financial instruments at point of conversion or exchange</w:t>
      </w:r>
    </w:p>
    <w:p w14:paraId="6370EDC6" w14:textId="72709A5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66D1EB" w14:textId="77777777">
        <w:trPr>
          <w:cantSplit/>
          <w:jc w:val="center"/>
        </w:trPr>
        <w:tc>
          <w:tcPr>
            <w:tcW w:w="967" w:type="dxa"/>
            <w:tcBorders>
              <w:top w:val="single" w:sz="2" w:space="0" w:color="auto"/>
              <w:bottom w:val="single" w:sz="2" w:space="0" w:color="auto"/>
            </w:tcBorders>
          </w:tcPr>
          <w:p w14:paraId="7E5EA2D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98F64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A2BFC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488286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829E9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C0B7A1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F56F5C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61ED890" w14:textId="77777777" w:rsidR="006E40C9" w:rsidRDefault="006E40C9">
            <w:pPr>
              <w:pStyle w:val="MeasureTableTextRightAligned"/>
            </w:pPr>
            <w:r>
              <w:t>2027-28</w:t>
            </w:r>
          </w:p>
        </w:tc>
      </w:tr>
      <w:tr w:rsidR="006E40C9" w14:paraId="5775A440" w14:textId="77777777">
        <w:trPr>
          <w:cantSplit/>
          <w:jc w:val="center"/>
        </w:trPr>
        <w:tc>
          <w:tcPr>
            <w:tcW w:w="967" w:type="dxa"/>
            <w:tcBorders>
              <w:top w:val="single" w:sz="2" w:space="0" w:color="auto"/>
              <w:bottom w:val="single" w:sz="2" w:space="0" w:color="auto"/>
            </w:tcBorders>
          </w:tcPr>
          <w:p w14:paraId="7B901AC1" w14:textId="77777777" w:rsidR="006E40C9" w:rsidRDefault="006E40C9">
            <w:pPr>
              <w:pStyle w:val="MeasureTableTextRightAligned"/>
            </w:pPr>
            <w:r>
              <w:t>*</w:t>
            </w:r>
          </w:p>
        </w:tc>
        <w:tc>
          <w:tcPr>
            <w:tcW w:w="967" w:type="dxa"/>
            <w:tcBorders>
              <w:top w:val="single" w:sz="2" w:space="0" w:color="auto"/>
              <w:bottom w:val="single" w:sz="2" w:space="0" w:color="auto"/>
            </w:tcBorders>
          </w:tcPr>
          <w:p w14:paraId="625F5E0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FA69BB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AF9FC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91846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291984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68C6184"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285F0DA" w14:textId="77777777" w:rsidR="006E40C9" w:rsidRDefault="006E40C9">
            <w:pPr>
              <w:pStyle w:val="MeasureTableTextRightAligned"/>
            </w:pPr>
            <w:r>
              <w:t>*</w:t>
            </w:r>
          </w:p>
        </w:tc>
      </w:tr>
      <w:tr w:rsidR="006E40C9" w14:paraId="41EA9F4B" w14:textId="77777777">
        <w:trPr>
          <w:cantSplit/>
          <w:jc w:val="center"/>
        </w:trPr>
        <w:tc>
          <w:tcPr>
            <w:tcW w:w="1934" w:type="dxa"/>
            <w:gridSpan w:val="2"/>
            <w:tcBorders>
              <w:top w:val="single" w:sz="2" w:space="0" w:color="auto"/>
              <w:bottom w:val="nil"/>
            </w:tcBorders>
          </w:tcPr>
          <w:p w14:paraId="572B08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901AE6F" w14:textId="77777777" w:rsidR="006E40C9" w:rsidRDefault="006E40C9">
            <w:pPr>
              <w:pStyle w:val="MeasureTableTextLeftAligned"/>
            </w:pPr>
            <w:r>
              <w:t>Deferral</w:t>
            </w:r>
          </w:p>
        </w:tc>
        <w:tc>
          <w:tcPr>
            <w:tcW w:w="1500" w:type="dxa"/>
            <w:gridSpan w:val="2"/>
            <w:tcBorders>
              <w:top w:val="single" w:sz="2" w:space="0" w:color="auto"/>
              <w:bottom w:val="nil"/>
            </w:tcBorders>
          </w:tcPr>
          <w:p w14:paraId="408D9F5B" w14:textId="2A7FF79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4274765" w14:textId="77777777" w:rsidR="006E40C9" w:rsidRDefault="006E40C9">
            <w:pPr>
              <w:pStyle w:val="MeasureTableTextLeftAligned"/>
            </w:pPr>
            <w:r>
              <w:t>E24</w:t>
            </w:r>
          </w:p>
        </w:tc>
      </w:tr>
      <w:tr w:rsidR="006E40C9" w14:paraId="162C354E" w14:textId="77777777">
        <w:trPr>
          <w:cantSplit/>
          <w:jc w:val="center"/>
        </w:trPr>
        <w:tc>
          <w:tcPr>
            <w:tcW w:w="1934" w:type="dxa"/>
            <w:gridSpan w:val="2"/>
            <w:tcBorders>
              <w:top w:val="nil"/>
              <w:bottom w:val="nil"/>
            </w:tcBorders>
          </w:tcPr>
          <w:p w14:paraId="60EDE38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3E7F5F" w14:textId="77777777" w:rsidR="006E40C9" w:rsidRPr="00584CA7" w:rsidRDefault="006E40C9">
            <w:pPr>
              <w:pStyle w:val="MeasureTableTextLeftAligned"/>
            </w:pPr>
            <w:r>
              <w:t>Not Applicable</w:t>
            </w:r>
          </w:p>
        </w:tc>
        <w:tc>
          <w:tcPr>
            <w:tcW w:w="1500" w:type="dxa"/>
            <w:gridSpan w:val="2"/>
            <w:tcBorders>
              <w:top w:val="nil"/>
              <w:bottom w:val="nil"/>
            </w:tcBorders>
          </w:tcPr>
          <w:p w14:paraId="75A9245E" w14:textId="77777777" w:rsidR="006E40C9" w:rsidRDefault="006E40C9">
            <w:pPr>
              <w:pStyle w:val="MeasureTableTextItalic"/>
            </w:pPr>
            <w:r>
              <w:t>* Category</w:t>
            </w:r>
          </w:p>
        </w:tc>
        <w:tc>
          <w:tcPr>
            <w:tcW w:w="1124" w:type="dxa"/>
            <w:gridSpan w:val="2"/>
            <w:tcBorders>
              <w:top w:val="nil"/>
              <w:bottom w:val="nil"/>
            </w:tcBorders>
          </w:tcPr>
          <w:p w14:paraId="74E52793" w14:textId="77777777" w:rsidR="006E40C9" w:rsidRDefault="006E40C9">
            <w:pPr>
              <w:pStyle w:val="MeasureTableTextLeftAligned"/>
            </w:pPr>
            <w:r>
              <w:t>2+</w:t>
            </w:r>
          </w:p>
        </w:tc>
      </w:tr>
      <w:tr w:rsidR="006E40C9" w14:paraId="4ECCE280" w14:textId="77777777">
        <w:trPr>
          <w:cantSplit/>
          <w:jc w:val="center"/>
        </w:trPr>
        <w:tc>
          <w:tcPr>
            <w:tcW w:w="1934" w:type="dxa"/>
            <w:gridSpan w:val="2"/>
            <w:tcBorders>
              <w:top w:val="nil"/>
              <w:bottom w:val="nil"/>
            </w:tcBorders>
          </w:tcPr>
          <w:p w14:paraId="3905B166" w14:textId="77777777" w:rsidR="006E40C9" w:rsidRDefault="006E40C9">
            <w:pPr>
              <w:pStyle w:val="MeasureTableTextItalic"/>
            </w:pPr>
            <w:r>
              <w:t>Commencement date:</w:t>
            </w:r>
          </w:p>
        </w:tc>
        <w:tc>
          <w:tcPr>
            <w:tcW w:w="3179" w:type="dxa"/>
            <w:gridSpan w:val="4"/>
            <w:tcBorders>
              <w:top w:val="nil"/>
              <w:bottom w:val="nil"/>
            </w:tcBorders>
          </w:tcPr>
          <w:p w14:paraId="2A737B82" w14:textId="77777777" w:rsidR="006E40C9" w:rsidRDefault="006E40C9">
            <w:pPr>
              <w:pStyle w:val="MeasureTableTextLeftAligned"/>
            </w:pPr>
            <w:r>
              <w:t>2002</w:t>
            </w:r>
          </w:p>
        </w:tc>
        <w:tc>
          <w:tcPr>
            <w:tcW w:w="1500" w:type="dxa"/>
            <w:gridSpan w:val="2"/>
            <w:tcBorders>
              <w:top w:val="nil"/>
              <w:bottom w:val="nil"/>
            </w:tcBorders>
          </w:tcPr>
          <w:p w14:paraId="2B5601D2" w14:textId="77777777" w:rsidR="006E40C9" w:rsidRPr="00F32057" w:rsidRDefault="006E40C9">
            <w:pPr>
              <w:pStyle w:val="MeasureTableTextItalic"/>
            </w:pPr>
            <w:r>
              <w:t>Expiry date:</w:t>
            </w:r>
          </w:p>
        </w:tc>
        <w:tc>
          <w:tcPr>
            <w:tcW w:w="1124" w:type="dxa"/>
            <w:gridSpan w:val="2"/>
            <w:tcBorders>
              <w:top w:val="nil"/>
              <w:bottom w:val="nil"/>
            </w:tcBorders>
          </w:tcPr>
          <w:p w14:paraId="1D9095BB" w14:textId="77777777" w:rsidR="006E40C9" w:rsidRPr="00F32057" w:rsidRDefault="006E40C9">
            <w:pPr>
              <w:pStyle w:val="MeasureTableTextLeftAligned"/>
            </w:pPr>
          </w:p>
        </w:tc>
      </w:tr>
      <w:tr w:rsidR="006E40C9" w14:paraId="3F8C5D8D" w14:textId="77777777">
        <w:trPr>
          <w:cantSplit/>
          <w:jc w:val="center"/>
        </w:trPr>
        <w:tc>
          <w:tcPr>
            <w:tcW w:w="1934" w:type="dxa"/>
            <w:gridSpan w:val="2"/>
            <w:tcBorders>
              <w:top w:val="nil"/>
            </w:tcBorders>
          </w:tcPr>
          <w:p w14:paraId="251A31DA" w14:textId="77777777" w:rsidR="006E40C9" w:rsidRDefault="006E40C9">
            <w:pPr>
              <w:pStyle w:val="MeasureTableTextItalic"/>
            </w:pPr>
            <w:r>
              <w:t>Legislative reference:</w:t>
            </w:r>
          </w:p>
        </w:tc>
        <w:tc>
          <w:tcPr>
            <w:tcW w:w="5803" w:type="dxa"/>
            <w:gridSpan w:val="8"/>
            <w:tcBorders>
              <w:top w:val="nil"/>
            </w:tcBorders>
          </w:tcPr>
          <w:p w14:paraId="78F73A81" w14:textId="77777777" w:rsidR="006E40C9" w:rsidRPr="00F32057" w:rsidRDefault="006E40C9">
            <w:pPr>
              <w:widowControl w:val="0"/>
              <w:autoSpaceDE w:val="0"/>
              <w:autoSpaceDN w:val="0"/>
              <w:adjustRightInd w:val="0"/>
              <w:spacing w:after="0" w:line="240" w:lineRule="auto"/>
            </w:pPr>
            <w:r w:rsidRPr="00FC7B3F">
              <w:rPr>
                <w:rFonts w:ascii="Arial" w:hAnsi="Arial" w:cs="Microsoft Sans Serif"/>
                <w:sz w:val="16"/>
                <w:szCs w:val="17"/>
              </w:rPr>
              <w:t xml:space="preserve">Sections 26BB and 70B </w:t>
            </w:r>
            <w:r>
              <w:rPr>
                <w:rFonts w:ascii="Arial" w:hAnsi="Arial" w:cs="Arial"/>
                <w:color w:val="000000"/>
                <w:sz w:val="16"/>
                <w:szCs w:val="16"/>
              </w:rPr>
              <w:t xml:space="preserve">of the </w:t>
            </w:r>
            <w:r>
              <w:rPr>
                <w:rFonts w:ascii="Arial" w:hAnsi="Arial" w:cs="Arial"/>
                <w:i/>
                <w:iCs/>
                <w:color w:val="000000"/>
                <w:sz w:val="16"/>
                <w:szCs w:val="16"/>
              </w:rPr>
              <w:t>Income Tax Assessment Act 1936</w:t>
            </w:r>
          </w:p>
        </w:tc>
      </w:tr>
    </w:tbl>
    <w:p w14:paraId="06EDB947" w14:textId="77777777" w:rsidR="006E40C9" w:rsidRPr="00540040" w:rsidRDefault="006E40C9" w:rsidP="006E40C9">
      <w:pPr>
        <w:pStyle w:val="MeasureTableHeading"/>
      </w:pPr>
    </w:p>
    <w:p w14:paraId="68E97E1B" w14:textId="77777777" w:rsidR="006E40C9" w:rsidRDefault="006E40C9" w:rsidP="006E40C9">
      <w:r>
        <w:t xml:space="preserve">The benchmark treatment in the tax law is that generally there would be a taxing point upon the conversion or exchange of a traditional security into ordinary shares. In broad terms, the cost of the traditional security at that time would be compared with the value of the shares received on conversion to determine if an amount is to be included in assessable income or allowed as a deduction. </w:t>
      </w:r>
    </w:p>
    <w:p w14:paraId="6097BD2E" w14:textId="77777777" w:rsidR="006E40C9" w:rsidRDefault="006E40C9" w:rsidP="006E40C9">
      <w:r>
        <w:t xml:space="preserve">Taxation of gains or losses from conversion or exchange of convertible or exchangeable interests issued after 14 May 2002 is deferred until the ultimate disposal of the shares. This tax treatment applies only to those traditional securities that convert into ordinary shares and those traditional securities that exchange into ordinary shares. </w:t>
      </w:r>
    </w:p>
    <w:p w14:paraId="384172B7" w14:textId="77777777" w:rsidR="006E40C9" w:rsidRDefault="006E40C9" w:rsidP="006E40C9">
      <w:r>
        <w:t xml:space="preserve">Traditional securities are, broadly, securities in the form of debentures, bonds and other loans that do not have a deferred interest element, are not capital indexed and are not issued at a deep discount. </w:t>
      </w:r>
    </w:p>
    <w:p w14:paraId="41DAAAA0" w14:textId="77777777" w:rsidR="006E40C9" w:rsidRDefault="006E40C9" w:rsidP="006E40C9">
      <w:r>
        <w:t>Convertible interests</w:t>
      </w:r>
      <w:r>
        <w:fldChar w:fldCharType="begin"/>
      </w:r>
      <w:r>
        <w:instrText xml:space="preserve"> XE "Financial instruments:Convertible interests" </w:instrText>
      </w:r>
      <w:r>
        <w:fldChar w:fldCharType="end"/>
      </w:r>
      <w:r>
        <w:t xml:space="preserve"> are financial instruments that may convert into shares in the company that issued the convertible interest. Exchangeable interests</w:t>
      </w:r>
      <w:r>
        <w:fldChar w:fldCharType="begin"/>
      </w:r>
      <w:r>
        <w:instrText xml:space="preserve"> XE "Financial instruments:Exchangeable interests" </w:instrText>
      </w:r>
      <w:r>
        <w:fldChar w:fldCharType="end"/>
      </w:r>
      <w:r>
        <w:t xml:space="preserve"> are instruments that may convert into shares in a company other than the issuer. </w:t>
      </w:r>
    </w:p>
    <w:p w14:paraId="7CD09549" w14:textId="77777777" w:rsidR="006E40C9" w:rsidRDefault="006E40C9" w:rsidP="006E40C9">
      <w:r>
        <w:t>This variation from the benchmark treatment avoids cash flow difficulties for taxpayers arising from having to pay tax on a gain on conversion or exchange that is settled in the form of shares rather than cash.</w:t>
      </w:r>
    </w:p>
    <w:p w14:paraId="68FC1790" w14:textId="77777777" w:rsidR="006E40C9" w:rsidRDefault="006E40C9" w:rsidP="00D9255A">
      <w:pPr>
        <w:pStyle w:val="TESHeading5"/>
      </w:pPr>
      <w:r>
        <w:t>E25</w:t>
      </w:r>
      <w:r>
        <w:tab/>
        <w:t>Roll-over for assets compulsorily acquired, lost or destroyed</w:t>
      </w:r>
    </w:p>
    <w:p w14:paraId="2A20EDDE" w14:textId="5CB4A66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B3215C0" w14:textId="77777777">
        <w:trPr>
          <w:cantSplit/>
          <w:jc w:val="center"/>
        </w:trPr>
        <w:tc>
          <w:tcPr>
            <w:tcW w:w="967" w:type="dxa"/>
            <w:tcBorders>
              <w:top w:val="single" w:sz="2" w:space="0" w:color="auto"/>
              <w:bottom w:val="single" w:sz="2" w:space="0" w:color="auto"/>
            </w:tcBorders>
          </w:tcPr>
          <w:p w14:paraId="4C522F7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F3F5E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52E24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43735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4ACE24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7128B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34B2E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FC106E3" w14:textId="77777777" w:rsidR="006E40C9" w:rsidRDefault="006E40C9">
            <w:pPr>
              <w:pStyle w:val="MeasureTableTextRightAligned"/>
            </w:pPr>
            <w:r>
              <w:t>2027-28</w:t>
            </w:r>
          </w:p>
        </w:tc>
      </w:tr>
      <w:tr w:rsidR="006E40C9" w14:paraId="22E54AAA" w14:textId="77777777">
        <w:trPr>
          <w:cantSplit/>
          <w:jc w:val="center"/>
        </w:trPr>
        <w:tc>
          <w:tcPr>
            <w:tcW w:w="967" w:type="dxa"/>
            <w:tcBorders>
              <w:top w:val="single" w:sz="2" w:space="0" w:color="auto"/>
              <w:bottom w:val="single" w:sz="2" w:space="0" w:color="auto"/>
            </w:tcBorders>
          </w:tcPr>
          <w:p w14:paraId="1B790DB7" w14:textId="77777777" w:rsidR="006E40C9" w:rsidRDefault="006E40C9">
            <w:pPr>
              <w:pStyle w:val="MeasureTableTextRightAligned"/>
            </w:pPr>
            <w:r>
              <w:t>*</w:t>
            </w:r>
          </w:p>
        </w:tc>
        <w:tc>
          <w:tcPr>
            <w:tcW w:w="967" w:type="dxa"/>
            <w:tcBorders>
              <w:top w:val="single" w:sz="2" w:space="0" w:color="auto"/>
              <w:bottom w:val="single" w:sz="2" w:space="0" w:color="auto"/>
            </w:tcBorders>
          </w:tcPr>
          <w:p w14:paraId="0E0FEA5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39DE2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B0DBCD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9138F6D"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E722F5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D8E5E1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9BD6C01" w14:textId="77777777" w:rsidR="006E40C9" w:rsidRDefault="006E40C9">
            <w:pPr>
              <w:pStyle w:val="MeasureTableTextRightAligned"/>
            </w:pPr>
            <w:r>
              <w:t>*</w:t>
            </w:r>
          </w:p>
        </w:tc>
      </w:tr>
      <w:tr w:rsidR="006E40C9" w14:paraId="383B5217" w14:textId="77777777">
        <w:trPr>
          <w:cantSplit/>
          <w:jc w:val="center"/>
        </w:trPr>
        <w:tc>
          <w:tcPr>
            <w:tcW w:w="1934" w:type="dxa"/>
            <w:gridSpan w:val="2"/>
            <w:tcBorders>
              <w:top w:val="single" w:sz="2" w:space="0" w:color="auto"/>
              <w:bottom w:val="nil"/>
            </w:tcBorders>
          </w:tcPr>
          <w:p w14:paraId="516E2F9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B250A9A" w14:textId="77777777" w:rsidR="006E40C9" w:rsidRDefault="006E40C9">
            <w:pPr>
              <w:pStyle w:val="MeasureTableTextLeftAligned"/>
            </w:pPr>
            <w:r>
              <w:t>Deferral</w:t>
            </w:r>
          </w:p>
        </w:tc>
        <w:tc>
          <w:tcPr>
            <w:tcW w:w="1500" w:type="dxa"/>
            <w:gridSpan w:val="2"/>
            <w:tcBorders>
              <w:top w:val="single" w:sz="2" w:space="0" w:color="auto"/>
              <w:bottom w:val="nil"/>
            </w:tcBorders>
          </w:tcPr>
          <w:p w14:paraId="27147FC0" w14:textId="76DF40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875BF5E" w14:textId="77777777" w:rsidR="006E40C9" w:rsidRDefault="006E40C9">
            <w:pPr>
              <w:pStyle w:val="MeasureTableTextLeftAligned"/>
            </w:pPr>
            <w:r>
              <w:t>E25</w:t>
            </w:r>
          </w:p>
        </w:tc>
      </w:tr>
      <w:tr w:rsidR="006E40C9" w14:paraId="3D64725A" w14:textId="77777777">
        <w:trPr>
          <w:cantSplit/>
          <w:jc w:val="center"/>
        </w:trPr>
        <w:tc>
          <w:tcPr>
            <w:tcW w:w="1934" w:type="dxa"/>
            <w:gridSpan w:val="2"/>
            <w:tcBorders>
              <w:top w:val="nil"/>
              <w:bottom w:val="nil"/>
            </w:tcBorders>
          </w:tcPr>
          <w:p w14:paraId="56C9072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92387D4" w14:textId="77777777" w:rsidR="006E40C9" w:rsidRPr="00584CA7" w:rsidRDefault="006E40C9">
            <w:pPr>
              <w:pStyle w:val="MeasureTableTextLeftAligned"/>
            </w:pPr>
            <w:r>
              <w:t>Not Applicable</w:t>
            </w:r>
          </w:p>
        </w:tc>
        <w:tc>
          <w:tcPr>
            <w:tcW w:w="1500" w:type="dxa"/>
            <w:gridSpan w:val="2"/>
            <w:tcBorders>
              <w:top w:val="nil"/>
              <w:bottom w:val="nil"/>
            </w:tcBorders>
          </w:tcPr>
          <w:p w14:paraId="631EC01B" w14:textId="77777777" w:rsidR="006E40C9" w:rsidRDefault="006E40C9">
            <w:pPr>
              <w:pStyle w:val="MeasureTableTextItalic"/>
            </w:pPr>
            <w:r>
              <w:t>* Category</w:t>
            </w:r>
          </w:p>
        </w:tc>
        <w:tc>
          <w:tcPr>
            <w:tcW w:w="1124" w:type="dxa"/>
            <w:gridSpan w:val="2"/>
            <w:tcBorders>
              <w:top w:val="nil"/>
              <w:bottom w:val="nil"/>
            </w:tcBorders>
          </w:tcPr>
          <w:p w14:paraId="2DBCC1D2" w14:textId="77777777" w:rsidR="006E40C9" w:rsidRDefault="006E40C9">
            <w:pPr>
              <w:pStyle w:val="MeasureTableTextLeftAligned"/>
            </w:pPr>
            <w:r>
              <w:t>1+</w:t>
            </w:r>
          </w:p>
        </w:tc>
      </w:tr>
      <w:tr w:rsidR="006E40C9" w14:paraId="078E4F89" w14:textId="77777777">
        <w:trPr>
          <w:cantSplit/>
          <w:jc w:val="center"/>
        </w:trPr>
        <w:tc>
          <w:tcPr>
            <w:tcW w:w="1934" w:type="dxa"/>
            <w:gridSpan w:val="2"/>
            <w:tcBorders>
              <w:top w:val="nil"/>
              <w:bottom w:val="nil"/>
            </w:tcBorders>
          </w:tcPr>
          <w:p w14:paraId="5183B119" w14:textId="77777777" w:rsidR="006E40C9" w:rsidRDefault="006E40C9">
            <w:pPr>
              <w:pStyle w:val="MeasureTableTextItalic"/>
            </w:pPr>
            <w:r>
              <w:t>Commencement date:</w:t>
            </w:r>
          </w:p>
        </w:tc>
        <w:tc>
          <w:tcPr>
            <w:tcW w:w="3179" w:type="dxa"/>
            <w:gridSpan w:val="4"/>
            <w:tcBorders>
              <w:top w:val="nil"/>
              <w:bottom w:val="nil"/>
            </w:tcBorders>
          </w:tcPr>
          <w:p w14:paraId="442DF415" w14:textId="77777777" w:rsidR="006E40C9" w:rsidRDefault="006E40C9">
            <w:pPr>
              <w:pStyle w:val="MeasureTableTextLeftAligned"/>
            </w:pPr>
            <w:r>
              <w:t>20 September 1985</w:t>
            </w:r>
          </w:p>
        </w:tc>
        <w:tc>
          <w:tcPr>
            <w:tcW w:w="1500" w:type="dxa"/>
            <w:gridSpan w:val="2"/>
            <w:tcBorders>
              <w:top w:val="nil"/>
              <w:bottom w:val="nil"/>
            </w:tcBorders>
          </w:tcPr>
          <w:p w14:paraId="31F9A7F7" w14:textId="77777777" w:rsidR="006E40C9" w:rsidRPr="00F32057" w:rsidRDefault="006E40C9">
            <w:pPr>
              <w:pStyle w:val="MeasureTableTextItalic"/>
            </w:pPr>
            <w:r>
              <w:t>Expiry date:</w:t>
            </w:r>
          </w:p>
        </w:tc>
        <w:tc>
          <w:tcPr>
            <w:tcW w:w="1124" w:type="dxa"/>
            <w:gridSpan w:val="2"/>
            <w:tcBorders>
              <w:top w:val="nil"/>
              <w:bottom w:val="nil"/>
            </w:tcBorders>
          </w:tcPr>
          <w:p w14:paraId="51AD7C81" w14:textId="77777777" w:rsidR="006E40C9" w:rsidRPr="00F32057" w:rsidRDefault="006E40C9">
            <w:pPr>
              <w:pStyle w:val="MeasureTableTextLeftAligned"/>
            </w:pPr>
          </w:p>
        </w:tc>
      </w:tr>
      <w:tr w:rsidR="006E40C9" w14:paraId="010C1990" w14:textId="77777777">
        <w:trPr>
          <w:cantSplit/>
          <w:jc w:val="center"/>
        </w:trPr>
        <w:tc>
          <w:tcPr>
            <w:tcW w:w="1934" w:type="dxa"/>
            <w:gridSpan w:val="2"/>
            <w:tcBorders>
              <w:top w:val="nil"/>
            </w:tcBorders>
          </w:tcPr>
          <w:p w14:paraId="798DF91B" w14:textId="77777777" w:rsidR="006E40C9" w:rsidRDefault="006E40C9">
            <w:pPr>
              <w:pStyle w:val="MeasureTableTextItalic"/>
            </w:pPr>
            <w:r>
              <w:t>Legislative reference:</w:t>
            </w:r>
          </w:p>
        </w:tc>
        <w:tc>
          <w:tcPr>
            <w:tcW w:w="5803" w:type="dxa"/>
            <w:gridSpan w:val="8"/>
            <w:tcBorders>
              <w:top w:val="nil"/>
            </w:tcBorders>
          </w:tcPr>
          <w:p w14:paraId="569A85C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124-B of the </w:t>
            </w:r>
            <w:r>
              <w:rPr>
                <w:rFonts w:ascii="Arial" w:hAnsi="Arial" w:cs="Arial"/>
                <w:i/>
                <w:iCs/>
                <w:color w:val="000000"/>
                <w:sz w:val="16"/>
                <w:szCs w:val="16"/>
              </w:rPr>
              <w:t>Income Tax Assessment Act 1997</w:t>
            </w:r>
          </w:p>
        </w:tc>
      </w:tr>
    </w:tbl>
    <w:p w14:paraId="483D681A" w14:textId="77777777" w:rsidR="006E40C9" w:rsidRPr="00540040" w:rsidRDefault="006E40C9" w:rsidP="006E40C9">
      <w:pPr>
        <w:pStyle w:val="MeasureTableHeading"/>
      </w:pPr>
    </w:p>
    <w:p w14:paraId="76CF8F86" w14:textId="77777777" w:rsidR="006E40C9" w:rsidRDefault="006E40C9" w:rsidP="006E40C9">
      <w:r>
        <w:t>Under the benchmark, realised capital gains are generally assessable to taxpayers at their applicable tax rate in the year they arise. However, a CGT roll</w:t>
      </w:r>
      <w:r>
        <w:noBreakHyphen/>
        <w:t xml:space="preserve">over </w:t>
      </w:r>
      <w:r>
        <w:fldChar w:fldCharType="begin"/>
      </w:r>
      <w:r>
        <w:instrText xml:space="preserve"> XE "Capital gains tax:Roll</w:instrText>
      </w:r>
      <w:r>
        <w:noBreakHyphen/>
        <w:instrText xml:space="preserve">over" </w:instrText>
      </w:r>
      <w:r>
        <w:fldChar w:fldCharType="end"/>
      </w:r>
      <w:r>
        <w:t>is available for capital gains where an asset is compulsorily acquired (whether by a private or public acquirer)</w:t>
      </w:r>
      <w:r>
        <w:fldChar w:fldCharType="begin"/>
      </w:r>
      <w:r>
        <w:instrText xml:space="preserve"> XE "Compulsorily acquired assets" </w:instrText>
      </w:r>
      <w:r>
        <w:fldChar w:fldCharType="end"/>
      </w:r>
      <w:r>
        <w:t>, lost</w:t>
      </w:r>
      <w:r>
        <w:fldChar w:fldCharType="begin"/>
      </w:r>
      <w:r>
        <w:instrText xml:space="preserve"> XE "Lost assets" </w:instrText>
      </w:r>
      <w:r>
        <w:fldChar w:fldCharType="end"/>
      </w:r>
      <w:r>
        <w:t xml:space="preserve"> or destroyed</w:t>
      </w:r>
      <w:r>
        <w:fldChar w:fldCharType="begin"/>
      </w:r>
      <w:r>
        <w:instrText xml:space="preserve"> XE "Destroyed assets" </w:instrText>
      </w:r>
      <w:r>
        <w:fldChar w:fldCharType="end"/>
      </w:r>
      <w:r>
        <w:t xml:space="preserve"> and the taxpayer purchases a replacement asset. The capital gains liability is deferred until the ultimate disposal of the replacement asset.</w:t>
      </w:r>
    </w:p>
    <w:p w14:paraId="13C20A6F" w14:textId="77777777" w:rsidR="006E40C9" w:rsidRDefault="006E40C9" w:rsidP="00D9255A">
      <w:pPr>
        <w:pStyle w:val="TESHeading5"/>
      </w:pPr>
      <w:r>
        <w:t>E26</w:t>
      </w:r>
      <w:r>
        <w:tab/>
        <w:t>Roll-over for complying superannuation funds in certain circumstances</w:t>
      </w:r>
    </w:p>
    <w:p w14:paraId="1616F674" w14:textId="2E79F86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9976AF5" w14:textId="77777777">
        <w:trPr>
          <w:cantSplit/>
          <w:jc w:val="center"/>
        </w:trPr>
        <w:tc>
          <w:tcPr>
            <w:tcW w:w="967" w:type="dxa"/>
            <w:tcBorders>
              <w:top w:val="single" w:sz="2" w:space="0" w:color="auto"/>
              <w:bottom w:val="single" w:sz="2" w:space="0" w:color="auto"/>
            </w:tcBorders>
          </w:tcPr>
          <w:p w14:paraId="09F9877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4CF03C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4D196F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798F36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1BF357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73487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4B09B9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64E6C23" w14:textId="77777777" w:rsidR="006E40C9" w:rsidRDefault="006E40C9">
            <w:pPr>
              <w:pStyle w:val="MeasureTableTextRightAligned"/>
            </w:pPr>
            <w:r>
              <w:t>2027-28</w:t>
            </w:r>
          </w:p>
        </w:tc>
      </w:tr>
      <w:tr w:rsidR="006E40C9" w14:paraId="2F0EF87F" w14:textId="77777777">
        <w:trPr>
          <w:cantSplit/>
          <w:jc w:val="center"/>
        </w:trPr>
        <w:tc>
          <w:tcPr>
            <w:tcW w:w="967" w:type="dxa"/>
            <w:tcBorders>
              <w:top w:val="single" w:sz="2" w:space="0" w:color="auto"/>
              <w:bottom w:val="single" w:sz="2" w:space="0" w:color="auto"/>
            </w:tcBorders>
          </w:tcPr>
          <w:p w14:paraId="00EF16BE" w14:textId="77777777" w:rsidR="006E40C9" w:rsidRDefault="006E40C9">
            <w:pPr>
              <w:pStyle w:val="MeasureTableTextRightAligned"/>
            </w:pPr>
            <w:r>
              <w:t>*</w:t>
            </w:r>
          </w:p>
        </w:tc>
        <w:tc>
          <w:tcPr>
            <w:tcW w:w="967" w:type="dxa"/>
            <w:tcBorders>
              <w:top w:val="single" w:sz="2" w:space="0" w:color="auto"/>
              <w:bottom w:val="single" w:sz="2" w:space="0" w:color="auto"/>
            </w:tcBorders>
          </w:tcPr>
          <w:p w14:paraId="6F4833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FE952C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19AFF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580E42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BEBB4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C24B69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77E9B0C" w14:textId="77777777" w:rsidR="006E40C9" w:rsidRDefault="006E40C9">
            <w:pPr>
              <w:pStyle w:val="MeasureTableTextRightAligned"/>
            </w:pPr>
            <w:r>
              <w:t>*</w:t>
            </w:r>
          </w:p>
        </w:tc>
      </w:tr>
      <w:tr w:rsidR="006E40C9" w14:paraId="65CA52FE" w14:textId="77777777">
        <w:trPr>
          <w:cantSplit/>
          <w:jc w:val="center"/>
        </w:trPr>
        <w:tc>
          <w:tcPr>
            <w:tcW w:w="1934" w:type="dxa"/>
            <w:gridSpan w:val="2"/>
            <w:tcBorders>
              <w:top w:val="single" w:sz="2" w:space="0" w:color="auto"/>
              <w:bottom w:val="nil"/>
            </w:tcBorders>
          </w:tcPr>
          <w:p w14:paraId="6C5FF18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7C0EC1B" w14:textId="77777777" w:rsidR="006E40C9" w:rsidRDefault="006E40C9">
            <w:pPr>
              <w:pStyle w:val="MeasureTableTextLeftAligned"/>
            </w:pPr>
            <w:r>
              <w:t>Deferral</w:t>
            </w:r>
          </w:p>
        </w:tc>
        <w:tc>
          <w:tcPr>
            <w:tcW w:w="1500" w:type="dxa"/>
            <w:gridSpan w:val="2"/>
            <w:tcBorders>
              <w:top w:val="single" w:sz="2" w:space="0" w:color="auto"/>
              <w:bottom w:val="nil"/>
            </w:tcBorders>
          </w:tcPr>
          <w:p w14:paraId="7F2EA697" w14:textId="36ACAA3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BB9E671" w14:textId="77777777" w:rsidR="006E40C9" w:rsidRDefault="006E40C9">
            <w:pPr>
              <w:pStyle w:val="MeasureTableTextLeftAligned"/>
            </w:pPr>
            <w:r>
              <w:t>E26</w:t>
            </w:r>
          </w:p>
        </w:tc>
      </w:tr>
      <w:tr w:rsidR="006E40C9" w14:paraId="6FB03EF2" w14:textId="77777777">
        <w:trPr>
          <w:cantSplit/>
          <w:jc w:val="center"/>
        </w:trPr>
        <w:tc>
          <w:tcPr>
            <w:tcW w:w="1934" w:type="dxa"/>
            <w:gridSpan w:val="2"/>
            <w:tcBorders>
              <w:top w:val="nil"/>
              <w:bottom w:val="nil"/>
            </w:tcBorders>
          </w:tcPr>
          <w:p w14:paraId="1DDEC13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5A79794" w14:textId="77777777" w:rsidR="006E40C9" w:rsidRPr="00584CA7" w:rsidRDefault="006E40C9">
            <w:pPr>
              <w:pStyle w:val="MeasureTableTextLeftAligned"/>
            </w:pPr>
            <w:r>
              <w:t>Not Applicable</w:t>
            </w:r>
          </w:p>
        </w:tc>
        <w:tc>
          <w:tcPr>
            <w:tcW w:w="1500" w:type="dxa"/>
            <w:gridSpan w:val="2"/>
            <w:tcBorders>
              <w:top w:val="nil"/>
              <w:bottom w:val="nil"/>
            </w:tcBorders>
          </w:tcPr>
          <w:p w14:paraId="096EC383" w14:textId="77777777" w:rsidR="006E40C9" w:rsidRDefault="006E40C9">
            <w:pPr>
              <w:pStyle w:val="MeasureTableTextItalic"/>
            </w:pPr>
            <w:r>
              <w:t>* Category</w:t>
            </w:r>
          </w:p>
        </w:tc>
        <w:tc>
          <w:tcPr>
            <w:tcW w:w="1124" w:type="dxa"/>
            <w:gridSpan w:val="2"/>
            <w:tcBorders>
              <w:top w:val="nil"/>
              <w:bottom w:val="nil"/>
            </w:tcBorders>
          </w:tcPr>
          <w:p w14:paraId="794F3BA6" w14:textId="77777777" w:rsidR="006E40C9" w:rsidRDefault="006E40C9">
            <w:pPr>
              <w:pStyle w:val="MeasureTableTextLeftAligned"/>
            </w:pPr>
            <w:r>
              <w:t>2+</w:t>
            </w:r>
          </w:p>
        </w:tc>
      </w:tr>
      <w:tr w:rsidR="006E40C9" w14:paraId="5A9B44F9" w14:textId="77777777">
        <w:trPr>
          <w:cantSplit/>
          <w:jc w:val="center"/>
        </w:trPr>
        <w:tc>
          <w:tcPr>
            <w:tcW w:w="1934" w:type="dxa"/>
            <w:gridSpan w:val="2"/>
            <w:tcBorders>
              <w:top w:val="nil"/>
              <w:bottom w:val="nil"/>
            </w:tcBorders>
          </w:tcPr>
          <w:p w14:paraId="576BBCA1" w14:textId="77777777" w:rsidR="006E40C9" w:rsidRDefault="006E40C9">
            <w:pPr>
              <w:pStyle w:val="MeasureTableTextItalic"/>
            </w:pPr>
            <w:r>
              <w:t>Commencement date:</w:t>
            </w:r>
          </w:p>
        </w:tc>
        <w:tc>
          <w:tcPr>
            <w:tcW w:w="3179" w:type="dxa"/>
            <w:gridSpan w:val="4"/>
            <w:tcBorders>
              <w:top w:val="nil"/>
              <w:bottom w:val="nil"/>
            </w:tcBorders>
          </w:tcPr>
          <w:p w14:paraId="5B3049EC" w14:textId="77777777" w:rsidR="006E40C9" w:rsidRDefault="006E40C9">
            <w:pPr>
              <w:pStyle w:val="MeasureTableTextLeftAligned"/>
            </w:pPr>
            <w:r>
              <w:t>1994 (ADFs); 2008 (merging funds);</w:t>
            </w:r>
          </w:p>
        </w:tc>
        <w:tc>
          <w:tcPr>
            <w:tcW w:w="1500" w:type="dxa"/>
            <w:gridSpan w:val="2"/>
            <w:tcBorders>
              <w:top w:val="nil"/>
              <w:bottom w:val="nil"/>
            </w:tcBorders>
          </w:tcPr>
          <w:p w14:paraId="6690CFFA" w14:textId="77777777" w:rsidR="006E40C9" w:rsidRPr="00F32057" w:rsidRDefault="006E40C9">
            <w:pPr>
              <w:pStyle w:val="MeasureTableTextItalic"/>
            </w:pPr>
            <w:r>
              <w:t>Expiry date:</w:t>
            </w:r>
          </w:p>
        </w:tc>
        <w:tc>
          <w:tcPr>
            <w:tcW w:w="1124" w:type="dxa"/>
            <w:gridSpan w:val="2"/>
            <w:tcBorders>
              <w:top w:val="nil"/>
              <w:bottom w:val="nil"/>
            </w:tcBorders>
          </w:tcPr>
          <w:p w14:paraId="5C87A394" w14:textId="77777777" w:rsidR="006E40C9" w:rsidRPr="00F32057" w:rsidRDefault="006E40C9">
            <w:pPr>
              <w:pStyle w:val="MeasureTableTextLeftAligned"/>
            </w:pPr>
          </w:p>
        </w:tc>
      </w:tr>
      <w:tr w:rsidR="006E40C9" w14:paraId="6B8A4AAE" w14:textId="77777777">
        <w:trPr>
          <w:cantSplit/>
          <w:jc w:val="center"/>
        </w:trPr>
        <w:tc>
          <w:tcPr>
            <w:tcW w:w="1934" w:type="dxa"/>
            <w:gridSpan w:val="2"/>
            <w:tcBorders>
              <w:top w:val="nil"/>
            </w:tcBorders>
          </w:tcPr>
          <w:p w14:paraId="11B1E6FE" w14:textId="77777777" w:rsidR="006E40C9" w:rsidRDefault="006E40C9">
            <w:pPr>
              <w:pStyle w:val="MeasureTableTextItalic"/>
            </w:pPr>
            <w:r>
              <w:t>Legislative reference:</w:t>
            </w:r>
          </w:p>
        </w:tc>
        <w:tc>
          <w:tcPr>
            <w:tcW w:w="5803" w:type="dxa"/>
            <w:gridSpan w:val="8"/>
            <w:tcBorders>
              <w:top w:val="nil"/>
            </w:tcBorders>
          </w:tcPr>
          <w:p w14:paraId="5A362DDD" w14:textId="22278C15" w:rsidR="006E40C9" w:rsidRPr="00F32057" w:rsidRDefault="006E40C9" w:rsidP="00796C9D">
            <w:pPr>
              <w:widowControl w:val="0"/>
              <w:autoSpaceDE w:val="0"/>
              <w:autoSpaceDN w:val="0"/>
              <w:adjustRightInd w:val="0"/>
              <w:spacing w:after="0" w:line="240" w:lineRule="auto"/>
            </w:pPr>
            <w:r>
              <w:rPr>
                <w:rFonts w:ascii="Arial" w:hAnsi="Arial" w:cs="Arial"/>
                <w:color w:val="000000"/>
                <w:sz w:val="16"/>
                <w:szCs w:val="16"/>
              </w:rPr>
              <w:t xml:space="preserve">Subdivision 126-C (trust deeds), and Division 310 (merging funds) of the </w:t>
            </w:r>
            <w:r>
              <w:rPr>
                <w:rFonts w:ascii="Arial" w:hAnsi="Arial" w:cs="Arial"/>
                <w:i/>
                <w:iCs/>
                <w:color w:val="000000"/>
                <w:sz w:val="16"/>
                <w:szCs w:val="16"/>
              </w:rPr>
              <w:t>Income Tax Assessment Act 1997</w:t>
            </w:r>
          </w:p>
        </w:tc>
      </w:tr>
    </w:tbl>
    <w:p w14:paraId="335FD56C" w14:textId="77777777" w:rsidR="006E40C9" w:rsidRPr="00540040" w:rsidRDefault="006E40C9" w:rsidP="006E40C9">
      <w:pPr>
        <w:pStyle w:val="MeasureTableHeading"/>
      </w:pPr>
    </w:p>
    <w:p w14:paraId="7E8B4C66" w14:textId="77777777" w:rsidR="006E40C9" w:rsidRDefault="006E40C9" w:rsidP="006E40C9">
      <w:pPr>
        <w:rPr>
          <w:szCs w:val="24"/>
        </w:rPr>
      </w:pPr>
      <w:r>
        <w:rPr>
          <w:szCs w:val="24"/>
        </w:rPr>
        <w:t>Tax relief is provided for superannuation funds which merge, where a complying superannuation fund or a complying Approved Deposit Fund amends or replaces its trust deed, in certain circumstances.</w:t>
      </w:r>
    </w:p>
    <w:p w14:paraId="40FEDFCA" w14:textId="77777777" w:rsidR="006E40C9" w:rsidRDefault="006E40C9" w:rsidP="006E40C9">
      <w:pPr>
        <w:rPr>
          <w:szCs w:val="24"/>
        </w:rPr>
      </w:pPr>
      <w:r>
        <w:rPr>
          <w:szCs w:val="24"/>
        </w:rPr>
        <w:t>From 24 December 2008, complying superannuation funds that merge are able to transfer capital and revenue losses to a new merged fund and to defer the taxation consequences on gains and losses from revenue and capital assets that are rolled over. Without the tax relief, the merged fund would not be able to access past losses and members would be taxed as if they had disposed and repurchased their assets at the time of the merger.</w:t>
      </w:r>
      <w:r>
        <w:rPr>
          <w:szCs w:val="24"/>
        </w:rPr>
        <w:fldChar w:fldCharType="begin"/>
      </w:r>
      <w:r>
        <w:instrText xml:space="preserve"> XE "Capital gains tax:Superannuation funds" </w:instrText>
      </w:r>
      <w:r>
        <w:rPr>
          <w:szCs w:val="24"/>
        </w:rPr>
        <w:fldChar w:fldCharType="end"/>
      </w:r>
    </w:p>
    <w:p w14:paraId="0CDC103E" w14:textId="77777777" w:rsidR="006E40C9" w:rsidRDefault="006E40C9" w:rsidP="00D9255A">
      <w:pPr>
        <w:pStyle w:val="TESHeading5"/>
      </w:pPr>
      <w:r>
        <w:t>E27</w:t>
      </w:r>
      <w:r>
        <w:tab/>
        <w:t>Roll-over for replacement small business active assets</w:t>
      </w:r>
    </w:p>
    <w:p w14:paraId="7167D56A" w14:textId="294E081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32DAABE" w14:textId="77777777">
        <w:trPr>
          <w:cantSplit/>
          <w:jc w:val="center"/>
        </w:trPr>
        <w:tc>
          <w:tcPr>
            <w:tcW w:w="967" w:type="dxa"/>
            <w:tcBorders>
              <w:top w:val="single" w:sz="2" w:space="0" w:color="auto"/>
              <w:bottom w:val="single" w:sz="2" w:space="0" w:color="auto"/>
            </w:tcBorders>
          </w:tcPr>
          <w:p w14:paraId="37733AD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AA63E2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AA258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86F301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C95DAF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BFD4CE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7C35B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24F090" w14:textId="77777777" w:rsidR="006E40C9" w:rsidRDefault="006E40C9">
            <w:pPr>
              <w:pStyle w:val="MeasureTableTextRightAligned"/>
            </w:pPr>
            <w:r>
              <w:t>2027-28</w:t>
            </w:r>
          </w:p>
        </w:tc>
      </w:tr>
      <w:tr w:rsidR="006E40C9" w14:paraId="5C8BA5BE" w14:textId="77777777">
        <w:trPr>
          <w:cantSplit/>
          <w:jc w:val="center"/>
        </w:trPr>
        <w:tc>
          <w:tcPr>
            <w:tcW w:w="967" w:type="dxa"/>
            <w:tcBorders>
              <w:top w:val="single" w:sz="2" w:space="0" w:color="auto"/>
              <w:bottom w:val="single" w:sz="2" w:space="0" w:color="auto"/>
            </w:tcBorders>
          </w:tcPr>
          <w:p w14:paraId="79FBFA1C" w14:textId="77777777" w:rsidR="006E40C9" w:rsidRDefault="006E40C9">
            <w:pPr>
              <w:pStyle w:val="MeasureTableTextRightAligned"/>
            </w:pPr>
            <w:r>
              <w:t>310</w:t>
            </w:r>
          </w:p>
        </w:tc>
        <w:tc>
          <w:tcPr>
            <w:tcW w:w="967" w:type="dxa"/>
            <w:tcBorders>
              <w:top w:val="single" w:sz="2" w:space="0" w:color="auto"/>
              <w:bottom w:val="single" w:sz="2" w:space="0" w:color="auto"/>
            </w:tcBorders>
          </w:tcPr>
          <w:p w14:paraId="52B70220" w14:textId="77777777" w:rsidR="006E40C9" w:rsidRDefault="006E40C9">
            <w:pPr>
              <w:pStyle w:val="MeasureTableTextRightAligned"/>
            </w:pPr>
            <w:r>
              <w:t>350</w:t>
            </w:r>
          </w:p>
        </w:tc>
        <w:tc>
          <w:tcPr>
            <w:tcW w:w="967" w:type="dxa"/>
            <w:tcBorders>
              <w:top w:val="single" w:sz="2" w:space="0" w:color="auto"/>
              <w:bottom w:val="single" w:sz="2" w:space="0" w:color="auto"/>
            </w:tcBorders>
            <w:vAlign w:val="bottom"/>
          </w:tcPr>
          <w:p w14:paraId="51D96C80" w14:textId="77777777" w:rsidR="006E40C9" w:rsidRDefault="006E40C9">
            <w:pPr>
              <w:pStyle w:val="MeasureTableTextRightAligned"/>
            </w:pPr>
            <w:r>
              <w:t>500</w:t>
            </w:r>
          </w:p>
        </w:tc>
        <w:tc>
          <w:tcPr>
            <w:tcW w:w="967" w:type="dxa"/>
            <w:tcBorders>
              <w:top w:val="single" w:sz="2" w:space="0" w:color="auto"/>
              <w:bottom w:val="single" w:sz="2" w:space="0" w:color="auto"/>
            </w:tcBorders>
            <w:vAlign w:val="bottom"/>
          </w:tcPr>
          <w:p w14:paraId="1D245367" w14:textId="77777777" w:rsidR="006E40C9" w:rsidRDefault="006E40C9">
            <w:pPr>
              <w:pStyle w:val="MeasureTableTextRightAligned"/>
            </w:pPr>
            <w:r>
              <w:t>490</w:t>
            </w:r>
          </w:p>
        </w:tc>
        <w:tc>
          <w:tcPr>
            <w:tcW w:w="967" w:type="dxa"/>
            <w:tcBorders>
              <w:top w:val="single" w:sz="2" w:space="0" w:color="auto"/>
              <w:bottom w:val="single" w:sz="2" w:space="0" w:color="auto"/>
            </w:tcBorders>
            <w:vAlign w:val="bottom"/>
          </w:tcPr>
          <w:p w14:paraId="15A05549"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42F49435" w14:textId="77777777" w:rsidR="006E40C9" w:rsidRDefault="006E40C9">
            <w:pPr>
              <w:pStyle w:val="MeasureTableTextRightAligned"/>
            </w:pPr>
            <w:r>
              <w:t>450</w:t>
            </w:r>
          </w:p>
        </w:tc>
        <w:tc>
          <w:tcPr>
            <w:tcW w:w="967" w:type="dxa"/>
            <w:gridSpan w:val="2"/>
            <w:tcBorders>
              <w:top w:val="single" w:sz="2" w:space="0" w:color="auto"/>
              <w:bottom w:val="single" w:sz="2" w:space="0" w:color="auto"/>
            </w:tcBorders>
            <w:vAlign w:val="bottom"/>
          </w:tcPr>
          <w:p w14:paraId="3BE6820E" w14:textId="77777777" w:rsidR="006E40C9" w:rsidRDefault="006E40C9">
            <w:pPr>
              <w:pStyle w:val="MeasureTableTextRightAligned"/>
            </w:pPr>
            <w:r>
              <w:t>450</w:t>
            </w:r>
          </w:p>
        </w:tc>
        <w:tc>
          <w:tcPr>
            <w:tcW w:w="968" w:type="dxa"/>
            <w:tcBorders>
              <w:top w:val="single" w:sz="2" w:space="0" w:color="auto"/>
              <w:bottom w:val="single" w:sz="2" w:space="0" w:color="auto"/>
            </w:tcBorders>
            <w:vAlign w:val="bottom"/>
          </w:tcPr>
          <w:p w14:paraId="151833E5" w14:textId="77777777" w:rsidR="006E40C9" w:rsidRDefault="006E40C9">
            <w:pPr>
              <w:pStyle w:val="MeasureTableTextRightAligned"/>
            </w:pPr>
            <w:r>
              <w:t>450</w:t>
            </w:r>
          </w:p>
        </w:tc>
      </w:tr>
      <w:tr w:rsidR="006E40C9" w14:paraId="37A41384" w14:textId="77777777">
        <w:trPr>
          <w:cantSplit/>
          <w:jc w:val="center"/>
        </w:trPr>
        <w:tc>
          <w:tcPr>
            <w:tcW w:w="1934" w:type="dxa"/>
            <w:gridSpan w:val="2"/>
            <w:tcBorders>
              <w:top w:val="single" w:sz="2" w:space="0" w:color="auto"/>
              <w:bottom w:val="nil"/>
            </w:tcBorders>
          </w:tcPr>
          <w:p w14:paraId="746243C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8CF6715" w14:textId="77777777" w:rsidR="006E40C9" w:rsidRDefault="006E40C9">
            <w:pPr>
              <w:pStyle w:val="MeasureTableTextLeftAligned"/>
            </w:pPr>
            <w:r>
              <w:t>Deferral</w:t>
            </w:r>
          </w:p>
        </w:tc>
        <w:tc>
          <w:tcPr>
            <w:tcW w:w="1500" w:type="dxa"/>
            <w:gridSpan w:val="2"/>
            <w:tcBorders>
              <w:top w:val="single" w:sz="2" w:space="0" w:color="auto"/>
              <w:bottom w:val="nil"/>
            </w:tcBorders>
          </w:tcPr>
          <w:p w14:paraId="47B29494" w14:textId="4A59E3C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8FAC6A9" w14:textId="77777777" w:rsidR="006E40C9" w:rsidRDefault="006E40C9">
            <w:pPr>
              <w:pStyle w:val="MeasureTableTextLeftAligned"/>
            </w:pPr>
            <w:r>
              <w:t>E27</w:t>
            </w:r>
          </w:p>
        </w:tc>
      </w:tr>
      <w:tr w:rsidR="006E40C9" w14:paraId="01EC5031" w14:textId="77777777">
        <w:trPr>
          <w:cantSplit/>
          <w:jc w:val="center"/>
        </w:trPr>
        <w:tc>
          <w:tcPr>
            <w:tcW w:w="1934" w:type="dxa"/>
            <w:gridSpan w:val="2"/>
            <w:tcBorders>
              <w:top w:val="nil"/>
              <w:bottom w:val="nil"/>
            </w:tcBorders>
          </w:tcPr>
          <w:p w14:paraId="2C8D8B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D38A03F" w14:textId="77777777" w:rsidR="006E40C9" w:rsidRPr="00584CA7" w:rsidRDefault="006E40C9">
            <w:pPr>
              <w:pStyle w:val="MeasureTableTextLeftAligned"/>
            </w:pPr>
            <w:r>
              <w:t>Medium</w:t>
            </w:r>
          </w:p>
        </w:tc>
        <w:tc>
          <w:tcPr>
            <w:tcW w:w="1500" w:type="dxa"/>
            <w:gridSpan w:val="2"/>
            <w:tcBorders>
              <w:top w:val="nil"/>
              <w:bottom w:val="nil"/>
            </w:tcBorders>
          </w:tcPr>
          <w:p w14:paraId="10685EE4" w14:textId="77777777" w:rsidR="006E40C9" w:rsidRDefault="006E40C9">
            <w:pPr>
              <w:pStyle w:val="MeasureTableTextItalic"/>
            </w:pPr>
          </w:p>
        </w:tc>
        <w:tc>
          <w:tcPr>
            <w:tcW w:w="1124" w:type="dxa"/>
            <w:gridSpan w:val="2"/>
            <w:tcBorders>
              <w:top w:val="nil"/>
              <w:bottom w:val="nil"/>
            </w:tcBorders>
          </w:tcPr>
          <w:p w14:paraId="0F0D07AE" w14:textId="77777777" w:rsidR="006E40C9" w:rsidRDefault="006E40C9">
            <w:pPr>
              <w:pStyle w:val="MeasureTableTextLeftAligned"/>
            </w:pPr>
          </w:p>
        </w:tc>
      </w:tr>
      <w:tr w:rsidR="006E40C9" w14:paraId="7D34973E" w14:textId="77777777">
        <w:trPr>
          <w:cantSplit/>
          <w:jc w:val="center"/>
        </w:trPr>
        <w:tc>
          <w:tcPr>
            <w:tcW w:w="1934" w:type="dxa"/>
            <w:gridSpan w:val="2"/>
            <w:tcBorders>
              <w:top w:val="nil"/>
              <w:bottom w:val="nil"/>
            </w:tcBorders>
          </w:tcPr>
          <w:p w14:paraId="61CD2132" w14:textId="77777777" w:rsidR="006E40C9" w:rsidRDefault="006E40C9">
            <w:pPr>
              <w:pStyle w:val="MeasureTableTextItalic"/>
            </w:pPr>
            <w:r>
              <w:t>Commencement date:</w:t>
            </w:r>
          </w:p>
        </w:tc>
        <w:tc>
          <w:tcPr>
            <w:tcW w:w="3179" w:type="dxa"/>
            <w:gridSpan w:val="4"/>
            <w:tcBorders>
              <w:top w:val="nil"/>
              <w:bottom w:val="nil"/>
            </w:tcBorders>
          </w:tcPr>
          <w:p w14:paraId="157F5A41" w14:textId="77777777" w:rsidR="006E40C9" w:rsidRDefault="006E40C9">
            <w:pPr>
              <w:pStyle w:val="MeasureTableTextLeftAligned"/>
            </w:pPr>
            <w:r>
              <w:t>1997</w:t>
            </w:r>
          </w:p>
        </w:tc>
        <w:tc>
          <w:tcPr>
            <w:tcW w:w="1500" w:type="dxa"/>
            <w:gridSpan w:val="2"/>
            <w:tcBorders>
              <w:top w:val="nil"/>
              <w:bottom w:val="nil"/>
            </w:tcBorders>
          </w:tcPr>
          <w:p w14:paraId="51B626FC" w14:textId="77777777" w:rsidR="006E40C9" w:rsidRPr="00F32057" w:rsidRDefault="006E40C9">
            <w:pPr>
              <w:pStyle w:val="MeasureTableTextItalic"/>
            </w:pPr>
            <w:r>
              <w:t>Expiry date:</w:t>
            </w:r>
          </w:p>
        </w:tc>
        <w:tc>
          <w:tcPr>
            <w:tcW w:w="1124" w:type="dxa"/>
            <w:gridSpan w:val="2"/>
            <w:tcBorders>
              <w:top w:val="nil"/>
              <w:bottom w:val="nil"/>
            </w:tcBorders>
          </w:tcPr>
          <w:p w14:paraId="5402744D" w14:textId="77777777" w:rsidR="006E40C9" w:rsidRPr="00F32057" w:rsidRDefault="006E40C9">
            <w:pPr>
              <w:pStyle w:val="MeasureTableTextLeftAligned"/>
            </w:pPr>
          </w:p>
        </w:tc>
      </w:tr>
      <w:tr w:rsidR="006E40C9" w14:paraId="2A26EC6F" w14:textId="77777777">
        <w:trPr>
          <w:cantSplit/>
          <w:jc w:val="center"/>
        </w:trPr>
        <w:tc>
          <w:tcPr>
            <w:tcW w:w="1934" w:type="dxa"/>
            <w:gridSpan w:val="2"/>
            <w:tcBorders>
              <w:top w:val="nil"/>
            </w:tcBorders>
          </w:tcPr>
          <w:p w14:paraId="659B2D97" w14:textId="77777777" w:rsidR="006E40C9" w:rsidRDefault="006E40C9">
            <w:pPr>
              <w:pStyle w:val="MeasureTableTextItalic"/>
            </w:pPr>
            <w:r>
              <w:t>Legislative reference:</w:t>
            </w:r>
          </w:p>
        </w:tc>
        <w:tc>
          <w:tcPr>
            <w:tcW w:w="5803" w:type="dxa"/>
            <w:gridSpan w:val="8"/>
            <w:tcBorders>
              <w:top w:val="nil"/>
            </w:tcBorders>
          </w:tcPr>
          <w:p w14:paraId="0D30F4A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152-E of the </w:t>
            </w:r>
            <w:r>
              <w:rPr>
                <w:rFonts w:ascii="Arial" w:hAnsi="Arial" w:cs="Arial"/>
                <w:i/>
                <w:iCs/>
                <w:color w:val="000000"/>
                <w:sz w:val="16"/>
                <w:szCs w:val="16"/>
              </w:rPr>
              <w:t>Income Tax Assessment Act 1997</w:t>
            </w:r>
          </w:p>
        </w:tc>
      </w:tr>
    </w:tbl>
    <w:p w14:paraId="32492D86" w14:textId="77777777" w:rsidR="006E40C9" w:rsidRPr="00540040" w:rsidRDefault="006E40C9" w:rsidP="006E40C9">
      <w:pPr>
        <w:pStyle w:val="MeasureTableHeading"/>
      </w:pPr>
    </w:p>
    <w:p w14:paraId="3C64474B" w14:textId="77777777" w:rsidR="006E40C9" w:rsidRDefault="006E40C9" w:rsidP="006E40C9">
      <w:r>
        <w:t>Under the benchmark, realised capital gains are generally assessable to taxpayers at their applicable tax rate in the year they arise. However, a CGT roll</w:t>
      </w:r>
      <w:r>
        <w:noBreakHyphen/>
        <w:t>over</w:t>
      </w:r>
      <w:r>
        <w:fldChar w:fldCharType="begin"/>
      </w:r>
      <w:r>
        <w:instrText xml:space="preserve"> XE "Capital gains tax:Roll-over" </w:instrText>
      </w:r>
      <w:r>
        <w:fldChar w:fldCharType="end"/>
      </w:r>
      <w:r>
        <w:t xml:space="preserve"> is available for eligible small businesses, for gains arising from the disposal of active small business assets</w:t>
      </w:r>
      <w:r>
        <w:fldChar w:fldCharType="begin"/>
      </w:r>
      <w:r>
        <w:instrText xml:space="preserve"> XE "Active small business assets" </w:instrText>
      </w:r>
      <w:r>
        <w:fldChar w:fldCharType="end"/>
      </w:r>
      <w:r>
        <w:t xml:space="preserve"> if the proceeds of the sale are used to purchase a replacement asset or make capital improvements to an existing asset. Active assets include assets used in carrying on a business and intangible assets inherently connected with a business (for example, goodwill)</w:t>
      </w:r>
      <w:r>
        <w:fldChar w:fldCharType="begin"/>
      </w:r>
      <w:r>
        <w:instrText xml:space="preserve"> XE "Small business" </w:instrText>
      </w:r>
      <w:r>
        <w:fldChar w:fldCharType="end"/>
      </w:r>
      <w:r>
        <w:t xml:space="preserve">. </w:t>
      </w:r>
    </w:p>
    <w:p w14:paraId="6E0FEB60" w14:textId="77777777" w:rsidR="006E40C9" w:rsidRDefault="006E40C9" w:rsidP="00D9255A">
      <w:pPr>
        <w:pStyle w:val="TESHeading5"/>
      </w:pPr>
      <w:r>
        <w:t>E28</w:t>
      </w:r>
      <w:r>
        <w:tab/>
        <w:t>Roll-over for statutory licences and water entitlements</w:t>
      </w:r>
    </w:p>
    <w:p w14:paraId="73C5A7A0" w14:textId="617C2568"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51B5F0" w14:textId="77777777">
        <w:trPr>
          <w:cantSplit/>
          <w:jc w:val="center"/>
        </w:trPr>
        <w:tc>
          <w:tcPr>
            <w:tcW w:w="967" w:type="dxa"/>
            <w:tcBorders>
              <w:top w:val="single" w:sz="2" w:space="0" w:color="auto"/>
              <w:bottom w:val="single" w:sz="2" w:space="0" w:color="auto"/>
            </w:tcBorders>
          </w:tcPr>
          <w:p w14:paraId="00BC98B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E3C6EF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F7AC21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73E9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0D2DAB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1CEC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49B856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D5AB153" w14:textId="77777777" w:rsidR="006E40C9" w:rsidRDefault="006E40C9">
            <w:pPr>
              <w:pStyle w:val="MeasureTableTextRightAligned"/>
            </w:pPr>
            <w:r>
              <w:t>2027-28</w:t>
            </w:r>
          </w:p>
        </w:tc>
      </w:tr>
      <w:tr w:rsidR="006E40C9" w14:paraId="662B92F9" w14:textId="77777777">
        <w:trPr>
          <w:cantSplit/>
          <w:jc w:val="center"/>
        </w:trPr>
        <w:tc>
          <w:tcPr>
            <w:tcW w:w="967" w:type="dxa"/>
            <w:tcBorders>
              <w:top w:val="single" w:sz="2" w:space="0" w:color="auto"/>
              <w:bottom w:val="single" w:sz="2" w:space="0" w:color="auto"/>
            </w:tcBorders>
          </w:tcPr>
          <w:p w14:paraId="18BD8A89" w14:textId="77777777" w:rsidR="006E40C9" w:rsidRDefault="006E40C9">
            <w:pPr>
              <w:pStyle w:val="MeasureTableTextRightAligned"/>
            </w:pPr>
            <w:r>
              <w:t>*</w:t>
            </w:r>
          </w:p>
        </w:tc>
        <w:tc>
          <w:tcPr>
            <w:tcW w:w="967" w:type="dxa"/>
            <w:tcBorders>
              <w:top w:val="single" w:sz="2" w:space="0" w:color="auto"/>
              <w:bottom w:val="single" w:sz="2" w:space="0" w:color="auto"/>
            </w:tcBorders>
          </w:tcPr>
          <w:p w14:paraId="3A78752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A3302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1EC397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65368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BE926D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A83EBA1"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1F3846A" w14:textId="77777777" w:rsidR="006E40C9" w:rsidRDefault="006E40C9">
            <w:pPr>
              <w:pStyle w:val="MeasureTableTextRightAligned"/>
            </w:pPr>
            <w:r>
              <w:t>*</w:t>
            </w:r>
          </w:p>
        </w:tc>
      </w:tr>
      <w:tr w:rsidR="006E40C9" w14:paraId="22372027" w14:textId="77777777">
        <w:trPr>
          <w:cantSplit/>
          <w:jc w:val="center"/>
        </w:trPr>
        <w:tc>
          <w:tcPr>
            <w:tcW w:w="1934" w:type="dxa"/>
            <w:gridSpan w:val="2"/>
            <w:tcBorders>
              <w:top w:val="single" w:sz="2" w:space="0" w:color="auto"/>
              <w:bottom w:val="nil"/>
            </w:tcBorders>
          </w:tcPr>
          <w:p w14:paraId="30B24AB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2E8929D" w14:textId="77777777" w:rsidR="006E40C9" w:rsidRDefault="006E40C9">
            <w:pPr>
              <w:pStyle w:val="MeasureTableTextLeftAligned"/>
            </w:pPr>
            <w:r>
              <w:t>Deferral</w:t>
            </w:r>
          </w:p>
        </w:tc>
        <w:tc>
          <w:tcPr>
            <w:tcW w:w="1500" w:type="dxa"/>
            <w:gridSpan w:val="2"/>
            <w:tcBorders>
              <w:top w:val="single" w:sz="2" w:space="0" w:color="auto"/>
              <w:bottom w:val="nil"/>
            </w:tcBorders>
          </w:tcPr>
          <w:p w14:paraId="6F4D65DA" w14:textId="530EE0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7494DB7" w14:textId="77777777" w:rsidR="006E40C9" w:rsidRDefault="006E40C9">
            <w:pPr>
              <w:pStyle w:val="MeasureTableTextLeftAligned"/>
            </w:pPr>
            <w:r>
              <w:t>E28</w:t>
            </w:r>
          </w:p>
        </w:tc>
      </w:tr>
      <w:tr w:rsidR="006E40C9" w14:paraId="529112D7" w14:textId="77777777">
        <w:trPr>
          <w:cantSplit/>
          <w:jc w:val="center"/>
        </w:trPr>
        <w:tc>
          <w:tcPr>
            <w:tcW w:w="1934" w:type="dxa"/>
            <w:gridSpan w:val="2"/>
            <w:tcBorders>
              <w:top w:val="nil"/>
              <w:bottom w:val="nil"/>
            </w:tcBorders>
          </w:tcPr>
          <w:p w14:paraId="37D9344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2B6BBBE" w14:textId="77777777" w:rsidR="006E40C9" w:rsidRPr="00584CA7" w:rsidRDefault="006E40C9">
            <w:pPr>
              <w:pStyle w:val="MeasureTableTextLeftAligned"/>
            </w:pPr>
            <w:r>
              <w:t>Not Applicable</w:t>
            </w:r>
          </w:p>
        </w:tc>
        <w:tc>
          <w:tcPr>
            <w:tcW w:w="1500" w:type="dxa"/>
            <w:gridSpan w:val="2"/>
            <w:tcBorders>
              <w:top w:val="nil"/>
              <w:bottom w:val="nil"/>
            </w:tcBorders>
          </w:tcPr>
          <w:p w14:paraId="574D33DA" w14:textId="77777777" w:rsidR="006E40C9" w:rsidRDefault="006E40C9">
            <w:pPr>
              <w:pStyle w:val="MeasureTableTextItalic"/>
            </w:pPr>
            <w:r>
              <w:t>* Category</w:t>
            </w:r>
          </w:p>
        </w:tc>
        <w:tc>
          <w:tcPr>
            <w:tcW w:w="1124" w:type="dxa"/>
            <w:gridSpan w:val="2"/>
            <w:tcBorders>
              <w:top w:val="nil"/>
              <w:bottom w:val="nil"/>
            </w:tcBorders>
          </w:tcPr>
          <w:p w14:paraId="47CB0524" w14:textId="77777777" w:rsidR="006E40C9" w:rsidRDefault="006E40C9">
            <w:pPr>
              <w:pStyle w:val="MeasureTableTextLeftAligned"/>
            </w:pPr>
            <w:r>
              <w:t>NA</w:t>
            </w:r>
          </w:p>
        </w:tc>
      </w:tr>
      <w:tr w:rsidR="006E40C9" w14:paraId="59A676EA" w14:textId="77777777">
        <w:trPr>
          <w:cantSplit/>
          <w:jc w:val="center"/>
        </w:trPr>
        <w:tc>
          <w:tcPr>
            <w:tcW w:w="1934" w:type="dxa"/>
            <w:gridSpan w:val="2"/>
            <w:tcBorders>
              <w:top w:val="nil"/>
              <w:bottom w:val="nil"/>
            </w:tcBorders>
          </w:tcPr>
          <w:p w14:paraId="228C9700" w14:textId="77777777" w:rsidR="006E40C9" w:rsidRDefault="006E40C9">
            <w:pPr>
              <w:pStyle w:val="MeasureTableTextItalic"/>
            </w:pPr>
            <w:r>
              <w:t>Commencement date:</w:t>
            </w:r>
          </w:p>
        </w:tc>
        <w:tc>
          <w:tcPr>
            <w:tcW w:w="3179" w:type="dxa"/>
            <w:gridSpan w:val="4"/>
            <w:tcBorders>
              <w:top w:val="nil"/>
              <w:bottom w:val="nil"/>
            </w:tcBorders>
          </w:tcPr>
          <w:p w14:paraId="0689AD20" w14:textId="77777777" w:rsidR="006E40C9" w:rsidRDefault="006E40C9">
            <w:pPr>
              <w:pStyle w:val="MeasureTableTextLeftAligned"/>
            </w:pPr>
            <w:r>
              <w:t>1985, 2005 and 2006</w:t>
            </w:r>
          </w:p>
        </w:tc>
        <w:tc>
          <w:tcPr>
            <w:tcW w:w="1500" w:type="dxa"/>
            <w:gridSpan w:val="2"/>
            <w:tcBorders>
              <w:top w:val="nil"/>
              <w:bottom w:val="nil"/>
            </w:tcBorders>
          </w:tcPr>
          <w:p w14:paraId="6AC35B18" w14:textId="77777777" w:rsidR="006E40C9" w:rsidRPr="00F32057" w:rsidRDefault="006E40C9">
            <w:pPr>
              <w:pStyle w:val="MeasureTableTextItalic"/>
            </w:pPr>
            <w:r>
              <w:t>Expiry date:</w:t>
            </w:r>
          </w:p>
        </w:tc>
        <w:tc>
          <w:tcPr>
            <w:tcW w:w="1124" w:type="dxa"/>
            <w:gridSpan w:val="2"/>
            <w:tcBorders>
              <w:top w:val="nil"/>
              <w:bottom w:val="nil"/>
            </w:tcBorders>
          </w:tcPr>
          <w:p w14:paraId="638AA9F1" w14:textId="77777777" w:rsidR="006E40C9" w:rsidRPr="00F32057" w:rsidRDefault="006E40C9">
            <w:pPr>
              <w:pStyle w:val="MeasureTableTextLeftAligned"/>
            </w:pPr>
          </w:p>
        </w:tc>
      </w:tr>
      <w:tr w:rsidR="006E40C9" w14:paraId="748E1154" w14:textId="77777777">
        <w:trPr>
          <w:cantSplit/>
          <w:jc w:val="center"/>
        </w:trPr>
        <w:tc>
          <w:tcPr>
            <w:tcW w:w="1934" w:type="dxa"/>
            <w:gridSpan w:val="2"/>
            <w:tcBorders>
              <w:top w:val="nil"/>
            </w:tcBorders>
          </w:tcPr>
          <w:p w14:paraId="622CCC38" w14:textId="77777777" w:rsidR="006E40C9" w:rsidRDefault="006E40C9">
            <w:pPr>
              <w:pStyle w:val="MeasureTableTextItalic"/>
            </w:pPr>
            <w:r>
              <w:t>Legislative reference:</w:t>
            </w:r>
          </w:p>
        </w:tc>
        <w:tc>
          <w:tcPr>
            <w:tcW w:w="5803" w:type="dxa"/>
            <w:gridSpan w:val="8"/>
            <w:tcBorders>
              <w:top w:val="nil"/>
            </w:tcBorders>
          </w:tcPr>
          <w:p w14:paraId="6BA358A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124-C (statutory licences) and 124-R (water entitlements) of the </w:t>
            </w:r>
            <w:r>
              <w:rPr>
                <w:rFonts w:ascii="Arial" w:hAnsi="Arial" w:cs="Arial"/>
                <w:i/>
                <w:iCs/>
                <w:color w:val="000000"/>
                <w:sz w:val="16"/>
                <w:szCs w:val="16"/>
              </w:rPr>
              <w:t>Income Tax Assessment Act 1997</w:t>
            </w:r>
          </w:p>
        </w:tc>
      </w:tr>
    </w:tbl>
    <w:p w14:paraId="093BC91E" w14:textId="77777777" w:rsidR="006E40C9" w:rsidRPr="00540040" w:rsidRDefault="006E40C9" w:rsidP="006E40C9">
      <w:pPr>
        <w:pStyle w:val="MeasureTableHeading"/>
      </w:pPr>
    </w:p>
    <w:p w14:paraId="559F3247" w14:textId="77777777" w:rsidR="006E40C9" w:rsidRDefault="006E40C9" w:rsidP="006E40C9">
      <w:r>
        <w:t>Under the benchmark, realised capital gains are generally assessable to taxpayers at their applicable tax rate in the year they arise. However, a CGT roll</w:t>
      </w:r>
      <w:r>
        <w:noBreakHyphen/>
        <w:t>over</w:t>
      </w:r>
      <w:r>
        <w:fldChar w:fldCharType="begin"/>
      </w:r>
      <w:r>
        <w:instrText xml:space="preserve"> XE "Capital gains tax:Roll</w:instrText>
      </w:r>
      <w:r>
        <w:noBreakHyphen/>
        <w:instrText xml:space="preserve">over" </w:instrText>
      </w:r>
      <w:r>
        <w:fldChar w:fldCharType="end"/>
      </w:r>
      <w:r>
        <w:t xml:space="preserve"> is available where a statutory licence</w:t>
      </w:r>
      <w:r>
        <w:fldChar w:fldCharType="begin"/>
      </w:r>
      <w:r>
        <w:instrText xml:space="preserve"> XE "Statutory licence" </w:instrText>
      </w:r>
      <w:r>
        <w:fldChar w:fldCharType="end"/>
      </w:r>
      <w:r>
        <w:t xml:space="preserve"> ends and is replaced with a new licence that authorises substantially similar activity to the original licence. In addition, a CGT roll</w:t>
      </w:r>
      <w:r>
        <w:noBreakHyphen/>
        <w:t>over is available where a taxpayer’s ownership of one or more water entitlements</w:t>
      </w:r>
      <w:r>
        <w:fldChar w:fldCharType="begin"/>
      </w:r>
      <w:r>
        <w:instrText xml:space="preserve"> XE "Water entitlement" </w:instrText>
      </w:r>
      <w:r>
        <w:fldChar w:fldCharType="end"/>
      </w:r>
      <w:r>
        <w:t xml:space="preserve"> ends and the taxpayer receives one or more replacement water entitlements.</w:t>
      </w:r>
    </w:p>
    <w:p w14:paraId="5758B857" w14:textId="77777777" w:rsidR="006E40C9" w:rsidRDefault="006E40C9" w:rsidP="00D9255A">
      <w:pPr>
        <w:pStyle w:val="TESHeading5"/>
      </w:pPr>
      <w:r>
        <w:t>E29</w:t>
      </w:r>
      <w:r>
        <w:tab/>
        <w:t>Roll-over for transfer of assets on marriage or relationship breakdown</w:t>
      </w:r>
    </w:p>
    <w:p w14:paraId="01A4C6B0" w14:textId="7C2CC95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433738E" w14:textId="77777777">
        <w:trPr>
          <w:cantSplit/>
          <w:jc w:val="center"/>
        </w:trPr>
        <w:tc>
          <w:tcPr>
            <w:tcW w:w="967" w:type="dxa"/>
            <w:tcBorders>
              <w:top w:val="single" w:sz="2" w:space="0" w:color="auto"/>
              <w:bottom w:val="single" w:sz="2" w:space="0" w:color="auto"/>
            </w:tcBorders>
          </w:tcPr>
          <w:p w14:paraId="296702B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DEEEF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82FEB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A73A24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12657A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6FDD99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39259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07F06C5" w14:textId="77777777" w:rsidR="006E40C9" w:rsidRDefault="006E40C9">
            <w:pPr>
              <w:pStyle w:val="MeasureTableTextRightAligned"/>
            </w:pPr>
            <w:r>
              <w:t>2027-28</w:t>
            </w:r>
          </w:p>
        </w:tc>
      </w:tr>
      <w:tr w:rsidR="006E40C9" w14:paraId="1AC33F2E" w14:textId="77777777">
        <w:trPr>
          <w:cantSplit/>
          <w:jc w:val="center"/>
        </w:trPr>
        <w:tc>
          <w:tcPr>
            <w:tcW w:w="967" w:type="dxa"/>
            <w:tcBorders>
              <w:top w:val="single" w:sz="2" w:space="0" w:color="auto"/>
              <w:bottom w:val="single" w:sz="2" w:space="0" w:color="auto"/>
            </w:tcBorders>
          </w:tcPr>
          <w:p w14:paraId="04E4ED13" w14:textId="77777777" w:rsidR="006E40C9" w:rsidRDefault="006E40C9">
            <w:pPr>
              <w:pStyle w:val="MeasureTableTextRightAligned"/>
            </w:pPr>
            <w:r>
              <w:t>*</w:t>
            </w:r>
          </w:p>
        </w:tc>
        <w:tc>
          <w:tcPr>
            <w:tcW w:w="967" w:type="dxa"/>
            <w:tcBorders>
              <w:top w:val="single" w:sz="2" w:space="0" w:color="auto"/>
              <w:bottom w:val="single" w:sz="2" w:space="0" w:color="auto"/>
            </w:tcBorders>
          </w:tcPr>
          <w:p w14:paraId="5D67A74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C8828A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8D5A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FCE13B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FD721D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B3AA83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5562FC" w14:textId="77777777" w:rsidR="006E40C9" w:rsidRDefault="006E40C9">
            <w:pPr>
              <w:pStyle w:val="MeasureTableTextRightAligned"/>
            </w:pPr>
            <w:r>
              <w:t>*</w:t>
            </w:r>
          </w:p>
        </w:tc>
      </w:tr>
      <w:tr w:rsidR="006E40C9" w14:paraId="32981DEE" w14:textId="77777777">
        <w:trPr>
          <w:cantSplit/>
          <w:jc w:val="center"/>
        </w:trPr>
        <w:tc>
          <w:tcPr>
            <w:tcW w:w="1934" w:type="dxa"/>
            <w:gridSpan w:val="2"/>
            <w:tcBorders>
              <w:top w:val="single" w:sz="2" w:space="0" w:color="auto"/>
              <w:bottom w:val="nil"/>
            </w:tcBorders>
          </w:tcPr>
          <w:p w14:paraId="4F5B953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77253D" w14:textId="77777777" w:rsidR="006E40C9" w:rsidRDefault="006E40C9">
            <w:pPr>
              <w:pStyle w:val="MeasureTableTextLeftAligned"/>
            </w:pPr>
            <w:r>
              <w:t>Deferral</w:t>
            </w:r>
          </w:p>
        </w:tc>
        <w:tc>
          <w:tcPr>
            <w:tcW w:w="1500" w:type="dxa"/>
            <w:gridSpan w:val="2"/>
            <w:tcBorders>
              <w:top w:val="single" w:sz="2" w:space="0" w:color="auto"/>
              <w:bottom w:val="nil"/>
            </w:tcBorders>
          </w:tcPr>
          <w:p w14:paraId="00DC3DA0" w14:textId="6E96CA3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C34D9E6" w14:textId="77777777" w:rsidR="006E40C9" w:rsidRDefault="006E40C9">
            <w:pPr>
              <w:pStyle w:val="MeasureTableTextLeftAligned"/>
            </w:pPr>
            <w:r>
              <w:t>E29</w:t>
            </w:r>
          </w:p>
        </w:tc>
      </w:tr>
      <w:tr w:rsidR="006E40C9" w14:paraId="325EB728" w14:textId="77777777">
        <w:trPr>
          <w:cantSplit/>
          <w:jc w:val="center"/>
        </w:trPr>
        <w:tc>
          <w:tcPr>
            <w:tcW w:w="1934" w:type="dxa"/>
            <w:gridSpan w:val="2"/>
            <w:tcBorders>
              <w:top w:val="nil"/>
              <w:bottom w:val="nil"/>
            </w:tcBorders>
          </w:tcPr>
          <w:p w14:paraId="10C0FC7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6A2C1AD" w14:textId="77777777" w:rsidR="006E40C9" w:rsidRPr="00584CA7" w:rsidRDefault="006E40C9">
            <w:pPr>
              <w:pStyle w:val="MeasureTableTextLeftAligned"/>
            </w:pPr>
            <w:r>
              <w:t>Not Applicable</w:t>
            </w:r>
          </w:p>
        </w:tc>
        <w:tc>
          <w:tcPr>
            <w:tcW w:w="1500" w:type="dxa"/>
            <w:gridSpan w:val="2"/>
            <w:tcBorders>
              <w:top w:val="nil"/>
              <w:bottom w:val="nil"/>
            </w:tcBorders>
          </w:tcPr>
          <w:p w14:paraId="3CECFAE1" w14:textId="77777777" w:rsidR="006E40C9" w:rsidRDefault="006E40C9">
            <w:pPr>
              <w:pStyle w:val="MeasureTableTextItalic"/>
            </w:pPr>
            <w:r>
              <w:t>* Category</w:t>
            </w:r>
          </w:p>
        </w:tc>
        <w:tc>
          <w:tcPr>
            <w:tcW w:w="1124" w:type="dxa"/>
            <w:gridSpan w:val="2"/>
            <w:tcBorders>
              <w:top w:val="nil"/>
              <w:bottom w:val="nil"/>
            </w:tcBorders>
          </w:tcPr>
          <w:p w14:paraId="6A61509E" w14:textId="77777777" w:rsidR="006E40C9" w:rsidRDefault="006E40C9">
            <w:pPr>
              <w:pStyle w:val="MeasureTableTextLeftAligned"/>
            </w:pPr>
            <w:r>
              <w:t>2+</w:t>
            </w:r>
          </w:p>
        </w:tc>
      </w:tr>
      <w:tr w:rsidR="006E40C9" w14:paraId="26E68483" w14:textId="77777777">
        <w:trPr>
          <w:cantSplit/>
          <w:jc w:val="center"/>
        </w:trPr>
        <w:tc>
          <w:tcPr>
            <w:tcW w:w="1934" w:type="dxa"/>
            <w:gridSpan w:val="2"/>
            <w:tcBorders>
              <w:top w:val="nil"/>
              <w:bottom w:val="nil"/>
            </w:tcBorders>
          </w:tcPr>
          <w:p w14:paraId="76A559BC" w14:textId="77777777" w:rsidR="006E40C9" w:rsidRDefault="006E40C9">
            <w:pPr>
              <w:pStyle w:val="MeasureTableTextItalic"/>
            </w:pPr>
            <w:r>
              <w:t>Commencement date:</w:t>
            </w:r>
          </w:p>
        </w:tc>
        <w:tc>
          <w:tcPr>
            <w:tcW w:w="3179" w:type="dxa"/>
            <w:gridSpan w:val="4"/>
            <w:tcBorders>
              <w:top w:val="nil"/>
              <w:bottom w:val="nil"/>
            </w:tcBorders>
          </w:tcPr>
          <w:p w14:paraId="40708A31" w14:textId="77777777" w:rsidR="006E40C9" w:rsidRDefault="006E40C9">
            <w:pPr>
              <w:pStyle w:val="MeasureTableTextLeftAligned"/>
            </w:pPr>
            <w:r>
              <w:t>20 September 1985</w:t>
            </w:r>
          </w:p>
        </w:tc>
        <w:tc>
          <w:tcPr>
            <w:tcW w:w="1500" w:type="dxa"/>
            <w:gridSpan w:val="2"/>
            <w:tcBorders>
              <w:top w:val="nil"/>
              <w:bottom w:val="nil"/>
            </w:tcBorders>
          </w:tcPr>
          <w:p w14:paraId="38724E3F" w14:textId="77777777" w:rsidR="006E40C9" w:rsidRPr="00F32057" w:rsidRDefault="006E40C9">
            <w:pPr>
              <w:pStyle w:val="MeasureTableTextItalic"/>
            </w:pPr>
            <w:r>
              <w:t>Expiry date:</w:t>
            </w:r>
          </w:p>
        </w:tc>
        <w:tc>
          <w:tcPr>
            <w:tcW w:w="1124" w:type="dxa"/>
            <w:gridSpan w:val="2"/>
            <w:tcBorders>
              <w:top w:val="nil"/>
              <w:bottom w:val="nil"/>
            </w:tcBorders>
          </w:tcPr>
          <w:p w14:paraId="14309590" w14:textId="77777777" w:rsidR="006E40C9" w:rsidRPr="00F32057" w:rsidRDefault="006E40C9">
            <w:pPr>
              <w:pStyle w:val="MeasureTableTextLeftAligned"/>
            </w:pPr>
          </w:p>
        </w:tc>
      </w:tr>
      <w:tr w:rsidR="006E40C9" w14:paraId="355502A5" w14:textId="77777777">
        <w:trPr>
          <w:cantSplit/>
          <w:jc w:val="center"/>
        </w:trPr>
        <w:tc>
          <w:tcPr>
            <w:tcW w:w="1934" w:type="dxa"/>
            <w:gridSpan w:val="2"/>
            <w:tcBorders>
              <w:top w:val="nil"/>
            </w:tcBorders>
          </w:tcPr>
          <w:p w14:paraId="74766F34" w14:textId="77777777" w:rsidR="006E40C9" w:rsidRDefault="006E40C9">
            <w:pPr>
              <w:pStyle w:val="MeasureTableTextItalic"/>
            </w:pPr>
            <w:r>
              <w:t>Legislative reference:</w:t>
            </w:r>
          </w:p>
        </w:tc>
        <w:tc>
          <w:tcPr>
            <w:tcW w:w="5803" w:type="dxa"/>
            <w:gridSpan w:val="8"/>
            <w:tcBorders>
              <w:top w:val="nil"/>
            </w:tcBorders>
          </w:tcPr>
          <w:p w14:paraId="7E95010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126-A of the </w:t>
            </w:r>
            <w:r>
              <w:rPr>
                <w:rFonts w:ascii="Arial" w:hAnsi="Arial" w:cs="Arial"/>
                <w:i/>
                <w:iCs/>
                <w:color w:val="000000"/>
                <w:sz w:val="16"/>
                <w:szCs w:val="16"/>
              </w:rPr>
              <w:t>Income Tax Assessment Act 1997</w:t>
            </w:r>
          </w:p>
        </w:tc>
      </w:tr>
    </w:tbl>
    <w:p w14:paraId="19534817" w14:textId="77777777" w:rsidR="006E40C9" w:rsidRPr="00540040" w:rsidRDefault="006E40C9" w:rsidP="006E40C9">
      <w:pPr>
        <w:pStyle w:val="MeasureTableHeading"/>
      </w:pPr>
    </w:p>
    <w:p w14:paraId="2B014D29" w14:textId="77777777" w:rsidR="006E40C9" w:rsidRDefault="006E40C9" w:rsidP="006E40C9">
      <w:r>
        <w:t>Under the benchmark, realised capital gains are generally assessable to taxpayers at their applicable tax rate in the year they arise. However, an automatic roll</w:t>
      </w:r>
      <w:r>
        <w:noBreakHyphen/>
        <w:t>over is available where a CGT asset is transferred to a spouse or former spouse because of a marriage or relationship breakdown,</w:t>
      </w:r>
      <w:r>
        <w:fldChar w:fldCharType="begin"/>
      </w:r>
      <w:r>
        <w:instrText xml:space="preserve"> XE "Marriage breakdown" </w:instrText>
      </w:r>
      <w:r>
        <w:fldChar w:fldCharType="end"/>
      </w:r>
      <w:r>
        <w:t xml:space="preserve"> or under a binding financial agreement or an arbitral award entered into under the </w:t>
      </w:r>
      <w:r>
        <w:rPr>
          <w:i/>
        </w:rPr>
        <w:t>Family Law Act 1975</w:t>
      </w:r>
      <w:r>
        <w:t xml:space="preserve"> or similar arrangements under state, territory or foreign legislation.</w:t>
      </w:r>
    </w:p>
    <w:p w14:paraId="6BF9D736" w14:textId="77777777" w:rsidR="006E40C9" w:rsidRDefault="006E40C9" w:rsidP="00D9255A">
      <w:pPr>
        <w:pStyle w:val="TESHeading5"/>
      </w:pPr>
      <w:r>
        <w:t>E30</w:t>
      </w:r>
      <w:r>
        <w:tab/>
        <w:t>Roll-overs not otherwise recognised</w:t>
      </w:r>
    </w:p>
    <w:p w14:paraId="6AC23118" w14:textId="7DECB2A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2E47647" w14:textId="77777777">
        <w:trPr>
          <w:cantSplit/>
          <w:jc w:val="center"/>
        </w:trPr>
        <w:tc>
          <w:tcPr>
            <w:tcW w:w="967" w:type="dxa"/>
            <w:tcBorders>
              <w:top w:val="single" w:sz="2" w:space="0" w:color="auto"/>
              <w:bottom w:val="single" w:sz="2" w:space="0" w:color="auto"/>
            </w:tcBorders>
          </w:tcPr>
          <w:p w14:paraId="36E256F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42DFA4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2E7150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61EF0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C03369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2515B3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6249D6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5B74525" w14:textId="77777777" w:rsidR="006E40C9" w:rsidRDefault="006E40C9">
            <w:pPr>
              <w:pStyle w:val="MeasureTableTextRightAligned"/>
            </w:pPr>
            <w:r>
              <w:t>2027-28</w:t>
            </w:r>
          </w:p>
        </w:tc>
      </w:tr>
      <w:tr w:rsidR="006E40C9" w14:paraId="5DBF0732" w14:textId="77777777">
        <w:trPr>
          <w:cantSplit/>
          <w:jc w:val="center"/>
        </w:trPr>
        <w:tc>
          <w:tcPr>
            <w:tcW w:w="967" w:type="dxa"/>
            <w:tcBorders>
              <w:top w:val="single" w:sz="2" w:space="0" w:color="auto"/>
              <w:bottom w:val="single" w:sz="2" w:space="0" w:color="auto"/>
            </w:tcBorders>
          </w:tcPr>
          <w:p w14:paraId="419A79D4"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40938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698AB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FCAB4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42F62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4E9A3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41090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03B838" w14:textId="77777777" w:rsidR="006E40C9" w:rsidRDefault="006E40C9">
            <w:pPr>
              <w:pStyle w:val="MeasureTableTextRightAligned"/>
            </w:pPr>
            <w:r>
              <w:t>*</w:t>
            </w:r>
          </w:p>
        </w:tc>
      </w:tr>
      <w:tr w:rsidR="006E40C9" w14:paraId="6E9BBD3A" w14:textId="77777777">
        <w:trPr>
          <w:cantSplit/>
          <w:jc w:val="center"/>
        </w:trPr>
        <w:tc>
          <w:tcPr>
            <w:tcW w:w="1934" w:type="dxa"/>
            <w:gridSpan w:val="2"/>
            <w:tcBorders>
              <w:top w:val="single" w:sz="2" w:space="0" w:color="auto"/>
              <w:bottom w:val="nil"/>
            </w:tcBorders>
          </w:tcPr>
          <w:p w14:paraId="0483F49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54BF0A4" w14:textId="77777777" w:rsidR="006E40C9" w:rsidRDefault="006E40C9">
            <w:pPr>
              <w:pStyle w:val="MeasureTableTextLeftAligned"/>
            </w:pPr>
            <w:r>
              <w:t>Deferral</w:t>
            </w:r>
          </w:p>
        </w:tc>
        <w:tc>
          <w:tcPr>
            <w:tcW w:w="1500" w:type="dxa"/>
            <w:gridSpan w:val="2"/>
            <w:tcBorders>
              <w:top w:val="single" w:sz="2" w:space="0" w:color="auto"/>
              <w:bottom w:val="nil"/>
            </w:tcBorders>
          </w:tcPr>
          <w:p w14:paraId="5D5BB9F7" w14:textId="4F7E3E5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2FA1246" w14:textId="77777777" w:rsidR="006E40C9" w:rsidRDefault="006E40C9">
            <w:pPr>
              <w:pStyle w:val="MeasureTableTextLeftAligned"/>
            </w:pPr>
            <w:r>
              <w:t>E30</w:t>
            </w:r>
          </w:p>
        </w:tc>
      </w:tr>
      <w:tr w:rsidR="006E40C9" w14:paraId="5A28C829" w14:textId="77777777">
        <w:trPr>
          <w:cantSplit/>
          <w:jc w:val="center"/>
        </w:trPr>
        <w:tc>
          <w:tcPr>
            <w:tcW w:w="1934" w:type="dxa"/>
            <w:gridSpan w:val="2"/>
            <w:tcBorders>
              <w:top w:val="nil"/>
              <w:bottom w:val="nil"/>
            </w:tcBorders>
          </w:tcPr>
          <w:p w14:paraId="67B743F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CB667B6" w14:textId="77777777" w:rsidR="006E40C9" w:rsidRPr="00584CA7" w:rsidRDefault="006E40C9">
            <w:pPr>
              <w:pStyle w:val="MeasureTableTextLeftAligned"/>
            </w:pPr>
            <w:r>
              <w:t>Not Applicable</w:t>
            </w:r>
          </w:p>
        </w:tc>
        <w:tc>
          <w:tcPr>
            <w:tcW w:w="1500" w:type="dxa"/>
            <w:gridSpan w:val="2"/>
            <w:tcBorders>
              <w:top w:val="nil"/>
              <w:bottom w:val="nil"/>
            </w:tcBorders>
          </w:tcPr>
          <w:p w14:paraId="7CB5B849" w14:textId="77777777" w:rsidR="006E40C9" w:rsidRDefault="006E40C9">
            <w:pPr>
              <w:pStyle w:val="MeasureTableTextItalic"/>
            </w:pPr>
            <w:r>
              <w:t>* Category</w:t>
            </w:r>
          </w:p>
        </w:tc>
        <w:tc>
          <w:tcPr>
            <w:tcW w:w="1124" w:type="dxa"/>
            <w:gridSpan w:val="2"/>
            <w:tcBorders>
              <w:top w:val="nil"/>
              <w:bottom w:val="nil"/>
            </w:tcBorders>
          </w:tcPr>
          <w:p w14:paraId="626BBC6F" w14:textId="77777777" w:rsidR="006E40C9" w:rsidRDefault="006E40C9">
            <w:pPr>
              <w:pStyle w:val="MeasureTableTextLeftAligned"/>
            </w:pPr>
            <w:r>
              <w:t>NA</w:t>
            </w:r>
          </w:p>
        </w:tc>
      </w:tr>
      <w:tr w:rsidR="006E40C9" w14:paraId="7EA81BE2" w14:textId="77777777">
        <w:trPr>
          <w:cantSplit/>
          <w:jc w:val="center"/>
        </w:trPr>
        <w:tc>
          <w:tcPr>
            <w:tcW w:w="1934" w:type="dxa"/>
            <w:gridSpan w:val="2"/>
            <w:tcBorders>
              <w:top w:val="nil"/>
              <w:bottom w:val="nil"/>
            </w:tcBorders>
          </w:tcPr>
          <w:p w14:paraId="6993C4ED" w14:textId="77777777" w:rsidR="006E40C9" w:rsidRDefault="006E40C9">
            <w:pPr>
              <w:pStyle w:val="MeasureTableTextItalic"/>
            </w:pPr>
            <w:r>
              <w:t>Commencement date:</w:t>
            </w:r>
          </w:p>
        </w:tc>
        <w:tc>
          <w:tcPr>
            <w:tcW w:w="3179" w:type="dxa"/>
            <w:gridSpan w:val="4"/>
            <w:tcBorders>
              <w:top w:val="nil"/>
              <w:bottom w:val="nil"/>
            </w:tcBorders>
          </w:tcPr>
          <w:p w14:paraId="64F6B7D9" w14:textId="77777777" w:rsidR="006E40C9" w:rsidRDefault="006E40C9">
            <w:pPr>
              <w:pStyle w:val="MeasureTableTextLeftAligned"/>
            </w:pPr>
            <w:r>
              <w:t>Various</w:t>
            </w:r>
          </w:p>
        </w:tc>
        <w:tc>
          <w:tcPr>
            <w:tcW w:w="1500" w:type="dxa"/>
            <w:gridSpan w:val="2"/>
            <w:tcBorders>
              <w:top w:val="nil"/>
              <w:bottom w:val="nil"/>
            </w:tcBorders>
          </w:tcPr>
          <w:p w14:paraId="67F7F46B" w14:textId="77777777" w:rsidR="006E40C9" w:rsidRPr="00F32057" w:rsidRDefault="006E40C9">
            <w:pPr>
              <w:pStyle w:val="MeasureTableTextItalic"/>
            </w:pPr>
            <w:r>
              <w:t>Expiry date:</w:t>
            </w:r>
          </w:p>
        </w:tc>
        <w:tc>
          <w:tcPr>
            <w:tcW w:w="1124" w:type="dxa"/>
            <w:gridSpan w:val="2"/>
            <w:tcBorders>
              <w:top w:val="nil"/>
              <w:bottom w:val="nil"/>
            </w:tcBorders>
          </w:tcPr>
          <w:p w14:paraId="2E689EFD" w14:textId="77777777" w:rsidR="006E40C9" w:rsidRPr="00F32057" w:rsidRDefault="006E40C9">
            <w:pPr>
              <w:pStyle w:val="MeasureTableTextLeftAligned"/>
            </w:pPr>
          </w:p>
        </w:tc>
      </w:tr>
      <w:tr w:rsidR="006E40C9" w14:paraId="3730F6B6" w14:textId="77777777">
        <w:trPr>
          <w:cantSplit/>
          <w:jc w:val="center"/>
        </w:trPr>
        <w:tc>
          <w:tcPr>
            <w:tcW w:w="1934" w:type="dxa"/>
            <w:gridSpan w:val="2"/>
            <w:tcBorders>
              <w:top w:val="nil"/>
            </w:tcBorders>
          </w:tcPr>
          <w:p w14:paraId="1242B45A" w14:textId="77777777" w:rsidR="006E40C9" w:rsidRDefault="006E40C9">
            <w:pPr>
              <w:pStyle w:val="MeasureTableTextItalic"/>
            </w:pPr>
            <w:r>
              <w:t>Legislative reference:</w:t>
            </w:r>
          </w:p>
        </w:tc>
        <w:tc>
          <w:tcPr>
            <w:tcW w:w="5803" w:type="dxa"/>
            <w:gridSpan w:val="8"/>
            <w:tcBorders>
              <w:top w:val="nil"/>
            </w:tcBorders>
          </w:tcPr>
          <w:p w14:paraId="240D8EE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Subdivisions 106-B,122-A, 122-B, 124-J, 124-K, 124-L, 124-M, 124-N, 124-P, 124-Q, 124-R, 124-S, 125, 126-B, 126-E, 126-G, 128, 328-G, 615 of the </w:t>
            </w:r>
            <w:r>
              <w:rPr>
                <w:rFonts w:ascii="Arial" w:hAnsi="Arial" w:cs="Arial"/>
                <w:i/>
                <w:iCs/>
                <w:color w:val="000000"/>
                <w:sz w:val="16"/>
                <w:szCs w:val="16"/>
              </w:rPr>
              <w:t>Income Tax Assessment Act 1997</w:t>
            </w:r>
          </w:p>
        </w:tc>
      </w:tr>
    </w:tbl>
    <w:p w14:paraId="6C756B12" w14:textId="77777777" w:rsidR="006E40C9" w:rsidRPr="00540040" w:rsidRDefault="006E40C9" w:rsidP="006E40C9">
      <w:pPr>
        <w:pStyle w:val="MeasureTableHeading"/>
      </w:pPr>
    </w:p>
    <w:p w14:paraId="6F999243" w14:textId="77777777" w:rsidR="006E40C9" w:rsidRDefault="006E40C9" w:rsidP="006E40C9">
      <w:pPr>
        <w:rPr>
          <w:szCs w:val="24"/>
        </w:rPr>
      </w:pPr>
      <w:r>
        <w:rPr>
          <w:szCs w:val="24"/>
        </w:rPr>
        <w:t>Capital gains or losses are generally included in assessable income when an asset is sold or otherwise disposed of. A CGT rollover allows the taxpayer to defer or disregard a capital gain or loss from a CGT event until another CGT event happens.</w:t>
      </w:r>
    </w:p>
    <w:p w14:paraId="718D16F0" w14:textId="557558B5" w:rsidR="006E40C9" w:rsidRDefault="006E40C9" w:rsidP="006E40C9">
      <w:pPr>
        <w:rPr>
          <w:szCs w:val="24"/>
        </w:rPr>
      </w:pPr>
      <w:r>
        <w:rPr>
          <w:szCs w:val="24"/>
        </w:rPr>
        <w:t xml:space="preserve">This tax </w:t>
      </w:r>
      <w:r w:rsidR="0052518E">
        <w:rPr>
          <w:szCs w:val="24"/>
        </w:rPr>
        <w:t>expenditure</w:t>
      </w:r>
      <w:r>
        <w:rPr>
          <w:szCs w:val="24"/>
        </w:rPr>
        <w:t xml:space="preserve"> encompasses other CGT roll</w:t>
      </w:r>
      <w:r>
        <w:rPr>
          <w:szCs w:val="24"/>
        </w:rPr>
        <w:noBreakHyphen/>
        <w:t>overs</w:t>
      </w:r>
      <w:r>
        <w:rPr>
          <w:szCs w:val="24"/>
        </w:rPr>
        <w:fldChar w:fldCharType="begin"/>
      </w:r>
      <w:r>
        <w:instrText xml:space="preserve"> XE "Capital gains tax:Roll</w:instrText>
      </w:r>
      <w:r>
        <w:noBreakHyphen/>
        <w:instrText xml:space="preserve">over" </w:instrText>
      </w:r>
      <w:r>
        <w:rPr>
          <w:szCs w:val="24"/>
        </w:rPr>
        <w:fldChar w:fldCharType="end"/>
      </w:r>
      <w:r>
        <w:rPr>
          <w:szCs w:val="24"/>
        </w:rPr>
        <w:t xml:space="preserve"> not specifically covered in existing CGT roll</w:t>
      </w:r>
      <w:r>
        <w:rPr>
          <w:szCs w:val="24"/>
        </w:rPr>
        <w:noBreakHyphen/>
        <w:t xml:space="preserve">over tax </w:t>
      </w:r>
      <w:r w:rsidR="0052518E">
        <w:rPr>
          <w:szCs w:val="24"/>
        </w:rPr>
        <w:t>expenditure</w:t>
      </w:r>
      <w:r>
        <w:rPr>
          <w:szCs w:val="24"/>
        </w:rPr>
        <w:t>s.</w:t>
      </w:r>
    </w:p>
    <w:p w14:paraId="4CB5E61B" w14:textId="77777777" w:rsidR="006E40C9" w:rsidRDefault="006E40C9" w:rsidP="006E40C9">
      <w:pPr>
        <w:rPr>
          <w:szCs w:val="24"/>
        </w:rPr>
      </w:pPr>
      <w:r>
        <w:rPr>
          <w:szCs w:val="24"/>
        </w:rPr>
        <w:t>For example, the crown lease roll</w:t>
      </w:r>
      <w:r>
        <w:rPr>
          <w:szCs w:val="24"/>
        </w:rPr>
        <w:noBreakHyphen/>
        <w:t>over in Subdivision 124</w:t>
      </w:r>
      <w:r>
        <w:rPr>
          <w:szCs w:val="24"/>
        </w:rPr>
        <w:noBreakHyphen/>
        <w:t>J, the roll</w:t>
      </w:r>
      <w:r>
        <w:rPr>
          <w:szCs w:val="24"/>
        </w:rPr>
        <w:noBreakHyphen/>
        <w:t>over for the disposal of assets by a trust to a company provided in Subdivision 124</w:t>
      </w:r>
      <w:r>
        <w:rPr>
          <w:szCs w:val="24"/>
        </w:rPr>
        <w:noBreakHyphen/>
        <w:t>N, and the roll</w:t>
      </w:r>
      <w:r>
        <w:rPr>
          <w:szCs w:val="24"/>
        </w:rPr>
        <w:noBreakHyphen/>
        <w:t xml:space="preserve">overs facilitating a change to a company structure in Division 122 of the </w:t>
      </w:r>
      <w:r>
        <w:rPr>
          <w:i/>
          <w:iCs/>
          <w:szCs w:val="24"/>
        </w:rPr>
        <w:t>Income Tax Assessment Act 1997</w:t>
      </w:r>
      <w:r>
        <w:rPr>
          <w:szCs w:val="24"/>
        </w:rPr>
        <w:t>.</w:t>
      </w:r>
    </w:p>
    <w:p w14:paraId="79496974" w14:textId="77777777" w:rsidR="006E40C9" w:rsidRDefault="006E40C9" w:rsidP="00D9255A">
      <w:pPr>
        <w:pStyle w:val="TESHeading5"/>
      </w:pPr>
      <w:r>
        <w:t>E31</w:t>
      </w:r>
      <w:r>
        <w:tab/>
        <w:t>Scrip-for-scrip roll-over</w:t>
      </w:r>
    </w:p>
    <w:p w14:paraId="105F8A91" w14:textId="022B1D26"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EF8D154" w14:textId="77777777">
        <w:trPr>
          <w:cantSplit/>
          <w:jc w:val="center"/>
        </w:trPr>
        <w:tc>
          <w:tcPr>
            <w:tcW w:w="967" w:type="dxa"/>
            <w:tcBorders>
              <w:top w:val="single" w:sz="2" w:space="0" w:color="auto"/>
              <w:bottom w:val="single" w:sz="2" w:space="0" w:color="auto"/>
            </w:tcBorders>
          </w:tcPr>
          <w:p w14:paraId="3C53A73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43520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ADEC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6302E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972AD0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F65F62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5A24BD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E43ED71" w14:textId="77777777" w:rsidR="006E40C9" w:rsidRDefault="006E40C9">
            <w:pPr>
              <w:pStyle w:val="MeasureTableTextRightAligned"/>
            </w:pPr>
            <w:r>
              <w:t>2027-28</w:t>
            </w:r>
          </w:p>
        </w:tc>
      </w:tr>
      <w:tr w:rsidR="006E40C9" w14:paraId="72D07BEF" w14:textId="77777777">
        <w:trPr>
          <w:cantSplit/>
          <w:jc w:val="center"/>
        </w:trPr>
        <w:tc>
          <w:tcPr>
            <w:tcW w:w="967" w:type="dxa"/>
            <w:tcBorders>
              <w:top w:val="single" w:sz="2" w:space="0" w:color="auto"/>
              <w:bottom w:val="single" w:sz="2" w:space="0" w:color="auto"/>
            </w:tcBorders>
          </w:tcPr>
          <w:p w14:paraId="3A837615"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6055D30D" w14:textId="77777777" w:rsidR="006E40C9" w:rsidRDefault="006E40C9">
            <w:pPr>
              <w:pStyle w:val="MeasureTableTextRightAligned"/>
            </w:pPr>
            <w:r>
              <w:t>710</w:t>
            </w:r>
          </w:p>
        </w:tc>
        <w:tc>
          <w:tcPr>
            <w:tcW w:w="967" w:type="dxa"/>
            <w:tcBorders>
              <w:top w:val="single" w:sz="2" w:space="0" w:color="auto"/>
              <w:bottom w:val="single" w:sz="2" w:space="0" w:color="auto"/>
            </w:tcBorders>
            <w:vAlign w:val="bottom"/>
          </w:tcPr>
          <w:p w14:paraId="578E883E"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120D894B" w14:textId="77777777" w:rsidR="006E40C9" w:rsidRDefault="006E40C9">
            <w:pPr>
              <w:pStyle w:val="MeasureTableTextRightAligned"/>
            </w:pPr>
            <w:r>
              <w:t>-190</w:t>
            </w:r>
          </w:p>
        </w:tc>
        <w:tc>
          <w:tcPr>
            <w:tcW w:w="967" w:type="dxa"/>
            <w:tcBorders>
              <w:top w:val="single" w:sz="2" w:space="0" w:color="auto"/>
              <w:bottom w:val="single" w:sz="2" w:space="0" w:color="auto"/>
            </w:tcBorders>
            <w:vAlign w:val="bottom"/>
          </w:tcPr>
          <w:p w14:paraId="2C58C2C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434756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B87C9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33AD37F" w14:textId="77777777" w:rsidR="006E40C9" w:rsidRDefault="006E40C9">
            <w:pPr>
              <w:pStyle w:val="MeasureTableTextRightAligned"/>
            </w:pPr>
            <w:r>
              <w:t>*</w:t>
            </w:r>
          </w:p>
        </w:tc>
      </w:tr>
      <w:tr w:rsidR="006E40C9" w14:paraId="2B6CE2BB" w14:textId="77777777">
        <w:trPr>
          <w:cantSplit/>
          <w:jc w:val="center"/>
        </w:trPr>
        <w:tc>
          <w:tcPr>
            <w:tcW w:w="1934" w:type="dxa"/>
            <w:gridSpan w:val="2"/>
            <w:tcBorders>
              <w:top w:val="single" w:sz="2" w:space="0" w:color="auto"/>
              <w:bottom w:val="nil"/>
            </w:tcBorders>
          </w:tcPr>
          <w:p w14:paraId="432F86F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5AB231" w14:textId="77777777" w:rsidR="006E40C9" w:rsidRDefault="006E40C9">
            <w:pPr>
              <w:pStyle w:val="MeasureTableTextLeftAligned"/>
            </w:pPr>
            <w:r>
              <w:t>Deferral</w:t>
            </w:r>
          </w:p>
        </w:tc>
        <w:tc>
          <w:tcPr>
            <w:tcW w:w="1500" w:type="dxa"/>
            <w:gridSpan w:val="2"/>
            <w:tcBorders>
              <w:top w:val="single" w:sz="2" w:space="0" w:color="auto"/>
              <w:bottom w:val="nil"/>
            </w:tcBorders>
          </w:tcPr>
          <w:p w14:paraId="5F72B533" w14:textId="455F7D9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9E5698" w14:textId="77777777" w:rsidR="006E40C9" w:rsidRDefault="006E40C9">
            <w:pPr>
              <w:pStyle w:val="MeasureTableTextLeftAligned"/>
            </w:pPr>
            <w:r>
              <w:t>E31</w:t>
            </w:r>
          </w:p>
        </w:tc>
      </w:tr>
      <w:tr w:rsidR="006E40C9" w14:paraId="4BBA484E" w14:textId="77777777">
        <w:trPr>
          <w:cantSplit/>
          <w:jc w:val="center"/>
        </w:trPr>
        <w:tc>
          <w:tcPr>
            <w:tcW w:w="1934" w:type="dxa"/>
            <w:gridSpan w:val="2"/>
            <w:tcBorders>
              <w:top w:val="nil"/>
              <w:bottom w:val="nil"/>
            </w:tcBorders>
          </w:tcPr>
          <w:p w14:paraId="0B42EDC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A9074C" w14:textId="77777777" w:rsidR="006E40C9" w:rsidRPr="00584CA7" w:rsidRDefault="006E40C9">
            <w:pPr>
              <w:pStyle w:val="MeasureTableTextLeftAligned"/>
            </w:pPr>
            <w:r>
              <w:t>Low</w:t>
            </w:r>
          </w:p>
        </w:tc>
        <w:tc>
          <w:tcPr>
            <w:tcW w:w="1500" w:type="dxa"/>
            <w:gridSpan w:val="2"/>
            <w:tcBorders>
              <w:top w:val="nil"/>
              <w:bottom w:val="nil"/>
            </w:tcBorders>
          </w:tcPr>
          <w:p w14:paraId="6C89A8D4" w14:textId="77777777" w:rsidR="006E40C9" w:rsidRDefault="006E40C9">
            <w:pPr>
              <w:pStyle w:val="MeasureTableTextItalic"/>
            </w:pPr>
            <w:r>
              <w:t>* Category</w:t>
            </w:r>
          </w:p>
        </w:tc>
        <w:tc>
          <w:tcPr>
            <w:tcW w:w="1124" w:type="dxa"/>
            <w:gridSpan w:val="2"/>
            <w:tcBorders>
              <w:top w:val="nil"/>
              <w:bottom w:val="nil"/>
            </w:tcBorders>
          </w:tcPr>
          <w:p w14:paraId="781EAC06" w14:textId="77777777" w:rsidR="006E40C9" w:rsidRDefault="006E40C9">
            <w:pPr>
              <w:pStyle w:val="MeasureTableTextLeftAligned"/>
            </w:pPr>
            <w:r>
              <w:t>3+</w:t>
            </w:r>
          </w:p>
        </w:tc>
      </w:tr>
      <w:tr w:rsidR="006E40C9" w14:paraId="3562E5A9" w14:textId="77777777">
        <w:trPr>
          <w:cantSplit/>
          <w:jc w:val="center"/>
        </w:trPr>
        <w:tc>
          <w:tcPr>
            <w:tcW w:w="1934" w:type="dxa"/>
            <w:gridSpan w:val="2"/>
            <w:tcBorders>
              <w:top w:val="nil"/>
              <w:bottom w:val="nil"/>
            </w:tcBorders>
          </w:tcPr>
          <w:p w14:paraId="4474C85B" w14:textId="77777777" w:rsidR="006E40C9" w:rsidRDefault="006E40C9">
            <w:pPr>
              <w:pStyle w:val="MeasureTableTextItalic"/>
            </w:pPr>
            <w:r>
              <w:t>Commencement date:</w:t>
            </w:r>
          </w:p>
        </w:tc>
        <w:tc>
          <w:tcPr>
            <w:tcW w:w="3179" w:type="dxa"/>
            <w:gridSpan w:val="4"/>
            <w:tcBorders>
              <w:top w:val="nil"/>
              <w:bottom w:val="nil"/>
            </w:tcBorders>
          </w:tcPr>
          <w:p w14:paraId="4F3713BD" w14:textId="77777777" w:rsidR="006E40C9" w:rsidRDefault="006E40C9">
            <w:pPr>
              <w:pStyle w:val="MeasureTableTextLeftAligned"/>
            </w:pPr>
            <w:r>
              <w:t>1999</w:t>
            </w:r>
          </w:p>
        </w:tc>
        <w:tc>
          <w:tcPr>
            <w:tcW w:w="1500" w:type="dxa"/>
            <w:gridSpan w:val="2"/>
            <w:tcBorders>
              <w:top w:val="nil"/>
              <w:bottom w:val="nil"/>
            </w:tcBorders>
          </w:tcPr>
          <w:p w14:paraId="0EFD1AD8" w14:textId="77777777" w:rsidR="006E40C9" w:rsidRPr="00F32057" w:rsidRDefault="006E40C9">
            <w:pPr>
              <w:pStyle w:val="MeasureTableTextItalic"/>
            </w:pPr>
            <w:r>
              <w:t>Expiry date:</w:t>
            </w:r>
          </w:p>
        </w:tc>
        <w:tc>
          <w:tcPr>
            <w:tcW w:w="1124" w:type="dxa"/>
            <w:gridSpan w:val="2"/>
            <w:tcBorders>
              <w:top w:val="nil"/>
              <w:bottom w:val="nil"/>
            </w:tcBorders>
          </w:tcPr>
          <w:p w14:paraId="1EFB9A80" w14:textId="77777777" w:rsidR="006E40C9" w:rsidRPr="00F32057" w:rsidRDefault="006E40C9">
            <w:pPr>
              <w:pStyle w:val="MeasureTableTextLeftAligned"/>
            </w:pPr>
          </w:p>
        </w:tc>
      </w:tr>
      <w:tr w:rsidR="006E40C9" w14:paraId="101E9F57" w14:textId="77777777">
        <w:trPr>
          <w:cantSplit/>
          <w:jc w:val="center"/>
        </w:trPr>
        <w:tc>
          <w:tcPr>
            <w:tcW w:w="1934" w:type="dxa"/>
            <w:gridSpan w:val="2"/>
            <w:tcBorders>
              <w:top w:val="nil"/>
            </w:tcBorders>
          </w:tcPr>
          <w:p w14:paraId="2E1150F9" w14:textId="77777777" w:rsidR="006E40C9" w:rsidRDefault="006E40C9">
            <w:pPr>
              <w:pStyle w:val="MeasureTableTextItalic"/>
            </w:pPr>
            <w:r>
              <w:t>Legislative reference:</w:t>
            </w:r>
          </w:p>
        </w:tc>
        <w:tc>
          <w:tcPr>
            <w:tcW w:w="5803" w:type="dxa"/>
            <w:gridSpan w:val="8"/>
            <w:tcBorders>
              <w:top w:val="nil"/>
            </w:tcBorders>
          </w:tcPr>
          <w:p w14:paraId="695C2C5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124-M of the </w:t>
            </w:r>
            <w:r>
              <w:rPr>
                <w:rFonts w:ascii="Arial" w:hAnsi="Arial" w:cs="Arial"/>
                <w:i/>
                <w:iCs/>
                <w:color w:val="000000"/>
                <w:sz w:val="16"/>
                <w:szCs w:val="16"/>
              </w:rPr>
              <w:t>Income Tax Assessment Act 1997</w:t>
            </w:r>
          </w:p>
        </w:tc>
      </w:tr>
    </w:tbl>
    <w:p w14:paraId="01D37EE3" w14:textId="77777777" w:rsidR="006E40C9" w:rsidRPr="00540040" w:rsidRDefault="006E40C9" w:rsidP="006E40C9">
      <w:pPr>
        <w:pStyle w:val="MeasureTableHeading"/>
      </w:pPr>
    </w:p>
    <w:p w14:paraId="29B7795F" w14:textId="77777777" w:rsidR="006E40C9" w:rsidRDefault="006E40C9" w:rsidP="006E40C9">
      <w:r>
        <w:t xml:space="preserve">Generally a capital gain or loss is included in assessable income when an asset is sold or otherwise disposed of. </w:t>
      </w:r>
    </w:p>
    <w:p w14:paraId="7EB8001C" w14:textId="77777777" w:rsidR="006E40C9" w:rsidRDefault="006E40C9" w:rsidP="006E40C9">
      <w:r>
        <w:t>A CGT roll</w:t>
      </w:r>
      <w:r>
        <w:noBreakHyphen/>
        <w:t>over</w:t>
      </w:r>
      <w:r>
        <w:fldChar w:fldCharType="begin"/>
      </w:r>
      <w:r>
        <w:instrText xml:space="preserve"> XE "Capital gains tax:Roll</w:instrText>
      </w:r>
      <w:r>
        <w:noBreakHyphen/>
        <w:instrText xml:space="preserve">over" </w:instrText>
      </w:r>
      <w:r>
        <w:fldChar w:fldCharType="end"/>
      </w:r>
      <w:r>
        <w:t xml:space="preserve"> is available for capital gains arising from an exchange of interests in companies or fixed trusts, removing impediments to takeovers or similar arrangements. The roll</w:t>
      </w:r>
      <w:r>
        <w:noBreakHyphen/>
        <w:t>over ensures that an equity holder who exchanges original shares or other equity for new equity in a takeover or merger</w:t>
      </w:r>
      <w:r>
        <w:fldChar w:fldCharType="begin"/>
      </w:r>
      <w:r>
        <w:instrText xml:space="preserve"> XE "Takeover or merger" </w:instrText>
      </w:r>
      <w:r>
        <w:fldChar w:fldCharType="end"/>
      </w:r>
      <w:r>
        <w:t xml:space="preserve"> can defer a CGT liability arising from the exchange until the ultimate disposal of the replacement asset. </w:t>
      </w:r>
    </w:p>
    <w:p w14:paraId="73E937C4" w14:textId="3A08EF3E" w:rsidR="006E40C9" w:rsidRDefault="006E40C9" w:rsidP="006E40C9">
      <w:r>
        <w:t xml:space="preserve">The roll-over provides a deferral of CGT only. The financial impact of this tax </w:t>
      </w:r>
      <w:r w:rsidR="0052518E">
        <w:t>expenditure</w:t>
      </w:r>
      <w:r>
        <w:t xml:space="preserve"> is volatile as in any year new deferrals may be claimed by taxpayers (reducing revenue collections) and CGT may be paid on the ultimate disposal or replacement of assets that have previously accessed the deferral (increasing revenue collections). </w:t>
      </w:r>
    </w:p>
    <w:p w14:paraId="550D554F" w14:textId="77777777" w:rsidR="006E40C9" w:rsidRDefault="006E40C9" w:rsidP="00D9255A">
      <w:pPr>
        <w:pStyle w:val="TESHeading5"/>
      </w:pPr>
      <w:r>
        <w:t>E32</w:t>
      </w:r>
      <w:r>
        <w:tab/>
        <w:t>Small business 50 per cent reduction</w:t>
      </w:r>
    </w:p>
    <w:p w14:paraId="7B8EA252" w14:textId="57630DB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F2C0F8" w14:textId="77777777">
        <w:trPr>
          <w:cantSplit/>
          <w:jc w:val="center"/>
        </w:trPr>
        <w:tc>
          <w:tcPr>
            <w:tcW w:w="967" w:type="dxa"/>
            <w:tcBorders>
              <w:top w:val="single" w:sz="2" w:space="0" w:color="auto"/>
              <w:bottom w:val="single" w:sz="2" w:space="0" w:color="auto"/>
            </w:tcBorders>
          </w:tcPr>
          <w:p w14:paraId="29F60F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FCA5BE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133D07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BD0EC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19354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71E100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758D2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5800954" w14:textId="77777777" w:rsidR="006E40C9" w:rsidRDefault="006E40C9">
            <w:pPr>
              <w:pStyle w:val="MeasureTableTextRightAligned"/>
            </w:pPr>
            <w:r>
              <w:t>2027-28</w:t>
            </w:r>
          </w:p>
        </w:tc>
      </w:tr>
      <w:tr w:rsidR="006E40C9" w14:paraId="3ABE38BE" w14:textId="77777777">
        <w:trPr>
          <w:cantSplit/>
          <w:jc w:val="center"/>
        </w:trPr>
        <w:tc>
          <w:tcPr>
            <w:tcW w:w="967" w:type="dxa"/>
            <w:tcBorders>
              <w:top w:val="single" w:sz="2" w:space="0" w:color="auto"/>
              <w:bottom w:val="single" w:sz="2" w:space="0" w:color="auto"/>
            </w:tcBorders>
          </w:tcPr>
          <w:p w14:paraId="3AE1C1D6" w14:textId="77777777" w:rsidR="006E40C9" w:rsidRDefault="006E40C9">
            <w:pPr>
              <w:pStyle w:val="MeasureTableTextRightAligned"/>
            </w:pPr>
            <w:r>
              <w:t>760</w:t>
            </w:r>
          </w:p>
        </w:tc>
        <w:tc>
          <w:tcPr>
            <w:tcW w:w="967" w:type="dxa"/>
            <w:tcBorders>
              <w:top w:val="single" w:sz="2" w:space="0" w:color="auto"/>
              <w:bottom w:val="single" w:sz="2" w:space="0" w:color="auto"/>
            </w:tcBorders>
          </w:tcPr>
          <w:p w14:paraId="01D5FD1F" w14:textId="77777777" w:rsidR="006E40C9" w:rsidRDefault="006E40C9">
            <w:pPr>
              <w:pStyle w:val="MeasureTableTextRightAligned"/>
            </w:pPr>
            <w:r>
              <w:t>940</w:t>
            </w:r>
          </w:p>
        </w:tc>
        <w:tc>
          <w:tcPr>
            <w:tcW w:w="967" w:type="dxa"/>
            <w:tcBorders>
              <w:top w:val="single" w:sz="2" w:space="0" w:color="auto"/>
              <w:bottom w:val="single" w:sz="2" w:space="0" w:color="auto"/>
            </w:tcBorders>
            <w:vAlign w:val="bottom"/>
          </w:tcPr>
          <w:p w14:paraId="095C4197" w14:textId="77777777" w:rsidR="006E40C9" w:rsidRDefault="006E40C9">
            <w:pPr>
              <w:pStyle w:val="MeasureTableTextRightAligned"/>
            </w:pPr>
            <w:r>
              <w:t>1,300</w:t>
            </w:r>
          </w:p>
        </w:tc>
        <w:tc>
          <w:tcPr>
            <w:tcW w:w="967" w:type="dxa"/>
            <w:tcBorders>
              <w:top w:val="single" w:sz="2" w:space="0" w:color="auto"/>
              <w:bottom w:val="single" w:sz="2" w:space="0" w:color="auto"/>
            </w:tcBorders>
            <w:vAlign w:val="bottom"/>
          </w:tcPr>
          <w:p w14:paraId="334D0198" w14:textId="77777777" w:rsidR="006E40C9" w:rsidRDefault="006E40C9">
            <w:pPr>
              <w:pStyle w:val="MeasureTableTextRightAligned"/>
            </w:pPr>
            <w:r>
              <w:t>1,200</w:t>
            </w:r>
          </w:p>
        </w:tc>
        <w:tc>
          <w:tcPr>
            <w:tcW w:w="967" w:type="dxa"/>
            <w:tcBorders>
              <w:top w:val="single" w:sz="2" w:space="0" w:color="auto"/>
              <w:bottom w:val="single" w:sz="2" w:space="0" w:color="auto"/>
            </w:tcBorders>
            <w:vAlign w:val="bottom"/>
          </w:tcPr>
          <w:p w14:paraId="2C42F67B" w14:textId="77777777" w:rsidR="006E40C9" w:rsidRDefault="006E40C9">
            <w:pPr>
              <w:pStyle w:val="MeasureTableTextRightAligned"/>
            </w:pPr>
            <w:r>
              <w:t>1,310</w:t>
            </w:r>
          </w:p>
        </w:tc>
        <w:tc>
          <w:tcPr>
            <w:tcW w:w="967" w:type="dxa"/>
            <w:gridSpan w:val="2"/>
            <w:tcBorders>
              <w:top w:val="single" w:sz="2" w:space="0" w:color="auto"/>
              <w:bottom w:val="single" w:sz="2" w:space="0" w:color="auto"/>
            </w:tcBorders>
            <w:vAlign w:val="bottom"/>
          </w:tcPr>
          <w:p w14:paraId="1FF6A836" w14:textId="77777777" w:rsidR="006E40C9" w:rsidRDefault="006E40C9">
            <w:pPr>
              <w:pStyle w:val="MeasureTableTextRightAligned"/>
            </w:pPr>
            <w:r>
              <w:t>900</w:t>
            </w:r>
          </w:p>
        </w:tc>
        <w:tc>
          <w:tcPr>
            <w:tcW w:w="967" w:type="dxa"/>
            <w:gridSpan w:val="2"/>
            <w:tcBorders>
              <w:top w:val="single" w:sz="2" w:space="0" w:color="auto"/>
              <w:bottom w:val="single" w:sz="2" w:space="0" w:color="auto"/>
            </w:tcBorders>
            <w:vAlign w:val="bottom"/>
          </w:tcPr>
          <w:p w14:paraId="549FE171" w14:textId="77777777" w:rsidR="006E40C9" w:rsidRDefault="006E40C9">
            <w:pPr>
              <w:pStyle w:val="MeasureTableTextRightAligned"/>
            </w:pPr>
            <w:r>
              <w:t>960</w:t>
            </w:r>
          </w:p>
        </w:tc>
        <w:tc>
          <w:tcPr>
            <w:tcW w:w="968" w:type="dxa"/>
            <w:tcBorders>
              <w:top w:val="single" w:sz="2" w:space="0" w:color="auto"/>
              <w:bottom w:val="single" w:sz="2" w:space="0" w:color="auto"/>
            </w:tcBorders>
            <w:vAlign w:val="bottom"/>
          </w:tcPr>
          <w:p w14:paraId="149888A1" w14:textId="77777777" w:rsidR="006E40C9" w:rsidRDefault="006E40C9">
            <w:pPr>
              <w:pStyle w:val="MeasureTableTextRightAligned"/>
            </w:pPr>
            <w:r>
              <w:t>1,010</w:t>
            </w:r>
          </w:p>
        </w:tc>
      </w:tr>
      <w:tr w:rsidR="006E40C9" w14:paraId="433A7F91" w14:textId="77777777">
        <w:trPr>
          <w:cantSplit/>
          <w:jc w:val="center"/>
        </w:trPr>
        <w:tc>
          <w:tcPr>
            <w:tcW w:w="1934" w:type="dxa"/>
            <w:gridSpan w:val="2"/>
            <w:tcBorders>
              <w:top w:val="single" w:sz="2" w:space="0" w:color="auto"/>
              <w:bottom w:val="nil"/>
            </w:tcBorders>
          </w:tcPr>
          <w:p w14:paraId="2E93A9F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EC3382" w14:textId="77777777" w:rsidR="006E40C9" w:rsidRDefault="006E40C9">
            <w:pPr>
              <w:pStyle w:val="MeasureTableTextLeftAligned"/>
            </w:pPr>
            <w:r>
              <w:t>Exemption</w:t>
            </w:r>
          </w:p>
        </w:tc>
        <w:tc>
          <w:tcPr>
            <w:tcW w:w="1500" w:type="dxa"/>
            <w:gridSpan w:val="2"/>
            <w:tcBorders>
              <w:top w:val="single" w:sz="2" w:space="0" w:color="auto"/>
              <w:bottom w:val="nil"/>
            </w:tcBorders>
          </w:tcPr>
          <w:p w14:paraId="0D80E6B5" w14:textId="7999251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51F778F" w14:textId="77777777" w:rsidR="006E40C9" w:rsidRDefault="006E40C9">
            <w:pPr>
              <w:pStyle w:val="MeasureTableTextLeftAligned"/>
            </w:pPr>
            <w:r>
              <w:t>E32</w:t>
            </w:r>
          </w:p>
        </w:tc>
      </w:tr>
      <w:tr w:rsidR="006E40C9" w14:paraId="18B2250A" w14:textId="77777777">
        <w:trPr>
          <w:cantSplit/>
          <w:jc w:val="center"/>
        </w:trPr>
        <w:tc>
          <w:tcPr>
            <w:tcW w:w="1934" w:type="dxa"/>
            <w:gridSpan w:val="2"/>
            <w:tcBorders>
              <w:top w:val="nil"/>
              <w:bottom w:val="nil"/>
            </w:tcBorders>
          </w:tcPr>
          <w:p w14:paraId="363CB69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236962D" w14:textId="77777777" w:rsidR="006E40C9" w:rsidRPr="00584CA7" w:rsidRDefault="006E40C9">
            <w:pPr>
              <w:pStyle w:val="MeasureTableTextLeftAligned"/>
            </w:pPr>
            <w:r>
              <w:t>Medium</w:t>
            </w:r>
          </w:p>
        </w:tc>
        <w:tc>
          <w:tcPr>
            <w:tcW w:w="1500" w:type="dxa"/>
            <w:gridSpan w:val="2"/>
            <w:tcBorders>
              <w:top w:val="nil"/>
              <w:bottom w:val="nil"/>
            </w:tcBorders>
          </w:tcPr>
          <w:p w14:paraId="132C20D4" w14:textId="77777777" w:rsidR="006E40C9" w:rsidRDefault="006E40C9">
            <w:pPr>
              <w:pStyle w:val="MeasureTableTextItalic"/>
            </w:pPr>
          </w:p>
        </w:tc>
        <w:tc>
          <w:tcPr>
            <w:tcW w:w="1124" w:type="dxa"/>
            <w:gridSpan w:val="2"/>
            <w:tcBorders>
              <w:top w:val="nil"/>
              <w:bottom w:val="nil"/>
            </w:tcBorders>
          </w:tcPr>
          <w:p w14:paraId="1EF42EBF" w14:textId="77777777" w:rsidR="006E40C9" w:rsidRDefault="006E40C9">
            <w:pPr>
              <w:pStyle w:val="MeasureTableTextLeftAligned"/>
            </w:pPr>
          </w:p>
        </w:tc>
      </w:tr>
      <w:tr w:rsidR="006E40C9" w14:paraId="7218BA7F" w14:textId="77777777">
        <w:trPr>
          <w:cantSplit/>
          <w:jc w:val="center"/>
        </w:trPr>
        <w:tc>
          <w:tcPr>
            <w:tcW w:w="1934" w:type="dxa"/>
            <w:gridSpan w:val="2"/>
            <w:tcBorders>
              <w:top w:val="nil"/>
              <w:bottom w:val="nil"/>
            </w:tcBorders>
          </w:tcPr>
          <w:p w14:paraId="0543A756" w14:textId="77777777" w:rsidR="006E40C9" w:rsidRDefault="006E40C9">
            <w:pPr>
              <w:pStyle w:val="MeasureTableTextItalic"/>
            </w:pPr>
            <w:r>
              <w:t>Commencement date:</w:t>
            </w:r>
          </w:p>
        </w:tc>
        <w:tc>
          <w:tcPr>
            <w:tcW w:w="3179" w:type="dxa"/>
            <w:gridSpan w:val="4"/>
            <w:tcBorders>
              <w:top w:val="nil"/>
              <w:bottom w:val="nil"/>
            </w:tcBorders>
          </w:tcPr>
          <w:p w14:paraId="0F773249" w14:textId="77777777" w:rsidR="006E40C9" w:rsidRDefault="006E40C9">
            <w:pPr>
              <w:pStyle w:val="MeasureTableTextLeftAligned"/>
            </w:pPr>
            <w:r>
              <w:t>1999</w:t>
            </w:r>
          </w:p>
        </w:tc>
        <w:tc>
          <w:tcPr>
            <w:tcW w:w="1500" w:type="dxa"/>
            <w:gridSpan w:val="2"/>
            <w:tcBorders>
              <w:top w:val="nil"/>
              <w:bottom w:val="nil"/>
            </w:tcBorders>
          </w:tcPr>
          <w:p w14:paraId="6AD0DC28" w14:textId="77777777" w:rsidR="006E40C9" w:rsidRPr="00F32057" w:rsidRDefault="006E40C9">
            <w:pPr>
              <w:pStyle w:val="MeasureTableTextItalic"/>
            </w:pPr>
            <w:r>
              <w:t>Expiry date:</w:t>
            </w:r>
          </w:p>
        </w:tc>
        <w:tc>
          <w:tcPr>
            <w:tcW w:w="1124" w:type="dxa"/>
            <w:gridSpan w:val="2"/>
            <w:tcBorders>
              <w:top w:val="nil"/>
              <w:bottom w:val="nil"/>
            </w:tcBorders>
          </w:tcPr>
          <w:p w14:paraId="699AC8DD" w14:textId="77777777" w:rsidR="006E40C9" w:rsidRPr="00F32057" w:rsidRDefault="006E40C9">
            <w:pPr>
              <w:pStyle w:val="MeasureTableTextLeftAligned"/>
            </w:pPr>
          </w:p>
        </w:tc>
      </w:tr>
      <w:tr w:rsidR="006E40C9" w14:paraId="51156357" w14:textId="77777777">
        <w:trPr>
          <w:cantSplit/>
          <w:jc w:val="center"/>
        </w:trPr>
        <w:tc>
          <w:tcPr>
            <w:tcW w:w="1934" w:type="dxa"/>
            <w:gridSpan w:val="2"/>
            <w:tcBorders>
              <w:top w:val="nil"/>
            </w:tcBorders>
          </w:tcPr>
          <w:p w14:paraId="39B78FC6" w14:textId="77777777" w:rsidR="006E40C9" w:rsidRDefault="006E40C9">
            <w:pPr>
              <w:pStyle w:val="MeasureTableTextItalic"/>
            </w:pPr>
            <w:r>
              <w:t>Legislative reference:</w:t>
            </w:r>
          </w:p>
        </w:tc>
        <w:tc>
          <w:tcPr>
            <w:tcW w:w="5803" w:type="dxa"/>
            <w:gridSpan w:val="8"/>
            <w:tcBorders>
              <w:top w:val="nil"/>
            </w:tcBorders>
          </w:tcPr>
          <w:p w14:paraId="52137FA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152-C of the </w:t>
            </w:r>
            <w:r>
              <w:rPr>
                <w:rFonts w:ascii="Arial" w:hAnsi="Arial" w:cs="Arial"/>
                <w:i/>
                <w:iCs/>
                <w:color w:val="000000"/>
                <w:sz w:val="16"/>
                <w:szCs w:val="16"/>
              </w:rPr>
              <w:t>Income Tax Assessment Act 1997</w:t>
            </w:r>
          </w:p>
        </w:tc>
      </w:tr>
    </w:tbl>
    <w:p w14:paraId="3C90DE7E" w14:textId="77777777" w:rsidR="006E40C9" w:rsidRPr="00540040" w:rsidRDefault="006E40C9" w:rsidP="006E40C9">
      <w:pPr>
        <w:pStyle w:val="MeasureTableHeading"/>
      </w:pPr>
    </w:p>
    <w:p w14:paraId="1CB4521B" w14:textId="77777777" w:rsidR="006E40C9" w:rsidRDefault="006E40C9" w:rsidP="006E40C9">
      <w:r>
        <w:t>Under the benchmark, realised capital gains are generally assessable to taxpayers at their applicable tax rate in the year they arise. However, a gain that arises from the sale of active assets held in an eligible small business can be reduced by 50 per cent. This applies in addition to any CGT discount entitlement of the taxpayer. Active assets</w:t>
      </w:r>
      <w:r>
        <w:fldChar w:fldCharType="begin"/>
      </w:r>
      <w:r>
        <w:instrText xml:space="preserve"> XE "Active small business assets" </w:instrText>
      </w:r>
      <w:r>
        <w:fldChar w:fldCharType="end"/>
      </w:r>
      <w:r>
        <w:t xml:space="preserve"> include assets used in carrying on a business and intangible assets inherently connected with a business (for example, goodwill).</w:t>
      </w:r>
    </w:p>
    <w:p w14:paraId="4CBE907A" w14:textId="77777777" w:rsidR="006E40C9" w:rsidRDefault="006E40C9" w:rsidP="00D9255A">
      <w:pPr>
        <w:pStyle w:val="TESHeading5"/>
      </w:pPr>
      <w:r>
        <w:t>E33</w:t>
      </w:r>
      <w:r>
        <w:tab/>
        <w:t>Small business restructure roll-over</w:t>
      </w:r>
    </w:p>
    <w:p w14:paraId="45B97AC7" w14:textId="41DBA1CB"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3CD707B" w14:textId="77777777">
        <w:trPr>
          <w:cantSplit/>
          <w:jc w:val="center"/>
        </w:trPr>
        <w:tc>
          <w:tcPr>
            <w:tcW w:w="967" w:type="dxa"/>
            <w:tcBorders>
              <w:top w:val="single" w:sz="2" w:space="0" w:color="auto"/>
              <w:bottom w:val="single" w:sz="2" w:space="0" w:color="auto"/>
            </w:tcBorders>
          </w:tcPr>
          <w:p w14:paraId="77A7F1B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0F0057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0F85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89C09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AEDAB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F090C3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25CE1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A5FAF1B" w14:textId="77777777" w:rsidR="006E40C9" w:rsidRDefault="006E40C9">
            <w:pPr>
              <w:pStyle w:val="MeasureTableTextRightAligned"/>
            </w:pPr>
            <w:r>
              <w:t>2027-28</w:t>
            </w:r>
          </w:p>
        </w:tc>
      </w:tr>
      <w:tr w:rsidR="006E40C9" w14:paraId="7620BDE8" w14:textId="77777777">
        <w:trPr>
          <w:cantSplit/>
          <w:jc w:val="center"/>
        </w:trPr>
        <w:tc>
          <w:tcPr>
            <w:tcW w:w="967" w:type="dxa"/>
            <w:tcBorders>
              <w:top w:val="single" w:sz="2" w:space="0" w:color="auto"/>
              <w:bottom w:val="single" w:sz="2" w:space="0" w:color="auto"/>
            </w:tcBorders>
          </w:tcPr>
          <w:p w14:paraId="0B60F814" w14:textId="77777777" w:rsidR="006E40C9" w:rsidRDefault="006E40C9">
            <w:pPr>
              <w:pStyle w:val="MeasureTableTextRightAligned"/>
            </w:pPr>
            <w:r>
              <w:t>15</w:t>
            </w:r>
          </w:p>
        </w:tc>
        <w:tc>
          <w:tcPr>
            <w:tcW w:w="967" w:type="dxa"/>
            <w:tcBorders>
              <w:top w:val="single" w:sz="2" w:space="0" w:color="auto"/>
              <w:bottom w:val="single" w:sz="2" w:space="0" w:color="auto"/>
            </w:tcBorders>
          </w:tcPr>
          <w:p w14:paraId="2219BF21"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50C620BD"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5BE2E500"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2A7811E2"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5B52DF9F" w14:textId="77777777" w:rsidR="006E40C9" w:rsidRDefault="006E40C9">
            <w:pPr>
              <w:pStyle w:val="MeasureTableTextRightAligned"/>
            </w:pPr>
            <w:r>
              <w:t>25</w:t>
            </w:r>
          </w:p>
        </w:tc>
        <w:tc>
          <w:tcPr>
            <w:tcW w:w="967" w:type="dxa"/>
            <w:gridSpan w:val="2"/>
            <w:tcBorders>
              <w:top w:val="single" w:sz="2" w:space="0" w:color="auto"/>
              <w:bottom w:val="single" w:sz="2" w:space="0" w:color="auto"/>
            </w:tcBorders>
            <w:vAlign w:val="bottom"/>
          </w:tcPr>
          <w:p w14:paraId="1559AC68" w14:textId="77777777" w:rsidR="006E40C9" w:rsidRDefault="006E40C9">
            <w:pPr>
              <w:pStyle w:val="MeasureTableTextRightAligned"/>
            </w:pPr>
            <w:r>
              <w:t>25</w:t>
            </w:r>
          </w:p>
        </w:tc>
        <w:tc>
          <w:tcPr>
            <w:tcW w:w="968" w:type="dxa"/>
            <w:tcBorders>
              <w:top w:val="single" w:sz="2" w:space="0" w:color="auto"/>
              <w:bottom w:val="single" w:sz="2" w:space="0" w:color="auto"/>
            </w:tcBorders>
            <w:vAlign w:val="bottom"/>
          </w:tcPr>
          <w:p w14:paraId="2C37DCDC" w14:textId="77777777" w:rsidR="006E40C9" w:rsidRDefault="006E40C9">
            <w:pPr>
              <w:pStyle w:val="MeasureTableTextRightAligned"/>
            </w:pPr>
            <w:r>
              <w:t>30</w:t>
            </w:r>
          </w:p>
        </w:tc>
      </w:tr>
      <w:tr w:rsidR="006E40C9" w14:paraId="535D7359" w14:textId="77777777">
        <w:trPr>
          <w:cantSplit/>
          <w:jc w:val="center"/>
        </w:trPr>
        <w:tc>
          <w:tcPr>
            <w:tcW w:w="1934" w:type="dxa"/>
            <w:gridSpan w:val="2"/>
            <w:tcBorders>
              <w:top w:val="single" w:sz="2" w:space="0" w:color="auto"/>
              <w:bottom w:val="nil"/>
            </w:tcBorders>
          </w:tcPr>
          <w:p w14:paraId="6122734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1AC55C4" w14:textId="77777777" w:rsidR="006E40C9" w:rsidRDefault="006E40C9">
            <w:pPr>
              <w:pStyle w:val="MeasureTableTextLeftAligned"/>
            </w:pPr>
            <w:r>
              <w:t>Deferral</w:t>
            </w:r>
          </w:p>
        </w:tc>
        <w:tc>
          <w:tcPr>
            <w:tcW w:w="1500" w:type="dxa"/>
            <w:gridSpan w:val="2"/>
            <w:tcBorders>
              <w:top w:val="single" w:sz="2" w:space="0" w:color="auto"/>
              <w:bottom w:val="nil"/>
            </w:tcBorders>
          </w:tcPr>
          <w:p w14:paraId="4B62E8D0" w14:textId="0AE379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C8A5EA4" w14:textId="77777777" w:rsidR="006E40C9" w:rsidRDefault="006E40C9">
            <w:pPr>
              <w:pStyle w:val="MeasureTableTextLeftAligned"/>
            </w:pPr>
            <w:r>
              <w:t>E33</w:t>
            </w:r>
          </w:p>
        </w:tc>
      </w:tr>
      <w:tr w:rsidR="006E40C9" w14:paraId="1602271C" w14:textId="77777777">
        <w:trPr>
          <w:cantSplit/>
          <w:jc w:val="center"/>
        </w:trPr>
        <w:tc>
          <w:tcPr>
            <w:tcW w:w="1934" w:type="dxa"/>
            <w:gridSpan w:val="2"/>
            <w:tcBorders>
              <w:top w:val="nil"/>
              <w:bottom w:val="nil"/>
            </w:tcBorders>
          </w:tcPr>
          <w:p w14:paraId="431EF8E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63F41AF" w14:textId="77777777" w:rsidR="006E40C9" w:rsidRPr="00584CA7" w:rsidRDefault="006E40C9">
            <w:pPr>
              <w:pStyle w:val="MeasureTableTextLeftAligned"/>
            </w:pPr>
            <w:r>
              <w:t>Very Low</w:t>
            </w:r>
          </w:p>
        </w:tc>
        <w:tc>
          <w:tcPr>
            <w:tcW w:w="1500" w:type="dxa"/>
            <w:gridSpan w:val="2"/>
            <w:tcBorders>
              <w:top w:val="nil"/>
              <w:bottom w:val="nil"/>
            </w:tcBorders>
          </w:tcPr>
          <w:p w14:paraId="13C79DE9" w14:textId="77777777" w:rsidR="006E40C9" w:rsidRDefault="006E40C9">
            <w:pPr>
              <w:pStyle w:val="MeasureTableTextItalic"/>
            </w:pPr>
          </w:p>
        </w:tc>
        <w:tc>
          <w:tcPr>
            <w:tcW w:w="1124" w:type="dxa"/>
            <w:gridSpan w:val="2"/>
            <w:tcBorders>
              <w:top w:val="nil"/>
              <w:bottom w:val="nil"/>
            </w:tcBorders>
          </w:tcPr>
          <w:p w14:paraId="6C01A41F" w14:textId="77777777" w:rsidR="006E40C9" w:rsidRDefault="006E40C9">
            <w:pPr>
              <w:pStyle w:val="MeasureTableTextLeftAligned"/>
            </w:pPr>
          </w:p>
        </w:tc>
      </w:tr>
      <w:tr w:rsidR="006E40C9" w14:paraId="4573E67C" w14:textId="77777777">
        <w:trPr>
          <w:cantSplit/>
          <w:jc w:val="center"/>
        </w:trPr>
        <w:tc>
          <w:tcPr>
            <w:tcW w:w="1934" w:type="dxa"/>
            <w:gridSpan w:val="2"/>
            <w:tcBorders>
              <w:top w:val="nil"/>
              <w:bottom w:val="nil"/>
            </w:tcBorders>
          </w:tcPr>
          <w:p w14:paraId="6BA31BBC" w14:textId="77777777" w:rsidR="006E40C9" w:rsidRDefault="006E40C9">
            <w:pPr>
              <w:pStyle w:val="MeasureTableTextItalic"/>
            </w:pPr>
            <w:r>
              <w:t>Commencement date:</w:t>
            </w:r>
          </w:p>
        </w:tc>
        <w:tc>
          <w:tcPr>
            <w:tcW w:w="3179" w:type="dxa"/>
            <w:gridSpan w:val="4"/>
            <w:tcBorders>
              <w:top w:val="nil"/>
              <w:bottom w:val="nil"/>
            </w:tcBorders>
          </w:tcPr>
          <w:p w14:paraId="6B6BEED6" w14:textId="77777777" w:rsidR="006E40C9" w:rsidRDefault="006E40C9">
            <w:pPr>
              <w:pStyle w:val="MeasureTableTextLeftAligned"/>
            </w:pPr>
            <w:r>
              <w:t>1 July 2016</w:t>
            </w:r>
          </w:p>
        </w:tc>
        <w:tc>
          <w:tcPr>
            <w:tcW w:w="1500" w:type="dxa"/>
            <w:gridSpan w:val="2"/>
            <w:tcBorders>
              <w:top w:val="nil"/>
              <w:bottom w:val="nil"/>
            </w:tcBorders>
          </w:tcPr>
          <w:p w14:paraId="26B6652E" w14:textId="77777777" w:rsidR="006E40C9" w:rsidRPr="00F32057" w:rsidRDefault="006E40C9">
            <w:pPr>
              <w:pStyle w:val="MeasureTableTextItalic"/>
            </w:pPr>
            <w:r>
              <w:t>Expiry date:</w:t>
            </w:r>
          </w:p>
        </w:tc>
        <w:tc>
          <w:tcPr>
            <w:tcW w:w="1124" w:type="dxa"/>
            <w:gridSpan w:val="2"/>
            <w:tcBorders>
              <w:top w:val="nil"/>
              <w:bottom w:val="nil"/>
            </w:tcBorders>
          </w:tcPr>
          <w:p w14:paraId="3E545CAB" w14:textId="77777777" w:rsidR="006E40C9" w:rsidRPr="00F32057" w:rsidRDefault="006E40C9">
            <w:pPr>
              <w:pStyle w:val="MeasureTableTextLeftAligned"/>
            </w:pPr>
          </w:p>
        </w:tc>
      </w:tr>
      <w:tr w:rsidR="006E40C9" w14:paraId="65F11AD2" w14:textId="77777777">
        <w:trPr>
          <w:cantSplit/>
          <w:jc w:val="center"/>
        </w:trPr>
        <w:tc>
          <w:tcPr>
            <w:tcW w:w="1934" w:type="dxa"/>
            <w:gridSpan w:val="2"/>
            <w:tcBorders>
              <w:top w:val="nil"/>
            </w:tcBorders>
          </w:tcPr>
          <w:p w14:paraId="0A5DFF23" w14:textId="77777777" w:rsidR="006E40C9" w:rsidRDefault="006E40C9">
            <w:pPr>
              <w:pStyle w:val="MeasureTableTextItalic"/>
            </w:pPr>
            <w:r>
              <w:t>Legislative reference:</w:t>
            </w:r>
          </w:p>
        </w:tc>
        <w:tc>
          <w:tcPr>
            <w:tcW w:w="5803" w:type="dxa"/>
            <w:gridSpan w:val="8"/>
            <w:tcBorders>
              <w:top w:val="nil"/>
            </w:tcBorders>
          </w:tcPr>
          <w:p w14:paraId="53119E4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328-G of the </w:t>
            </w:r>
            <w:r>
              <w:rPr>
                <w:rFonts w:ascii="Arial" w:hAnsi="Arial" w:cs="Arial"/>
                <w:i/>
                <w:iCs/>
                <w:color w:val="000000"/>
                <w:sz w:val="16"/>
                <w:szCs w:val="16"/>
              </w:rPr>
              <w:t>Income Tax Assessment Act 1997</w:t>
            </w:r>
          </w:p>
        </w:tc>
      </w:tr>
    </w:tbl>
    <w:p w14:paraId="6D9EEA1D" w14:textId="77777777" w:rsidR="006E40C9" w:rsidRPr="00540040" w:rsidRDefault="006E40C9" w:rsidP="006E40C9">
      <w:pPr>
        <w:pStyle w:val="MeasureTableHeading"/>
      </w:pPr>
    </w:p>
    <w:p w14:paraId="3A3B221D" w14:textId="1C350600" w:rsidR="006E40C9" w:rsidRDefault="006E40C9" w:rsidP="00516FA7">
      <w:pPr>
        <w:rPr>
          <w:rFonts w:eastAsia="Calibri"/>
          <w:lang w:eastAsia="en-US"/>
        </w:rPr>
      </w:pPr>
      <w:r>
        <w:t>Under the benchmark, realised capital gains are generally assessable to taxpayers at their applicable tax rate in the year they arise. However, owners of small business active assets are eligible for roll</w:t>
      </w:r>
      <w:r>
        <w:noBreakHyphen/>
        <w:t xml:space="preserve">over relief when they change the legal structure of their business, provided the underlying economic ownership of the assets is unchanged. </w:t>
      </w:r>
      <w:r>
        <w:rPr>
          <w:rFonts w:eastAsia="Calibri"/>
          <w:lang w:eastAsia="en-US"/>
        </w:rPr>
        <w:fldChar w:fldCharType="begin"/>
      </w:r>
      <w:r>
        <w:instrText xml:space="preserve"> XE "Small business" </w:instrText>
      </w:r>
      <w:r>
        <w:rPr>
          <w:rFonts w:eastAsia="Calibri"/>
          <w:lang w:eastAsia="en-US"/>
        </w:rPr>
        <w:fldChar w:fldCharType="end"/>
      </w:r>
      <w:r w:rsidR="00444820">
        <w:rPr>
          <w:rFonts w:eastAsia="Calibri"/>
          <w:lang w:eastAsia="en-US"/>
        </w:rPr>
        <w:br w:type="page"/>
      </w:r>
    </w:p>
    <w:p w14:paraId="7D5B9E6C" w14:textId="77777777" w:rsidR="006E40C9" w:rsidRDefault="006E40C9" w:rsidP="003218AC">
      <w:pPr>
        <w:pStyle w:val="Heading3"/>
      </w:pPr>
      <w:bookmarkStart w:id="92" w:name="_Toc183710296"/>
      <w:r>
        <w:t>Commodity and other indirect taxes</w:t>
      </w:r>
      <w:bookmarkEnd w:id="92"/>
    </w:p>
    <w:p w14:paraId="3ED98EEB" w14:textId="77777777" w:rsidR="006E40C9" w:rsidRDefault="006E40C9" w:rsidP="00D9255A">
      <w:pPr>
        <w:pStyle w:val="Heading3"/>
      </w:pPr>
      <w:r>
        <w:t>International tax expenditures</w:t>
      </w:r>
    </w:p>
    <w:p w14:paraId="3B4CA69C" w14:textId="77777777" w:rsidR="006E40C9" w:rsidRDefault="006E40C9" w:rsidP="00D9255A">
      <w:pPr>
        <w:pStyle w:val="TESHeading5"/>
      </w:pPr>
      <w:r>
        <w:t>F1</w:t>
      </w:r>
      <w:r>
        <w:tab/>
        <w:t>Tourism – inwards duty free</w:t>
      </w:r>
    </w:p>
    <w:p w14:paraId="06A09554" w14:textId="5EC6F8EA"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A4159F0" w14:textId="77777777">
        <w:trPr>
          <w:cantSplit/>
          <w:jc w:val="center"/>
        </w:trPr>
        <w:tc>
          <w:tcPr>
            <w:tcW w:w="967" w:type="dxa"/>
            <w:tcBorders>
              <w:top w:val="single" w:sz="2" w:space="0" w:color="auto"/>
              <w:bottom w:val="single" w:sz="2" w:space="0" w:color="auto"/>
            </w:tcBorders>
          </w:tcPr>
          <w:p w14:paraId="598D652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6E2E0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DE8D0D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7A052B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C933B4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756277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344F0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C7A63E" w14:textId="77777777" w:rsidR="006E40C9" w:rsidRDefault="006E40C9">
            <w:pPr>
              <w:pStyle w:val="MeasureTableTextRightAligned"/>
            </w:pPr>
            <w:r>
              <w:t>2027-28</w:t>
            </w:r>
          </w:p>
        </w:tc>
      </w:tr>
      <w:tr w:rsidR="006E40C9" w14:paraId="279F86EB" w14:textId="77777777">
        <w:trPr>
          <w:cantSplit/>
          <w:jc w:val="center"/>
        </w:trPr>
        <w:tc>
          <w:tcPr>
            <w:tcW w:w="967" w:type="dxa"/>
            <w:tcBorders>
              <w:top w:val="single" w:sz="2" w:space="0" w:color="auto"/>
              <w:bottom w:val="single" w:sz="2" w:space="0" w:color="auto"/>
            </w:tcBorders>
          </w:tcPr>
          <w:p w14:paraId="5824159E" w14:textId="77777777" w:rsidR="006E40C9" w:rsidRDefault="006E40C9">
            <w:pPr>
              <w:pStyle w:val="MeasureTableTextRightAligned"/>
            </w:pPr>
            <w:r>
              <w:t>*</w:t>
            </w:r>
          </w:p>
        </w:tc>
        <w:tc>
          <w:tcPr>
            <w:tcW w:w="967" w:type="dxa"/>
            <w:tcBorders>
              <w:top w:val="single" w:sz="2" w:space="0" w:color="auto"/>
              <w:bottom w:val="single" w:sz="2" w:space="0" w:color="auto"/>
            </w:tcBorders>
          </w:tcPr>
          <w:p w14:paraId="7B5E28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645FD5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613D57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1F1AD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F93E4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7BBAD8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5FC358F" w14:textId="77777777" w:rsidR="006E40C9" w:rsidRDefault="006E40C9">
            <w:pPr>
              <w:pStyle w:val="MeasureTableTextRightAligned"/>
            </w:pPr>
            <w:r>
              <w:t>*</w:t>
            </w:r>
          </w:p>
        </w:tc>
      </w:tr>
      <w:tr w:rsidR="006E40C9" w14:paraId="65D44738" w14:textId="77777777">
        <w:trPr>
          <w:cantSplit/>
          <w:jc w:val="center"/>
        </w:trPr>
        <w:tc>
          <w:tcPr>
            <w:tcW w:w="1934" w:type="dxa"/>
            <w:gridSpan w:val="2"/>
            <w:tcBorders>
              <w:top w:val="single" w:sz="2" w:space="0" w:color="auto"/>
              <w:bottom w:val="nil"/>
            </w:tcBorders>
          </w:tcPr>
          <w:p w14:paraId="2E07A24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5E9BE35" w14:textId="77777777" w:rsidR="006E40C9" w:rsidRDefault="006E40C9">
            <w:pPr>
              <w:pStyle w:val="MeasureTableTextLeftAligned"/>
            </w:pPr>
            <w:r>
              <w:t>Exemption</w:t>
            </w:r>
          </w:p>
        </w:tc>
        <w:tc>
          <w:tcPr>
            <w:tcW w:w="1500" w:type="dxa"/>
            <w:gridSpan w:val="2"/>
            <w:tcBorders>
              <w:top w:val="single" w:sz="2" w:space="0" w:color="auto"/>
              <w:bottom w:val="nil"/>
            </w:tcBorders>
          </w:tcPr>
          <w:p w14:paraId="2332E27A" w14:textId="5DC0C5F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2273976" w14:textId="77777777" w:rsidR="006E40C9" w:rsidRDefault="006E40C9">
            <w:pPr>
              <w:pStyle w:val="MeasureTableTextLeftAligned"/>
            </w:pPr>
            <w:r>
              <w:t>F1</w:t>
            </w:r>
          </w:p>
        </w:tc>
      </w:tr>
      <w:tr w:rsidR="006E40C9" w14:paraId="5E2CE16D" w14:textId="77777777">
        <w:trPr>
          <w:cantSplit/>
          <w:jc w:val="center"/>
        </w:trPr>
        <w:tc>
          <w:tcPr>
            <w:tcW w:w="1934" w:type="dxa"/>
            <w:gridSpan w:val="2"/>
            <w:tcBorders>
              <w:top w:val="nil"/>
              <w:bottom w:val="nil"/>
            </w:tcBorders>
          </w:tcPr>
          <w:p w14:paraId="1BBD2A2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306E8D8" w14:textId="77777777" w:rsidR="006E40C9" w:rsidRPr="00584CA7" w:rsidRDefault="006E40C9">
            <w:pPr>
              <w:pStyle w:val="MeasureTableTextLeftAligned"/>
            </w:pPr>
            <w:r>
              <w:t>Not Applicable</w:t>
            </w:r>
          </w:p>
        </w:tc>
        <w:tc>
          <w:tcPr>
            <w:tcW w:w="1500" w:type="dxa"/>
            <w:gridSpan w:val="2"/>
            <w:tcBorders>
              <w:top w:val="nil"/>
              <w:bottom w:val="nil"/>
            </w:tcBorders>
          </w:tcPr>
          <w:p w14:paraId="7B1F75AA" w14:textId="77777777" w:rsidR="006E40C9" w:rsidRDefault="006E40C9">
            <w:pPr>
              <w:pStyle w:val="MeasureTableTextItalic"/>
            </w:pPr>
            <w:r>
              <w:t>* Category</w:t>
            </w:r>
          </w:p>
        </w:tc>
        <w:tc>
          <w:tcPr>
            <w:tcW w:w="1124" w:type="dxa"/>
            <w:gridSpan w:val="2"/>
            <w:tcBorders>
              <w:top w:val="nil"/>
              <w:bottom w:val="nil"/>
            </w:tcBorders>
          </w:tcPr>
          <w:p w14:paraId="00F1FABD" w14:textId="77777777" w:rsidR="006E40C9" w:rsidRDefault="006E40C9">
            <w:pPr>
              <w:pStyle w:val="MeasureTableTextLeftAligned"/>
            </w:pPr>
            <w:r>
              <w:t>3+</w:t>
            </w:r>
          </w:p>
        </w:tc>
      </w:tr>
      <w:tr w:rsidR="006E40C9" w14:paraId="16C5FEAE" w14:textId="77777777">
        <w:trPr>
          <w:cantSplit/>
          <w:jc w:val="center"/>
        </w:trPr>
        <w:tc>
          <w:tcPr>
            <w:tcW w:w="1934" w:type="dxa"/>
            <w:gridSpan w:val="2"/>
            <w:tcBorders>
              <w:top w:val="nil"/>
              <w:bottom w:val="nil"/>
            </w:tcBorders>
          </w:tcPr>
          <w:p w14:paraId="7AD0F859" w14:textId="77777777" w:rsidR="006E40C9" w:rsidRDefault="006E40C9">
            <w:pPr>
              <w:pStyle w:val="MeasureTableTextItalic"/>
            </w:pPr>
            <w:r>
              <w:t>Commencement date:</w:t>
            </w:r>
          </w:p>
        </w:tc>
        <w:tc>
          <w:tcPr>
            <w:tcW w:w="3179" w:type="dxa"/>
            <w:gridSpan w:val="4"/>
            <w:tcBorders>
              <w:top w:val="nil"/>
              <w:bottom w:val="nil"/>
            </w:tcBorders>
          </w:tcPr>
          <w:p w14:paraId="3DD46D43" w14:textId="77777777" w:rsidR="006E40C9" w:rsidRDefault="006E40C9">
            <w:pPr>
              <w:pStyle w:val="MeasureTableTextLeftAligned"/>
            </w:pPr>
            <w:r>
              <w:t>1 July 1974</w:t>
            </w:r>
          </w:p>
          <w:p w14:paraId="197071CB" w14:textId="77777777" w:rsidR="006E40C9" w:rsidRDefault="006E40C9">
            <w:pPr>
              <w:pStyle w:val="MeasureTableTextLeftAligned"/>
            </w:pPr>
            <w:r>
              <w:t>1 July 2000 (WET)</w:t>
            </w:r>
          </w:p>
        </w:tc>
        <w:tc>
          <w:tcPr>
            <w:tcW w:w="1500" w:type="dxa"/>
            <w:gridSpan w:val="2"/>
            <w:tcBorders>
              <w:top w:val="nil"/>
              <w:bottom w:val="nil"/>
            </w:tcBorders>
          </w:tcPr>
          <w:p w14:paraId="09CA330B" w14:textId="77777777" w:rsidR="006E40C9" w:rsidRPr="00F32057" w:rsidRDefault="006E40C9">
            <w:pPr>
              <w:pStyle w:val="MeasureTableTextItalic"/>
            </w:pPr>
            <w:r>
              <w:t>Expiry date:</w:t>
            </w:r>
          </w:p>
        </w:tc>
        <w:tc>
          <w:tcPr>
            <w:tcW w:w="1124" w:type="dxa"/>
            <w:gridSpan w:val="2"/>
            <w:tcBorders>
              <w:top w:val="nil"/>
              <w:bottom w:val="nil"/>
            </w:tcBorders>
          </w:tcPr>
          <w:p w14:paraId="2D14EC9D" w14:textId="77777777" w:rsidR="006E40C9" w:rsidRPr="00F32057" w:rsidRDefault="006E40C9">
            <w:pPr>
              <w:pStyle w:val="MeasureTableTextLeftAligned"/>
            </w:pPr>
          </w:p>
        </w:tc>
      </w:tr>
      <w:tr w:rsidR="006E40C9" w14:paraId="773DDD15" w14:textId="77777777">
        <w:trPr>
          <w:cantSplit/>
          <w:jc w:val="center"/>
        </w:trPr>
        <w:tc>
          <w:tcPr>
            <w:tcW w:w="1934" w:type="dxa"/>
            <w:gridSpan w:val="2"/>
            <w:tcBorders>
              <w:top w:val="nil"/>
            </w:tcBorders>
          </w:tcPr>
          <w:p w14:paraId="44C8232A" w14:textId="77777777" w:rsidR="006E40C9" w:rsidRDefault="006E40C9">
            <w:pPr>
              <w:pStyle w:val="MeasureTableTextItalic"/>
            </w:pPr>
            <w:r>
              <w:t>Legislative reference:</w:t>
            </w:r>
          </w:p>
        </w:tc>
        <w:tc>
          <w:tcPr>
            <w:tcW w:w="5803" w:type="dxa"/>
            <w:gridSpan w:val="8"/>
            <w:tcBorders>
              <w:top w:val="nil"/>
            </w:tcBorders>
          </w:tcPr>
          <w:p w14:paraId="4CF9E6D0"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Item 15 of Schedule 4 to the Customs Tariff Act 1995</w:t>
            </w:r>
          </w:p>
          <w:p w14:paraId="2A188A43"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7-15 of </w:t>
            </w:r>
            <w:r>
              <w:rPr>
                <w:rFonts w:ascii="Arial" w:hAnsi="Arial" w:cs="Arial"/>
                <w:i/>
                <w:iCs/>
                <w:color w:val="000000"/>
                <w:sz w:val="16"/>
                <w:szCs w:val="16"/>
              </w:rPr>
              <w:t>the A New Tax System (Wine Equalisation Tax) Act 1999</w:t>
            </w:r>
          </w:p>
          <w:p w14:paraId="0A7CF7DF"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Customs By-Law No. 1700571</w:t>
            </w:r>
          </w:p>
        </w:tc>
      </w:tr>
    </w:tbl>
    <w:p w14:paraId="1B575BE0" w14:textId="77777777" w:rsidR="006E40C9" w:rsidRPr="00540040" w:rsidRDefault="006E40C9" w:rsidP="006E40C9">
      <w:pPr>
        <w:pStyle w:val="MeasureTableHeading"/>
      </w:pPr>
    </w:p>
    <w:p w14:paraId="016C73ED" w14:textId="77777777" w:rsidR="006E40C9" w:rsidRDefault="006E40C9" w:rsidP="006E40C9">
      <w:r>
        <w:t>The benchmark tax treatment is that goods imported into Australia are subject to the same taxes on consumption as domestically produced goods. However, tobacco and alcohol products brought into Australia by inbound international travellers aged 18 years and over, within an allowance, are not subject to excise</w:t>
      </w:r>
      <w:r>
        <w:noBreakHyphen/>
        <w:t>equivalent customs duty or wine equalisation tax (WET)</w:t>
      </w:r>
      <w:r>
        <w:fldChar w:fldCharType="begin"/>
      </w:r>
      <w:r>
        <w:instrText xml:space="preserve"> XE "Duty free" </w:instrText>
      </w:r>
      <w:r>
        <w:fldChar w:fldCharType="end"/>
      </w:r>
      <w:r>
        <w:t>. The standard duty-free concession enables adults to bring in 2.25 litres of alcoholic beverages and up to 25 grams of tobacco products, equivalent to approximately 25 cigarettes, plus up to 25 cigarettes in an open packet.</w:t>
      </w:r>
    </w:p>
    <w:p w14:paraId="38A7EC84" w14:textId="77777777" w:rsidR="006E40C9" w:rsidRDefault="006E40C9" w:rsidP="00D9255A">
      <w:pPr>
        <w:pStyle w:val="Heading3"/>
      </w:pPr>
      <w:r>
        <w:t>Tax expenditures for agriculture, forestry and fishing</w:t>
      </w:r>
    </w:p>
    <w:p w14:paraId="1D295E3F" w14:textId="77777777" w:rsidR="006E40C9" w:rsidRDefault="006E40C9" w:rsidP="00D9255A">
      <w:pPr>
        <w:pStyle w:val="TESHeading5"/>
      </w:pPr>
      <w:r>
        <w:t>F2</w:t>
      </w:r>
      <w:r>
        <w:tab/>
        <w:t>Primary industry levy exemptions</w:t>
      </w:r>
    </w:p>
    <w:p w14:paraId="5711511B"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DBBBEE0" w14:textId="77777777">
        <w:trPr>
          <w:cantSplit/>
          <w:jc w:val="center"/>
        </w:trPr>
        <w:tc>
          <w:tcPr>
            <w:tcW w:w="967" w:type="dxa"/>
            <w:tcBorders>
              <w:top w:val="single" w:sz="2" w:space="0" w:color="auto"/>
              <w:bottom w:val="single" w:sz="2" w:space="0" w:color="auto"/>
            </w:tcBorders>
          </w:tcPr>
          <w:p w14:paraId="4E6157D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772D30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B1789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10926D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7239EA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C8B693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B50C51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4A6CAB7" w14:textId="77777777" w:rsidR="006E40C9" w:rsidRDefault="006E40C9">
            <w:pPr>
              <w:pStyle w:val="MeasureTableTextRightAligned"/>
            </w:pPr>
            <w:r>
              <w:t>2027-28</w:t>
            </w:r>
          </w:p>
        </w:tc>
      </w:tr>
      <w:tr w:rsidR="006E40C9" w14:paraId="23259FD1" w14:textId="77777777">
        <w:trPr>
          <w:cantSplit/>
          <w:jc w:val="center"/>
        </w:trPr>
        <w:tc>
          <w:tcPr>
            <w:tcW w:w="967" w:type="dxa"/>
            <w:tcBorders>
              <w:top w:val="single" w:sz="2" w:space="0" w:color="auto"/>
              <w:bottom w:val="single" w:sz="2" w:space="0" w:color="auto"/>
            </w:tcBorders>
          </w:tcPr>
          <w:p w14:paraId="66965C88" w14:textId="77777777" w:rsidR="006E40C9" w:rsidRDefault="006E40C9">
            <w:pPr>
              <w:pStyle w:val="MeasureTableTextRightAligned"/>
            </w:pPr>
            <w:r>
              <w:t>*</w:t>
            </w:r>
          </w:p>
        </w:tc>
        <w:tc>
          <w:tcPr>
            <w:tcW w:w="967" w:type="dxa"/>
            <w:tcBorders>
              <w:top w:val="single" w:sz="2" w:space="0" w:color="auto"/>
              <w:bottom w:val="single" w:sz="2" w:space="0" w:color="auto"/>
            </w:tcBorders>
          </w:tcPr>
          <w:p w14:paraId="3168C05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A7E23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9EF1B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DABABC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DE906B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FB49BF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ED10124" w14:textId="77777777" w:rsidR="006E40C9" w:rsidRDefault="006E40C9">
            <w:pPr>
              <w:pStyle w:val="MeasureTableTextRightAligned"/>
            </w:pPr>
            <w:r>
              <w:t>*</w:t>
            </w:r>
          </w:p>
        </w:tc>
      </w:tr>
      <w:tr w:rsidR="006E40C9" w14:paraId="4D73E297" w14:textId="77777777">
        <w:trPr>
          <w:cantSplit/>
          <w:jc w:val="center"/>
        </w:trPr>
        <w:tc>
          <w:tcPr>
            <w:tcW w:w="1934" w:type="dxa"/>
            <w:gridSpan w:val="2"/>
            <w:tcBorders>
              <w:top w:val="single" w:sz="2" w:space="0" w:color="auto"/>
              <w:bottom w:val="nil"/>
            </w:tcBorders>
          </w:tcPr>
          <w:p w14:paraId="7570D15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1AF9B4" w14:textId="77777777" w:rsidR="006E40C9" w:rsidRDefault="006E40C9">
            <w:pPr>
              <w:pStyle w:val="MeasureTableTextLeftAligned"/>
            </w:pPr>
            <w:r>
              <w:t>Exemption</w:t>
            </w:r>
          </w:p>
        </w:tc>
        <w:tc>
          <w:tcPr>
            <w:tcW w:w="1500" w:type="dxa"/>
            <w:gridSpan w:val="2"/>
            <w:tcBorders>
              <w:top w:val="single" w:sz="2" w:space="0" w:color="auto"/>
              <w:bottom w:val="nil"/>
            </w:tcBorders>
          </w:tcPr>
          <w:p w14:paraId="19EA29D0" w14:textId="66C0F2D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52C59D" w14:textId="77777777" w:rsidR="006E40C9" w:rsidRDefault="006E40C9">
            <w:pPr>
              <w:pStyle w:val="MeasureTableTextLeftAligned"/>
            </w:pPr>
            <w:r>
              <w:t>F2</w:t>
            </w:r>
          </w:p>
        </w:tc>
      </w:tr>
      <w:tr w:rsidR="006E40C9" w14:paraId="3A5C7A5B" w14:textId="77777777">
        <w:trPr>
          <w:cantSplit/>
          <w:jc w:val="center"/>
        </w:trPr>
        <w:tc>
          <w:tcPr>
            <w:tcW w:w="1934" w:type="dxa"/>
            <w:gridSpan w:val="2"/>
            <w:tcBorders>
              <w:top w:val="nil"/>
              <w:bottom w:val="nil"/>
            </w:tcBorders>
          </w:tcPr>
          <w:p w14:paraId="71C88A6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573740E" w14:textId="77777777" w:rsidR="006E40C9" w:rsidRPr="00584CA7" w:rsidRDefault="006E40C9">
            <w:pPr>
              <w:pStyle w:val="MeasureTableTextLeftAligned"/>
            </w:pPr>
            <w:r>
              <w:t>Not Applicable</w:t>
            </w:r>
          </w:p>
        </w:tc>
        <w:tc>
          <w:tcPr>
            <w:tcW w:w="1500" w:type="dxa"/>
            <w:gridSpan w:val="2"/>
            <w:tcBorders>
              <w:top w:val="nil"/>
              <w:bottom w:val="nil"/>
            </w:tcBorders>
          </w:tcPr>
          <w:p w14:paraId="29380BB0" w14:textId="77777777" w:rsidR="006E40C9" w:rsidRDefault="006E40C9">
            <w:pPr>
              <w:pStyle w:val="MeasureTableTextItalic"/>
            </w:pPr>
            <w:r>
              <w:t>* Category</w:t>
            </w:r>
          </w:p>
        </w:tc>
        <w:tc>
          <w:tcPr>
            <w:tcW w:w="1124" w:type="dxa"/>
            <w:gridSpan w:val="2"/>
            <w:tcBorders>
              <w:top w:val="nil"/>
              <w:bottom w:val="nil"/>
            </w:tcBorders>
          </w:tcPr>
          <w:p w14:paraId="6625272B" w14:textId="77777777" w:rsidR="006E40C9" w:rsidRDefault="006E40C9">
            <w:pPr>
              <w:pStyle w:val="MeasureTableTextLeftAligned"/>
            </w:pPr>
            <w:r>
              <w:t>1+</w:t>
            </w:r>
          </w:p>
        </w:tc>
      </w:tr>
      <w:tr w:rsidR="006E40C9" w14:paraId="7AEDF65F" w14:textId="77777777">
        <w:trPr>
          <w:cantSplit/>
          <w:jc w:val="center"/>
        </w:trPr>
        <w:tc>
          <w:tcPr>
            <w:tcW w:w="1934" w:type="dxa"/>
            <w:gridSpan w:val="2"/>
            <w:tcBorders>
              <w:top w:val="nil"/>
              <w:bottom w:val="nil"/>
            </w:tcBorders>
          </w:tcPr>
          <w:p w14:paraId="08CED7D1" w14:textId="77777777" w:rsidR="006E40C9" w:rsidRDefault="006E40C9">
            <w:pPr>
              <w:pStyle w:val="MeasureTableTextItalic"/>
            </w:pPr>
            <w:r>
              <w:t>Commencement date:</w:t>
            </w:r>
          </w:p>
        </w:tc>
        <w:tc>
          <w:tcPr>
            <w:tcW w:w="3179" w:type="dxa"/>
            <w:gridSpan w:val="4"/>
            <w:tcBorders>
              <w:top w:val="nil"/>
              <w:bottom w:val="nil"/>
            </w:tcBorders>
          </w:tcPr>
          <w:p w14:paraId="023A2FD7" w14:textId="77777777" w:rsidR="006E40C9" w:rsidRDefault="006E40C9">
            <w:pPr>
              <w:pStyle w:val="MeasureTableTextLeftAligned"/>
            </w:pPr>
            <w:r>
              <w:t>Introduced before 1985</w:t>
            </w:r>
          </w:p>
        </w:tc>
        <w:tc>
          <w:tcPr>
            <w:tcW w:w="1500" w:type="dxa"/>
            <w:gridSpan w:val="2"/>
            <w:tcBorders>
              <w:top w:val="nil"/>
              <w:bottom w:val="nil"/>
            </w:tcBorders>
          </w:tcPr>
          <w:p w14:paraId="0D4A0674" w14:textId="77777777" w:rsidR="006E40C9" w:rsidRPr="00F32057" w:rsidRDefault="006E40C9">
            <w:pPr>
              <w:pStyle w:val="MeasureTableTextItalic"/>
            </w:pPr>
            <w:r>
              <w:t>Expiry date:</w:t>
            </w:r>
          </w:p>
        </w:tc>
        <w:tc>
          <w:tcPr>
            <w:tcW w:w="1124" w:type="dxa"/>
            <w:gridSpan w:val="2"/>
            <w:tcBorders>
              <w:top w:val="nil"/>
              <w:bottom w:val="nil"/>
            </w:tcBorders>
          </w:tcPr>
          <w:p w14:paraId="6BE63E39" w14:textId="77777777" w:rsidR="006E40C9" w:rsidRPr="00F32057" w:rsidRDefault="006E40C9">
            <w:pPr>
              <w:pStyle w:val="MeasureTableTextLeftAligned"/>
            </w:pPr>
          </w:p>
        </w:tc>
      </w:tr>
      <w:tr w:rsidR="006E40C9" w14:paraId="24360C65" w14:textId="77777777">
        <w:trPr>
          <w:cantSplit/>
          <w:jc w:val="center"/>
        </w:trPr>
        <w:tc>
          <w:tcPr>
            <w:tcW w:w="1934" w:type="dxa"/>
            <w:gridSpan w:val="2"/>
            <w:tcBorders>
              <w:top w:val="nil"/>
            </w:tcBorders>
          </w:tcPr>
          <w:p w14:paraId="16119E2A" w14:textId="77777777" w:rsidR="006E40C9" w:rsidRDefault="006E40C9">
            <w:pPr>
              <w:pStyle w:val="MeasureTableTextItalic"/>
            </w:pPr>
            <w:r>
              <w:t>Legislative reference:</w:t>
            </w:r>
          </w:p>
        </w:tc>
        <w:tc>
          <w:tcPr>
            <w:tcW w:w="5803" w:type="dxa"/>
            <w:gridSpan w:val="8"/>
            <w:tcBorders>
              <w:top w:val="nil"/>
            </w:tcBorders>
          </w:tcPr>
          <w:p w14:paraId="3CED6A47"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Primary Industries (Customs) Charges Act 1999</w:t>
            </w:r>
          </w:p>
          <w:p w14:paraId="7B130865"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Primary Industries (Excise) Levies Act 1999</w:t>
            </w:r>
          </w:p>
        </w:tc>
      </w:tr>
    </w:tbl>
    <w:p w14:paraId="4886425A" w14:textId="77777777" w:rsidR="006E40C9" w:rsidRPr="00540040" w:rsidRDefault="006E40C9" w:rsidP="006E40C9">
      <w:pPr>
        <w:pStyle w:val="MeasureTableHeading"/>
      </w:pPr>
    </w:p>
    <w:p w14:paraId="61AC515B" w14:textId="77777777" w:rsidR="006E40C9" w:rsidRDefault="006E40C9" w:rsidP="006E40C9">
      <w:r>
        <w:t>Under the benchmark, primary industry levies would generally apply to all participants in a primary industry. However certain producers are exempt from primary industry levies</w:t>
      </w:r>
      <w:r>
        <w:fldChar w:fldCharType="begin"/>
      </w:r>
      <w:r>
        <w:instrText xml:space="preserve"> XE "Primary industry levies" </w:instrText>
      </w:r>
      <w:r>
        <w:fldChar w:fldCharType="end"/>
      </w:r>
      <w:r>
        <w:t>. While the specific exemptions differ on a commodity</w:t>
      </w:r>
      <w:r>
        <w:noBreakHyphen/>
        <w:t>by</w:t>
      </w:r>
      <w:r>
        <w:noBreakHyphen/>
        <w:t>commodity basis, they are all in some way related to the quantity or value of the particular commodity produced in a given year.</w:t>
      </w:r>
    </w:p>
    <w:p w14:paraId="2ABA0805" w14:textId="77777777" w:rsidR="006E40C9" w:rsidRDefault="006E40C9" w:rsidP="00D9255A">
      <w:pPr>
        <w:pStyle w:val="Heading3"/>
      </w:pPr>
      <w:r>
        <w:t>Tax expenditures for transport and communications</w:t>
      </w:r>
    </w:p>
    <w:p w14:paraId="3DD27A3D" w14:textId="77777777" w:rsidR="006E40C9" w:rsidRDefault="006E40C9" w:rsidP="00D9255A">
      <w:pPr>
        <w:pStyle w:val="TESHeading5"/>
      </w:pPr>
      <w:r>
        <w:t>F3</w:t>
      </w:r>
      <w:r>
        <w:tab/>
        <w:t>Exemptions from radiocommunications taxes for not-for-profit community or government entities</w:t>
      </w:r>
    </w:p>
    <w:p w14:paraId="4EA84881" w14:textId="72E0CB20"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A8A259D" w14:textId="77777777">
        <w:trPr>
          <w:cantSplit/>
          <w:jc w:val="center"/>
        </w:trPr>
        <w:tc>
          <w:tcPr>
            <w:tcW w:w="967" w:type="dxa"/>
            <w:tcBorders>
              <w:top w:val="single" w:sz="2" w:space="0" w:color="auto"/>
              <w:bottom w:val="single" w:sz="2" w:space="0" w:color="auto"/>
            </w:tcBorders>
          </w:tcPr>
          <w:p w14:paraId="28F26E9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789FFC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427775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9197DC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1FBE25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727C8F4"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C54F0D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1A8246D" w14:textId="77777777" w:rsidR="006E40C9" w:rsidRDefault="006E40C9">
            <w:pPr>
              <w:pStyle w:val="MeasureTableTextRightAligned"/>
            </w:pPr>
            <w:r>
              <w:t>2027-28</w:t>
            </w:r>
          </w:p>
        </w:tc>
      </w:tr>
      <w:tr w:rsidR="006E40C9" w14:paraId="4C64B4AB" w14:textId="77777777">
        <w:trPr>
          <w:cantSplit/>
          <w:jc w:val="center"/>
        </w:trPr>
        <w:tc>
          <w:tcPr>
            <w:tcW w:w="967" w:type="dxa"/>
            <w:tcBorders>
              <w:top w:val="single" w:sz="2" w:space="0" w:color="auto"/>
              <w:bottom w:val="single" w:sz="2" w:space="0" w:color="auto"/>
            </w:tcBorders>
          </w:tcPr>
          <w:p w14:paraId="20D1E4D5" w14:textId="77777777" w:rsidR="006E40C9" w:rsidRDefault="006E40C9">
            <w:pPr>
              <w:pStyle w:val="MeasureTableTextRightAligned"/>
            </w:pPr>
            <w:r>
              <w:t>13</w:t>
            </w:r>
          </w:p>
        </w:tc>
        <w:tc>
          <w:tcPr>
            <w:tcW w:w="967" w:type="dxa"/>
            <w:tcBorders>
              <w:top w:val="single" w:sz="2" w:space="0" w:color="auto"/>
              <w:bottom w:val="single" w:sz="2" w:space="0" w:color="auto"/>
            </w:tcBorders>
          </w:tcPr>
          <w:p w14:paraId="2F448F54" w14:textId="77777777" w:rsidR="006E40C9" w:rsidRDefault="006E40C9">
            <w:pPr>
              <w:pStyle w:val="MeasureTableTextRightAligned"/>
            </w:pPr>
            <w:r>
              <w:t>14</w:t>
            </w:r>
          </w:p>
        </w:tc>
        <w:tc>
          <w:tcPr>
            <w:tcW w:w="967" w:type="dxa"/>
            <w:tcBorders>
              <w:top w:val="single" w:sz="2" w:space="0" w:color="auto"/>
              <w:bottom w:val="single" w:sz="2" w:space="0" w:color="auto"/>
            </w:tcBorders>
            <w:vAlign w:val="bottom"/>
          </w:tcPr>
          <w:p w14:paraId="743B5C15" w14:textId="77777777" w:rsidR="006E40C9" w:rsidRDefault="006E40C9">
            <w:pPr>
              <w:pStyle w:val="MeasureTableTextRightAligned"/>
            </w:pPr>
            <w:r>
              <w:t>15</w:t>
            </w:r>
          </w:p>
        </w:tc>
        <w:tc>
          <w:tcPr>
            <w:tcW w:w="967" w:type="dxa"/>
            <w:tcBorders>
              <w:top w:val="single" w:sz="2" w:space="0" w:color="auto"/>
              <w:bottom w:val="single" w:sz="2" w:space="0" w:color="auto"/>
            </w:tcBorders>
            <w:vAlign w:val="bottom"/>
          </w:tcPr>
          <w:p w14:paraId="24489847"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10069F02"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690EC094"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75FED816" w14:textId="77777777" w:rsidR="006E40C9" w:rsidRDefault="006E40C9">
            <w:pPr>
              <w:pStyle w:val="MeasureTableTextRightAligned"/>
            </w:pPr>
            <w:r>
              <w:t>16</w:t>
            </w:r>
          </w:p>
        </w:tc>
        <w:tc>
          <w:tcPr>
            <w:tcW w:w="968" w:type="dxa"/>
            <w:tcBorders>
              <w:top w:val="single" w:sz="2" w:space="0" w:color="auto"/>
              <w:bottom w:val="single" w:sz="2" w:space="0" w:color="auto"/>
            </w:tcBorders>
            <w:vAlign w:val="bottom"/>
          </w:tcPr>
          <w:p w14:paraId="4CB4BA87" w14:textId="77777777" w:rsidR="006E40C9" w:rsidRDefault="006E40C9">
            <w:pPr>
              <w:pStyle w:val="MeasureTableTextRightAligned"/>
            </w:pPr>
            <w:r>
              <w:t>17</w:t>
            </w:r>
          </w:p>
        </w:tc>
      </w:tr>
      <w:tr w:rsidR="006E40C9" w14:paraId="5A348317" w14:textId="77777777">
        <w:trPr>
          <w:cantSplit/>
          <w:jc w:val="center"/>
        </w:trPr>
        <w:tc>
          <w:tcPr>
            <w:tcW w:w="1934" w:type="dxa"/>
            <w:gridSpan w:val="2"/>
            <w:tcBorders>
              <w:top w:val="single" w:sz="2" w:space="0" w:color="auto"/>
              <w:bottom w:val="nil"/>
            </w:tcBorders>
          </w:tcPr>
          <w:p w14:paraId="4E73E5F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A8A33" w14:textId="77777777" w:rsidR="006E40C9" w:rsidRDefault="006E40C9">
            <w:pPr>
              <w:pStyle w:val="MeasureTableTextLeftAligned"/>
            </w:pPr>
            <w:r>
              <w:t>Exemption, Deferral</w:t>
            </w:r>
          </w:p>
        </w:tc>
        <w:tc>
          <w:tcPr>
            <w:tcW w:w="1500" w:type="dxa"/>
            <w:gridSpan w:val="2"/>
            <w:tcBorders>
              <w:top w:val="single" w:sz="2" w:space="0" w:color="auto"/>
              <w:bottom w:val="nil"/>
            </w:tcBorders>
          </w:tcPr>
          <w:p w14:paraId="79A4B352" w14:textId="62791A4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E80471A" w14:textId="77777777" w:rsidR="006E40C9" w:rsidRDefault="006E40C9">
            <w:pPr>
              <w:pStyle w:val="MeasureTableTextLeftAligned"/>
            </w:pPr>
            <w:r>
              <w:t>F3</w:t>
            </w:r>
          </w:p>
        </w:tc>
      </w:tr>
      <w:tr w:rsidR="006E40C9" w14:paraId="55D27F91" w14:textId="77777777">
        <w:trPr>
          <w:cantSplit/>
          <w:jc w:val="center"/>
        </w:trPr>
        <w:tc>
          <w:tcPr>
            <w:tcW w:w="1934" w:type="dxa"/>
            <w:gridSpan w:val="2"/>
            <w:tcBorders>
              <w:top w:val="nil"/>
              <w:bottom w:val="nil"/>
            </w:tcBorders>
          </w:tcPr>
          <w:p w14:paraId="2B95F09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23C4FB0" w14:textId="77777777" w:rsidR="006E40C9" w:rsidRPr="00584CA7" w:rsidRDefault="006E40C9">
            <w:pPr>
              <w:pStyle w:val="MeasureTableTextLeftAligned"/>
            </w:pPr>
            <w:r>
              <w:t>Medium</w:t>
            </w:r>
          </w:p>
        </w:tc>
        <w:tc>
          <w:tcPr>
            <w:tcW w:w="1500" w:type="dxa"/>
            <w:gridSpan w:val="2"/>
            <w:tcBorders>
              <w:top w:val="nil"/>
              <w:bottom w:val="nil"/>
            </w:tcBorders>
          </w:tcPr>
          <w:p w14:paraId="4EC9E38F" w14:textId="77777777" w:rsidR="006E40C9" w:rsidRDefault="006E40C9">
            <w:pPr>
              <w:pStyle w:val="MeasureTableTextItalic"/>
            </w:pPr>
          </w:p>
        </w:tc>
        <w:tc>
          <w:tcPr>
            <w:tcW w:w="1124" w:type="dxa"/>
            <w:gridSpan w:val="2"/>
            <w:tcBorders>
              <w:top w:val="nil"/>
              <w:bottom w:val="nil"/>
            </w:tcBorders>
          </w:tcPr>
          <w:p w14:paraId="322BCFE0" w14:textId="77777777" w:rsidR="006E40C9" w:rsidRDefault="006E40C9">
            <w:pPr>
              <w:pStyle w:val="MeasureTableTextLeftAligned"/>
            </w:pPr>
          </w:p>
        </w:tc>
      </w:tr>
      <w:tr w:rsidR="006E40C9" w14:paraId="5289ED30" w14:textId="77777777">
        <w:trPr>
          <w:cantSplit/>
          <w:jc w:val="center"/>
        </w:trPr>
        <w:tc>
          <w:tcPr>
            <w:tcW w:w="1934" w:type="dxa"/>
            <w:gridSpan w:val="2"/>
            <w:tcBorders>
              <w:top w:val="nil"/>
              <w:bottom w:val="nil"/>
            </w:tcBorders>
          </w:tcPr>
          <w:p w14:paraId="0774CA8D" w14:textId="77777777" w:rsidR="006E40C9" w:rsidRDefault="006E40C9">
            <w:pPr>
              <w:pStyle w:val="MeasureTableTextItalic"/>
            </w:pPr>
            <w:r>
              <w:t>Commencement date:</w:t>
            </w:r>
          </w:p>
        </w:tc>
        <w:tc>
          <w:tcPr>
            <w:tcW w:w="3179" w:type="dxa"/>
            <w:gridSpan w:val="4"/>
            <w:tcBorders>
              <w:top w:val="nil"/>
              <w:bottom w:val="nil"/>
            </w:tcBorders>
          </w:tcPr>
          <w:p w14:paraId="268B33C7" w14:textId="77777777" w:rsidR="006E40C9" w:rsidRDefault="006E40C9">
            <w:pPr>
              <w:pStyle w:val="MeasureTableTextLeftAligned"/>
            </w:pPr>
            <w:r>
              <w:t>1992</w:t>
            </w:r>
          </w:p>
        </w:tc>
        <w:tc>
          <w:tcPr>
            <w:tcW w:w="1500" w:type="dxa"/>
            <w:gridSpan w:val="2"/>
            <w:tcBorders>
              <w:top w:val="nil"/>
              <w:bottom w:val="nil"/>
            </w:tcBorders>
          </w:tcPr>
          <w:p w14:paraId="454E27BE" w14:textId="77777777" w:rsidR="006E40C9" w:rsidRPr="00F32057" w:rsidRDefault="006E40C9">
            <w:pPr>
              <w:pStyle w:val="MeasureTableTextItalic"/>
            </w:pPr>
            <w:r>
              <w:t>Expiry date:</w:t>
            </w:r>
          </w:p>
        </w:tc>
        <w:tc>
          <w:tcPr>
            <w:tcW w:w="1124" w:type="dxa"/>
            <w:gridSpan w:val="2"/>
            <w:tcBorders>
              <w:top w:val="nil"/>
              <w:bottom w:val="nil"/>
            </w:tcBorders>
          </w:tcPr>
          <w:p w14:paraId="625784AE" w14:textId="77777777" w:rsidR="006E40C9" w:rsidRPr="00F32057" w:rsidRDefault="006E40C9">
            <w:pPr>
              <w:pStyle w:val="MeasureTableTextLeftAligned"/>
            </w:pPr>
          </w:p>
        </w:tc>
      </w:tr>
      <w:tr w:rsidR="006E40C9" w14:paraId="0E598F17" w14:textId="77777777">
        <w:trPr>
          <w:cantSplit/>
          <w:jc w:val="center"/>
        </w:trPr>
        <w:tc>
          <w:tcPr>
            <w:tcW w:w="1934" w:type="dxa"/>
            <w:gridSpan w:val="2"/>
            <w:tcBorders>
              <w:top w:val="nil"/>
            </w:tcBorders>
          </w:tcPr>
          <w:p w14:paraId="105D2C72" w14:textId="77777777" w:rsidR="006E40C9" w:rsidRDefault="006E40C9">
            <w:pPr>
              <w:pStyle w:val="MeasureTableTextItalic"/>
            </w:pPr>
            <w:r>
              <w:t>Legislative reference:</w:t>
            </w:r>
          </w:p>
        </w:tc>
        <w:tc>
          <w:tcPr>
            <w:tcW w:w="5803" w:type="dxa"/>
            <w:gridSpan w:val="8"/>
            <w:tcBorders>
              <w:top w:val="nil"/>
            </w:tcBorders>
          </w:tcPr>
          <w:p w14:paraId="617EDB5E"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107 of the </w:t>
            </w:r>
            <w:r>
              <w:rPr>
                <w:rFonts w:ascii="Arial" w:hAnsi="Arial" w:cs="Arial"/>
                <w:i/>
                <w:iCs/>
                <w:color w:val="000000"/>
                <w:sz w:val="16"/>
                <w:szCs w:val="16"/>
              </w:rPr>
              <w:t>Radiocommunications Act 1992</w:t>
            </w:r>
          </w:p>
          <w:p w14:paraId="5AB289B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and Regulation 5 of the </w:t>
            </w:r>
            <w:r>
              <w:rPr>
                <w:rFonts w:ascii="Arial" w:hAnsi="Arial" w:cs="Arial"/>
                <w:i/>
                <w:iCs/>
                <w:color w:val="000000"/>
                <w:sz w:val="16"/>
                <w:szCs w:val="16"/>
              </w:rPr>
              <w:t>Radiocommunications Taxes Collection Regulations 1985</w:t>
            </w:r>
          </w:p>
        </w:tc>
      </w:tr>
    </w:tbl>
    <w:p w14:paraId="1CD330E3" w14:textId="77777777" w:rsidR="006E40C9" w:rsidRPr="00540040" w:rsidRDefault="006E40C9" w:rsidP="006E40C9">
      <w:pPr>
        <w:pStyle w:val="MeasureTableHeading"/>
      </w:pPr>
    </w:p>
    <w:p w14:paraId="6D072B89" w14:textId="77777777" w:rsidR="006E40C9" w:rsidRDefault="006E40C9" w:rsidP="006E40C9">
      <w:r>
        <w:t>Under the benchmark, radiocommunications licenses are subject to taxes, including apparatus licences. However, an exemption from the apparatus licence fee is available to organisations or individuals who are: diplomatic and consular missions; surf lifesaving and remote area ambulance services; emergency services or services for the safe</w:t>
      </w:r>
      <w:r>
        <w:noBreakHyphen/>
        <w:t xml:space="preserve">guarding of human life – such as rural fire fighting and coast guard services. These must be staffed principally by volunteers and be exempt from paying income tax. </w:t>
      </w:r>
      <w:r>
        <w:fldChar w:fldCharType="begin"/>
      </w:r>
      <w:r>
        <w:instrText xml:space="preserve"> XE "</w:instrText>
      </w:r>
      <w:r w:rsidRPr="00377A27">
        <w:instrText>Broadcasting apparatus licence fee</w:instrText>
      </w:r>
      <w:r>
        <w:instrText xml:space="preserve">" </w:instrText>
      </w:r>
      <w:r>
        <w:fldChar w:fldCharType="end"/>
      </w:r>
      <w:r>
        <w:fldChar w:fldCharType="begin"/>
      </w:r>
      <w:r>
        <w:instrText xml:space="preserve"> XE "</w:instrText>
      </w:r>
      <w:r w:rsidRPr="002E0048">
        <w:instrText>Not</w:instrText>
      </w:r>
      <w:r>
        <w:instrText>-</w:instrText>
      </w:r>
      <w:r w:rsidRPr="002E0048">
        <w:instrText>for</w:instrText>
      </w:r>
      <w:r w:rsidRPr="002E0048">
        <w:noBreakHyphen/>
        <w:instrText xml:space="preserve">profit </w:instrText>
      </w:r>
      <w:r>
        <w:instrText xml:space="preserve">entities" </w:instrText>
      </w:r>
      <w:r>
        <w:fldChar w:fldCharType="end"/>
      </w:r>
    </w:p>
    <w:p w14:paraId="471E1404" w14:textId="77777777" w:rsidR="006E40C9" w:rsidRDefault="006E40C9" w:rsidP="00D9255A">
      <w:pPr>
        <w:pStyle w:val="TESHeading5"/>
      </w:pPr>
      <w:r>
        <w:t>F4</w:t>
      </w:r>
      <w:r>
        <w:tab/>
        <w:t>Passenger Movement Charge exemptions</w:t>
      </w:r>
    </w:p>
    <w:p w14:paraId="67F2B0FF"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A711BBB" w14:textId="77777777">
        <w:trPr>
          <w:cantSplit/>
          <w:jc w:val="center"/>
        </w:trPr>
        <w:tc>
          <w:tcPr>
            <w:tcW w:w="967" w:type="dxa"/>
            <w:tcBorders>
              <w:top w:val="single" w:sz="2" w:space="0" w:color="auto"/>
              <w:bottom w:val="single" w:sz="2" w:space="0" w:color="auto"/>
            </w:tcBorders>
          </w:tcPr>
          <w:p w14:paraId="647D14C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9316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E4170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F5474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16C5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29EB17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D0B07E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B3B3BC6" w14:textId="77777777" w:rsidR="006E40C9" w:rsidRDefault="006E40C9">
            <w:pPr>
              <w:pStyle w:val="MeasureTableTextRightAligned"/>
            </w:pPr>
            <w:r>
              <w:t>2027-28</w:t>
            </w:r>
          </w:p>
        </w:tc>
      </w:tr>
      <w:tr w:rsidR="006E40C9" w14:paraId="4CA60DE1" w14:textId="77777777">
        <w:trPr>
          <w:cantSplit/>
          <w:jc w:val="center"/>
        </w:trPr>
        <w:tc>
          <w:tcPr>
            <w:tcW w:w="967" w:type="dxa"/>
            <w:tcBorders>
              <w:top w:val="single" w:sz="2" w:space="0" w:color="auto"/>
              <w:bottom w:val="single" w:sz="2" w:space="0" w:color="auto"/>
            </w:tcBorders>
          </w:tcPr>
          <w:p w14:paraId="4041B810" w14:textId="77777777" w:rsidR="006E40C9" w:rsidRDefault="006E40C9">
            <w:pPr>
              <w:pStyle w:val="MeasureTableTextRightAligned"/>
            </w:pPr>
            <w:r>
              <w:t>40</w:t>
            </w:r>
          </w:p>
        </w:tc>
        <w:tc>
          <w:tcPr>
            <w:tcW w:w="967" w:type="dxa"/>
            <w:tcBorders>
              <w:top w:val="single" w:sz="2" w:space="0" w:color="auto"/>
              <w:bottom w:val="single" w:sz="2" w:space="0" w:color="auto"/>
            </w:tcBorders>
          </w:tcPr>
          <w:p w14:paraId="343F2391" w14:textId="77777777" w:rsidR="006E40C9" w:rsidRDefault="006E40C9">
            <w:pPr>
              <w:pStyle w:val="MeasureTableTextRightAligned"/>
            </w:pPr>
            <w:r>
              <w:t>70</w:t>
            </w:r>
          </w:p>
        </w:tc>
        <w:tc>
          <w:tcPr>
            <w:tcW w:w="967" w:type="dxa"/>
            <w:tcBorders>
              <w:top w:val="single" w:sz="2" w:space="0" w:color="auto"/>
              <w:bottom w:val="single" w:sz="2" w:space="0" w:color="auto"/>
            </w:tcBorders>
            <w:vAlign w:val="bottom"/>
          </w:tcPr>
          <w:p w14:paraId="75443EC6" w14:textId="77777777" w:rsidR="006E40C9" w:rsidRDefault="006E40C9">
            <w:pPr>
              <w:pStyle w:val="MeasureTableTextRightAligned"/>
            </w:pPr>
            <w:r>
              <w:t>160</w:t>
            </w:r>
          </w:p>
        </w:tc>
        <w:tc>
          <w:tcPr>
            <w:tcW w:w="967" w:type="dxa"/>
            <w:tcBorders>
              <w:top w:val="single" w:sz="2" w:space="0" w:color="auto"/>
              <w:bottom w:val="single" w:sz="2" w:space="0" w:color="auto"/>
            </w:tcBorders>
            <w:vAlign w:val="bottom"/>
          </w:tcPr>
          <w:p w14:paraId="56292E9C"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04EDFA1B" w14:textId="77777777" w:rsidR="006E40C9" w:rsidRDefault="006E40C9">
            <w:pPr>
              <w:pStyle w:val="MeasureTableTextRightAligned"/>
            </w:pPr>
            <w:r>
              <w:t>230</w:t>
            </w:r>
          </w:p>
        </w:tc>
        <w:tc>
          <w:tcPr>
            <w:tcW w:w="967" w:type="dxa"/>
            <w:gridSpan w:val="2"/>
            <w:tcBorders>
              <w:top w:val="single" w:sz="2" w:space="0" w:color="auto"/>
              <w:bottom w:val="single" w:sz="2" w:space="0" w:color="auto"/>
            </w:tcBorders>
            <w:vAlign w:val="bottom"/>
          </w:tcPr>
          <w:p w14:paraId="38A092B5" w14:textId="77777777" w:rsidR="006E40C9" w:rsidRDefault="006E40C9">
            <w:pPr>
              <w:pStyle w:val="MeasureTableTextRightAligned"/>
            </w:pPr>
            <w:r>
              <w:t>250</w:t>
            </w:r>
          </w:p>
        </w:tc>
        <w:tc>
          <w:tcPr>
            <w:tcW w:w="967" w:type="dxa"/>
            <w:gridSpan w:val="2"/>
            <w:tcBorders>
              <w:top w:val="single" w:sz="2" w:space="0" w:color="auto"/>
              <w:bottom w:val="single" w:sz="2" w:space="0" w:color="auto"/>
            </w:tcBorders>
            <w:vAlign w:val="bottom"/>
          </w:tcPr>
          <w:p w14:paraId="03290CBD" w14:textId="77777777" w:rsidR="006E40C9" w:rsidRDefault="006E40C9">
            <w:pPr>
              <w:pStyle w:val="MeasureTableTextRightAligned"/>
            </w:pPr>
            <w:r>
              <w:t>250</w:t>
            </w:r>
          </w:p>
        </w:tc>
        <w:tc>
          <w:tcPr>
            <w:tcW w:w="968" w:type="dxa"/>
            <w:tcBorders>
              <w:top w:val="single" w:sz="2" w:space="0" w:color="auto"/>
              <w:bottom w:val="single" w:sz="2" w:space="0" w:color="auto"/>
            </w:tcBorders>
            <w:vAlign w:val="bottom"/>
          </w:tcPr>
          <w:p w14:paraId="58DA601D" w14:textId="77777777" w:rsidR="006E40C9" w:rsidRDefault="006E40C9">
            <w:pPr>
              <w:pStyle w:val="MeasureTableTextRightAligned"/>
            </w:pPr>
            <w:r>
              <w:t>250</w:t>
            </w:r>
          </w:p>
        </w:tc>
      </w:tr>
      <w:tr w:rsidR="006E40C9" w14:paraId="20C40FC7" w14:textId="77777777">
        <w:trPr>
          <w:cantSplit/>
          <w:jc w:val="center"/>
        </w:trPr>
        <w:tc>
          <w:tcPr>
            <w:tcW w:w="1934" w:type="dxa"/>
            <w:gridSpan w:val="2"/>
            <w:tcBorders>
              <w:top w:val="single" w:sz="2" w:space="0" w:color="auto"/>
              <w:bottom w:val="nil"/>
            </w:tcBorders>
          </w:tcPr>
          <w:p w14:paraId="196F5D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05B811B" w14:textId="77777777" w:rsidR="006E40C9" w:rsidRDefault="006E40C9">
            <w:pPr>
              <w:pStyle w:val="MeasureTableTextLeftAligned"/>
            </w:pPr>
            <w:r>
              <w:t>Exemption</w:t>
            </w:r>
          </w:p>
        </w:tc>
        <w:tc>
          <w:tcPr>
            <w:tcW w:w="1500" w:type="dxa"/>
            <w:gridSpan w:val="2"/>
            <w:tcBorders>
              <w:top w:val="single" w:sz="2" w:space="0" w:color="auto"/>
              <w:bottom w:val="nil"/>
            </w:tcBorders>
          </w:tcPr>
          <w:p w14:paraId="3174C7BE" w14:textId="1276BE0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81FA32E" w14:textId="77777777" w:rsidR="006E40C9" w:rsidRDefault="006E40C9">
            <w:pPr>
              <w:pStyle w:val="MeasureTableTextLeftAligned"/>
            </w:pPr>
            <w:r>
              <w:t>F4</w:t>
            </w:r>
          </w:p>
        </w:tc>
      </w:tr>
      <w:tr w:rsidR="006E40C9" w14:paraId="49C50D89" w14:textId="77777777">
        <w:trPr>
          <w:cantSplit/>
          <w:jc w:val="center"/>
        </w:trPr>
        <w:tc>
          <w:tcPr>
            <w:tcW w:w="1934" w:type="dxa"/>
            <w:gridSpan w:val="2"/>
            <w:tcBorders>
              <w:top w:val="nil"/>
              <w:bottom w:val="nil"/>
            </w:tcBorders>
          </w:tcPr>
          <w:p w14:paraId="1C9E06A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571374F" w14:textId="31D05C97"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1363D653" w14:textId="77777777" w:rsidR="006E40C9" w:rsidRDefault="006E40C9">
            <w:pPr>
              <w:pStyle w:val="MeasureTableTextItalic"/>
            </w:pPr>
          </w:p>
        </w:tc>
        <w:tc>
          <w:tcPr>
            <w:tcW w:w="1124" w:type="dxa"/>
            <w:gridSpan w:val="2"/>
            <w:tcBorders>
              <w:top w:val="nil"/>
              <w:bottom w:val="nil"/>
            </w:tcBorders>
          </w:tcPr>
          <w:p w14:paraId="7821F51B" w14:textId="77777777" w:rsidR="006E40C9" w:rsidRDefault="006E40C9">
            <w:pPr>
              <w:pStyle w:val="MeasureTableTextLeftAligned"/>
            </w:pPr>
          </w:p>
        </w:tc>
      </w:tr>
      <w:tr w:rsidR="006E40C9" w14:paraId="016EB7DF" w14:textId="77777777">
        <w:trPr>
          <w:cantSplit/>
          <w:jc w:val="center"/>
        </w:trPr>
        <w:tc>
          <w:tcPr>
            <w:tcW w:w="1934" w:type="dxa"/>
            <w:gridSpan w:val="2"/>
            <w:tcBorders>
              <w:top w:val="nil"/>
              <w:bottom w:val="nil"/>
            </w:tcBorders>
          </w:tcPr>
          <w:p w14:paraId="27A51D02" w14:textId="77777777" w:rsidR="006E40C9" w:rsidRDefault="006E40C9">
            <w:pPr>
              <w:pStyle w:val="MeasureTableTextItalic"/>
            </w:pPr>
            <w:r>
              <w:t>Commencement date:</w:t>
            </w:r>
          </w:p>
        </w:tc>
        <w:tc>
          <w:tcPr>
            <w:tcW w:w="3179" w:type="dxa"/>
            <w:gridSpan w:val="4"/>
            <w:tcBorders>
              <w:top w:val="nil"/>
              <w:bottom w:val="nil"/>
            </w:tcBorders>
          </w:tcPr>
          <w:p w14:paraId="0456A036" w14:textId="77777777" w:rsidR="006E40C9" w:rsidRDefault="006E40C9">
            <w:pPr>
              <w:pStyle w:val="MeasureTableTextLeftAligned"/>
            </w:pPr>
            <w:r>
              <w:t>Introduced before 1985</w:t>
            </w:r>
          </w:p>
        </w:tc>
        <w:tc>
          <w:tcPr>
            <w:tcW w:w="1500" w:type="dxa"/>
            <w:gridSpan w:val="2"/>
            <w:tcBorders>
              <w:top w:val="nil"/>
              <w:bottom w:val="nil"/>
            </w:tcBorders>
          </w:tcPr>
          <w:p w14:paraId="0A4CD9DD" w14:textId="77777777" w:rsidR="006E40C9" w:rsidRPr="00F32057" w:rsidRDefault="006E40C9">
            <w:pPr>
              <w:pStyle w:val="MeasureTableTextItalic"/>
            </w:pPr>
            <w:r>
              <w:t>Expiry date:</w:t>
            </w:r>
          </w:p>
        </w:tc>
        <w:tc>
          <w:tcPr>
            <w:tcW w:w="1124" w:type="dxa"/>
            <w:gridSpan w:val="2"/>
            <w:tcBorders>
              <w:top w:val="nil"/>
              <w:bottom w:val="nil"/>
            </w:tcBorders>
          </w:tcPr>
          <w:p w14:paraId="414EA723" w14:textId="77777777" w:rsidR="006E40C9" w:rsidRPr="00F32057" w:rsidRDefault="006E40C9">
            <w:pPr>
              <w:pStyle w:val="MeasureTableTextLeftAligned"/>
            </w:pPr>
          </w:p>
        </w:tc>
      </w:tr>
      <w:tr w:rsidR="006E40C9" w14:paraId="39A7293F" w14:textId="77777777">
        <w:trPr>
          <w:cantSplit/>
          <w:jc w:val="center"/>
        </w:trPr>
        <w:tc>
          <w:tcPr>
            <w:tcW w:w="1934" w:type="dxa"/>
            <w:gridSpan w:val="2"/>
            <w:tcBorders>
              <w:top w:val="nil"/>
            </w:tcBorders>
          </w:tcPr>
          <w:p w14:paraId="0F908470" w14:textId="77777777" w:rsidR="006E40C9" w:rsidRDefault="006E40C9">
            <w:pPr>
              <w:pStyle w:val="MeasureTableTextItalic"/>
            </w:pPr>
            <w:r>
              <w:t>Legislative reference:</w:t>
            </w:r>
          </w:p>
        </w:tc>
        <w:tc>
          <w:tcPr>
            <w:tcW w:w="5803" w:type="dxa"/>
            <w:gridSpan w:val="8"/>
            <w:tcBorders>
              <w:top w:val="nil"/>
            </w:tcBorders>
          </w:tcPr>
          <w:p w14:paraId="3635666D"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 of the </w:t>
            </w:r>
            <w:r>
              <w:rPr>
                <w:rFonts w:ascii="Arial" w:hAnsi="Arial" w:cs="Arial"/>
                <w:i/>
                <w:iCs/>
                <w:color w:val="000000"/>
                <w:sz w:val="16"/>
                <w:szCs w:val="16"/>
              </w:rPr>
              <w:t>Passenger Movement Charge Collection Act 1978</w:t>
            </w:r>
          </w:p>
        </w:tc>
      </w:tr>
    </w:tbl>
    <w:p w14:paraId="5CE6162C" w14:textId="77777777" w:rsidR="006E40C9" w:rsidRPr="00540040" w:rsidRDefault="006E40C9" w:rsidP="006E40C9">
      <w:pPr>
        <w:pStyle w:val="MeasureTableHeading"/>
      </w:pPr>
    </w:p>
    <w:p w14:paraId="01ED9059" w14:textId="77777777" w:rsidR="006E40C9" w:rsidRDefault="006E40C9" w:rsidP="006E40C9">
      <w:r>
        <w:t>The benchmark treatment is that a flat Passenger Movement Charge is imposed on persons upon their departure from Australia. However, certain persons are exempt from the Passenger Movement Charge including foreign diplomats, children and outbound crew</w:t>
      </w:r>
      <w:r>
        <w:fldChar w:fldCharType="begin"/>
      </w:r>
      <w:r>
        <w:instrText xml:space="preserve"> XE "Passenger Movement Charge" </w:instrText>
      </w:r>
      <w:r>
        <w:fldChar w:fldCharType="end"/>
      </w:r>
      <w:r>
        <w:t xml:space="preserve">. </w:t>
      </w:r>
    </w:p>
    <w:p w14:paraId="11C74B33" w14:textId="77777777" w:rsidR="006E40C9" w:rsidRDefault="006E40C9" w:rsidP="00D9255A">
      <w:pPr>
        <w:pStyle w:val="TESHeading5"/>
      </w:pPr>
      <w:r>
        <w:t>F5</w:t>
      </w:r>
      <w:r>
        <w:tab/>
        <w:t>Luxury car tax</w:t>
      </w:r>
    </w:p>
    <w:p w14:paraId="259CA518" w14:textId="4C9A4FA4"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8D9657A" w14:textId="77777777">
        <w:trPr>
          <w:cantSplit/>
          <w:jc w:val="center"/>
        </w:trPr>
        <w:tc>
          <w:tcPr>
            <w:tcW w:w="967" w:type="dxa"/>
            <w:tcBorders>
              <w:top w:val="single" w:sz="2" w:space="0" w:color="auto"/>
              <w:bottom w:val="single" w:sz="2" w:space="0" w:color="auto"/>
            </w:tcBorders>
          </w:tcPr>
          <w:p w14:paraId="057651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72A156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83D92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12F5523"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E1E5A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832F0A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5474C7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B4CB570" w14:textId="77777777" w:rsidR="006E40C9" w:rsidRDefault="006E40C9">
            <w:pPr>
              <w:pStyle w:val="MeasureTableTextRightAligned"/>
            </w:pPr>
            <w:r>
              <w:t>2027-28</w:t>
            </w:r>
          </w:p>
        </w:tc>
      </w:tr>
      <w:tr w:rsidR="006E40C9" w14:paraId="210523B8" w14:textId="77777777">
        <w:trPr>
          <w:cantSplit/>
          <w:jc w:val="center"/>
        </w:trPr>
        <w:tc>
          <w:tcPr>
            <w:tcW w:w="967" w:type="dxa"/>
            <w:tcBorders>
              <w:top w:val="single" w:sz="2" w:space="0" w:color="auto"/>
              <w:bottom w:val="single" w:sz="2" w:space="0" w:color="auto"/>
            </w:tcBorders>
          </w:tcPr>
          <w:p w14:paraId="1716C05B" w14:textId="04574D52" w:rsidR="006E40C9" w:rsidRDefault="006E40C9">
            <w:pPr>
              <w:pStyle w:val="MeasureTableTextRightAligned"/>
            </w:pPr>
            <w:r>
              <w:t>-900</w:t>
            </w:r>
          </w:p>
        </w:tc>
        <w:tc>
          <w:tcPr>
            <w:tcW w:w="967" w:type="dxa"/>
            <w:tcBorders>
              <w:top w:val="single" w:sz="2" w:space="0" w:color="auto"/>
              <w:bottom w:val="single" w:sz="2" w:space="0" w:color="auto"/>
            </w:tcBorders>
          </w:tcPr>
          <w:p w14:paraId="5EDE1E07" w14:textId="15DFDD3A" w:rsidR="006E40C9" w:rsidRDefault="006E40C9">
            <w:pPr>
              <w:pStyle w:val="MeasureTableTextRightAligned"/>
            </w:pPr>
            <w:r>
              <w:t>-963</w:t>
            </w:r>
          </w:p>
        </w:tc>
        <w:tc>
          <w:tcPr>
            <w:tcW w:w="967" w:type="dxa"/>
            <w:tcBorders>
              <w:top w:val="single" w:sz="2" w:space="0" w:color="auto"/>
              <w:bottom w:val="single" w:sz="2" w:space="0" w:color="auto"/>
            </w:tcBorders>
            <w:vAlign w:val="bottom"/>
          </w:tcPr>
          <w:p w14:paraId="0A32CA83" w14:textId="43425AB2" w:rsidR="006E40C9" w:rsidRDefault="006E40C9">
            <w:pPr>
              <w:pStyle w:val="MeasureTableTextRightAligned"/>
            </w:pPr>
            <w:r>
              <w:t>-1,187</w:t>
            </w:r>
          </w:p>
        </w:tc>
        <w:tc>
          <w:tcPr>
            <w:tcW w:w="967" w:type="dxa"/>
            <w:tcBorders>
              <w:top w:val="single" w:sz="2" w:space="0" w:color="auto"/>
              <w:bottom w:val="single" w:sz="2" w:space="0" w:color="auto"/>
            </w:tcBorders>
            <w:vAlign w:val="bottom"/>
          </w:tcPr>
          <w:p w14:paraId="598FC081" w14:textId="010BD16A" w:rsidR="006E40C9" w:rsidRDefault="006E40C9">
            <w:pPr>
              <w:pStyle w:val="MeasureTableTextRightAligned"/>
            </w:pPr>
            <w:r>
              <w:t>-1,</w:t>
            </w:r>
            <w:r w:rsidR="00C953D8">
              <w:t>230</w:t>
            </w:r>
          </w:p>
        </w:tc>
        <w:tc>
          <w:tcPr>
            <w:tcW w:w="967" w:type="dxa"/>
            <w:tcBorders>
              <w:top w:val="single" w:sz="2" w:space="0" w:color="auto"/>
              <w:bottom w:val="single" w:sz="2" w:space="0" w:color="auto"/>
            </w:tcBorders>
            <w:vAlign w:val="bottom"/>
          </w:tcPr>
          <w:p w14:paraId="7AD9088D" w14:textId="23E0F528" w:rsidR="006E40C9" w:rsidRDefault="006E40C9">
            <w:pPr>
              <w:pStyle w:val="MeasureTableTextRightAligned"/>
            </w:pPr>
            <w:r>
              <w:t>-1,1</w:t>
            </w:r>
            <w:r w:rsidR="00C953D8">
              <w:t>7</w:t>
            </w:r>
            <w:r>
              <w:t>0</w:t>
            </w:r>
          </w:p>
        </w:tc>
        <w:tc>
          <w:tcPr>
            <w:tcW w:w="967" w:type="dxa"/>
            <w:gridSpan w:val="2"/>
            <w:tcBorders>
              <w:top w:val="single" w:sz="2" w:space="0" w:color="auto"/>
              <w:bottom w:val="single" w:sz="2" w:space="0" w:color="auto"/>
            </w:tcBorders>
            <w:vAlign w:val="bottom"/>
          </w:tcPr>
          <w:p w14:paraId="7329F471" w14:textId="2119D7AD" w:rsidR="006E40C9" w:rsidRDefault="006E40C9">
            <w:pPr>
              <w:pStyle w:val="MeasureTableTextRightAligned"/>
            </w:pPr>
            <w:r>
              <w:t>-1,2</w:t>
            </w:r>
            <w:r w:rsidR="00C953D8">
              <w:t>1</w:t>
            </w:r>
            <w:r>
              <w:t>0</w:t>
            </w:r>
          </w:p>
        </w:tc>
        <w:tc>
          <w:tcPr>
            <w:tcW w:w="967" w:type="dxa"/>
            <w:gridSpan w:val="2"/>
            <w:tcBorders>
              <w:top w:val="single" w:sz="2" w:space="0" w:color="auto"/>
              <w:bottom w:val="single" w:sz="2" w:space="0" w:color="auto"/>
            </w:tcBorders>
            <w:vAlign w:val="bottom"/>
          </w:tcPr>
          <w:p w14:paraId="2B93908F" w14:textId="0982C52B" w:rsidR="006E40C9" w:rsidRDefault="006E40C9">
            <w:pPr>
              <w:pStyle w:val="MeasureTableTextRightAligned"/>
            </w:pPr>
            <w:r>
              <w:t>-1,2</w:t>
            </w:r>
            <w:r w:rsidR="00C953D8">
              <w:t>8</w:t>
            </w:r>
            <w:r>
              <w:t>0</w:t>
            </w:r>
          </w:p>
        </w:tc>
        <w:tc>
          <w:tcPr>
            <w:tcW w:w="968" w:type="dxa"/>
            <w:tcBorders>
              <w:top w:val="single" w:sz="2" w:space="0" w:color="auto"/>
              <w:bottom w:val="single" w:sz="2" w:space="0" w:color="auto"/>
            </w:tcBorders>
            <w:vAlign w:val="bottom"/>
          </w:tcPr>
          <w:p w14:paraId="571D7B04" w14:textId="2AD53D6B" w:rsidR="006E40C9" w:rsidRDefault="006E40C9">
            <w:pPr>
              <w:pStyle w:val="MeasureTableTextRightAligned"/>
            </w:pPr>
            <w:r>
              <w:t>-1,330</w:t>
            </w:r>
          </w:p>
        </w:tc>
      </w:tr>
      <w:tr w:rsidR="006E40C9" w14:paraId="6DDCBFA8" w14:textId="77777777">
        <w:trPr>
          <w:cantSplit/>
          <w:jc w:val="center"/>
        </w:trPr>
        <w:tc>
          <w:tcPr>
            <w:tcW w:w="1934" w:type="dxa"/>
            <w:gridSpan w:val="2"/>
            <w:tcBorders>
              <w:top w:val="single" w:sz="2" w:space="0" w:color="auto"/>
              <w:bottom w:val="nil"/>
            </w:tcBorders>
          </w:tcPr>
          <w:p w14:paraId="5D38067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5CB4AF"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048C72EC" w14:textId="4391C12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2176F1" w14:textId="77777777" w:rsidR="006E40C9" w:rsidRDefault="006E40C9">
            <w:pPr>
              <w:pStyle w:val="MeasureTableTextLeftAligned"/>
            </w:pPr>
            <w:r>
              <w:t>F5</w:t>
            </w:r>
          </w:p>
        </w:tc>
      </w:tr>
      <w:tr w:rsidR="006E40C9" w14:paraId="29A327B7" w14:textId="77777777">
        <w:trPr>
          <w:cantSplit/>
          <w:jc w:val="center"/>
        </w:trPr>
        <w:tc>
          <w:tcPr>
            <w:tcW w:w="1934" w:type="dxa"/>
            <w:gridSpan w:val="2"/>
            <w:tcBorders>
              <w:top w:val="nil"/>
              <w:bottom w:val="nil"/>
            </w:tcBorders>
          </w:tcPr>
          <w:p w14:paraId="48B1948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9AF818" w14:textId="77777777" w:rsidR="006E40C9" w:rsidRPr="00584CA7" w:rsidRDefault="006E40C9">
            <w:pPr>
              <w:pStyle w:val="MeasureTableTextLeftAligned"/>
            </w:pPr>
            <w:r>
              <w:t>Medium</w:t>
            </w:r>
          </w:p>
        </w:tc>
        <w:tc>
          <w:tcPr>
            <w:tcW w:w="1500" w:type="dxa"/>
            <w:gridSpan w:val="2"/>
            <w:tcBorders>
              <w:top w:val="nil"/>
              <w:bottom w:val="nil"/>
            </w:tcBorders>
          </w:tcPr>
          <w:p w14:paraId="572CABC0" w14:textId="77777777" w:rsidR="006E40C9" w:rsidRDefault="006E40C9">
            <w:pPr>
              <w:pStyle w:val="MeasureTableTextItalic"/>
            </w:pPr>
          </w:p>
        </w:tc>
        <w:tc>
          <w:tcPr>
            <w:tcW w:w="1124" w:type="dxa"/>
            <w:gridSpan w:val="2"/>
            <w:tcBorders>
              <w:top w:val="nil"/>
              <w:bottom w:val="nil"/>
            </w:tcBorders>
          </w:tcPr>
          <w:p w14:paraId="67C5C854" w14:textId="77777777" w:rsidR="006E40C9" w:rsidRDefault="006E40C9">
            <w:pPr>
              <w:pStyle w:val="MeasureTableTextLeftAligned"/>
            </w:pPr>
          </w:p>
        </w:tc>
      </w:tr>
      <w:tr w:rsidR="006E40C9" w14:paraId="2E86BCDB" w14:textId="77777777">
        <w:trPr>
          <w:cantSplit/>
          <w:jc w:val="center"/>
        </w:trPr>
        <w:tc>
          <w:tcPr>
            <w:tcW w:w="1934" w:type="dxa"/>
            <w:gridSpan w:val="2"/>
            <w:tcBorders>
              <w:top w:val="nil"/>
              <w:bottom w:val="nil"/>
            </w:tcBorders>
          </w:tcPr>
          <w:p w14:paraId="73377237" w14:textId="77777777" w:rsidR="006E40C9" w:rsidRDefault="006E40C9">
            <w:pPr>
              <w:pStyle w:val="MeasureTableTextItalic"/>
            </w:pPr>
            <w:r>
              <w:t>Commencement date:</w:t>
            </w:r>
          </w:p>
        </w:tc>
        <w:tc>
          <w:tcPr>
            <w:tcW w:w="3179" w:type="dxa"/>
            <w:gridSpan w:val="4"/>
            <w:tcBorders>
              <w:top w:val="nil"/>
              <w:bottom w:val="nil"/>
            </w:tcBorders>
          </w:tcPr>
          <w:p w14:paraId="3125A6E9" w14:textId="77777777" w:rsidR="006E40C9" w:rsidRDefault="006E40C9">
            <w:pPr>
              <w:pStyle w:val="MeasureTableTextLeftAligned"/>
            </w:pPr>
            <w:r>
              <w:t>1 July 2000</w:t>
            </w:r>
          </w:p>
        </w:tc>
        <w:tc>
          <w:tcPr>
            <w:tcW w:w="1500" w:type="dxa"/>
            <w:gridSpan w:val="2"/>
            <w:tcBorders>
              <w:top w:val="nil"/>
              <w:bottom w:val="nil"/>
            </w:tcBorders>
          </w:tcPr>
          <w:p w14:paraId="0C810719" w14:textId="77777777" w:rsidR="006E40C9" w:rsidRPr="00F32057" w:rsidRDefault="006E40C9">
            <w:pPr>
              <w:pStyle w:val="MeasureTableTextItalic"/>
            </w:pPr>
            <w:r>
              <w:t>Expiry date:</w:t>
            </w:r>
          </w:p>
        </w:tc>
        <w:tc>
          <w:tcPr>
            <w:tcW w:w="1124" w:type="dxa"/>
            <w:gridSpan w:val="2"/>
            <w:tcBorders>
              <w:top w:val="nil"/>
              <w:bottom w:val="nil"/>
            </w:tcBorders>
          </w:tcPr>
          <w:p w14:paraId="4CFA0460" w14:textId="77777777" w:rsidR="006E40C9" w:rsidRPr="00F32057" w:rsidRDefault="006E40C9">
            <w:pPr>
              <w:pStyle w:val="MeasureTableTextLeftAligned"/>
            </w:pPr>
          </w:p>
        </w:tc>
      </w:tr>
      <w:tr w:rsidR="006E40C9" w14:paraId="644F9EFA" w14:textId="77777777">
        <w:trPr>
          <w:cantSplit/>
          <w:jc w:val="center"/>
        </w:trPr>
        <w:tc>
          <w:tcPr>
            <w:tcW w:w="1934" w:type="dxa"/>
            <w:gridSpan w:val="2"/>
            <w:tcBorders>
              <w:top w:val="nil"/>
            </w:tcBorders>
          </w:tcPr>
          <w:p w14:paraId="0207D935" w14:textId="77777777" w:rsidR="006E40C9" w:rsidRDefault="006E40C9">
            <w:pPr>
              <w:pStyle w:val="MeasureTableTextItalic"/>
            </w:pPr>
            <w:r>
              <w:t>Legislative reference:</w:t>
            </w:r>
          </w:p>
        </w:tc>
        <w:tc>
          <w:tcPr>
            <w:tcW w:w="5803" w:type="dxa"/>
            <w:gridSpan w:val="8"/>
            <w:tcBorders>
              <w:top w:val="nil"/>
            </w:tcBorders>
          </w:tcPr>
          <w:p w14:paraId="022469D9"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Act 1999</w:t>
            </w:r>
          </w:p>
          <w:p w14:paraId="49FD6806"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Imposition-General) Act 1999</w:t>
            </w:r>
          </w:p>
          <w:p w14:paraId="198C95E1"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A New Tax System (Luxury Car Tax Imposition-Customs) Act 1999</w:t>
            </w:r>
          </w:p>
          <w:p w14:paraId="415E938F"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A New Tax System (Luxury Car Tax Imposition-Excise) Act 1999</w:t>
            </w:r>
          </w:p>
        </w:tc>
      </w:tr>
    </w:tbl>
    <w:p w14:paraId="5D92C857" w14:textId="77777777" w:rsidR="006E40C9" w:rsidRPr="00540040" w:rsidRDefault="006E40C9" w:rsidP="006E40C9">
      <w:pPr>
        <w:pStyle w:val="MeasureTableHeading"/>
      </w:pPr>
    </w:p>
    <w:p w14:paraId="631CA48B" w14:textId="0045D6A0" w:rsidR="006E40C9" w:rsidRDefault="006E40C9" w:rsidP="006E40C9">
      <w:r>
        <w:t>The benchmark tax treatment is that purchases of new motor vehicles are only subject to the GST at the rate of 10 per cent. However, the luxury car tax also applies to purchases of most motor vehicles that have a GST</w:t>
      </w:r>
      <w:r>
        <w:noBreakHyphen/>
        <w:t>inclusive value above the relevant luxury car tax threshold: currently, $91,387 for fuel</w:t>
      </w:r>
      <w:r>
        <w:noBreakHyphen/>
        <w:t>efficient vehicles and $80,567 for other vehicles. The luxury car tax is imposed at the rate of 33 per cent on the GST</w:t>
      </w:r>
      <w:r>
        <w:noBreakHyphen/>
        <w:t xml:space="preserve">inclusive value above the luxury car tax threshold, less an adjustment for GST. The luxury car tax is a negative tax </w:t>
      </w:r>
      <w:r w:rsidR="0052518E">
        <w:t>expenditure</w:t>
      </w:r>
      <w:r>
        <w:t>.</w:t>
      </w:r>
      <w:r>
        <w:fldChar w:fldCharType="begin"/>
      </w:r>
      <w:r>
        <w:instrText xml:space="preserve"> XE "Luxury Cars" </w:instrText>
      </w:r>
      <w:r>
        <w:fldChar w:fldCharType="end"/>
      </w:r>
    </w:p>
    <w:p w14:paraId="5CE15AC3" w14:textId="77777777" w:rsidR="006E40C9" w:rsidRDefault="006E40C9" w:rsidP="006E40C9">
      <w:r>
        <w:t xml:space="preserve">The purchase of certain vehicles is not subject to luxury car tax, including: motor homes, campervans, emergency vehicles, and commercial vehicles not designed mainly for carrying passengers. Also, vehicles that are imported by endorsed public institutions for the sole purpose of public display are not subject to luxury car tax. Capped refunds of the luxury car tax paid are also available to primary producers and tourism operators when eligible vehicles are purchased. </w:t>
      </w:r>
    </w:p>
    <w:p w14:paraId="4C63C4C1" w14:textId="77777777" w:rsidR="006E40C9" w:rsidRDefault="006E40C9" w:rsidP="006E40C9">
      <w:pPr>
        <w:pStyle w:val="Heading4"/>
      </w:pPr>
      <w:r>
        <w:t>Fuel</w:t>
      </w:r>
    </w:p>
    <w:p w14:paraId="2A7FF8C1" w14:textId="77777777" w:rsidR="006E40C9" w:rsidRDefault="006E40C9" w:rsidP="00D9255A">
      <w:pPr>
        <w:pStyle w:val="TESHeading5"/>
      </w:pPr>
      <w:r>
        <w:t>F6</w:t>
      </w:r>
      <w:r>
        <w:tab/>
        <w:t>Concessional rate of excise levied on aviation gasoline and aviation turbine fuel</w:t>
      </w:r>
    </w:p>
    <w:p w14:paraId="0A76D963"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2C0870F" w14:textId="77777777">
        <w:trPr>
          <w:cantSplit/>
          <w:jc w:val="center"/>
        </w:trPr>
        <w:tc>
          <w:tcPr>
            <w:tcW w:w="967" w:type="dxa"/>
            <w:tcBorders>
              <w:top w:val="single" w:sz="2" w:space="0" w:color="auto"/>
              <w:bottom w:val="single" w:sz="2" w:space="0" w:color="auto"/>
            </w:tcBorders>
          </w:tcPr>
          <w:p w14:paraId="0C7E533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54ABA1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D314F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2D95D6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7E0AE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19CEB6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FF64E5"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CE91EA" w14:textId="77777777" w:rsidR="006E40C9" w:rsidRDefault="006E40C9">
            <w:pPr>
              <w:pStyle w:val="MeasureTableTextRightAligned"/>
            </w:pPr>
            <w:r>
              <w:t>2027-28</w:t>
            </w:r>
          </w:p>
        </w:tc>
      </w:tr>
      <w:tr w:rsidR="006E40C9" w14:paraId="06D1985C" w14:textId="77777777">
        <w:trPr>
          <w:cantSplit/>
          <w:jc w:val="center"/>
        </w:trPr>
        <w:tc>
          <w:tcPr>
            <w:tcW w:w="967" w:type="dxa"/>
            <w:tcBorders>
              <w:top w:val="single" w:sz="2" w:space="0" w:color="auto"/>
              <w:bottom w:val="single" w:sz="2" w:space="0" w:color="auto"/>
            </w:tcBorders>
          </w:tcPr>
          <w:p w14:paraId="5F0A4E79" w14:textId="77777777" w:rsidR="006E40C9" w:rsidRDefault="006E40C9">
            <w:pPr>
              <w:pStyle w:val="MeasureTableTextRightAligned"/>
            </w:pPr>
            <w:r>
              <w:t>760</w:t>
            </w:r>
          </w:p>
        </w:tc>
        <w:tc>
          <w:tcPr>
            <w:tcW w:w="967" w:type="dxa"/>
            <w:tcBorders>
              <w:top w:val="single" w:sz="2" w:space="0" w:color="auto"/>
              <w:bottom w:val="single" w:sz="2" w:space="0" w:color="auto"/>
            </w:tcBorders>
          </w:tcPr>
          <w:p w14:paraId="297153E5" w14:textId="77777777" w:rsidR="006E40C9" w:rsidRDefault="006E40C9">
            <w:pPr>
              <w:pStyle w:val="MeasureTableTextRightAligned"/>
            </w:pPr>
            <w:r>
              <w:t>950</w:t>
            </w:r>
          </w:p>
        </w:tc>
        <w:tc>
          <w:tcPr>
            <w:tcW w:w="967" w:type="dxa"/>
            <w:tcBorders>
              <w:top w:val="single" w:sz="2" w:space="0" w:color="auto"/>
              <w:bottom w:val="single" w:sz="2" w:space="0" w:color="auto"/>
            </w:tcBorders>
            <w:vAlign w:val="bottom"/>
          </w:tcPr>
          <w:p w14:paraId="7BAC4D28" w14:textId="77777777" w:rsidR="006E40C9" w:rsidRDefault="006E40C9">
            <w:pPr>
              <w:pStyle w:val="MeasureTableTextRightAligned"/>
            </w:pPr>
            <w:r>
              <w:t>1,470</w:t>
            </w:r>
          </w:p>
        </w:tc>
        <w:tc>
          <w:tcPr>
            <w:tcW w:w="967" w:type="dxa"/>
            <w:tcBorders>
              <w:top w:val="single" w:sz="2" w:space="0" w:color="auto"/>
              <w:bottom w:val="single" w:sz="2" w:space="0" w:color="auto"/>
            </w:tcBorders>
            <w:vAlign w:val="bottom"/>
          </w:tcPr>
          <w:p w14:paraId="1C18F6FD" w14:textId="77777777" w:rsidR="006E40C9" w:rsidRDefault="006E40C9">
            <w:pPr>
              <w:pStyle w:val="MeasureTableTextRightAligned"/>
            </w:pPr>
            <w:r>
              <w:t>1,590</w:t>
            </w:r>
          </w:p>
        </w:tc>
        <w:tc>
          <w:tcPr>
            <w:tcW w:w="967" w:type="dxa"/>
            <w:tcBorders>
              <w:top w:val="single" w:sz="2" w:space="0" w:color="auto"/>
              <w:bottom w:val="single" w:sz="2" w:space="0" w:color="auto"/>
            </w:tcBorders>
            <w:vAlign w:val="bottom"/>
          </w:tcPr>
          <w:p w14:paraId="04C7FA57"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06DB9873" w14:textId="77777777" w:rsidR="006E40C9" w:rsidRDefault="006E40C9">
            <w:pPr>
              <w:pStyle w:val="MeasureTableTextRightAligned"/>
            </w:pPr>
            <w:r>
              <w:t>1,770</w:t>
            </w:r>
          </w:p>
        </w:tc>
        <w:tc>
          <w:tcPr>
            <w:tcW w:w="967" w:type="dxa"/>
            <w:gridSpan w:val="2"/>
            <w:tcBorders>
              <w:top w:val="single" w:sz="2" w:space="0" w:color="auto"/>
              <w:bottom w:val="single" w:sz="2" w:space="0" w:color="auto"/>
            </w:tcBorders>
            <w:vAlign w:val="bottom"/>
          </w:tcPr>
          <w:p w14:paraId="31743A23" w14:textId="77777777" w:rsidR="006E40C9" w:rsidRDefault="006E40C9">
            <w:pPr>
              <w:pStyle w:val="MeasureTableTextRightAligned"/>
            </w:pPr>
            <w:r>
              <w:t>1,890</w:t>
            </w:r>
          </w:p>
        </w:tc>
        <w:tc>
          <w:tcPr>
            <w:tcW w:w="968" w:type="dxa"/>
            <w:tcBorders>
              <w:top w:val="single" w:sz="2" w:space="0" w:color="auto"/>
              <w:bottom w:val="single" w:sz="2" w:space="0" w:color="auto"/>
            </w:tcBorders>
            <w:vAlign w:val="bottom"/>
          </w:tcPr>
          <w:p w14:paraId="52E719B2" w14:textId="77777777" w:rsidR="006E40C9" w:rsidRDefault="006E40C9">
            <w:pPr>
              <w:pStyle w:val="MeasureTableTextRightAligned"/>
            </w:pPr>
            <w:r>
              <w:t>2,010</w:t>
            </w:r>
          </w:p>
        </w:tc>
      </w:tr>
      <w:tr w:rsidR="006E40C9" w14:paraId="2D82AD5D" w14:textId="77777777">
        <w:trPr>
          <w:cantSplit/>
          <w:jc w:val="center"/>
        </w:trPr>
        <w:tc>
          <w:tcPr>
            <w:tcW w:w="1934" w:type="dxa"/>
            <w:gridSpan w:val="2"/>
            <w:tcBorders>
              <w:top w:val="single" w:sz="2" w:space="0" w:color="auto"/>
              <w:bottom w:val="nil"/>
            </w:tcBorders>
          </w:tcPr>
          <w:p w14:paraId="31CEBAF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E782C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68FE49A" w14:textId="4A09C5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941D484" w14:textId="77777777" w:rsidR="006E40C9" w:rsidRDefault="006E40C9">
            <w:pPr>
              <w:pStyle w:val="MeasureTableTextLeftAligned"/>
            </w:pPr>
            <w:r>
              <w:t>F6</w:t>
            </w:r>
          </w:p>
        </w:tc>
      </w:tr>
      <w:tr w:rsidR="006E40C9" w14:paraId="3C62EB7D" w14:textId="77777777">
        <w:trPr>
          <w:cantSplit/>
          <w:jc w:val="center"/>
        </w:trPr>
        <w:tc>
          <w:tcPr>
            <w:tcW w:w="1934" w:type="dxa"/>
            <w:gridSpan w:val="2"/>
            <w:tcBorders>
              <w:top w:val="nil"/>
              <w:bottom w:val="nil"/>
            </w:tcBorders>
          </w:tcPr>
          <w:p w14:paraId="0941815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0C5F38" w14:textId="77777777" w:rsidR="006E40C9" w:rsidRPr="00584CA7" w:rsidRDefault="006E40C9">
            <w:pPr>
              <w:pStyle w:val="MeasureTableTextLeftAligned"/>
            </w:pPr>
            <w:r>
              <w:t>Medium</w:t>
            </w:r>
          </w:p>
        </w:tc>
        <w:tc>
          <w:tcPr>
            <w:tcW w:w="1500" w:type="dxa"/>
            <w:gridSpan w:val="2"/>
            <w:tcBorders>
              <w:top w:val="nil"/>
              <w:bottom w:val="nil"/>
            </w:tcBorders>
          </w:tcPr>
          <w:p w14:paraId="42ADB50B" w14:textId="77777777" w:rsidR="006E40C9" w:rsidRDefault="006E40C9">
            <w:pPr>
              <w:pStyle w:val="MeasureTableTextItalic"/>
            </w:pPr>
          </w:p>
        </w:tc>
        <w:tc>
          <w:tcPr>
            <w:tcW w:w="1124" w:type="dxa"/>
            <w:gridSpan w:val="2"/>
            <w:tcBorders>
              <w:top w:val="nil"/>
              <w:bottom w:val="nil"/>
            </w:tcBorders>
          </w:tcPr>
          <w:p w14:paraId="1D074EB3" w14:textId="77777777" w:rsidR="006E40C9" w:rsidRDefault="006E40C9">
            <w:pPr>
              <w:pStyle w:val="MeasureTableTextLeftAligned"/>
            </w:pPr>
          </w:p>
        </w:tc>
      </w:tr>
      <w:tr w:rsidR="006E40C9" w14:paraId="67DE7FBC" w14:textId="77777777">
        <w:trPr>
          <w:cantSplit/>
          <w:jc w:val="center"/>
        </w:trPr>
        <w:tc>
          <w:tcPr>
            <w:tcW w:w="1934" w:type="dxa"/>
            <w:gridSpan w:val="2"/>
            <w:tcBorders>
              <w:top w:val="nil"/>
              <w:bottom w:val="nil"/>
            </w:tcBorders>
          </w:tcPr>
          <w:p w14:paraId="39F0F8AC" w14:textId="77777777" w:rsidR="006E40C9" w:rsidRDefault="006E40C9">
            <w:pPr>
              <w:pStyle w:val="MeasureTableTextItalic"/>
            </w:pPr>
            <w:r>
              <w:t>Commencement date:</w:t>
            </w:r>
          </w:p>
        </w:tc>
        <w:tc>
          <w:tcPr>
            <w:tcW w:w="3179" w:type="dxa"/>
            <w:gridSpan w:val="4"/>
            <w:tcBorders>
              <w:top w:val="nil"/>
              <w:bottom w:val="nil"/>
            </w:tcBorders>
          </w:tcPr>
          <w:p w14:paraId="6C80A54A" w14:textId="77777777" w:rsidR="006E40C9" w:rsidRDefault="006E40C9">
            <w:pPr>
              <w:pStyle w:val="MeasureTableTextLeftAligned"/>
            </w:pPr>
            <w:r>
              <w:t>Introduced before 1985</w:t>
            </w:r>
          </w:p>
          <w:p w14:paraId="1E51FAAD" w14:textId="77777777" w:rsidR="006E40C9" w:rsidRDefault="006E40C9">
            <w:pPr>
              <w:pStyle w:val="MeasureTableTextLeftAligned"/>
            </w:pPr>
            <w:r>
              <w:t>1 July 2010 (most recent rate change)</w:t>
            </w:r>
          </w:p>
        </w:tc>
        <w:tc>
          <w:tcPr>
            <w:tcW w:w="1500" w:type="dxa"/>
            <w:gridSpan w:val="2"/>
            <w:tcBorders>
              <w:top w:val="nil"/>
              <w:bottom w:val="nil"/>
            </w:tcBorders>
          </w:tcPr>
          <w:p w14:paraId="4A0A7CD0" w14:textId="77777777" w:rsidR="006E40C9" w:rsidRPr="00F32057" w:rsidRDefault="006E40C9">
            <w:pPr>
              <w:pStyle w:val="MeasureTableTextItalic"/>
            </w:pPr>
            <w:r>
              <w:t>Expiry date:</w:t>
            </w:r>
          </w:p>
        </w:tc>
        <w:tc>
          <w:tcPr>
            <w:tcW w:w="1124" w:type="dxa"/>
            <w:gridSpan w:val="2"/>
            <w:tcBorders>
              <w:top w:val="nil"/>
              <w:bottom w:val="nil"/>
            </w:tcBorders>
          </w:tcPr>
          <w:p w14:paraId="0F6319B9" w14:textId="77777777" w:rsidR="006E40C9" w:rsidRPr="00F32057" w:rsidRDefault="006E40C9">
            <w:pPr>
              <w:pStyle w:val="MeasureTableTextLeftAligned"/>
            </w:pPr>
          </w:p>
        </w:tc>
      </w:tr>
      <w:tr w:rsidR="006E40C9" w14:paraId="745356BE" w14:textId="77777777">
        <w:trPr>
          <w:cantSplit/>
          <w:jc w:val="center"/>
        </w:trPr>
        <w:tc>
          <w:tcPr>
            <w:tcW w:w="1934" w:type="dxa"/>
            <w:gridSpan w:val="2"/>
            <w:tcBorders>
              <w:top w:val="nil"/>
            </w:tcBorders>
          </w:tcPr>
          <w:p w14:paraId="5DD72B9B" w14:textId="77777777" w:rsidR="006E40C9" w:rsidRDefault="006E40C9">
            <w:pPr>
              <w:pStyle w:val="MeasureTableTextItalic"/>
            </w:pPr>
            <w:r>
              <w:t>Legislative reference:</w:t>
            </w:r>
          </w:p>
        </w:tc>
        <w:tc>
          <w:tcPr>
            <w:tcW w:w="5803" w:type="dxa"/>
            <w:gridSpan w:val="8"/>
            <w:tcBorders>
              <w:top w:val="nil"/>
            </w:tcBorders>
          </w:tcPr>
          <w:p w14:paraId="22B0D11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r>
              <w:rPr>
                <w:rFonts w:ascii="Arial" w:hAnsi="Arial" w:cs="Arial"/>
                <w:i/>
                <w:iCs/>
                <w:color w:val="000000"/>
                <w:sz w:val="16"/>
                <w:szCs w:val="16"/>
              </w:rPr>
              <w:br/>
            </w:r>
            <w:r>
              <w:rPr>
                <w:rFonts w:ascii="Arial" w:hAnsi="Arial" w:cs="Arial"/>
                <w:color w:val="000000"/>
                <w:sz w:val="16"/>
                <w:szCs w:val="16"/>
              </w:rPr>
              <w:t xml:space="preserve">Section 160A of the </w:t>
            </w:r>
            <w:r>
              <w:rPr>
                <w:rFonts w:ascii="Arial" w:hAnsi="Arial" w:cs="Arial"/>
                <w:i/>
                <w:iCs/>
                <w:color w:val="000000"/>
                <w:sz w:val="16"/>
                <w:szCs w:val="16"/>
              </w:rPr>
              <w:t>Excise Act 1901</w:t>
            </w:r>
          </w:p>
        </w:tc>
      </w:tr>
    </w:tbl>
    <w:p w14:paraId="3C33B7FA" w14:textId="77777777" w:rsidR="006E40C9" w:rsidRPr="00540040" w:rsidRDefault="006E40C9" w:rsidP="006E40C9">
      <w:pPr>
        <w:pStyle w:val="MeasureTableHeading"/>
      </w:pPr>
    </w:p>
    <w:p w14:paraId="2725BC87" w14:textId="77777777" w:rsidR="006E40C9" w:rsidRDefault="006E40C9" w:rsidP="006E40C9">
      <w:r>
        <w:t>The benchmark rates for fuel consumed in an internal combustion engine are based on categories of energy density of the fuel types. However,</w:t>
      </w:r>
      <w:r>
        <w:rPr>
          <w:rFonts w:ascii="Calibri" w:hAnsi="Calibri" w:cs="Calibri"/>
        </w:rPr>
        <w:t xml:space="preserve"> </w:t>
      </w:r>
      <w:r>
        <w:t>aviation gasoline</w:t>
      </w:r>
      <w:r>
        <w:fldChar w:fldCharType="begin"/>
      </w:r>
      <w:r>
        <w:instrText xml:space="preserve"> XE "Fuels:Aviation gasoline" </w:instrText>
      </w:r>
      <w:r>
        <w:fldChar w:fldCharType="end"/>
      </w:r>
      <w:r>
        <w:t xml:space="preserve"> and aviation turbine fuel</w:t>
      </w:r>
      <w:r>
        <w:fldChar w:fldCharType="begin"/>
      </w:r>
      <w:r>
        <w:instrText xml:space="preserve"> XE "Fuels:Aviation turbine fuel" </w:instrText>
      </w:r>
      <w:r>
        <w:fldChar w:fldCharType="end"/>
      </w:r>
      <w:r>
        <w:t xml:space="preserve"> are subject to a lower rate of excise than the benchmark rate. Consistent with its obligation as a signatory of the Convention on International Civil Aviation, Australia does not charge fuel excise on aviation fuel used for international civil aviation activities.</w:t>
      </w:r>
    </w:p>
    <w:p w14:paraId="6DBE3E30" w14:textId="77777777" w:rsidR="006E40C9" w:rsidRDefault="006E40C9" w:rsidP="00D9255A">
      <w:pPr>
        <w:pStyle w:val="TESHeading5"/>
      </w:pPr>
      <w:r>
        <w:t>F7</w:t>
      </w:r>
      <w:r>
        <w:tab/>
        <w:t>Excise concessions for 'alternative fuels'</w:t>
      </w:r>
    </w:p>
    <w:p w14:paraId="3664ABA7"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E9F90BB" w14:textId="77777777">
        <w:trPr>
          <w:cantSplit/>
          <w:jc w:val="center"/>
        </w:trPr>
        <w:tc>
          <w:tcPr>
            <w:tcW w:w="967" w:type="dxa"/>
            <w:tcBorders>
              <w:top w:val="single" w:sz="2" w:space="0" w:color="auto"/>
              <w:bottom w:val="single" w:sz="2" w:space="0" w:color="auto"/>
            </w:tcBorders>
          </w:tcPr>
          <w:p w14:paraId="4F19F50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D9820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05D3B4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3B6EC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A56E2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4806FD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E4EB59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9A1834" w14:textId="77777777" w:rsidR="006E40C9" w:rsidRDefault="006E40C9">
            <w:pPr>
              <w:pStyle w:val="MeasureTableTextRightAligned"/>
            </w:pPr>
            <w:r>
              <w:t>2027-28</w:t>
            </w:r>
          </w:p>
        </w:tc>
      </w:tr>
      <w:tr w:rsidR="006E40C9" w14:paraId="22E61EB3" w14:textId="77777777">
        <w:trPr>
          <w:cantSplit/>
          <w:jc w:val="center"/>
        </w:trPr>
        <w:tc>
          <w:tcPr>
            <w:tcW w:w="967" w:type="dxa"/>
            <w:tcBorders>
              <w:top w:val="single" w:sz="2" w:space="0" w:color="auto"/>
              <w:bottom w:val="single" w:sz="2" w:space="0" w:color="auto"/>
            </w:tcBorders>
          </w:tcPr>
          <w:p w14:paraId="0A8029EF" w14:textId="77777777" w:rsidR="006E40C9" w:rsidRDefault="006E40C9">
            <w:pPr>
              <w:pStyle w:val="MeasureTableTextRightAligned"/>
            </w:pPr>
            <w:r>
              <w:t>160</w:t>
            </w:r>
          </w:p>
        </w:tc>
        <w:tc>
          <w:tcPr>
            <w:tcW w:w="967" w:type="dxa"/>
            <w:tcBorders>
              <w:top w:val="single" w:sz="2" w:space="0" w:color="auto"/>
              <w:bottom w:val="single" w:sz="2" w:space="0" w:color="auto"/>
            </w:tcBorders>
          </w:tcPr>
          <w:p w14:paraId="71D55AB0"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2104F9DE" w14:textId="77777777" w:rsidR="006E40C9" w:rsidRDefault="006E40C9">
            <w:pPr>
              <w:pStyle w:val="MeasureTableTextRightAligned"/>
            </w:pPr>
            <w:r>
              <w:t>130</w:t>
            </w:r>
          </w:p>
        </w:tc>
        <w:tc>
          <w:tcPr>
            <w:tcW w:w="967" w:type="dxa"/>
            <w:tcBorders>
              <w:top w:val="single" w:sz="2" w:space="0" w:color="auto"/>
              <w:bottom w:val="single" w:sz="2" w:space="0" w:color="auto"/>
            </w:tcBorders>
            <w:vAlign w:val="bottom"/>
          </w:tcPr>
          <w:p w14:paraId="56F26ABA"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2CF53A70" w14:textId="77777777" w:rsidR="006E40C9" w:rsidRDefault="006E40C9">
            <w:pPr>
              <w:pStyle w:val="MeasureTableTextRightAligned"/>
            </w:pPr>
            <w:r>
              <w:t>180</w:t>
            </w:r>
          </w:p>
        </w:tc>
        <w:tc>
          <w:tcPr>
            <w:tcW w:w="967" w:type="dxa"/>
            <w:gridSpan w:val="2"/>
            <w:tcBorders>
              <w:top w:val="single" w:sz="2" w:space="0" w:color="auto"/>
              <w:bottom w:val="single" w:sz="2" w:space="0" w:color="auto"/>
            </w:tcBorders>
            <w:vAlign w:val="bottom"/>
          </w:tcPr>
          <w:p w14:paraId="56CF9E7F" w14:textId="77777777" w:rsidR="006E40C9" w:rsidRDefault="006E40C9">
            <w:pPr>
              <w:pStyle w:val="MeasureTableTextRightAligned"/>
            </w:pPr>
            <w:r>
              <w:t>190</w:t>
            </w:r>
          </w:p>
        </w:tc>
        <w:tc>
          <w:tcPr>
            <w:tcW w:w="967" w:type="dxa"/>
            <w:gridSpan w:val="2"/>
            <w:tcBorders>
              <w:top w:val="single" w:sz="2" w:space="0" w:color="auto"/>
              <w:bottom w:val="single" w:sz="2" w:space="0" w:color="auto"/>
            </w:tcBorders>
            <w:vAlign w:val="bottom"/>
          </w:tcPr>
          <w:p w14:paraId="760056BC" w14:textId="77777777" w:rsidR="006E40C9" w:rsidRDefault="006E40C9">
            <w:pPr>
              <w:pStyle w:val="MeasureTableTextRightAligned"/>
            </w:pPr>
            <w:r>
              <w:t>200</w:t>
            </w:r>
          </w:p>
        </w:tc>
        <w:tc>
          <w:tcPr>
            <w:tcW w:w="968" w:type="dxa"/>
            <w:tcBorders>
              <w:top w:val="single" w:sz="2" w:space="0" w:color="auto"/>
              <w:bottom w:val="single" w:sz="2" w:space="0" w:color="auto"/>
            </w:tcBorders>
            <w:vAlign w:val="bottom"/>
          </w:tcPr>
          <w:p w14:paraId="060C5A05" w14:textId="77777777" w:rsidR="006E40C9" w:rsidRDefault="006E40C9">
            <w:pPr>
              <w:pStyle w:val="MeasureTableTextRightAligned"/>
            </w:pPr>
            <w:r>
              <w:t>210</w:t>
            </w:r>
          </w:p>
        </w:tc>
      </w:tr>
      <w:tr w:rsidR="006E40C9" w14:paraId="1EE8F990" w14:textId="77777777">
        <w:trPr>
          <w:cantSplit/>
          <w:jc w:val="center"/>
        </w:trPr>
        <w:tc>
          <w:tcPr>
            <w:tcW w:w="1934" w:type="dxa"/>
            <w:gridSpan w:val="2"/>
            <w:tcBorders>
              <w:top w:val="single" w:sz="2" w:space="0" w:color="auto"/>
              <w:bottom w:val="nil"/>
            </w:tcBorders>
          </w:tcPr>
          <w:p w14:paraId="71348B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7D0CD63" w14:textId="77777777" w:rsidR="006E40C9" w:rsidRDefault="006E40C9">
            <w:pPr>
              <w:pStyle w:val="MeasureTableTextLeftAligned"/>
            </w:pPr>
            <w:r>
              <w:t>Concessional rate, Increased rate</w:t>
            </w:r>
          </w:p>
        </w:tc>
        <w:tc>
          <w:tcPr>
            <w:tcW w:w="1500" w:type="dxa"/>
            <w:gridSpan w:val="2"/>
            <w:tcBorders>
              <w:top w:val="single" w:sz="2" w:space="0" w:color="auto"/>
              <w:bottom w:val="nil"/>
            </w:tcBorders>
          </w:tcPr>
          <w:p w14:paraId="7063FC4B" w14:textId="714998A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6D2C554" w14:textId="77777777" w:rsidR="006E40C9" w:rsidRDefault="006E40C9">
            <w:pPr>
              <w:pStyle w:val="MeasureTableTextLeftAligned"/>
            </w:pPr>
            <w:r>
              <w:t>F7</w:t>
            </w:r>
          </w:p>
        </w:tc>
      </w:tr>
      <w:tr w:rsidR="006E40C9" w14:paraId="355FDBFB" w14:textId="77777777">
        <w:trPr>
          <w:cantSplit/>
          <w:jc w:val="center"/>
        </w:trPr>
        <w:tc>
          <w:tcPr>
            <w:tcW w:w="1934" w:type="dxa"/>
            <w:gridSpan w:val="2"/>
            <w:tcBorders>
              <w:top w:val="nil"/>
              <w:bottom w:val="nil"/>
            </w:tcBorders>
          </w:tcPr>
          <w:p w14:paraId="6ABADF2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10C7B2" w14:textId="77777777" w:rsidR="006E40C9" w:rsidRPr="00584CA7" w:rsidRDefault="006E40C9">
            <w:pPr>
              <w:pStyle w:val="MeasureTableTextLeftAligned"/>
            </w:pPr>
            <w:r>
              <w:t>Low</w:t>
            </w:r>
          </w:p>
        </w:tc>
        <w:tc>
          <w:tcPr>
            <w:tcW w:w="1500" w:type="dxa"/>
            <w:gridSpan w:val="2"/>
            <w:tcBorders>
              <w:top w:val="nil"/>
              <w:bottom w:val="nil"/>
            </w:tcBorders>
          </w:tcPr>
          <w:p w14:paraId="04C9C54B" w14:textId="77777777" w:rsidR="006E40C9" w:rsidRDefault="006E40C9">
            <w:pPr>
              <w:pStyle w:val="MeasureTableTextItalic"/>
            </w:pPr>
          </w:p>
        </w:tc>
        <w:tc>
          <w:tcPr>
            <w:tcW w:w="1124" w:type="dxa"/>
            <w:gridSpan w:val="2"/>
            <w:tcBorders>
              <w:top w:val="nil"/>
              <w:bottom w:val="nil"/>
            </w:tcBorders>
          </w:tcPr>
          <w:p w14:paraId="4BA2889D" w14:textId="77777777" w:rsidR="006E40C9" w:rsidRDefault="006E40C9">
            <w:pPr>
              <w:pStyle w:val="MeasureTableTextLeftAligned"/>
            </w:pPr>
          </w:p>
        </w:tc>
      </w:tr>
      <w:tr w:rsidR="006E40C9" w14:paraId="2B6F0D82" w14:textId="77777777">
        <w:trPr>
          <w:cantSplit/>
          <w:jc w:val="center"/>
        </w:trPr>
        <w:tc>
          <w:tcPr>
            <w:tcW w:w="1934" w:type="dxa"/>
            <w:gridSpan w:val="2"/>
            <w:tcBorders>
              <w:top w:val="nil"/>
              <w:bottom w:val="nil"/>
            </w:tcBorders>
          </w:tcPr>
          <w:p w14:paraId="39870A12" w14:textId="77777777" w:rsidR="006E40C9" w:rsidRDefault="006E40C9">
            <w:pPr>
              <w:pStyle w:val="MeasureTableTextItalic"/>
            </w:pPr>
            <w:r>
              <w:t>Commencement date:</w:t>
            </w:r>
          </w:p>
        </w:tc>
        <w:tc>
          <w:tcPr>
            <w:tcW w:w="3179" w:type="dxa"/>
            <w:gridSpan w:val="4"/>
            <w:tcBorders>
              <w:top w:val="nil"/>
              <w:bottom w:val="nil"/>
            </w:tcBorders>
          </w:tcPr>
          <w:p w14:paraId="0C9A1EDF" w14:textId="77777777" w:rsidR="006E40C9" w:rsidRDefault="006E40C9">
            <w:pPr>
              <w:pStyle w:val="MeasureTableTextLeftAligned"/>
            </w:pPr>
            <w:r>
              <w:t>1 December 2011</w:t>
            </w:r>
          </w:p>
          <w:p w14:paraId="0F9F0BAF" w14:textId="77777777" w:rsidR="006E40C9" w:rsidRDefault="006E40C9">
            <w:pPr>
              <w:pStyle w:val="MeasureTableTextLeftAligned"/>
            </w:pPr>
            <w:r>
              <w:t>1 July 2015</w:t>
            </w:r>
          </w:p>
        </w:tc>
        <w:tc>
          <w:tcPr>
            <w:tcW w:w="1500" w:type="dxa"/>
            <w:gridSpan w:val="2"/>
            <w:tcBorders>
              <w:top w:val="nil"/>
              <w:bottom w:val="nil"/>
            </w:tcBorders>
          </w:tcPr>
          <w:p w14:paraId="638FF4AA" w14:textId="77777777" w:rsidR="006E40C9" w:rsidRPr="00F32057" w:rsidRDefault="006E40C9">
            <w:pPr>
              <w:pStyle w:val="MeasureTableTextItalic"/>
            </w:pPr>
            <w:r>
              <w:t>Expiry date:</w:t>
            </w:r>
          </w:p>
        </w:tc>
        <w:tc>
          <w:tcPr>
            <w:tcW w:w="1124" w:type="dxa"/>
            <w:gridSpan w:val="2"/>
            <w:tcBorders>
              <w:top w:val="nil"/>
              <w:bottom w:val="nil"/>
            </w:tcBorders>
          </w:tcPr>
          <w:p w14:paraId="24AA1186" w14:textId="77777777" w:rsidR="006E40C9" w:rsidRPr="00F32057" w:rsidRDefault="006E40C9">
            <w:pPr>
              <w:pStyle w:val="MeasureTableTextLeftAligned"/>
            </w:pPr>
          </w:p>
        </w:tc>
      </w:tr>
      <w:tr w:rsidR="006E40C9" w14:paraId="0FF96B5B" w14:textId="77777777">
        <w:trPr>
          <w:cantSplit/>
          <w:jc w:val="center"/>
        </w:trPr>
        <w:tc>
          <w:tcPr>
            <w:tcW w:w="1934" w:type="dxa"/>
            <w:gridSpan w:val="2"/>
            <w:tcBorders>
              <w:top w:val="nil"/>
            </w:tcBorders>
          </w:tcPr>
          <w:p w14:paraId="5E66072C" w14:textId="77777777" w:rsidR="006E40C9" w:rsidRDefault="006E40C9">
            <w:pPr>
              <w:pStyle w:val="MeasureTableTextItalic"/>
            </w:pPr>
            <w:r>
              <w:t>Legislative reference:</w:t>
            </w:r>
          </w:p>
        </w:tc>
        <w:tc>
          <w:tcPr>
            <w:tcW w:w="5803" w:type="dxa"/>
            <w:gridSpan w:val="8"/>
            <w:tcBorders>
              <w:top w:val="nil"/>
            </w:tcBorders>
          </w:tcPr>
          <w:p w14:paraId="0B2DFFC0"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6FAA of the </w:t>
            </w:r>
            <w:r>
              <w:rPr>
                <w:rFonts w:ascii="Arial" w:hAnsi="Arial" w:cs="Arial"/>
                <w:i/>
                <w:iCs/>
                <w:color w:val="000000"/>
                <w:sz w:val="16"/>
                <w:szCs w:val="16"/>
              </w:rPr>
              <w:t>Excise Tariff Act 1921</w:t>
            </w:r>
          </w:p>
          <w:p w14:paraId="7EB91747"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Section 6J of the </w:t>
            </w:r>
            <w:r>
              <w:rPr>
                <w:rFonts w:ascii="Arial" w:hAnsi="Arial" w:cs="Arial"/>
                <w:i/>
                <w:iCs/>
                <w:color w:val="000000"/>
                <w:sz w:val="16"/>
                <w:szCs w:val="16"/>
              </w:rPr>
              <w:t>Excise Tariff Act 1921</w:t>
            </w:r>
          </w:p>
          <w:p w14:paraId="1DBEF748" w14:textId="77777777" w:rsidR="006E40C9" w:rsidRDefault="006E40C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The Schedule to the </w:t>
            </w:r>
            <w:r>
              <w:rPr>
                <w:rFonts w:ascii="Arial" w:hAnsi="Arial" w:cs="Arial"/>
                <w:i/>
                <w:iCs/>
                <w:color w:val="000000"/>
                <w:sz w:val="16"/>
                <w:szCs w:val="16"/>
              </w:rPr>
              <w:t>Excise Tariff Act 1921</w:t>
            </w:r>
          </w:p>
          <w:p w14:paraId="42213BA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77HA of the </w:t>
            </w:r>
            <w:r>
              <w:rPr>
                <w:rFonts w:ascii="Arial" w:hAnsi="Arial" w:cs="Arial"/>
                <w:i/>
                <w:iCs/>
                <w:color w:val="000000"/>
                <w:sz w:val="16"/>
                <w:szCs w:val="16"/>
              </w:rPr>
              <w:t>Excise Act 1901</w:t>
            </w:r>
          </w:p>
        </w:tc>
      </w:tr>
    </w:tbl>
    <w:p w14:paraId="6E9829B1" w14:textId="77777777" w:rsidR="006E40C9" w:rsidRPr="00540040" w:rsidRDefault="006E40C9" w:rsidP="006E40C9">
      <w:pPr>
        <w:pStyle w:val="MeasureTableHeading"/>
      </w:pPr>
    </w:p>
    <w:p w14:paraId="5E846EE0" w14:textId="77777777" w:rsidR="006E40C9" w:rsidRDefault="006E40C9" w:rsidP="006E40C9">
      <w:r>
        <w:t>The benchmark rates for fuel consumed in an internal combustion engine are based on categories of energy density of the fuel types. There are categories for high, medium and low energy density fuels.</w:t>
      </w:r>
    </w:p>
    <w:p w14:paraId="199E5FB8" w14:textId="77777777" w:rsidR="006E40C9" w:rsidRDefault="006E40C9" w:rsidP="006E40C9">
      <w:r>
        <w:t>Alternative fuels including liquefied petroleum gas (LPG), liquefied natural gas (LNG), compressed natural gas (CNG) and domestically produced biodiesel and ethanol are subject to lower excise rates than the benchmark.</w:t>
      </w:r>
    </w:p>
    <w:p w14:paraId="6BCACF3D" w14:textId="77777777" w:rsidR="006E40C9" w:rsidRDefault="006E40C9" w:rsidP="006E40C9">
      <w:r>
        <w:t xml:space="preserve">In June 2015, the Government passed legislation to gradually increase excise duty on domestically produced biodiesel and fuel ethanol. </w:t>
      </w:r>
    </w:p>
    <w:p w14:paraId="5E7D363E" w14:textId="77777777" w:rsidR="006E40C9" w:rsidRDefault="006E40C9" w:rsidP="006E40C9">
      <w:r>
        <w:t>Before 1 July 2015, domestically produced biodiesel and fuel ethanol were subject to the same excise rates as petrol and diesel, with grants available to producers to offset the excise. From 1 July 2015, the excise rates for these fuels were reduced to zero and the grants ceased. The excise rates for domestically manufactured fuel ethanol and biodiesel then increase on 1 July of each subsequent year until the final rates are reached. For fuel ethanol, the final rate was reached on 1 July 2020 and for biodiesel, the final rate will be reached on 1 July 2030.</w:t>
      </w:r>
      <w:r>
        <w:fldChar w:fldCharType="begin"/>
      </w:r>
      <w:r>
        <w:instrText xml:space="preserve"> XE "Fuels:Alternative transport fuels" </w:instrText>
      </w:r>
      <w:r>
        <w:fldChar w:fldCharType="end"/>
      </w:r>
    </w:p>
    <w:p w14:paraId="0496D5B3" w14:textId="77777777" w:rsidR="006E40C9" w:rsidRDefault="006E40C9" w:rsidP="006E40C9">
      <w:r>
        <w:t xml:space="preserve">The final rates for biodiesel (a high energy content fuel) and fuel ethanol (a medium energy content fuel) will be 50 per cent of the respective benchmark rates. </w:t>
      </w:r>
    </w:p>
    <w:p w14:paraId="2990DA18" w14:textId="77777777" w:rsidR="006E40C9" w:rsidRDefault="006E40C9" w:rsidP="006E40C9">
      <w:r>
        <w:t>Since 1 July 2015, the excise rates for LPG, LNG and CNG have been 50 per cent of the benchmark rate applying to high energy content fuels.</w:t>
      </w:r>
    </w:p>
    <w:p w14:paraId="350B88AF" w14:textId="77777777" w:rsidR="006E40C9" w:rsidRDefault="006E40C9" w:rsidP="006E40C9">
      <w:r>
        <w:t>Users of small, non</w:t>
      </w:r>
      <w:r>
        <w:noBreakHyphen/>
        <w:t>commercial scale, domestically</w:t>
      </w:r>
      <w:r>
        <w:noBreakHyphen/>
        <w:t>based compressed natural gas refuellers are exempt from paying excise duty on compressed natural gas used to fuel their vehicles.</w:t>
      </w:r>
    </w:p>
    <w:p w14:paraId="168783BC" w14:textId="77777777" w:rsidR="006E40C9" w:rsidRDefault="006E40C9" w:rsidP="00D9255A">
      <w:pPr>
        <w:pStyle w:val="TESHeading5"/>
      </w:pPr>
      <w:r>
        <w:t>F8</w:t>
      </w:r>
      <w:r>
        <w:tab/>
        <w:t>Excise levied on fuel oil, heating oil and kerosene</w:t>
      </w:r>
    </w:p>
    <w:p w14:paraId="67D574D3"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FC00EEC" w14:textId="77777777">
        <w:trPr>
          <w:cantSplit/>
          <w:jc w:val="center"/>
        </w:trPr>
        <w:tc>
          <w:tcPr>
            <w:tcW w:w="967" w:type="dxa"/>
            <w:tcBorders>
              <w:top w:val="single" w:sz="2" w:space="0" w:color="auto"/>
              <w:bottom w:val="single" w:sz="2" w:space="0" w:color="auto"/>
            </w:tcBorders>
          </w:tcPr>
          <w:p w14:paraId="02EF9EF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DB23B2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995183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7CE27C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D7FF0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B5FF9F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C06A40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5D0364E" w14:textId="77777777" w:rsidR="006E40C9" w:rsidRDefault="006E40C9">
            <w:pPr>
              <w:pStyle w:val="MeasureTableTextRightAligned"/>
            </w:pPr>
            <w:r>
              <w:t>2027-28</w:t>
            </w:r>
          </w:p>
        </w:tc>
      </w:tr>
      <w:tr w:rsidR="006E40C9" w14:paraId="4E332B5C" w14:textId="77777777">
        <w:trPr>
          <w:cantSplit/>
          <w:jc w:val="center"/>
        </w:trPr>
        <w:tc>
          <w:tcPr>
            <w:tcW w:w="967" w:type="dxa"/>
            <w:tcBorders>
              <w:top w:val="single" w:sz="2" w:space="0" w:color="auto"/>
              <w:bottom w:val="single" w:sz="2" w:space="0" w:color="auto"/>
            </w:tcBorders>
          </w:tcPr>
          <w:p w14:paraId="3609639A" w14:textId="77777777" w:rsidR="006E40C9" w:rsidRDefault="006E40C9">
            <w:pPr>
              <w:pStyle w:val="MeasureTableTextRightAligned"/>
            </w:pPr>
            <w:r>
              <w:t>*</w:t>
            </w:r>
          </w:p>
        </w:tc>
        <w:tc>
          <w:tcPr>
            <w:tcW w:w="967" w:type="dxa"/>
            <w:tcBorders>
              <w:top w:val="single" w:sz="2" w:space="0" w:color="auto"/>
              <w:bottom w:val="single" w:sz="2" w:space="0" w:color="auto"/>
            </w:tcBorders>
          </w:tcPr>
          <w:p w14:paraId="213EEC2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5F5780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50A1CF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0066F6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EC67F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55CFBEC"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B393F03" w14:textId="77777777" w:rsidR="006E40C9" w:rsidRDefault="006E40C9">
            <w:pPr>
              <w:pStyle w:val="MeasureTableTextRightAligned"/>
            </w:pPr>
            <w:r>
              <w:t>*</w:t>
            </w:r>
          </w:p>
        </w:tc>
      </w:tr>
      <w:tr w:rsidR="006E40C9" w14:paraId="1B582B0D" w14:textId="77777777">
        <w:trPr>
          <w:cantSplit/>
          <w:jc w:val="center"/>
        </w:trPr>
        <w:tc>
          <w:tcPr>
            <w:tcW w:w="1934" w:type="dxa"/>
            <w:gridSpan w:val="2"/>
            <w:tcBorders>
              <w:top w:val="single" w:sz="2" w:space="0" w:color="auto"/>
              <w:bottom w:val="nil"/>
            </w:tcBorders>
          </w:tcPr>
          <w:p w14:paraId="1C1337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832A96A"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3A99FEE1" w14:textId="2237AE3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0D3E07E" w14:textId="77777777" w:rsidR="006E40C9" w:rsidRDefault="006E40C9">
            <w:pPr>
              <w:pStyle w:val="MeasureTableTextLeftAligned"/>
            </w:pPr>
            <w:r>
              <w:t>F8</w:t>
            </w:r>
          </w:p>
        </w:tc>
      </w:tr>
      <w:tr w:rsidR="006E40C9" w14:paraId="4634A827" w14:textId="77777777">
        <w:trPr>
          <w:cantSplit/>
          <w:jc w:val="center"/>
        </w:trPr>
        <w:tc>
          <w:tcPr>
            <w:tcW w:w="1934" w:type="dxa"/>
            <w:gridSpan w:val="2"/>
            <w:tcBorders>
              <w:top w:val="nil"/>
              <w:bottom w:val="nil"/>
            </w:tcBorders>
          </w:tcPr>
          <w:p w14:paraId="20784D1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231599F" w14:textId="77777777" w:rsidR="006E40C9" w:rsidRPr="00584CA7" w:rsidRDefault="006E40C9">
            <w:pPr>
              <w:pStyle w:val="MeasureTableTextLeftAligned"/>
            </w:pPr>
            <w:r>
              <w:t>Low</w:t>
            </w:r>
          </w:p>
        </w:tc>
        <w:tc>
          <w:tcPr>
            <w:tcW w:w="1500" w:type="dxa"/>
            <w:gridSpan w:val="2"/>
            <w:tcBorders>
              <w:top w:val="nil"/>
              <w:bottom w:val="nil"/>
            </w:tcBorders>
          </w:tcPr>
          <w:p w14:paraId="7A47F76F" w14:textId="77777777" w:rsidR="006E40C9" w:rsidRDefault="006E40C9">
            <w:pPr>
              <w:pStyle w:val="MeasureTableTextItalic"/>
            </w:pPr>
            <w:r>
              <w:t>* Category</w:t>
            </w:r>
          </w:p>
        </w:tc>
        <w:tc>
          <w:tcPr>
            <w:tcW w:w="1124" w:type="dxa"/>
            <w:gridSpan w:val="2"/>
            <w:tcBorders>
              <w:top w:val="nil"/>
              <w:bottom w:val="nil"/>
            </w:tcBorders>
          </w:tcPr>
          <w:p w14:paraId="35EC52E3" w14:textId="77777777" w:rsidR="006E40C9" w:rsidRDefault="006E40C9">
            <w:pPr>
              <w:pStyle w:val="MeasureTableTextLeftAligned"/>
            </w:pPr>
            <w:r>
              <w:t>3-</w:t>
            </w:r>
          </w:p>
        </w:tc>
      </w:tr>
      <w:tr w:rsidR="006E40C9" w14:paraId="1832F14C" w14:textId="77777777">
        <w:trPr>
          <w:cantSplit/>
          <w:jc w:val="center"/>
        </w:trPr>
        <w:tc>
          <w:tcPr>
            <w:tcW w:w="1934" w:type="dxa"/>
            <w:gridSpan w:val="2"/>
            <w:tcBorders>
              <w:top w:val="nil"/>
              <w:bottom w:val="nil"/>
            </w:tcBorders>
          </w:tcPr>
          <w:p w14:paraId="6D23CA44" w14:textId="77777777" w:rsidR="006E40C9" w:rsidRDefault="006E40C9">
            <w:pPr>
              <w:pStyle w:val="MeasureTableTextItalic"/>
            </w:pPr>
            <w:r>
              <w:t>Commencement date:</w:t>
            </w:r>
          </w:p>
        </w:tc>
        <w:tc>
          <w:tcPr>
            <w:tcW w:w="3179" w:type="dxa"/>
            <w:gridSpan w:val="4"/>
            <w:tcBorders>
              <w:top w:val="nil"/>
              <w:bottom w:val="nil"/>
            </w:tcBorders>
          </w:tcPr>
          <w:p w14:paraId="11137456" w14:textId="77777777" w:rsidR="006E40C9" w:rsidRDefault="006E40C9">
            <w:pPr>
              <w:pStyle w:val="MeasureTableTextLeftAligned"/>
            </w:pPr>
            <w:r>
              <w:t>1 July 2006</w:t>
            </w:r>
          </w:p>
        </w:tc>
        <w:tc>
          <w:tcPr>
            <w:tcW w:w="1500" w:type="dxa"/>
            <w:gridSpan w:val="2"/>
            <w:tcBorders>
              <w:top w:val="nil"/>
              <w:bottom w:val="nil"/>
            </w:tcBorders>
          </w:tcPr>
          <w:p w14:paraId="3262D4CB" w14:textId="77777777" w:rsidR="006E40C9" w:rsidRPr="00F32057" w:rsidRDefault="006E40C9">
            <w:pPr>
              <w:pStyle w:val="MeasureTableTextItalic"/>
            </w:pPr>
            <w:r>
              <w:t>Expiry date:</w:t>
            </w:r>
          </w:p>
        </w:tc>
        <w:tc>
          <w:tcPr>
            <w:tcW w:w="1124" w:type="dxa"/>
            <w:gridSpan w:val="2"/>
            <w:tcBorders>
              <w:top w:val="nil"/>
              <w:bottom w:val="nil"/>
            </w:tcBorders>
          </w:tcPr>
          <w:p w14:paraId="148A4983" w14:textId="77777777" w:rsidR="006E40C9" w:rsidRPr="00F32057" w:rsidRDefault="006E40C9">
            <w:pPr>
              <w:pStyle w:val="MeasureTableTextLeftAligned"/>
            </w:pPr>
          </w:p>
        </w:tc>
      </w:tr>
      <w:tr w:rsidR="006E40C9" w14:paraId="0FF4E4DE" w14:textId="77777777">
        <w:trPr>
          <w:cantSplit/>
          <w:jc w:val="center"/>
        </w:trPr>
        <w:tc>
          <w:tcPr>
            <w:tcW w:w="1934" w:type="dxa"/>
            <w:gridSpan w:val="2"/>
            <w:tcBorders>
              <w:top w:val="nil"/>
            </w:tcBorders>
          </w:tcPr>
          <w:p w14:paraId="755FA7C1" w14:textId="77777777" w:rsidR="006E40C9" w:rsidRDefault="006E40C9">
            <w:pPr>
              <w:pStyle w:val="MeasureTableTextItalic"/>
            </w:pPr>
            <w:r>
              <w:t>Legislative reference:</w:t>
            </w:r>
          </w:p>
        </w:tc>
        <w:tc>
          <w:tcPr>
            <w:tcW w:w="5803" w:type="dxa"/>
            <w:gridSpan w:val="8"/>
            <w:tcBorders>
              <w:top w:val="nil"/>
            </w:tcBorders>
          </w:tcPr>
          <w:p w14:paraId="71B38B5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40FCD9E9" w14:textId="77777777" w:rsidR="006E40C9" w:rsidRPr="00540040" w:rsidRDefault="006E40C9" w:rsidP="006E40C9">
      <w:pPr>
        <w:pStyle w:val="MeasureTableHeading"/>
      </w:pPr>
    </w:p>
    <w:p w14:paraId="3F40A180" w14:textId="77777777" w:rsidR="006E40C9" w:rsidRDefault="006E40C9" w:rsidP="006E40C9">
      <w:r w:rsidRPr="00F407B1">
        <w:t>The benchmark excise</w:t>
      </w:r>
      <w:r>
        <w:t xml:space="preserve"> rate</w:t>
      </w:r>
      <w:r w:rsidRPr="00F407B1">
        <w:t xml:space="preserve"> for fuels consumed for a purpose other than in an internal combustion engine is</w:t>
      </w:r>
      <w:r>
        <w:t xml:space="preserve"> zero</w:t>
      </w:r>
      <w:r w:rsidRPr="00F407B1">
        <w:t xml:space="preserve">. </w:t>
      </w:r>
      <w:r>
        <w:t>Fuel oil</w:t>
      </w:r>
      <w:r>
        <w:fldChar w:fldCharType="begin"/>
      </w:r>
      <w:r>
        <w:instrText xml:space="preserve"> XE "Fuels:</w:instrText>
      </w:r>
      <w:r w:rsidRPr="00F106F7">
        <w:instrText>Fuel oil</w:instrText>
      </w:r>
      <w:r>
        <w:instrText xml:space="preserve">" </w:instrText>
      </w:r>
      <w:r>
        <w:fldChar w:fldCharType="end"/>
      </w:r>
      <w:r>
        <w:t>, heating oil</w:t>
      </w:r>
      <w:r>
        <w:fldChar w:fldCharType="begin"/>
      </w:r>
      <w:r>
        <w:instrText xml:space="preserve"> XE "Fuels:</w:instrText>
      </w:r>
      <w:r w:rsidRPr="00F106F7">
        <w:instrText>Heating oil</w:instrText>
      </w:r>
      <w:r>
        <w:instrText xml:space="preserve">" </w:instrText>
      </w:r>
      <w:r>
        <w:fldChar w:fldCharType="end"/>
      </w:r>
      <w:r>
        <w:t>, and kerosene</w:t>
      </w:r>
      <w:r>
        <w:fldChar w:fldCharType="begin"/>
      </w:r>
      <w:r>
        <w:instrText xml:space="preserve"> XE "Fuels:</w:instrText>
      </w:r>
      <w:r w:rsidRPr="00F106F7">
        <w:instrText>Kerosene</w:instrText>
      </w:r>
      <w:r>
        <w:instrText xml:space="preserve">" </w:instrText>
      </w:r>
      <w:r>
        <w:fldChar w:fldCharType="end"/>
      </w:r>
      <w:r w:rsidRPr="00F407B1">
        <w:t xml:space="preserve"> </w:t>
      </w:r>
      <w:r>
        <w:t>are</w:t>
      </w:r>
      <w:r w:rsidRPr="00F407B1">
        <w:t xml:space="preserve"> subject to excise</w:t>
      </w:r>
      <w:r>
        <w:t xml:space="preserve"> equivalent to that applying to petroleum and diesel</w:t>
      </w:r>
      <w:r w:rsidRPr="00F407B1">
        <w:t xml:space="preserve">. </w:t>
      </w:r>
      <w:r>
        <w:t>Business u</w:t>
      </w:r>
      <w:r w:rsidRPr="00F407B1">
        <w:t xml:space="preserve">sers </w:t>
      </w:r>
      <w:r>
        <w:t xml:space="preserve">of these products </w:t>
      </w:r>
      <w:r w:rsidRPr="00F407B1">
        <w:t>are eligible for a fuel tax credit of an</w:t>
      </w:r>
      <w:r>
        <w:t xml:space="preserve"> equivalent value.</w:t>
      </w:r>
    </w:p>
    <w:p w14:paraId="2D808DE2" w14:textId="77777777" w:rsidR="006E40C9" w:rsidRDefault="006E40C9" w:rsidP="00D9255A">
      <w:pPr>
        <w:pStyle w:val="TESHeading5"/>
      </w:pPr>
      <w:r>
        <w:t>F9</w:t>
      </w:r>
      <w:r>
        <w:tab/>
        <w:t>Excise levied on fuel products used for purposes other than as fuel</w:t>
      </w:r>
    </w:p>
    <w:p w14:paraId="37CFDD89"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FE0701" w14:textId="77777777">
        <w:trPr>
          <w:cantSplit/>
          <w:jc w:val="center"/>
        </w:trPr>
        <w:tc>
          <w:tcPr>
            <w:tcW w:w="967" w:type="dxa"/>
            <w:tcBorders>
              <w:top w:val="single" w:sz="2" w:space="0" w:color="auto"/>
              <w:bottom w:val="single" w:sz="2" w:space="0" w:color="auto"/>
            </w:tcBorders>
          </w:tcPr>
          <w:p w14:paraId="3C72A0B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8C856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DE713C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4EF15E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3274F5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61BF7C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9FD5D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EEE618" w14:textId="77777777" w:rsidR="006E40C9" w:rsidRDefault="006E40C9">
            <w:pPr>
              <w:pStyle w:val="MeasureTableTextRightAligned"/>
            </w:pPr>
            <w:r>
              <w:t>2027-28</w:t>
            </w:r>
          </w:p>
        </w:tc>
      </w:tr>
      <w:tr w:rsidR="006E40C9" w14:paraId="38B53363" w14:textId="77777777">
        <w:trPr>
          <w:cantSplit/>
          <w:jc w:val="center"/>
        </w:trPr>
        <w:tc>
          <w:tcPr>
            <w:tcW w:w="967" w:type="dxa"/>
            <w:tcBorders>
              <w:top w:val="single" w:sz="2" w:space="0" w:color="auto"/>
              <w:bottom w:val="single" w:sz="2" w:space="0" w:color="auto"/>
            </w:tcBorders>
          </w:tcPr>
          <w:p w14:paraId="565F747F" w14:textId="77777777" w:rsidR="006E40C9" w:rsidRDefault="006E40C9">
            <w:pPr>
              <w:pStyle w:val="MeasureTableTextRightAligned"/>
            </w:pPr>
            <w:r>
              <w:t>*</w:t>
            </w:r>
          </w:p>
        </w:tc>
        <w:tc>
          <w:tcPr>
            <w:tcW w:w="967" w:type="dxa"/>
            <w:tcBorders>
              <w:top w:val="single" w:sz="2" w:space="0" w:color="auto"/>
              <w:bottom w:val="single" w:sz="2" w:space="0" w:color="auto"/>
            </w:tcBorders>
          </w:tcPr>
          <w:p w14:paraId="270522C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12E7D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54A62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D77F759"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E58D37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0B6718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2DF8FA" w14:textId="77777777" w:rsidR="006E40C9" w:rsidRDefault="006E40C9">
            <w:pPr>
              <w:pStyle w:val="MeasureTableTextRightAligned"/>
            </w:pPr>
            <w:r>
              <w:t>*</w:t>
            </w:r>
          </w:p>
        </w:tc>
      </w:tr>
      <w:tr w:rsidR="006E40C9" w14:paraId="0288513C" w14:textId="77777777">
        <w:trPr>
          <w:cantSplit/>
          <w:jc w:val="center"/>
        </w:trPr>
        <w:tc>
          <w:tcPr>
            <w:tcW w:w="1934" w:type="dxa"/>
            <w:gridSpan w:val="2"/>
            <w:tcBorders>
              <w:top w:val="single" w:sz="2" w:space="0" w:color="auto"/>
              <w:bottom w:val="nil"/>
            </w:tcBorders>
          </w:tcPr>
          <w:p w14:paraId="1A8129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80F7D4E"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35470708" w14:textId="43D3955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E594C1" w14:textId="77777777" w:rsidR="006E40C9" w:rsidRDefault="006E40C9">
            <w:pPr>
              <w:pStyle w:val="MeasureTableTextLeftAligned"/>
            </w:pPr>
            <w:r>
              <w:t>F9</w:t>
            </w:r>
          </w:p>
        </w:tc>
      </w:tr>
      <w:tr w:rsidR="006E40C9" w14:paraId="4F7B536E" w14:textId="77777777">
        <w:trPr>
          <w:cantSplit/>
          <w:jc w:val="center"/>
        </w:trPr>
        <w:tc>
          <w:tcPr>
            <w:tcW w:w="1934" w:type="dxa"/>
            <w:gridSpan w:val="2"/>
            <w:tcBorders>
              <w:top w:val="nil"/>
              <w:bottom w:val="nil"/>
            </w:tcBorders>
          </w:tcPr>
          <w:p w14:paraId="42A1293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B6EDB8" w14:textId="77777777" w:rsidR="006E40C9" w:rsidRPr="00584CA7" w:rsidRDefault="006E40C9">
            <w:pPr>
              <w:pStyle w:val="MeasureTableTextLeftAligned"/>
            </w:pPr>
            <w:r>
              <w:t>Low</w:t>
            </w:r>
          </w:p>
        </w:tc>
        <w:tc>
          <w:tcPr>
            <w:tcW w:w="1500" w:type="dxa"/>
            <w:gridSpan w:val="2"/>
            <w:tcBorders>
              <w:top w:val="nil"/>
              <w:bottom w:val="nil"/>
            </w:tcBorders>
          </w:tcPr>
          <w:p w14:paraId="73CA890D" w14:textId="77777777" w:rsidR="006E40C9" w:rsidRDefault="006E40C9">
            <w:pPr>
              <w:pStyle w:val="MeasureTableTextItalic"/>
            </w:pPr>
            <w:r>
              <w:t>* Category</w:t>
            </w:r>
          </w:p>
        </w:tc>
        <w:tc>
          <w:tcPr>
            <w:tcW w:w="1124" w:type="dxa"/>
            <w:gridSpan w:val="2"/>
            <w:tcBorders>
              <w:top w:val="nil"/>
              <w:bottom w:val="nil"/>
            </w:tcBorders>
          </w:tcPr>
          <w:p w14:paraId="3BF8B66D" w14:textId="77777777" w:rsidR="006E40C9" w:rsidRDefault="006E40C9">
            <w:pPr>
              <w:pStyle w:val="MeasureTableTextLeftAligned"/>
            </w:pPr>
            <w:r>
              <w:t>2-</w:t>
            </w:r>
          </w:p>
        </w:tc>
      </w:tr>
      <w:tr w:rsidR="006E40C9" w14:paraId="3175CE35" w14:textId="77777777">
        <w:trPr>
          <w:cantSplit/>
          <w:jc w:val="center"/>
        </w:trPr>
        <w:tc>
          <w:tcPr>
            <w:tcW w:w="1934" w:type="dxa"/>
            <w:gridSpan w:val="2"/>
            <w:tcBorders>
              <w:top w:val="nil"/>
              <w:bottom w:val="nil"/>
            </w:tcBorders>
          </w:tcPr>
          <w:p w14:paraId="493C8903" w14:textId="77777777" w:rsidR="006E40C9" w:rsidRDefault="006E40C9">
            <w:pPr>
              <w:pStyle w:val="MeasureTableTextItalic"/>
            </w:pPr>
            <w:r>
              <w:t>Commencement date:</w:t>
            </w:r>
          </w:p>
        </w:tc>
        <w:tc>
          <w:tcPr>
            <w:tcW w:w="3179" w:type="dxa"/>
            <w:gridSpan w:val="4"/>
            <w:tcBorders>
              <w:top w:val="nil"/>
              <w:bottom w:val="nil"/>
            </w:tcBorders>
          </w:tcPr>
          <w:p w14:paraId="32612111" w14:textId="77777777" w:rsidR="006E40C9" w:rsidRDefault="006E40C9">
            <w:pPr>
              <w:pStyle w:val="MeasureTableTextLeftAligned"/>
            </w:pPr>
            <w:r>
              <w:t>1 July 2006</w:t>
            </w:r>
          </w:p>
        </w:tc>
        <w:tc>
          <w:tcPr>
            <w:tcW w:w="1500" w:type="dxa"/>
            <w:gridSpan w:val="2"/>
            <w:tcBorders>
              <w:top w:val="nil"/>
              <w:bottom w:val="nil"/>
            </w:tcBorders>
          </w:tcPr>
          <w:p w14:paraId="533E4F02" w14:textId="77777777" w:rsidR="006E40C9" w:rsidRPr="00F32057" w:rsidRDefault="006E40C9">
            <w:pPr>
              <w:pStyle w:val="MeasureTableTextItalic"/>
            </w:pPr>
            <w:r>
              <w:t>Expiry date:</w:t>
            </w:r>
          </w:p>
        </w:tc>
        <w:tc>
          <w:tcPr>
            <w:tcW w:w="1124" w:type="dxa"/>
            <w:gridSpan w:val="2"/>
            <w:tcBorders>
              <w:top w:val="nil"/>
              <w:bottom w:val="nil"/>
            </w:tcBorders>
          </w:tcPr>
          <w:p w14:paraId="1869E4A8" w14:textId="77777777" w:rsidR="006E40C9" w:rsidRPr="00F32057" w:rsidRDefault="006E40C9">
            <w:pPr>
              <w:pStyle w:val="MeasureTableTextLeftAligned"/>
            </w:pPr>
          </w:p>
        </w:tc>
      </w:tr>
      <w:tr w:rsidR="006E40C9" w14:paraId="0CE4C7B1" w14:textId="77777777">
        <w:trPr>
          <w:cantSplit/>
          <w:jc w:val="center"/>
        </w:trPr>
        <w:tc>
          <w:tcPr>
            <w:tcW w:w="1934" w:type="dxa"/>
            <w:gridSpan w:val="2"/>
            <w:tcBorders>
              <w:top w:val="nil"/>
            </w:tcBorders>
          </w:tcPr>
          <w:p w14:paraId="0F74A48B" w14:textId="77777777" w:rsidR="006E40C9" w:rsidRDefault="006E40C9">
            <w:pPr>
              <w:pStyle w:val="MeasureTableTextItalic"/>
            </w:pPr>
            <w:r>
              <w:t>Legislative reference:</w:t>
            </w:r>
          </w:p>
        </w:tc>
        <w:tc>
          <w:tcPr>
            <w:tcW w:w="5803" w:type="dxa"/>
            <w:gridSpan w:val="8"/>
            <w:tcBorders>
              <w:top w:val="nil"/>
            </w:tcBorders>
          </w:tcPr>
          <w:p w14:paraId="08D9217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the Schedule to the </w:t>
            </w:r>
            <w:r>
              <w:rPr>
                <w:rFonts w:ascii="Arial" w:hAnsi="Arial" w:cs="Arial"/>
                <w:i/>
                <w:iCs/>
                <w:color w:val="000000"/>
                <w:sz w:val="16"/>
                <w:szCs w:val="16"/>
              </w:rPr>
              <w:t>Excise Tariff Act 1921</w:t>
            </w:r>
          </w:p>
        </w:tc>
      </w:tr>
    </w:tbl>
    <w:p w14:paraId="3FCD8A65" w14:textId="77777777" w:rsidR="006E40C9" w:rsidRPr="00540040" w:rsidRDefault="006E40C9" w:rsidP="006E40C9">
      <w:pPr>
        <w:pStyle w:val="MeasureTableHeading"/>
      </w:pPr>
    </w:p>
    <w:p w14:paraId="4B432E44" w14:textId="77777777" w:rsidR="006E40C9" w:rsidRDefault="006E40C9" w:rsidP="006E40C9">
      <w:r>
        <w:t>The benchmark excise rate for fuels consumed for a purpose other than in an internal combustion engine is zero. Some fuels, when used for a purpose other than in an internal combustion engine, are subject to excise equivalent to that applying to petroleum and diesel. These fuels include toluene, mineral turpentine and white spirits. Business users of these products are eligible for a fuel tax credit of an equivalent value.</w:t>
      </w:r>
      <w:r>
        <w:fldChar w:fldCharType="begin"/>
      </w:r>
      <w:r>
        <w:instrText xml:space="preserve"> XE "Fuels:Other purposes" </w:instrText>
      </w:r>
      <w:r>
        <w:fldChar w:fldCharType="end"/>
      </w:r>
    </w:p>
    <w:p w14:paraId="6B52BDEB" w14:textId="77777777" w:rsidR="006E40C9" w:rsidRDefault="006E40C9" w:rsidP="00D9255A">
      <w:pPr>
        <w:pStyle w:val="Heading3"/>
      </w:pPr>
      <w:r>
        <w:t>Tobacco</w:t>
      </w:r>
    </w:p>
    <w:p w14:paraId="604CCAB1" w14:textId="52AB5D01" w:rsidR="006E40C9" w:rsidRDefault="006E40C9" w:rsidP="00D9255A">
      <w:pPr>
        <w:pStyle w:val="TESHeading5"/>
      </w:pPr>
      <w:r>
        <w:t>F10</w:t>
      </w:r>
      <w:r>
        <w:tab/>
      </w:r>
      <w:r w:rsidR="00021F53">
        <w:t>E</w:t>
      </w:r>
      <w:r>
        <w:t>xcise levied on cigarettes not exceeding 0.8 grams of tobacco</w:t>
      </w:r>
    </w:p>
    <w:p w14:paraId="7D08DEE9"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5D51678" w14:textId="77777777">
        <w:trPr>
          <w:cantSplit/>
          <w:jc w:val="center"/>
        </w:trPr>
        <w:tc>
          <w:tcPr>
            <w:tcW w:w="967" w:type="dxa"/>
            <w:tcBorders>
              <w:top w:val="single" w:sz="2" w:space="0" w:color="auto"/>
              <w:bottom w:val="single" w:sz="2" w:space="0" w:color="auto"/>
            </w:tcBorders>
          </w:tcPr>
          <w:p w14:paraId="585C7F1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F84654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52F33E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EE72B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584DC8E"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50DFB9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479BF0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A31E7A" w14:textId="77777777" w:rsidR="006E40C9" w:rsidRDefault="006E40C9">
            <w:pPr>
              <w:pStyle w:val="MeasureTableTextRightAligned"/>
            </w:pPr>
            <w:r>
              <w:t>2027-28</w:t>
            </w:r>
          </w:p>
        </w:tc>
      </w:tr>
      <w:tr w:rsidR="006E40C9" w14:paraId="6E7C377F" w14:textId="77777777">
        <w:trPr>
          <w:cantSplit/>
          <w:jc w:val="center"/>
        </w:trPr>
        <w:tc>
          <w:tcPr>
            <w:tcW w:w="967" w:type="dxa"/>
            <w:tcBorders>
              <w:top w:val="single" w:sz="2" w:space="0" w:color="auto"/>
              <w:bottom w:val="single" w:sz="2" w:space="0" w:color="auto"/>
            </w:tcBorders>
          </w:tcPr>
          <w:p w14:paraId="6ACBE5DD" w14:textId="77777777" w:rsidR="006E40C9" w:rsidRDefault="006E40C9">
            <w:pPr>
              <w:pStyle w:val="MeasureTableTextRightAligned"/>
            </w:pPr>
            <w:r>
              <w:t>-1,170</w:t>
            </w:r>
          </w:p>
        </w:tc>
        <w:tc>
          <w:tcPr>
            <w:tcW w:w="967" w:type="dxa"/>
            <w:tcBorders>
              <w:top w:val="single" w:sz="2" w:space="0" w:color="auto"/>
              <w:bottom w:val="single" w:sz="2" w:space="0" w:color="auto"/>
            </w:tcBorders>
          </w:tcPr>
          <w:p w14:paraId="2B3E3B2F" w14:textId="77777777" w:rsidR="006E40C9" w:rsidRDefault="006E40C9">
            <w:pPr>
              <w:pStyle w:val="MeasureTableTextRightAligned"/>
            </w:pPr>
            <w:r>
              <w:t>-985</w:t>
            </w:r>
          </w:p>
        </w:tc>
        <w:tc>
          <w:tcPr>
            <w:tcW w:w="967" w:type="dxa"/>
            <w:tcBorders>
              <w:top w:val="single" w:sz="2" w:space="0" w:color="auto"/>
              <w:bottom w:val="single" w:sz="2" w:space="0" w:color="auto"/>
            </w:tcBorders>
            <w:vAlign w:val="bottom"/>
          </w:tcPr>
          <w:p w14:paraId="0D714322" w14:textId="77777777" w:rsidR="006E40C9" w:rsidRDefault="006E40C9">
            <w:pPr>
              <w:pStyle w:val="MeasureTableTextRightAligned"/>
            </w:pPr>
            <w:r>
              <w:t>-1,000</w:t>
            </w:r>
          </w:p>
        </w:tc>
        <w:tc>
          <w:tcPr>
            <w:tcW w:w="967" w:type="dxa"/>
            <w:tcBorders>
              <w:top w:val="single" w:sz="2" w:space="0" w:color="auto"/>
              <w:bottom w:val="single" w:sz="2" w:space="0" w:color="auto"/>
            </w:tcBorders>
            <w:vAlign w:val="bottom"/>
          </w:tcPr>
          <w:p w14:paraId="4D2926A6" w14:textId="77777777" w:rsidR="006E40C9" w:rsidRDefault="006E40C9">
            <w:pPr>
              <w:pStyle w:val="MeasureTableTextRightAligned"/>
            </w:pPr>
            <w:r>
              <w:t>-630</w:t>
            </w:r>
          </w:p>
        </w:tc>
        <w:tc>
          <w:tcPr>
            <w:tcW w:w="967" w:type="dxa"/>
            <w:tcBorders>
              <w:top w:val="single" w:sz="2" w:space="0" w:color="auto"/>
              <w:bottom w:val="single" w:sz="2" w:space="0" w:color="auto"/>
            </w:tcBorders>
            <w:vAlign w:val="bottom"/>
          </w:tcPr>
          <w:p w14:paraId="3EBC8A18" w14:textId="77777777" w:rsidR="006E40C9" w:rsidRDefault="006E40C9">
            <w:pPr>
              <w:pStyle w:val="MeasureTableTextRightAligned"/>
            </w:pPr>
            <w:r>
              <w:t>-355</w:t>
            </w:r>
          </w:p>
        </w:tc>
        <w:tc>
          <w:tcPr>
            <w:tcW w:w="967" w:type="dxa"/>
            <w:gridSpan w:val="2"/>
            <w:tcBorders>
              <w:top w:val="single" w:sz="2" w:space="0" w:color="auto"/>
              <w:bottom w:val="single" w:sz="2" w:space="0" w:color="auto"/>
            </w:tcBorders>
            <w:vAlign w:val="bottom"/>
          </w:tcPr>
          <w:p w14:paraId="620A81C0"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48208415" w14:textId="77777777" w:rsidR="006E40C9" w:rsidRDefault="006E40C9">
            <w:pPr>
              <w:pStyle w:val="MeasureTableTextRightAligned"/>
            </w:pPr>
            <w:r>
              <w:t>345</w:t>
            </w:r>
          </w:p>
        </w:tc>
        <w:tc>
          <w:tcPr>
            <w:tcW w:w="968" w:type="dxa"/>
            <w:tcBorders>
              <w:top w:val="single" w:sz="2" w:space="0" w:color="auto"/>
              <w:bottom w:val="single" w:sz="2" w:space="0" w:color="auto"/>
            </w:tcBorders>
            <w:vAlign w:val="bottom"/>
          </w:tcPr>
          <w:p w14:paraId="2277F199" w14:textId="77777777" w:rsidR="006E40C9" w:rsidRDefault="006E40C9">
            <w:pPr>
              <w:pStyle w:val="MeasureTableTextRightAligned"/>
            </w:pPr>
            <w:r>
              <w:t>415</w:t>
            </w:r>
          </w:p>
        </w:tc>
      </w:tr>
      <w:tr w:rsidR="006E40C9" w14:paraId="17AC8B1B" w14:textId="77777777">
        <w:trPr>
          <w:cantSplit/>
          <w:jc w:val="center"/>
        </w:trPr>
        <w:tc>
          <w:tcPr>
            <w:tcW w:w="1934" w:type="dxa"/>
            <w:gridSpan w:val="2"/>
            <w:tcBorders>
              <w:top w:val="single" w:sz="2" w:space="0" w:color="auto"/>
              <w:bottom w:val="nil"/>
            </w:tcBorders>
          </w:tcPr>
          <w:p w14:paraId="2E69F6D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22EE7E0"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C825371" w14:textId="638DA0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EC7F270" w14:textId="77777777" w:rsidR="006E40C9" w:rsidRDefault="006E40C9">
            <w:pPr>
              <w:pStyle w:val="MeasureTableTextLeftAligned"/>
            </w:pPr>
            <w:r>
              <w:t>F10</w:t>
            </w:r>
          </w:p>
        </w:tc>
      </w:tr>
      <w:tr w:rsidR="006E40C9" w14:paraId="6A783AC3" w14:textId="77777777">
        <w:trPr>
          <w:cantSplit/>
          <w:jc w:val="center"/>
        </w:trPr>
        <w:tc>
          <w:tcPr>
            <w:tcW w:w="1934" w:type="dxa"/>
            <w:gridSpan w:val="2"/>
            <w:tcBorders>
              <w:top w:val="nil"/>
              <w:bottom w:val="nil"/>
            </w:tcBorders>
          </w:tcPr>
          <w:p w14:paraId="51614B2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C8DB1F3" w14:textId="77777777" w:rsidR="006E40C9" w:rsidRPr="00584CA7" w:rsidRDefault="006E40C9">
            <w:pPr>
              <w:pStyle w:val="MeasureTableTextLeftAligned"/>
            </w:pPr>
            <w:r>
              <w:t>Low</w:t>
            </w:r>
          </w:p>
        </w:tc>
        <w:tc>
          <w:tcPr>
            <w:tcW w:w="1500" w:type="dxa"/>
            <w:gridSpan w:val="2"/>
            <w:tcBorders>
              <w:top w:val="nil"/>
              <w:bottom w:val="nil"/>
            </w:tcBorders>
          </w:tcPr>
          <w:p w14:paraId="02F07E63" w14:textId="77777777" w:rsidR="006E40C9" w:rsidRDefault="006E40C9">
            <w:pPr>
              <w:pStyle w:val="MeasureTableTextItalic"/>
            </w:pPr>
          </w:p>
        </w:tc>
        <w:tc>
          <w:tcPr>
            <w:tcW w:w="1124" w:type="dxa"/>
            <w:gridSpan w:val="2"/>
            <w:tcBorders>
              <w:top w:val="nil"/>
              <w:bottom w:val="nil"/>
            </w:tcBorders>
          </w:tcPr>
          <w:p w14:paraId="5F2D5DE6" w14:textId="77777777" w:rsidR="006E40C9" w:rsidRDefault="006E40C9">
            <w:pPr>
              <w:pStyle w:val="MeasureTableTextLeftAligned"/>
            </w:pPr>
          </w:p>
        </w:tc>
      </w:tr>
      <w:tr w:rsidR="006E40C9" w14:paraId="5707BE5F" w14:textId="77777777">
        <w:trPr>
          <w:cantSplit/>
          <w:jc w:val="center"/>
        </w:trPr>
        <w:tc>
          <w:tcPr>
            <w:tcW w:w="1934" w:type="dxa"/>
            <w:gridSpan w:val="2"/>
            <w:tcBorders>
              <w:top w:val="nil"/>
              <w:bottom w:val="nil"/>
            </w:tcBorders>
          </w:tcPr>
          <w:p w14:paraId="21734580" w14:textId="77777777" w:rsidR="006E40C9" w:rsidRDefault="006E40C9">
            <w:pPr>
              <w:pStyle w:val="MeasureTableTextItalic"/>
            </w:pPr>
            <w:r>
              <w:t>Commencement date:</w:t>
            </w:r>
          </w:p>
        </w:tc>
        <w:tc>
          <w:tcPr>
            <w:tcW w:w="3179" w:type="dxa"/>
            <w:gridSpan w:val="4"/>
            <w:tcBorders>
              <w:top w:val="nil"/>
              <w:bottom w:val="nil"/>
            </w:tcBorders>
          </w:tcPr>
          <w:p w14:paraId="5E3E003D" w14:textId="77777777" w:rsidR="006E40C9" w:rsidRDefault="006E40C9">
            <w:pPr>
              <w:pStyle w:val="MeasureTableTextLeftAligned"/>
            </w:pPr>
            <w:r>
              <w:t>1 November 1999</w:t>
            </w:r>
          </w:p>
        </w:tc>
        <w:tc>
          <w:tcPr>
            <w:tcW w:w="1500" w:type="dxa"/>
            <w:gridSpan w:val="2"/>
            <w:tcBorders>
              <w:top w:val="nil"/>
              <w:bottom w:val="nil"/>
            </w:tcBorders>
          </w:tcPr>
          <w:p w14:paraId="0B9BFB9B" w14:textId="77777777" w:rsidR="006E40C9" w:rsidRPr="00F32057" w:rsidRDefault="006E40C9">
            <w:pPr>
              <w:pStyle w:val="MeasureTableTextItalic"/>
            </w:pPr>
            <w:r>
              <w:t>Expiry date:</w:t>
            </w:r>
          </w:p>
        </w:tc>
        <w:tc>
          <w:tcPr>
            <w:tcW w:w="1124" w:type="dxa"/>
            <w:gridSpan w:val="2"/>
            <w:tcBorders>
              <w:top w:val="nil"/>
              <w:bottom w:val="nil"/>
            </w:tcBorders>
          </w:tcPr>
          <w:p w14:paraId="7A101BCF" w14:textId="77777777" w:rsidR="006E40C9" w:rsidRPr="00F32057" w:rsidRDefault="006E40C9">
            <w:pPr>
              <w:pStyle w:val="MeasureTableTextLeftAligned"/>
            </w:pPr>
          </w:p>
        </w:tc>
      </w:tr>
      <w:tr w:rsidR="006E40C9" w14:paraId="30CC27E4" w14:textId="77777777">
        <w:trPr>
          <w:cantSplit/>
          <w:jc w:val="center"/>
        </w:trPr>
        <w:tc>
          <w:tcPr>
            <w:tcW w:w="1934" w:type="dxa"/>
            <w:gridSpan w:val="2"/>
            <w:tcBorders>
              <w:top w:val="nil"/>
            </w:tcBorders>
          </w:tcPr>
          <w:p w14:paraId="5F1F2B2F" w14:textId="77777777" w:rsidR="006E40C9" w:rsidRDefault="006E40C9">
            <w:pPr>
              <w:pStyle w:val="MeasureTableTextItalic"/>
            </w:pPr>
            <w:r>
              <w:t>Legislative reference:</w:t>
            </w:r>
          </w:p>
        </w:tc>
        <w:tc>
          <w:tcPr>
            <w:tcW w:w="5803" w:type="dxa"/>
            <w:gridSpan w:val="8"/>
            <w:tcBorders>
              <w:top w:val="nil"/>
            </w:tcBorders>
          </w:tcPr>
          <w:p w14:paraId="49C8A0C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5 of the Schedule to the </w:t>
            </w:r>
            <w:r>
              <w:rPr>
                <w:rFonts w:ascii="Arial" w:hAnsi="Arial" w:cs="Arial"/>
                <w:i/>
                <w:iCs/>
                <w:color w:val="000000"/>
                <w:sz w:val="16"/>
                <w:szCs w:val="16"/>
              </w:rPr>
              <w:t>Excise Tariff Act 1921</w:t>
            </w:r>
          </w:p>
        </w:tc>
      </w:tr>
    </w:tbl>
    <w:p w14:paraId="23232182" w14:textId="77777777" w:rsidR="006E40C9" w:rsidRPr="00540040" w:rsidRDefault="006E40C9" w:rsidP="006E40C9">
      <w:pPr>
        <w:pStyle w:val="MeasureTableHeading"/>
      </w:pPr>
    </w:p>
    <w:p w14:paraId="15C93D3D" w14:textId="7D237C10" w:rsidR="006E40C9" w:rsidRDefault="006E40C9" w:rsidP="006E40C9">
      <w:r>
        <w:t xml:space="preserve">The benchmark excise rate is the rate per kilogram applying to tobacco products not in stick form (“loose leaf”) or in stick form and containing more than 0.8 grams of tobacco. Cigarette and cigar sticks not exceeding 0.8 grams of tobacco pay excise at a flat excise rate per stick, which is equivalent to the excise rate per kilogram using an equalisation weight of 0.65 grams per stick. </w:t>
      </w:r>
    </w:p>
    <w:p w14:paraId="643F0BCC" w14:textId="222FB440" w:rsidR="006E40C9" w:rsidRDefault="006E40C9" w:rsidP="006E40C9">
      <w:r w:rsidRPr="00772CD0">
        <w:t xml:space="preserve">In </w:t>
      </w:r>
      <w:r w:rsidR="00B26963">
        <w:t>May</w:t>
      </w:r>
      <w:r w:rsidRPr="00772CD0">
        <w:t xml:space="preserve"> 2023, the Government announced </w:t>
      </w:r>
      <w:r w:rsidR="000207E5">
        <w:t xml:space="preserve">staged </w:t>
      </w:r>
      <w:r w:rsidR="00FC082D">
        <w:t>increases to the tobacco excise rate</w:t>
      </w:r>
      <w:r w:rsidR="0015150B">
        <w:t>, and</w:t>
      </w:r>
      <w:r w:rsidR="00FC082D">
        <w:t xml:space="preserve"> </w:t>
      </w:r>
      <w:r w:rsidRPr="00772CD0">
        <w:t>that the equalisation weight would be progressively lowered from 0.7 to 0.6 grams over four years. The weight will be reduced to 0.675 grams per stick from 1 September 2023, 0.65 grams per stick from 1</w:t>
      </w:r>
      <w:r w:rsidR="008F1AD0">
        <w:t> </w:t>
      </w:r>
      <w:r w:rsidRPr="00772CD0">
        <w:t>September</w:t>
      </w:r>
      <w:r w:rsidR="008F1AD0">
        <w:t> </w:t>
      </w:r>
      <w:r w:rsidRPr="00772CD0">
        <w:t xml:space="preserve">2024, 0.625 grams per stick from 1 September 2025, and 0.60 grams per stick from 1 September 2026. </w:t>
      </w:r>
      <w:r w:rsidR="00313EAC">
        <w:t xml:space="preserve">The lowering of the </w:t>
      </w:r>
      <w:r w:rsidR="00933143">
        <w:t>equivalisation</w:t>
      </w:r>
      <w:r w:rsidR="00313EAC">
        <w:t xml:space="preserve"> rate </w:t>
      </w:r>
      <w:r w:rsidR="005D7AFF">
        <w:t>aims to</w:t>
      </w:r>
      <w:r w:rsidR="00933143">
        <w:t xml:space="preserve"> </w:t>
      </w:r>
      <w:r w:rsidR="00A93546">
        <w:t>better align the</w:t>
      </w:r>
      <w:r w:rsidR="00933143">
        <w:t xml:space="preserve"> tax treatment of all tobacco good</w:t>
      </w:r>
      <w:r w:rsidR="00A93546">
        <w:t>s</w:t>
      </w:r>
      <w:r w:rsidR="00933143">
        <w:t xml:space="preserve"> over time, and is not concessional for any form of tobacco.</w:t>
      </w:r>
    </w:p>
    <w:p w14:paraId="61B48B9E" w14:textId="7D1DBA84" w:rsidR="006E40C9" w:rsidRDefault="006E40C9" w:rsidP="006E40C9">
      <w:r>
        <w:t xml:space="preserve">As a result, cigarette and cigar sticks containing less tobacco than the equalisation weight will have a higher excise liability per gram of tobacco than if they were subject to the benchmark rate. Conversely, cigarette and cigar sticks containing more tobacco than the equalisation weight but less than or equal to 0.8 grams will have a lower rate of excise per gram of tobacco than if they were subject to the benchmark rate. </w:t>
      </w:r>
      <w:r w:rsidR="00057F1B">
        <w:t xml:space="preserve">The tax expenditure reflects the difference in total excise payable between the actual stick tobacco weight and the equalisation weight. </w:t>
      </w:r>
      <w:r>
        <w:t>Cigarette and cigar sticks containing more than 0.8 grams of tobacco are taxed at the benchmark rate.</w:t>
      </w:r>
      <w:r w:rsidR="005D26A8" w:rsidRPr="005D26A8">
        <w:t xml:space="preserve"> The tax expenditure does not measure the total excise on tobacco</w:t>
      </w:r>
      <w:r w:rsidR="00AD61FF">
        <w:t>. The excise rate</w:t>
      </w:r>
      <w:r w:rsidR="00CE0291">
        <w:t xml:space="preserve"> </w:t>
      </w:r>
      <w:r w:rsidR="00C7415F">
        <w:t xml:space="preserve">is increasing across all types of </w:t>
      </w:r>
      <w:r w:rsidR="0083096B">
        <w:t>tobacco products</w:t>
      </w:r>
      <w:r w:rsidR="005D26A8" w:rsidRPr="005D26A8">
        <w:t>.</w:t>
      </w:r>
    </w:p>
    <w:p w14:paraId="665D0590" w14:textId="25D27E07" w:rsidR="006E40C9" w:rsidRDefault="006E40C9" w:rsidP="006E40C9">
      <w:r>
        <w:t>Previously, the equalisation weight was reduced to 0.775 grams per stick from 1</w:t>
      </w:r>
      <w:r w:rsidR="0079030F">
        <w:t> </w:t>
      </w:r>
      <w:r>
        <w:t xml:space="preserve">September 2017, 0.75 grams per stick from 1 September 2018, 0.725 grams per stick from 1 September 2019 and 0.70 grams per stick from 1 September 2020. </w:t>
      </w:r>
      <w:r>
        <w:fldChar w:fldCharType="begin"/>
      </w:r>
      <w:r>
        <w:instrText xml:space="preserve"> XE "Cigarettes and cigars" </w:instrText>
      </w:r>
      <w:r>
        <w:fldChar w:fldCharType="end"/>
      </w:r>
    </w:p>
    <w:p w14:paraId="19AB4500" w14:textId="77777777" w:rsidR="006E40C9" w:rsidRDefault="006E40C9" w:rsidP="00D9255A">
      <w:pPr>
        <w:pStyle w:val="Heading3"/>
      </w:pPr>
      <w:r>
        <w:t>Alcohol</w:t>
      </w:r>
    </w:p>
    <w:p w14:paraId="5A82C2C0" w14:textId="77777777" w:rsidR="006E40C9" w:rsidRDefault="006E40C9" w:rsidP="00D9255A">
      <w:pPr>
        <w:pStyle w:val="TESHeading5"/>
      </w:pPr>
      <w:r>
        <w:t>F11</w:t>
      </w:r>
      <w:r>
        <w:tab/>
        <w:t>Concessional rate of excise levied on brandy</w:t>
      </w:r>
    </w:p>
    <w:p w14:paraId="657630F7" w14:textId="0A2D45BA"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BAD644F" w14:textId="77777777">
        <w:trPr>
          <w:cantSplit/>
          <w:jc w:val="center"/>
        </w:trPr>
        <w:tc>
          <w:tcPr>
            <w:tcW w:w="967" w:type="dxa"/>
            <w:tcBorders>
              <w:top w:val="single" w:sz="2" w:space="0" w:color="auto"/>
              <w:bottom w:val="single" w:sz="2" w:space="0" w:color="auto"/>
            </w:tcBorders>
          </w:tcPr>
          <w:p w14:paraId="02415F2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0ED2D5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5F072D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71861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328CE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54649D"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8A4CE0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81B299" w14:textId="77777777" w:rsidR="006E40C9" w:rsidRDefault="006E40C9">
            <w:pPr>
              <w:pStyle w:val="MeasureTableTextRightAligned"/>
            </w:pPr>
            <w:r>
              <w:t>2027-28</w:t>
            </w:r>
          </w:p>
        </w:tc>
      </w:tr>
      <w:tr w:rsidR="006E40C9" w14:paraId="168A0F37" w14:textId="77777777">
        <w:trPr>
          <w:cantSplit/>
          <w:jc w:val="center"/>
        </w:trPr>
        <w:tc>
          <w:tcPr>
            <w:tcW w:w="967" w:type="dxa"/>
            <w:tcBorders>
              <w:top w:val="single" w:sz="2" w:space="0" w:color="auto"/>
              <w:bottom w:val="single" w:sz="2" w:space="0" w:color="auto"/>
            </w:tcBorders>
          </w:tcPr>
          <w:p w14:paraId="55EE048A" w14:textId="77777777" w:rsidR="006E40C9" w:rsidRDefault="006E40C9">
            <w:pPr>
              <w:pStyle w:val="MeasureTableTextRightAligned"/>
            </w:pPr>
            <w:r>
              <w:t>6</w:t>
            </w:r>
          </w:p>
        </w:tc>
        <w:tc>
          <w:tcPr>
            <w:tcW w:w="967" w:type="dxa"/>
            <w:tcBorders>
              <w:top w:val="single" w:sz="2" w:space="0" w:color="auto"/>
              <w:bottom w:val="single" w:sz="2" w:space="0" w:color="auto"/>
            </w:tcBorders>
          </w:tcPr>
          <w:p w14:paraId="2730F3CE"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1C05FF3A"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2D1D224C" w14:textId="77777777" w:rsidR="006E40C9" w:rsidRDefault="006E40C9">
            <w:pPr>
              <w:pStyle w:val="MeasureTableTextRightAligned"/>
            </w:pPr>
            <w:r>
              <w:t>6</w:t>
            </w:r>
          </w:p>
        </w:tc>
        <w:tc>
          <w:tcPr>
            <w:tcW w:w="967" w:type="dxa"/>
            <w:tcBorders>
              <w:top w:val="single" w:sz="2" w:space="0" w:color="auto"/>
              <w:bottom w:val="single" w:sz="2" w:space="0" w:color="auto"/>
            </w:tcBorders>
            <w:vAlign w:val="bottom"/>
          </w:tcPr>
          <w:p w14:paraId="51B9895C"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55D780C3"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477399B9" w14:textId="77777777" w:rsidR="006E40C9" w:rsidRDefault="006E40C9">
            <w:pPr>
              <w:pStyle w:val="MeasureTableTextRightAligned"/>
            </w:pPr>
            <w:r>
              <w:t>7</w:t>
            </w:r>
          </w:p>
        </w:tc>
        <w:tc>
          <w:tcPr>
            <w:tcW w:w="968" w:type="dxa"/>
            <w:tcBorders>
              <w:top w:val="single" w:sz="2" w:space="0" w:color="auto"/>
              <w:bottom w:val="single" w:sz="2" w:space="0" w:color="auto"/>
            </w:tcBorders>
            <w:vAlign w:val="bottom"/>
          </w:tcPr>
          <w:p w14:paraId="38DD22BA" w14:textId="77777777" w:rsidR="006E40C9" w:rsidRDefault="006E40C9">
            <w:pPr>
              <w:pStyle w:val="MeasureTableTextRightAligned"/>
            </w:pPr>
            <w:r>
              <w:t>8</w:t>
            </w:r>
          </w:p>
        </w:tc>
      </w:tr>
      <w:tr w:rsidR="006E40C9" w14:paraId="25706674" w14:textId="77777777">
        <w:trPr>
          <w:cantSplit/>
          <w:jc w:val="center"/>
        </w:trPr>
        <w:tc>
          <w:tcPr>
            <w:tcW w:w="1934" w:type="dxa"/>
            <w:gridSpan w:val="2"/>
            <w:tcBorders>
              <w:top w:val="single" w:sz="2" w:space="0" w:color="auto"/>
              <w:bottom w:val="nil"/>
            </w:tcBorders>
          </w:tcPr>
          <w:p w14:paraId="49767C0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1822570"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8E3194B" w14:textId="653298A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B4E49C2" w14:textId="77777777" w:rsidR="006E40C9" w:rsidRDefault="006E40C9">
            <w:pPr>
              <w:pStyle w:val="MeasureTableTextLeftAligned"/>
            </w:pPr>
            <w:r>
              <w:t>F11</w:t>
            </w:r>
          </w:p>
        </w:tc>
      </w:tr>
      <w:tr w:rsidR="006E40C9" w14:paraId="2DCE738F" w14:textId="77777777">
        <w:trPr>
          <w:cantSplit/>
          <w:jc w:val="center"/>
        </w:trPr>
        <w:tc>
          <w:tcPr>
            <w:tcW w:w="1934" w:type="dxa"/>
            <w:gridSpan w:val="2"/>
            <w:tcBorders>
              <w:top w:val="nil"/>
              <w:bottom w:val="nil"/>
            </w:tcBorders>
          </w:tcPr>
          <w:p w14:paraId="641734D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9535853" w14:textId="77777777" w:rsidR="006E40C9" w:rsidRPr="00584CA7" w:rsidRDefault="006E40C9">
            <w:pPr>
              <w:pStyle w:val="MeasureTableTextLeftAligned"/>
            </w:pPr>
            <w:r>
              <w:t>Medium</w:t>
            </w:r>
          </w:p>
        </w:tc>
        <w:tc>
          <w:tcPr>
            <w:tcW w:w="1500" w:type="dxa"/>
            <w:gridSpan w:val="2"/>
            <w:tcBorders>
              <w:top w:val="nil"/>
              <w:bottom w:val="nil"/>
            </w:tcBorders>
          </w:tcPr>
          <w:p w14:paraId="3D704CC8" w14:textId="77777777" w:rsidR="006E40C9" w:rsidRDefault="006E40C9">
            <w:pPr>
              <w:pStyle w:val="MeasureTableTextItalic"/>
            </w:pPr>
          </w:p>
        </w:tc>
        <w:tc>
          <w:tcPr>
            <w:tcW w:w="1124" w:type="dxa"/>
            <w:gridSpan w:val="2"/>
            <w:tcBorders>
              <w:top w:val="nil"/>
              <w:bottom w:val="nil"/>
            </w:tcBorders>
          </w:tcPr>
          <w:p w14:paraId="183E6C53" w14:textId="77777777" w:rsidR="006E40C9" w:rsidRDefault="006E40C9">
            <w:pPr>
              <w:pStyle w:val="MeasureTableTextLeftAligned"/>
            </w:pPr>
          </w:p>
        </w:tc>
      </w:tr>
      <w:tr w:rsidR="006E40C9" w14:paraId="6E543E2B" w14:textId="77777777">
        <w:trPr>
          <w:cantSplit/>
          <w:jc w:val="center"/>
        </w:trPr>
        <w:tc>
          <w:tcPr>
            <w:tcW w:w="1934" w:type="dxa"/>
            <w:gridSpan w:val="2"/>
            <w:tcBorders>
              <w:top w:val="nil"/>
              <w:bottom w:val="nil"/>
            </w:tcBorders>
          </w:tcPr>
          <w:p w14:paraId="643412C2" w14:textId="77777777" w:rsidR="006E40C9" w:rsidRDefault="006E40C9">
            <w:pPr>
              <w:pStyle w:val="MeasureTableTextItalic"/>
            </w:pPr>
            <w:r>
              <w:t>Commencement date:</w:t>
            </w:r>
          </w:p>
        </w:tc>
        <w:tc>
          <w:tcPr>
            <w:tcW w:w="3179" w:type="dxa"/>
            <w:gridSpan w:val="4"/>
            <w:tcBorders>
              <w:top w:val="nil"/>
              <w:bottom w:val="nil"/>
            </w:tcBorders>
          </w:tcPr>
          <w:p w14:paraId="3CC08633" w14:textId="77777777" w:rsidR="006E40C9" w:rsidRDefault="006E40C9">
            <w:pPr>
              <w:pStyle w:val="MeasureTableTextLeftAligned"/>
            </w:pPr>
            <w:r>
              <w:t>9 November 1979</w:t>
            </w:r>
          </w:p>
        </w:tc>
        <w:tc>
          <w:tcPr>
            <w:tcW w:w="1500" w:type="dxa"/>
            <w:gridSpan w:val="2"/>
            <w:tcBorders>
              <w:top w:val="nil"/>
              <w:bottom w:val="nil"/>
            </w:tcBorders>
          </w:tcPr>
          <w:p w14:paraId="40E937AE" w14:textId="77777777" w:rsidR="006E40C9" w:rsidRPr="00F32057" w:rsidRDefault="006E40C9">
            <w:pPr>
              <w:pStyle w:val="MeasureTableTextItalic"/>
            </w:pPr>
            <w:r>
              <w:t>Expiry date:</w:t>
            </w:r>
          </w:p>
        </w:tc>
        <w:tc>
          <w:tcPr>
            <w:tcW w:w="1124" w:type="dxa"/>
            <w:gridSpan w:val="2"/>
            <w:tcBorders>
              <w:top w:val="nil"/>
              <w:bottom w:val="nil"/>
            </w:tcBorders>
          </w:tcPr>
          <w:p w14:paraId="4E09F04B" w14:textId="77777777" w:rsidR="006E40C9" w:rsidRPr="00F32057" w:rsidRDefault="006E40C9">
            <w:pPr>
              <w:pStyle w:val="MeasureTableTextLeftAligned"/>
            </w:pPr>
          </w:p>
        </w:tc>
      </w:tr>
      <w:tr w:rsidR="006E40C9" w14:paraId="6C0766C5" w14:textId="77777777">
        <w:trPr>
          <w:cantSplit/>
          <w:jc w:val="center"/>
        </w:trPr>
        <w:tc>
          <w:tcPr>
            <w:tcW w:w="1934" w:type="dxa"/>
            <w:gridSpan w:val="2"/>
            <w:tcBorders>
              <w:top w:val="nil"/>
            </w:tcBorders>
          </w:tcPr>
          <w:p w14:paraId="30E1D80E" w14:textId="77777777" w:rsidR="006E40C9" w:rsidRDefault="006E40C9">
            <w:pPr>
              <w:pStyle w:val="MeasureTableTextItalic"/>
            </w:pPr>
            <w:r>
              <w:t>Legislative reference:</w:t>
            </w:r>
          </w:p>
        </w:tc>
        <w:tc>
          <w:tcPr>
            <w:tcW w:w="5803" w:type="dxa"/>
            <w:gridSpan w:val="8"/>
            <w:tcBorders>
              <w:top w:val="nil"/>
            </w:tcBorders>
          </w:tcPr>
          <w:p w14:paraId="632A623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3 of the Schedule to the </w:t>
            </w:r>
            <w:r>
              <w:rPr>
                <w:rFonts w:ascii="Arial" w:hAnsi="Arial" w:cs="Arial"/>
                <w:i/>
                <w:iCs/>
                <w:color w:val="000000"/>
                <w:sz w:val="16"/>
                <w:szCs w:val="16"/>
              </w:rPr>
              <w:t>Excise Tariff Act 1921</w:t>
            </w:r>
          </w:p>
        </w:tc>
      </w:tr>
    </w:tbl>
    <w:p w14:paraId="72FE7EA3" w14:textId="77777777" w:rsidR="006E40C9" w:rsidRPr="00540040" w:rsidRDefault="006E40C9" w:rsidP="006E40C9">
      <w:pPr>
        <w:pStyle w:val="MeasureTableHeading"/>
      </w:pPr>
    </w:p>
    <w:p w14:paraId="284D22C9" w14:textId="77777777" w:rsidR="006E40C9" w:rsidRDefault="006E40C9" w:rsidP="006E40C9">
      <w:r>
        <w:t xml:space="preserve">Under the benchmark tax treatment, spirits are taxed at a single rate per litre of alcohol. However, brandy </w:t>
      </w:r>
      <w:r>
        <w:fldChar w:fldCharType="begin"/>
      </w:r>
      <w:r>
        <w:instrText xml:space="preserve"> XE "Alcohol:Brandy" </w:instrText>
      </w:r>
      <w:r>
        <w:fldChar w:fldCharType="end"/>
      </w:r>
      <w:r>
        <w:t>is subject to a lower rate of excise than the rate applying to other spirits.</w:t>
      </w:r>
      <w:bookmarkStart w:id="93" w:name="top"/>
      <w:bookmarkEnd w:id="93"/>
    </w:p>
    <w:p w14:paraId="323C3E54" w14:textId="77777777" w:rsidR="006E40C9" w:rsidRDefault="006E40C9" w:rsidP="00D9255A">
      <w:pPr>
        <w:pStyle w:val="TESHeading5"/>
      </w:pPr>
      <w:r>
        <w:t>F12</w:t>
      </w:r>
      <w:r>
        <w:tab/>
        <w:t>Concessional rate of excise levied on brewed-on-premises beer</w:t>
      </w:r>
    </w:p>
    <w:p w14:paraId="4C2FF707" w14:textId="6156E65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BB2D764" w14:textId="77777777">
        <w:trPr>
          <w:cantSplit/>
          <w:jc w:val="center"/>
        </w:trPr>
        <w:tc>
          <w:tcPr>
            <w:tcW w:w="967" w:type="dxa"/>
            <w:tcBorders>
              <w:top w:val="single" w:sz="2" w:space="0" w:color="auto"/>
              <w:bottom w:val="single" w:sz="2" w:space="0" w:color="auto"/>
            </w:tcBorders>
          </w:tcPr>
          <w:p w14:paraId="6724B19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5BCE25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A43F53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C229E4F"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720356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ADC88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F28C2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5F88FD6" w14:textId="77777777" w:rsidR="006E40C9" w:rsidRDefault="006E40C9">
            <w:pPr>
              <w:pStyle w:val="MeasureTableTextRightAligned"/>
            </w:pPr>
            <w:r>
              <w:t>2027-28</w:t>
            </w:r>
          </w:p>
        </w:tc>
      </w:tr>
      <w:tr w:rsidR="006E40C9" w14:paraId="3B8B5F41" w14:textId="77777777">
        <w:trPr>
          <w:cantSplit/>
          <w:jc w:val="center"/>
        </w:trPr>
        <w:tc>
          <w:tcPr>
            <w:tcW w:w="967" w:type="dxa"/>
            <w:tcBorders>
              <w:top w:val="single" w:sz="2" w:space="0" w:color="auto"/>
              <w:bottom w:val="single" w:sz="2" w:space="0" w:color="auto"/>
            </w:tcBorders>
          </w:tcPr>
          <w:p w14:paraId="56FDD837" w14:textId="77777777" w:rsidR="006E40C9" w:rsidRDefault="006E40C9">
            <w:pPr>
              <w:pStyle w:val="MeasureTableTextRightAligned"/>
            </w:pPr>
            <w:r>
              <w:t>4</w:t>
            </w:r>
          </w:p>
        </w:tc>
        <w:tc>
          <w:tcPr>
            <w:tcW w:w="967" w:type="dxa"/>
            <w:tcBorders>
              <w:top w:val="single" w:sz="2" w:space="0" w:color="auto"/>
              <w:bottom w:val="single" w:sz="2" w:space="0" w:color="auto"/>
            </w:tcBorders>
          </w:tcPr>
          <w:p w14:paraId="635C9B5B" w14:textId="77777777" w:rsidR="006E40C9" w:rsidRDefault="006E40C9">
            <w:pPr>
              <w:pStyle w:val="MeasureTableTextRightAligned"/>
            </w:pPr>
            <w:r>
              <w:t>7</w:t>
            </w:r>
          </w:p>
        </w:tc>
        <w:tc>
          <w:tcPr>
            <w:tcW w:w="967" w:type="dxa"/>
            <w:tcBorders>
              <w:top w:val="single" w:sz="2" w:space="0" w:color="auto"/>
              <w:bottom w:val="single" w:sz="2" w:space="0" w:color="auto"/>
            </w:tcBorders>
            <w:vAlign w:val="bottom"/>
          </w:tcPr>
          <w:p w14:paraId="72C0E90B"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DB935EB"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75565A00" w14:textId="77777777" w:rsidR="006E40C9" w:rsidRDefault="006E40C9">
            <w:pPr>
              <w:pStyle w:val="MeasureTableTextRightAligned"/>
            </w:pPr>
            <w:r>
              <w:t>6</w:t>
            </w:r>
          </w:p>
        </w:tc>
        <w:tc>
          <w:tcPr>
            <w:tcW w:w="967" w:type="dxa"/>
            <w:gridSpan w:val="2"/>
            <w:tcBorders>
              <w:top w:val="single" w:sz="2" w:space="0" w:color="auto"/>
              <w:bottom w:val="single" w:sz="2" w:space="0" w:color="auto"/>
            </w:tcBorders>
            <w:vAlign w:val="bottom"/>
          </w:tcPr>
          <w:p w14:paraId="0CC7A5EB" w14:textId="77777777" w:rsidR="006E40C9" w:rsidRDefault="006E40C9">
            <w:pPr>
              <w:pStyle w:val="MeasureTableTextRightAligned"/>
            </w:pPr>
            <w:r>
              <w:t>7</w:t>
            </w:r>
          </w:p>
        </w:tc>
        <w:tc>
          <w:tcPr>
            <w:tcW w:w="967" w:type="dxa"/>
            <w:gridSpan w:val="2"/>
            <w:tcBorders>
              <w:top w:val="single" w:sz="2" w:space="0" w:color="auto"/>
              <w:bottom w:val="single" w:sz="2" w:space="0" w:color="auto"/>
            </w:tcBorders>
            <w:vAlign w:val="bottom"/>
          </w:tcPr>
          <w:p w14:paraId="6234DBD8" w14:textId="77777777" w:rsidR="006E40C9" w:rsidRDefault="006E40C9">
            <w:pPr>
              <w:pStyle w:val="MeasureTableTextRightAligned"/>
            </w:pPr>
            <w:r>
              <w:t>7</w:t>
            </w:r>
          </w:p>
        </w:tc>
        <w:tc>
          <w:tcPr>
            <w:tcW w:w="968" w:type="dxa"/>
            <w:tcBorders>
              <w:top w:val="single" w:sz="2" w:space="0" w:color="auto"/>
              <w:bottom w:val="single" w:sz="2" w:space="0" w:color="auto"/>
            </w:tcBorders>
            <w:vAlign w:val="bottom"/>
          </w:tcPr>
          <w:p w14:paraId="20E2E582" w14:textId="77777777" w:rsidR="006E40C9" w:rsidRDefault="006E40C9">
            <w:pPr>
              <w:pStyle w:val="MeasureTableTextRightAligned"/>
            </w:pPr>
            <w:r>
              <w:t>7</w:t>
            </w:r>
          </w:p>
        </w:tc>
      </w:tr>
      <w:tr w:rsidR="006E40C9" w14:paraId="53E49719" w14:textId="77777777">
        <w:trPr>
          <w:cantSplit/>
          <w:jc w:val="center"/>
        </w:trPr>
        <w:tc>
          <w:tcPr>
            <w:tcW w:w="1934" w:type="dxa"/>
            <w:gridSpan w:val="2"/>
            <w:tcBorders>
              <w:top w:val="single" w:sz="2" w:space="0" w:color="auto"/>
              <w:bottom w:val="nil"/>
            </w:tcBorders>
          </w:tcPr>
          <w:p w14:paraId="6CD20E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19019D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203CD8FA" w14:textId="72B1BF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95CB04E" w14:textId="77777777" w:rsidR="006E40C9" w:rsidRDefault="006E40C9">
            <w:pPr>
              <w:pStyle w:val="MeasureTableTextLeftAligned"/>
            </w:pPr>
            <w:r>
              <w:t>F12</w:t>
            </w:r>
          </w:p>
        </w:tc>
      </w:tr>
      <w:tr w:rsidR="006E40C9" w14:paraId="7360FE8C" w14:textId="77777777">
        <w:trPr>
          <w:cantSplit/>
          <w:jc w:val="center"/>
        </w:trPr>
        <w:tc>
          <w:tcPr>
            <w:tcW w:w="1934" w:type="dxa"/>
            <w:gridSpan w:val="2"/>
            <w:tcBorders>
              <w:top w:val="nil"/>
              <w:bottom w:val="nil"/>
            </w:tcBorders>
          </w:tcPr>
          <w:p w14:paraId="0385701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12A5D01" w14:textId="77777777" w:rsidR="006E40C9" w:rsidRPr="00584CA7" w:rsidRDefault="006E40C9">
            <w:pPr>
              <w:pStyle w:val="MeasureTableTextLeftAligned"/>
            </w:pPr>
            <w:r>
              <w:t>Medium</w:t>
            </w:r>
          </w:p>
        </w:tc>
        <w:tc>
          <w:tcPr>
            <w:tcW w:w="1500" w:type="dxa"/>
            <w:gridSpan w:val="2"/>
            <w:tcBorders>
              <w:top w:val="nil"/>
              <w:bottom w:val="nil"/>
            </w:tcBorders>
          </w:tcPr>
          <w:p w14:paraId="413EB4BF" w14:textId="77777777" w:rsidR="006E40C9" w:rsidRDefault="006E40C9">
            <w:pPr>
              <w:pStyle w:val="MeasureTableTextItalic"/>
            </w:pPr>
          </w:p>
        </w:tc>
        <w:tc>
          <w:tcPr>
            <w:tcW w:w="1124" w:type="dxa"/>
            <w:gridSpan w:val="2"/>
            <w:tcBorders>
              <w:top w:val="nil"/>
              <w:bottom w:val="nil"/>
            </w:tcBorders>
          </w:tcPr>
          <w:p w14:paraId="1DA8E4DF" w14:textId="77777777" w:rsidR="006E40C9" w:rsidRDefault="006E40C9">
            <w:pPr>
              <w:pStyle w:val="MeasureTableTextLeftAligned"/>
            </w:pPr>
          </w:p>
        </w:tc>
      </w:tr>
      <w:tr w:rsidR="006E40C9" w14:paraId="68090CC1" w14:textId="77777777">
        <w:trPr>
          <w:cantSplit/>
          <w:jc w:val="center"/>
        </w:trPr>
        <w:tc>
          <w:tcPr>
            <w:tcW w:w="1934" w:type="dxa"/>
            <w:gridSpan w:val="2"/>
            <w:tcBorders>
              <w:top w:val="nil"/>
              <w:bottom w:val="nil"/>
            </w:tcBorders>
          </w:tcPr>
          <w:p w14:paraId="6B124242" w14:textId="77777777" w:rsidR="006E40C9" w:rsidRDefault="006E40C9">
            <w:pPr>
              <w:pStyle w:val="MeasureTableTextItalic"/>
            </w:pPr>
            <w:r>
              <w:t>Commencement date:</w:t>
            </w:r>
          </w:p>
        </w:tc>
        <w:tc>
          <w:tcPr>
            <w:tcW w:w="3179" w:type="dxa"/>
            <w:gridSpan w:val="4"/>
            <w:tcBorders>
              <w:top w:val="nil"/>
              <w:bottom w:val="nil"/>
            </w:tcBorders>
          </w:tcPr>
          <w:p w14:paraId="3684D27E" w14:textId="77777777" w:rsidR="006E40C9" w:rsidRDefault="006E40C9">
            <w:pPr>
              <w:pStyle w:val="MeasureTableTextLeftAligned"/>
            </w:pPr>
            <w:r>
              <w:t>1 April 1994</w:t>
            </w:r>
          </w:p>
        </w:tc>
        <w:tc>
          <w:tcPr>
            <w:tcW w:w="1500" w:type="dxa"/>
            <w:gridSpan w:val="2"/>
            <w:tcBorders>
              <w:top w:val="nil"/>
              <w:bottom w:val="nil"/>
            </w:tcBorders>
          </w:tcPr>
          <w:p w14:paraId="208BF0A3" w14:textId="77777777" w:rsidR="006E40C9" w:rsidRPr="00F32057" w:rsidRDefault="006E40C9">
            <w:pPr>
              <w:pStyle w:val="MeasureTableTextItalic"/>
            </w:pPr>
            <w:r>
              <w:t>Expiry date:</w:t>
            </w:r>
          </w:p>
        </w:tc>
        <w:tc>
          <w:tcPr>
            <w:tcW w:w="1124" w:type="dxa"/>
            <w:gridSpan w:val="2"/>
            <w:tcBorders>
              <w:top w:val="nil"/>
              <w:bottom w:val="nil"/>
            </w:tcBorders>
          </w:tcPr>
          <w:p w14:paraId="339B4DEB" w14:textId="77777777" w:rsidR="006E40C9" w:rsidRPr="00F32057" w:rsidRDefault="006E40C9">
            <w:pPr>
              <w:pStyle w:val="MeasureTableTextLeftAligned"/>
            </w:pPr>
          </w:p>
        </w:tc>
      </w:tr>
      <w:tr w:rsidR="006E40C9" w14:paraId="50F9458C" w14:textId="77777777">
        <w:trPr>
          <w:cantSplit/>
          <w:jc w:val="center"/>
        </w:trPr>
        <w:tc>
          <w:tcPr>
            <w:tcW w:w="1934" w:type="dxa"/>
            <w:gridSpan w:val="2"/>
            <w:tcBorders>
              <w:top w:val="nil"/>
            </w:tcBorders>
          </w:tcPr>
          <w:p w14:paraId="3E3B46E4" w14:textId="77777777" w:rsidR="006E40C9" w:rsidRDefault="006E40C9">
            <w:pPr>
              <w:pStyle w:val="MeasureTableTextItalic"/>
            </w:pPr>
            <w:r>
              <w:t>Legislative reference:</w:t>
            </w:r>
          </w:p>
        </w:tc>
        <w:tc>
          <w:tcPr>
            <w:tcW w:w="5803" w:type="dxa"/>
            <w:gridSpan w:val="8"/>
            <w:tcBorders>
              <w:top w:val="nil"/>
            </w:tcBorders>
          </w:tcPr>
          <w:p w14:paraId="031B7F8F"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05EDF956" w14:textId="77777777" w:rsidR="006E40C9" w:rsidRPr="00540040" w:rsidRDefault="006E40C9" w:rsidP="006E40C9">
      <w:pPr>
        <w:pStyle w:val="MeasureTableHeading"/>
      </w:pPr>
    </w:p>
    <w:p w14:paraId="15830AD2" w14:textId="77777777" w:rsidR="006E40C9" w:rsidRDefault="006E40C9" w:rsidP="006E40C9">
      <w:r>
        <w:t>The benchmark excise rate for beer is that which applies to full</w:t>
      </w:r>
      <w:r>
        <w:noBreakHyphen/>
        <w:t>strength, commercially produced beer stored in containers of less than eight litres. Brewed</w:t>
      </w:r>
      <w:r>
        <w:noBreakHyphen/>
        <w:t>on</w:t>
      </w:r>
      <w:r>
        <w:noBreakHyphen/>
        <w:t>premises beer</w:t>
      </w:r>
      <w:r>
        <w:fldChar w:fldCharType="begin"/>
      </w:r>
      <w:r>
        <w:instrText xml:space="preserve"> XE "Alcohol:Brew</w:instrText>
      </w:r>
      <w:r>
        <w:noBreakHyphen/>
        <w:instrText>on</w:instrText>
      </w:r>
      <w:r>
        <w:noBreakHyphen/>
        <w:instrText xml:space="preserve">premise beer" </w:instrText>
      </w:r>
      <w:r>
        <w:fldChar w:fldCharType="end"/>
      </w:r>
      <w:r>
        <w:t xml:space="preserve"> (that is, beer produced for non</w:t>
      </w:r>
      <w:r>
        <w:noBreakHyphen/>
        <w:t>commercial purposes using commercial facilities or equipment) is subject to a lower rate of excise than the benchmark rate.</w:t>
      </w:r>
    </w:p>
    <w:p w14:paraId="5F42E511" w14:textId="77777777" w:rsidR="006E40C9" w:rsidRDefault="006E40C9" w:rsidP="00D9255A">
      <w:pPr>
        <w:pStyle w:val="TESHeading5"/>
      </w:pPr>
      <w:r>
        <w:t>F13</w:t>
      </w:r>
      <w:r>
        <w:tab/>
        <w:t>Concessional rate of excise levied on draught beer</w:t>
      </w:r>
    </w:p>
    <w:p w14:paraId="245AA1A8" w14:textId="73A89FF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01BDD23" w14:textId="77777777">
        <w:trPr>
          <w:cantSplit/>
          <w:jc w:val="center"/>
        </w:trPr>
        <w:tc>
          <w:tcPr>
            <w:tcW w:w="967" w:type="dxa"/>
            <w:tcBorders>
              <w:top w:val="single" w:sz="2" w:space="0" w:color="auto"/>
              <w:bottom w:val="single" w:sz="2" w:space="0" w:color="auto"/>
            </w:tcBorders>
          </w:tcPr>
          <w:p w14:paraId="43F873C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D7DCF7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E8DCB7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0C3AB5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D91D06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DF59D9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2AAB7D1"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5A953B" w14:textId="77777777" w:rsidR="006E40C9" w:rsidRDefault="006E40C9">
            <w:pPr>
              <w:pStyle w:val="MeasureTableTextRightAligned"/>
            </w:pPr>
            <w:r>
              <w:t>2027-28</w:t>
            </w:r>
          </w:p>
        </w:tc>
      </w:tr>
      <w:tr w:rsidR="006E40C9" w14:paraId="6BF4A4B2" w14:textId="77777777">
        <w:trPr>
          <w:cantSplit/>
          <w:jc w:val="center"/>
        </w:trPr>
        <w:tc>
          <w:tcPr>
            <w:tcW w:w="967" w:type="dxa"/>
            <w:tcBorders>
              <w:top w:val="single" w:sz="2" w:space="0" w:color="auto"/>
              <w:bottom w:val="single" w:sz="2" w:space="0" w:color="auto"/>
            </w:tcBorders>
          </w:tcPr>
          <w:p w14:paraId="07FF665A" w14:textId="77777777" w:rsidR="006E40C9" w:rsidRDefault="006E40C9">
            <w:pPr>
              <w:pStyle w:val="MeasureTableTextRightAligned"/>
            </w:pPr>
            <w:r>
              <w:t>155</w:t>
            </w:r>
          </w:p>
        </w:tc>
        <w:tc>
          <w:tcPr>
            <w:tcW w:w="967" w:type="dxa"/>
            <w:tcBorders>
              <w:top w:val="single" w:sz="2" w:space="0" w:color="auto"/>
              <w:bottom w:val="single" w:sz="2" w:space="0" w:color="auto"/>
            </w:tcBorders>
          </w:tcPr>
          <w:p w14:paraId="6C064DFB" w14:textId="77777777" w:rsidR="006E40C9" w:rsidRDefault="006E40C9">
            <w:pPr>
              <w:pStyle w:val="MeasureTableTextRightAligned"/>
            </w:pPr>
            <w:r>
              <w:t>150</w:t>
            </w:r>
          </w:p>
        </w:tc>
        <w:tc>
          <w:tcPr>
            <w:tcW w:w="967" w:type="dxa"/>
            <w:tcBorders>
              <w:top w:val="single" w:sz="2" w:space="0" w:color="auto"/>
              <w:bottom w:val="single" w:sz="2" w:space="0" w:color="auto"/>
            </w:tcBorders>
            <w:vAlign w:val="bottom"/>
          </w:tcPr>
          <w:p w14:paraId="48EA745E" w14:textId="77777777" w:rsidR="006E40C9" w:rsidRDefault="006E40C9">
            <w:pPr>
              <w:pStyle w:val="MeasureTableTextRightAligned"/>
            </w:pPr>
            <w:r>
              <w:t>200</w:t>
            </w:r>
          </w:p>
        </w:tc>
        <w:tc>
          <w:tcPr>
            <w:tcW w:w="967" w:type="dxa"/>
            <w:tcBorders>
              <w:top w:val="single" w:sz="2" w:space="0" w:color="auto"/>
              <w:bottom w:val="single" w:sz="2" w:space="0" w:color="auto"/>
            </w:tcBorders>
            <w:vAlign w:val="bottom"/>
          </w:tcPr>
          <w:p w14:paraId="657F206C" w14:textId="77777777" w:rsidR="006E40C9" w:rsidRDefault="006E40C9">
            <w:pPr>
              <w:pStyle w:val="MeasureTableTextRightAligned"/>
            </w:pPr>
            <w:r>
              <w:t>205</w:t>
            </w:r>
          </w:p>
        </w:tc>
        <w:tc>
          <w:tcPr>
            <w:tcW w:w="967" w:type="dxa"/>
            <w:tcBorders>
              <w:top w:val="single" w:sz="2" w:space="0" w:color="auto"/>
              <w:bottom w:val="single" w:sz="2" w:space="0" w:color="auto"/>
            </w:tcBorders>
            <w:vAlign w:val="bottom"/>
          </w:tcPr>
          <w:p w14:paraId="590BCD1D" w14:textId="77777777" w:rsidR="006E40C9" w:rsidRDefault="006E40C9">
            <w:pPr>
              <w:pStyle w:val="MeasureTableTextRightAligned"/>
            </w:pPr>
            <w:r>
              <w:t>240</w:t>
            </w:r>
          </w:p>
        </w:tc>
        <w:tc>
          <w:tcPr>
            <w:tcW w:w="967" w:type="dxa"/>
            <w:gridSpan w:val="2"/>
            <w:tcBorders>
              <w:top w:val="single" w:sz="2" w:space="0" w:color="auto"/>
              <w:bottom w:val="single" w:sz="2" w:space="0" w:color="auto"/>
            </w:tcBorders>
            <w:vAlign w:val="bottom"/>
          </w:tcPr>
          <w:p w14:paraId="34C8B15F" w14:textId="77777777" w:rsidR="006E40C9" w:rsidRDefault="006E40C9">
            <w:pPr>
              <w:pStyle w:val="MeasureTableTextRightAligned"/>
            </w:pPr>
            <w:r>
              <w:t>250</w:t>
            </w:r>
          </w:p>
        </w:tc>
        <w:tc>
          <w:tcPr>
            <w:tcW w:w="967" w:type="dxa"/>
            <w:gridSpan w:val="2"/>
            <w:tcBorders>
              <w:top w:val="single" w:sz="2" w:space="0" w:color="auto"/>
              <w:bottom w:val="single" w:sz="2" w:space="0" w:color="auto"/>
            </w:tcBorders>
            <w:vAlign w:val="bottom"/>
          </w:tcPr>
          <w:p w14:paraId="12494934" w14:textId="77777777" w:rsidR="006E40C9" w:rsidRDefault="006E40C9">
            <w:pPr>
              <w:pStyle w:val="MeasureTableTextRightAligned"/>
            </w:pPr>
            <w:r>
              <w:t>265</w:t>
            </w:r>
          </w:p>
        </w:tc>
        <w:tc>
          <w:tcPr>
            <w:tcW w:w="968" w:type="dxa"/>
            <w:tcBorders>
              <w:top w:val="single" w:sz="2" w:space="0" w:color="auto"/>
              <w:bottom w:val="single" w:sz="2" w:space="0" w:color="auto"/>
            </w:tcBorders>
            <w:vAlign w:val="bottom"/>
          </w:tcPr>
          <w:p w14:paraId="208A1281" w14:textId="77777777" w:rsidR="006E40C9" w:rsidRDefault="006E40C9">
            <w:pPr>
              <w:pStyle w:val="MeasureTableTextRightAligned"/>
            </w:pPr>
            <w:r>
              <w:t>275</w:t>
            </w:r>
          </w:p>
        </w:tc>
      </w:tr>
      <w:tr w:rsidR="006E40C9" w14:paraId="458BABD4" w14:textId="77777777">
        <w:trPr>
          <w:cantSplit/>
          <w:jc w:val="center"/>
        </w:trPr>
        <w:tc>
          <w:tcPr>
            <w:tcW w:w="1934" w:type="dxa"/>
            <w:gridSpan w:val="2"/>
            <w:tcBorders>
              <w:top w:val="single" w:sz="2" w:space="0" w:color="auto"/>
              <w:bottom w:val="nil"/>
            </w:tcBorders>
          </w:tcPr>
          <w:p w14:paraId="235F259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4320579"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5E08B0D9" w14:textId="1505EB8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E755006" w14:textId="77777777" w:rsidR="006E40C9" w:rsidRDefault="006E40C9">
            <w:pPr>
              <w:pStyle w:val="MeasureTableTextLeftAligned"/>
            </w:pPr>
            <w:r>
              <w:t>F13</w:t>
            </w:r>
          </w:p>
        </w:tc>
      </w:tr>
      <w:tr w:rsidR="006E40C9" w14:paraId="7C04F9D2" w14:textId="77777777">
        <w:trPr>
          <w:cantSplit/>
          <w:jc w:val="center"/>
        </w:trPr>
        <w:tc>
          <w:tcPr>
            <w:tcW w:w="1934" w:type="dxa"/>
            <w:gridSpan w:val="2"/>
            <w:tcBorders>
              <w:top w:val="nil"/>
              <w:bottom w:val="nil"/>
            </w:tcBorders>
          </w:tcPr>
          <w:p w14:paraId="1A4BBFF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0FC89B" w14:textId="77777777" w:rsidR="006E40C9" w:rsidRPr="00584CA7" w:rsidRDefault="006E40C9">
            <w:pPr>
              <w:pStyle w:val="MeasureTableTextLeftAligned"/>
            </w:pPr>
            <w:r>
              <w:t>Medium</w:t>
            </w:r>
          </w:p>
        </w:tc>
        <w:tc>
          <w:tcPr>
            <w:tcW w:w="1500" w:type="dxa"/>
            <w:gridSpan w:val="2"/>
            <w:tcBorders>
              <w:top w:val="nil"/>
              <w:bottom w:val="nil"/>
            </w:tcBorders>
          </w:tcPr>
          <w:p w14:paraId="638FE1C3" w14:textId="77777777" w:rsidR="006E40C9" w:rsidRDefault="006E40C9">
            <w:pPr>
              <w:pStyle w:val="MeasureTableTextItalic"/>
            </w:pPr>
          </w:p>
        </w:tc>
        <w:tc>
          <w:tcPr>
            <w:tcW w:w="1124" w:type="dxa"/>
            <w:gridSpan w:val="2"/>
            <w:tcBorders>
              <w:top w:val="nil"/>
              <w:bottom w:val="nil"/>
            </w:tcBorders>
          </w:tcPr>
          <w:p w14:paraId="21D4CE8F" w14:textId="77777777" w:rsidR="006E40C9" w:rsidRDefault="006E40C9">
            <w:pPr>
              <w:pStyle w:val="MeasureTableTextLeftAligned"/>
            </w:pPr>
          </w:p>
        </w:tc>
      </w:tr>
      <w:tr w:rsidR="006E40C9" w14:paraId="40200E54" w14:textId="77777777">
        <w:trPr>
          <w:cantSplit/>
          <w:jc w:val="center"/>
        </w:trPr>
        <w:tc>
          <w:tcPr>
            <w:tcW w:w="1934" w:type="dxa"/>
            <w:gridSpan w:val="2"/>
            <w:tcBorders>
              <w:top w:val="nil"/>
              <w:bottom w:val="nil"/>
            </w:tcBorders>
          </w:tcPr>
          <w:p w14:paraId="65F0DE21" w14:textId="77777777" w:rsidR="006E40C9" w:rsidRDefault="006E40C9">
            <w:pPr>
              <w:pStyle w:val="MeasureTableTextItalic"/>
            </w:pPr>
            <w:r>
              <w:t>Commencement date:</w:t>
            </w:r>
          </w:p>
        </w:tc>
        <w:tc>
          <w:tcPr>
            <w:tcW w:w="3179" w:type="dxa"/>
            <w:gridSpan w:val="4"/>
            <w:tcBorders>
              <w:top w:val="nil"/>
              <w:bottom w:val="nil"/>
            </w:tcBorders>
          </w:tcPr>
          <w:p w14:paraId="6486871B" w14:textId="77777777" w:rsidR="006E40C9" w:rsidRDefault="006E40C9">
            <w:pPr>
              <w:pStyle w:val="MeasureTableTextLeftAligned"/>
            </w:pPr>
            <w:r>
              <w:t>4 April 2001</w:t>
            </w:r>
          </w:p>
        </w:tc>
        <w:tc>
          <w:tcPr>
            <w:tcW w:w="1500" w:type="dxa"/>
            <w:gridSpan w:val="2"/>
            <w:tcBorders>
              <w:top w:val="nil"/>
              <w:bottom w:val="nil"/>
            </w:tcBorders>
          </w:tcPr>
          <w:p w14:paraId="17F9FEF6" w14:textId="77777777" w:rsidR="006E40C9" w:rsidRPr="00F32057" w:rsidRDefault="006E40C9">
            <w:pPr>
              <w:pStyle w:val="MeasureTableTextItalic"/>
            </w:pPr>
            <w:r>
              <w:t>Expiry date:</w:t>
            </w:r>
          </w:p>
        </w:tc>
        <w:tc>
          <w:tcPr>
            <w:tcW w:w="1124" w:type="dxa"/>
            <w:gridSpan w:val="2"/>
            <w:tcBorders>
              <w:top w:val="nil"/>
              <w:bottom w:val="nil"/>
            </w:tcBorders>
          </w:tcPr>
          <w:p w14:paraId="6CB6E946" w14:textId="77777777" w:rsidR="006E40C9" w:rsidRPr="00F32057" w:rsidRDefault="006E40C9">
            <w:pPr>
              <w:pStyle w:val="MeasureTableTextLeftAligned"/>
            </w:pPr>
          </w:p>
        </w:tc>
      </w:tr>
      <w:tr w:rsidR="006E40C9" w14:paraId="579991D0" w14:textId="77777777">
        <w:trPr>
          <w:cantSplit/>
          <w:jc w:val="center"/>
        </w:trPr>
        <w:tc>
          <w:tcPr>
            <w:tcW w:w="1934" w:type="dxa"/>
            <w:gridSpan w:val="2"/>
            <w:tcBorders>
              <w:top w:val="nil"/>
            </w:tcBorders>
          </w:tcPr>
          <w:p w14:paraId="28D27593" w14:textId="77777777" w:rsidR="006E40C9" w:rsidRDefault="006E40C9">
            <w:pPr>
              <w:pStyle w:val="MeasureTableTextItalic"/>
            </w:pPr>
            <w:r>
              <w:t>Legislative reference:</w:t>
            </w:r>
          </w:p>
        </w:tc>
        <w:tc>
          <w:tcPr>
            <w:tcW w:w="5803" w:type="dxa"/>
            <w:gridSpan w:val="8"/>
            <w:tcBorders>
              <w:top w:val="nil"/>
            </w:tcBorders>
          </w:tcPr>
          <w:p w14:paraId="2CF53FB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397BC5F5" w14:textId="77777777" w:rsidR="006E40C9" w:rsidRPr="00540040" w:rsidRDefault="006E40C9" w:rsidP="006E40C9">
      <w:pPr>
        <w:pStyle w:val="MeasureTableHeading"/>
      </w:pPr>
    </w:p>
    <w:p w14:paraId="5C662956" w14:textId="77777777" w:rsidR="006E40C9" w:rsidRDefault="006E40C9" w:rsidP="006E40C9">
      <w:r>
        <w:t>The benchmark excise rate for beer is that which applies to full strength, commercially produced beer stored in containers of less than eight litres. Draught beer</w:t>
      </w:r>
      <w:r>
        <w:fldChar w:fldCharType="begin"/>
      </w:r>
      <w:r>
        <w:instrText xml:space="preserve"> XE "Alcohol:Draught beer" </w:instrText>
      </w:r>
      <w:r>
        <w:fldChar w:fldCharType="end"/>
      </w:r>
      <w:r>
        <w:t xml:space="preserve"> (that is, beer stored in individual containers of eight litres or more) is subject to a lower rate of excise than the benchmark rate.</w:t>
      </w:r>
    </w:p>
    <w:p w14:paraId="564CA035" w14:textId="77777777" w:rsidR="006E40C9" w:rsidRDefault="006E40C9" w:rsidP="00D9255A">
      <w:pPr>
        <w:pStyle w:val="TESHeading5"/>
      </w:pPr>
      <w:r>
        <w:t>F14</w:t>
      </w:r>
      <w:r>
        <w:tab/>
        <w:t>Concessional rate of excise levied on low strength packaged beer</w:t>
      </w:r>
    </w:p>
    <w:p w14:paraId="54AAF488" w14:textId="04D59BF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60034B" w14:textId="77777777">
        <w:trPr>
          <w:cantSplit/>
          <w:jc w:val="center"/>
        </w:trPr>
        <w:tc>
          <w:tcPr>
            <w:tcW w:w="967" w:type="dxa"/>
            <w:tcBorders>
              <w:top w:val="single" w:sz="2" w:space="0" w:color="auto"/>
              <w:bottom w:val="single" w:sz="2" w:space="0" w:color="auto"/>
            </w:tcBorders>
          </w:tcPr>
          <w:p w14:paraId="3D73F91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27F8F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860C9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9EE5C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8E2286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736110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038FAA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F5F90C" w14:textId="77777777" w:rsidR="006E40C9" w:rsidRDefault="006E40C9">
            <w:pPr>
              <w:pStyle w:val="MeasureTableTextRightAligned"/>
            </w:pPr>
            <w:r>
              <w:t>2027-28</w:t>
            </w:r>
          </w:p>
        </w:tc>
      </w:tr>
      <w:tr w:rsidR="006E40C9" w14:paraId="459B4BA8" w14:textId="77777777">
        <w:trPr>
          <w:cantSplit/>
          <w:jc w:val="center"/>
        </w:trPr>
        <w:tc>
          <w:tcPr>
            <w:tcW w:w="967" w:type="dxa"/>
            <w:tcBorders>
              <w:top w:val="single" w:sz="2" w:space="0" w:color="auto"/>
              <w:bottom w:val="single" w:sz="2" w:space="0" w:color="auto"/>
            </w:tcBorders>
          </w:tcPr>
          <w:p w14:paraId="5D6B4E74" w14:textId="77777777" w:rsidR="006E40C9" w:rsidRDefault="006E40C9">
            <w:pPr>
              <w:pStyle w:val="MeasureTableTextRightAligned"/>
            </w:pPr>
            <w:r>
              <w:t>6</w:t>
            </w:r>
          </w:p>
        </w:tc>
        <w:tc>
          <w:tcPr>
            <w:tcW w:w="967" w:type="dxa"/>
            <w:tcBorders>
              <w:top w:val="single" w:sz="2" w:space="0" w:color="auto"/>
              <w:bottom w:val="single" w:sz="2" w:space="0" w:color="auto"/>
            </w:tcBorders>
          </w:tcPr>
          <w:p w14:paraId="78AD9BDE"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37418AC9"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87613AA" w14:textId="77777777" w:rsidR="006E40C9" w:rsidRDefault="006E40C9">
            <w:pPr>
              <w:pStyle w:val="MeasureTableTextRightAligned"/>
            </w:pPr>
            <w:r>
              <w:t>4</w:t>
            </w:r>
          </w:p>
        </w:tc>
        <w:tc>
          <w:tcPr>
            <w:tcW w:w="967" w:type="dxa"/>
            <w:tcBorders>
              <w:top w:val="single" w:sz="2" w:space="0" w:color="auto"/>
              <w:bottom w:val="single" w:sz="2" w:space="0" w:color="auto"/>
            </w:tcBorders>
            <w:vAlign w:val="bottom"/>
          </w:tcPr>
          <w:p w14:paraId="14DD4803"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08205A1C" w14:textId="77777777" w:rsidR="006E40C9" w:rsidRDefault="006E40C9">
            <w:pPr>
              <w:pStyle w:val="MeasureTableTextRightAligned"/>
            </w:pPr>
            <w:r>
              <w:t>5</w:t>
            </w:r>
          </w:p>
        </w:tc>
        <w:tc>
          <w:tcPr>
            <w:tcW w:w="967" w:type="dxa"/>
            <w:gridSpan w:val="2"/>
            <w:tcBorders>
              <w:top w:val="single" w:sz="2" w:space="0" w:color="auto"/>
              <w:bottom w:val="single" w:sz="2" w:space="0" w:color="auto"/>
            </w:tcBorders>
            <w:vAlign w:val="bottom"/>
          </w:tcPr>
          <w:p w14:paraId="5C2D8E6E" w14:textId="77777777" w:rsidR="006E40C9" w:rsidRDefault="006E40C9">
            <w:pPr>
              <w:pStyle w:val="MeasureTableTextRightAligned"/>
            </w:pPr>
            <w:r>
              <w:t>6</w:t>
            </w:r>
          </w:p>
        </w:tc>
        <w:tc>
          <w:tcPr>
            <w:tcW w:w="968" w:type="dxa"/>
            <w:tcBorders>
              <w:top w:val="single" w:sz="2" w:space="0" w:color="auto"/>
              <w:bottom w:val="single" w:sz="2" w:space="0" w:color="auto"/>
            </w:tcBorders>
            <w:vAlign w:val="bottom"/>
          </w:tcPr>
          <w:p w14:paraId="5ABDFCE2" w14:textId="77777777" w:rsidR="006E40C9" w:rsidRDefault="006E40C9">
            <w:pPr>
              <w:pStyle w:val="MeasureTableTextRightAligned"/>
            </w:pPr>
            <w:r>
              <w:t>6</w:t>
            </w:r>
          </w:p>
        </w:tc>
      </w:tr>
      <w:tr w:rsidR="006E40C9" w14:paraId="53F1C27B" w14:textId="77777777">
        <w:trPr>
          <w:cantSplit/>
          <w:jc w:val="center"/>
        </w:trPr>
        <w:tc>
          <w:tcPr>
            <w:tcW w:w="1934" w:type="dxa"/>
            <w:gridSpan w:val="2"/>
            <w:tcBorders>
              <w:top w:val="single" w:sz="2" w:space="0" w:color="auto"/>
              <w:bottom w:val="nil"/>
            </w:tcBorders>
          </w:tcPr>
          <w:p w14:paraId="71B258E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2096CD5"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1EA11C32" w14:textId="7B48370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5C36476" w14:textId="77777777" w:rsidR="006E40C9" w:rsidRDefault="006E40C9">
            <w:pPr>
              <w:pStyle w:val="MeasureTableTextLeftAligned"/>
            </w:pPr>
            <w:r>
              <w:t>F14</w:t>
            </w:r>
          </w:p>
        </w:tc>
      </w:tr>
      <w:tr w:rsidR="006E40C9" w14:paraId="1CD72536" w14:textId="77777777">
        <w:trPr>
          <w:cantSplit/>
          <w:jc w:val="center"/>
        </w:trPr>
        <w:tc>
          <w:tcPr>
            <w:tcW w:w="1934" w:type="dxa"/>
            <w:gridSpan w:val="2"/>
            <w:tcBorders>
              <w:top w:val="nil"/>
              <w:bottom w:val="nil"/>
            </w:tcBorders>
          </w:tcPr>
          <w:p w14:paraId="7CBECA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E72B241" w14:textId="77777777" w:rsidR="006E40C9" w:rsidRPr="00584CA7" w:rsidRDefault="006E40C9">
            <w:pPr>
              <w:pStyle w:val="MeasureTableTextLeftAligned"/>
            </w:pPr>
            <w:r>
              <w:t>Medium</w:t>
            </w:r>
          </w:p>
        </w:tc>
        <w:tc>
          <w:tcPr>
            <w:tcW w:w="1500" w:type="dxa"/>
            <w:gridSpan w:val="2"/>
            <w:tcBorders>
              <w:top w:val="nil"/>
              <w:bottom w:val="nil"/>
            </w:tcBorders>
          </w:tcPr>
          <w:p w14:paraId="512D4C3E" w14:textId="77777777" w:rsidR="006E40C9" w:rsidRDefault="006E40C9">
            <w:pPr>
              <w:pStyle w:val="MeasureTableTextItalic"/>
            </w:pPr>
          </w:p>
        </w:tc>
        <w:tc>
          <w:tcPr>
            <w:tcW w:w="1124" w:type="dxa"/>
            <w:gridSpan w:val="2"/>
            <w:tcBorders>
              <w:top w:val="nil"/>
              <w:bottom w:val="nil"/>
            </w:tcBorders>
          </w:tcPr>
          <w:p w14:paraId="51D2BE30" w14:textId="77777777" w:rsidR="006E40C9" w:rsidRDefault="006E40C9">
            <w:pPr>
              <w:pStyle w:val="MeasureTableTextLeftAligned"/>
            </w:pPr>
          </w:p>
        </w:tc>
      </w:tr>
      <w:tr w:rsidR="006E40C9" w14:paraId="00AA9CDA" w14:textId="77777777">
        <w:trPr>
          <w:cantSplit/>
          <w:jc w:val="center"/>
        </w:trPr>
        <w:tc>
          <w:tcPr>
            <w:tcW w:w="1934" w:type="dxa"/>
            <w:gridSpan w:val="2"/>
            <w:tcBorders>
              <w:top w:val="nil"/>
              <w:bottom w:val="nil"/>
            </w:tcBorders>
          </w:tcPr>
          <w:p w14:paraId="04BB4011" w14:textId="77777777" w:rsidR="006E40C9" w:rsidRDefault="006E40C9">
            <w:pPr>
              <w:pStyle w:val="MeasureTableTextItalic"/>
            </w:pPr>
            <w:r>
              <w:t>Commencement date:</w:t>
            </w:r>
          </w:p>
        </w:tc>
        <w:tc>
          <w:tcPr>
            <w:tcW w:w="3179" w:type="dxa"/>
            <w:gridSpan w:val="4"/>
            <w:tcBorders>
              <w:top w:val="nil"/>
              <w:bottom w:val="nil"/>
            </w:tcBorders>
          </w:tcPr>
          <w:p w14:paraId="1E958F8A" w14:textId="77777777" w:rsidR="006E40C9" w:rsidRDefault="006E40C9">
            <w:pPr>
              <w:pStyle w:val="MeasureTableTextLeftAligned"/>
            </w:pPr>
            <w:r>
              <w:t>1 July 2000</w:t>
            </w:r>
          </w:p>
        </w:tc>
        <w:tc>
          <w:tcPr>
            <w:tcW w:w="1500" w:type="dxa"/>
            <w:gridSpan w:val="2"/>
            <w:tcBorders>
              <w:top w:val="nil"/>
              <w:bottom w:val="nil"/>
            </w:tcBorders>
          </w:tcPr>
          <w:p w14:paraId="6AB05FEC" w14:textId="77777777" w:rsidR="006E40C9" w:rsidRPr="00F32057" w:rsidRDefault="006E40C9">
            <w:pPr>
              <w:pStyle w:val="MeasureTableTextItalic"/>
            </w:pPr>
            <w:r>
              <w:t>Expiry date:</w:t>
            </w:r>
          </w:p>
        </w:tc>
        <w:tc>
          <w:tcPr>
            <w:tcW w:w="1124" w:type="dxa"/>
            <w:gridSpan w:val="2"/>
            <w:tcBorders>
              <w:top w:val="nil"/>
              <w:bottom w:val="nil"/>
            </w:tcBorders>
          </w:tcPr>
          <w:p w14:paraId="0B5CC2D2" w14:textId="77777777" w:rsidR="006E40C9" w:rsidRPr="00F32057" w:rsidRDefault="006E40C9">
            <w:pPr>
              <w:pStyle w:val="MeasureTableTextLeftAligned"/>
            </w:pPr>
          </w:p>
        </w:tc>
      </w:tr>
      <w:tr w:rsidR="006E40C9" w14:paraId="73165BCC" w14:textId="77777777">
        <w:trPr>
          <w:cantSplit/>
          <w:jc w:val="center"/>
        </w:trPr>
        <w:tc>
          <w:tcPr>
            <w:tcW w:w="1934" w:type="dxa"/>
            <w:gridSpan w:val="2"/>
            <w:tcBorders>
              <w:top w:val="nil"/>
            </w:tcBorders>
          </w:tcPr>
          <w:p w14:paraId="2C501144" w14:textId="77777777" w:rsidR="006E40C9" w:rsidRDefault="006E40C9">
            <w:pPr>
              <w:pStyle w:val="MeasureTableTextItalic"/>
            </w:pPr>
            <w:r>
              <w:t>Legislative reference:</w:t>
            </w:r>
          </w:p>
        </w:tc>
        <w:tc>
          <w:tcPr>
            <w:tcW w:w="5803" w:type="dxa"/>
            <w:gridSpan w:val="8"/>
            <w:tcBorders>
              <w:top w:val="nil"/>
            </w:tcBorders>
          </w:tcPr>
          <w:p w14:paraId="16B32EC8"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 of the Schedule to the </w:t>
            </w:r>
            <w:r>
              <w:rPr>
                <w:rFonts w:ascii="Arial" w:hAnsi="Arial" w:cs="Arial"/>
                <w:i/>
                <w:iCs/>
                <w:color w:val="000000"/>
                <w:sz w:val="16"/>
                <w:szCs w:val="16"/>
              </w:rPr>
              <w:t>Excise Tariff Act 1921</w:t>
            </w:r>
          </w:p>
        </w:tc>
      </w:tr>
    </w:tbl>
    <w:p w14:paraId="3BCC9EF4" w14:textId="77777777" w:rsidR="006E40C9" w:rsidRPr="00540040" w:rsidRDefault="006E40C9" w:rsidP="006E40C9">
      <w:pPr>
        <w:pStyle w:val="MeasureTableHeading"/>
      </w:pPr>
    </w:p>
    <w:p w14:paraId="33FABFD9" w14:textId="7A52C7EE" w:rsidR="006E40C9" w:rsidRDefault="006E40C9" w:rsidP="006E40C9">
      <w:r>
        <w:t>The benchmark excise rate for beer is that which applies to full strength, commercially produced beer stored in containers of less than 8 litres. However, low strength beer</w:t>
      </w:r>
      <w:r>
        <w:fldChar w:fldCharType="begin"/>
      </w:r>
      <w:r>
        <w:instrText xml:space="preserve"> XE "Alcohol:Low-strength beer" </w:instrText>
      </w:r>
      <w:r>
        <w:fldChar w:fldCharType="end"/>
      </w:r>
      <w:r>
        <w:t xml:space="preserve"> with an alcohol content of no more than 3 per cent is subject to a lower rate of excise than the benchmark rate of similarly packaged full strength beer.</w:t>
      </w:r>
    </w:p>
    <w:p w14:paraId="359EAD11" w14:textId="77777777" w:rsidR="006E40C9" w:rsidRDefault="006E40C9" w:rsidP="00D9255A">
      <w:pPr>
        <w:pStyle w:val="TESHeading5"/>
      </w:pPr>
      <w:r>
        <w:t>F15</w:t>
      </w:r>
      <w:r>
        <w:tab/>
        <w:t>Excise concession for alcohol producers</w:t>
      </w:r>
    </w:p>
    <w:p w14:paraId="236238B9" w14:textId="75451D3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28E61B1" w14:textId="77777777">
        <w:trPr>
          <w:cantSplit/>
          <w:jc w:val="center"/>
        </w:trPr>
        <w:tc>
          <w:tcPr>
            <w:tcW w:w="967" w:type="dxa"/>
            <w:tcBorders>
              <w:top w:val="single" w:sz="2" w:space="0" w:color="auto"/>
              <w:bottom w:val="single" w:sz="2" w:space="0" w:color="auto"/>
            </w:tcBorders>
          </w:tcPr>
          <w:p w14:paraId="0A26D8F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F5F3C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9545A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9DB1F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C1479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DE362A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74CD73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9E85EEB" w14:textId="77777777" w:rsidR="006E40C9" w:rsidRDefault="006E40C9">
            <w:pPr>
              <w:pStyle w:val="MeasureTableTextRightAligned"/>
            </w:pPr>
            <w:r>
              <w:t>2027-28</w:t>
            </w:r>
          </w:p>
        </w:tc>
      </w:tr>
      <w:tr w:rsidR="006E40C9" w14:paraId="28B50733" w14:textId="77777777">
        <w:trPr>
          <w:cantSplit/>
          <w:jc w:val="center"/>
        </w:trPr>
        <w:tc>
          <w:tcPr>
            <w:tcW w:w="967" w:type="dxa"/>
            <w:tcBorders>
              <w:top w:val="single" w:sz="2" w:space="0" w:color="auto"/>
              <w:bottom w:val="single" w:sz="2" w:space="0" w:color="auto"/>
            </w:tcBorders>
          </w:tcPr>
          <w:p w14:paraId="0B46BB1D" w14:textId="77777777" w:rsidR="006E40C9" w:rsidRDefault="006E40C9">
            <w:pPr>
              <w:pStyle w:val="MeasureTableTextRightAligned"/>
            </w:pPr>
            <w:r>
              <w:t>50</w:t>
            </w:r>
          </w:p>
        </w:tc>
        <w:tc>
          <w:tcPr>
            <w:tcW w:w="967" w:type="dxa"/>
            <w:tcBorders>
              <w:top w:val="single" w:sz="2" w:space="0" w:color="auto"/>
              <w:bottom w:val="single" w:sz="2" w:space="0" w:color="auto"/>
            </w:tcBorders>
          </w:tcPr>
          <w:p w14:paraId="33850C05" w14:textId="77777777" w:rsidR="006E40C9" w:rsidRDefault="006E40C9">
            <w:pPr>
              <w:pStyle w:val="MeasureTableTextRightAligned"/>
            </w:pPr>
            <w:r>
              <w:t>120</w:t>
            </w:r>
          </w:p>
        </w:tc>
        <w:tc>
          <w:tcPr>
            <w:tcW w:w="967" w:type="dxa"/>
            <w:tcBorders>
              <w:top w:val="single" w:sz="2" w:space="0" w:color="auto"/>
              <w:bottom w:val="single" w:sz="2" w:space="0" w:color="auto"/>
            </w:tcBorders>
            <w:vAlign w:val="bottom"/>
          </w:tcPr>
          <w:p w14:paraId="122AF668"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153BBE6A" w14:textId="77777777" w:rsidR="006E40C9" w:rsidRDefault="006E40C9">
            <w:pPr>
              <w:pStyle w:val="MeasureTableTextRightAligned"/>
            </w:pPr>
            <w:r>
              <w:t>165</w:t>
            </w:r>
          </w:p>
        </w:tc>
        <w:tc>
          <w:tcPr>
            <w:tcW w:w="967" w:type="dxa"/>
            <w:tcBorders>
              <w:top w:val="single" w:sz="2" w:space="0" w:color="auto"/>
              <w:bottom w:val="single" w:sz="2" w:space="0" w:color="auto"/>
            </w:tcBorders>
            <w:vAlign w:val="bottom"/>
          </w:tcPr>
          <w:p w14:paraId="300498B0" w14:textId="77777777" w:rsidR="006E40C9" w:rsidRDefault="006E40C9">
            <w:pPr>
              <w:pStyle w:val="MeasureTableTextRightAligned"/>
            </w:pPr>
            <w:r>
              <w:t>175</w:t>
            </w:r>
          </w:p>
        </w:tc>
        <w:tc>
          <w:tcPr>
            <w:tcW w:w="967" w:type="dxa"/>
            <w:gridSpan w:val="2"/>
            <w:tcBorders>
              <w:top w:val="single" w:sz="2" w:space="0" w:color="auto"/>
              <w:bottom w:val="single" w:sz="2" w:space="0" w:color="auto"/>
            </w:tcBorders>
            <w:vAlign w:val="bottom"/>
          </w:tcPr>
          <w:p w14:paraId="3B6269E9" w14:textId="77777777" w:rsidR="006E40C9" w:rsidRDefault="006E40C9">
            <w:pPr>
              <w:pStyle w:val="MeasureTableTextRightAligned"/>
            </w:pPr>
            <w:r>
              <w:t>180</w:t>
            </w:r>
          </w:p>
        </w:tc>
        <w:tc>
          <w:tcPr>
            <w:tcW w:w="967" w:type="dxa"/>
            <w:gridSpan w:val="2"/>
            <w:tcBorders>
              <w:top w:val="single" w:sz="2" w:space="0" w:color="auto"/>
              <w:bottom w:val="single" w:sz="2" w:space="0" w:color="auto"/>
            </w:tcBorders>
            <w:vAlign w:val="bottom"/>
          </w:tcPr>
          <w:p w14:paraId="4985DE8B" w14:textId="77777777" w:rsidR="006E40C9" w:rsidRDefault="006E40C9">
            <w:pPr>
              <w:pStyle w:val="MeasureTableTextRightAligned"/>
            </w:pPr>
            <w:r>
              <w:t>190</w:t>
            </w:r>
          </w:p>
        </w:tc>
        <w:tc>
          <w:tcPr>
            <w:tcW w:w="968" w:type="dxa"/>
            <w:tcBorders>
              <w:top w:val="single" w:sz="2" w:space="0" w:color="auto"/>
              <w:bottom w:val="single" w:sz="2" w:space="0" w:color="auto"/>
            </w:tcBorders>
            <w:vAlign w:val="bottom"/>
          </w:tcPr>
          <w:p w14:paraId="2FB75E9A" w14:textId="77777777" w:rsidR="006E40C9" w:rsidRDefault="006E40C9">
            <w:pPr>
              <w:pStyle w:val="MeasureTableTextRightAligned"/>
            </w:pPr>
            <w:r>
              <w:t>200</w:t>
            </w:r>
          </w:p>
        </w:tc>
      </w:tr>
      <w:tr w:rsidR="006E40C9" w14:paraId="0008F9CF" w14:textId="77777777">
        <w:trPr>
          <w:cantSplit/>
          <w:jc w:val="center"/>
        </w:trPr>
        <w:tc>
          <w:tcPr>
            <w:tcW w:w="1934" w:type="dxa"/>
            <w:gridSpan w:val="2"/>
            <w:tcBorders>
              <w:top w:val="single" w:sz="2" w:space="0" w:color="auto"/>
              <w:bottom w:val="nil"/>
            </w:tcBorders>
          </w:tcPr>
          <w:p w14:paraId="43E1ED6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D5DFD0F" w14:textId="77777777" w:rsidR="006E40C9" w:rsidRDefault="006E40C9">
            <w:pPr>
              <w:pStyle w:val="MeasureTableTextLeftAligned"/>
            </w:pPr>
            <w:r>
              <w:t>Rebate</w:t>
            </w:r>
          </w:p>
        </w:tc>
        <w:tc>
          <w:tcPr>
            <w:tcW w:w="1500" w:type="dxa"/>
            <w:gridSpan w:val="2"/>
            <w:tcBorders>
              <w:top w:val="single" w:sz="2" w:space="0" w:color="auto"/>
              <w:bottom w:val="nil"/>
            </w:tcBorders>
          </w:tcPr>
          <w:p w14:paraId="29C20476" w14:textId="3854BB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331FECF" w14:textId="77777777" w:rsidR="006E40C9" w:rsidRDefault="006E40C9">
            <w:pPr>
              <w:pStyle w:val="MeasureTableTextLeftAligned"/>
            </w:pPr>
            <w:r>
              <w:t>F15</w:t>
            </w:r>
          </w:p>
        </w:tc>
      </w:tr>
      <w:tr w:rsidR="006E40C9" w14:paraId="67F1E620" w14:textId="77777777">
        <w:trPr>
          <w:cantSplit/>
          <w:jc w:val="center"/>
        </w:trPr>
        <w:tc>
          <w:tcPr>
            <w:tcW w:w="1934" w:type="dxa"/>
            <w:gridSpan w:val="2"/>
            <w:tcBorders>
              <w:top w:val="nil"/>
              <w:bottom w:val="nil"/>
            </w:tcBorders>
          </w:tcPr>
          <w:p w14:paraId="73642CE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51C58D0" w14:textId="77777777" w:rsidR="006E40C9" w:rsidRPr="00584CA7" w:rsidRDefault="006E40C9">
            <w:pPr>
              <w:pStyle w:val="MeasureTableTextLeftAligned"/>
            </w:pPr>
            <w:r>
              <w:t>Medium</w:t>
            </w:r>
          </w:p>
        </w:tc>
        <w:tc>
          <w:tcPr>
            <w:tcW w:w="1500" w:type="dxa"/>
            <w:gridSpan w:val="2"/>
            <w:tcBorders>
              <w:top w:val="nil"/>
              <w:bottom w:val="nil"/>
            </w:tcBorders>
          </w:tcPr>
          <w:p w14:paraId="0B880D97" w14:textId="77777777" w:rsidR="006E40C9" w:rsidRDefault="006E40C9">
            <w:pPr>
              <w:pStyle w:val="MeasureTableTextItalic"/>
            </w:pPr>
          </w:p>
        </w:tc>
        <w:tc>
          <w:tcPr>
            <w:tcW w:w="1124" w:type="dxa"/>
            <w:gridSpan w:val="2"/>
            <w:tcBorders>
              <w:top w:val="nil"/>
              <w:bottom w:val="nil"/>
            </w:tcBorders>
          </w:tcPr>
          <w:p w14:paraId="7D7E0E27" w14:textId="77777777" w:rsidR="006E40C9" w:rsidRDefault="006E40C9">
            <w:pPr>
              <w:pStyle w:val="MeasureTableTextLeftAligned"/>
            </w:pPr>
          </w:p>
        </w:tc>
      </w:tr>
      <w:tr w:rsidR="006E40C9" w14:paraId="2A307ED0" w14:textId="77777777">
        <w:trPr>
          <w:cantSplit/>
          <w:jc w:val="center"/>
        </w:trPr>
        <w:tc>
          <w:tcPr>
            <w:tcW w:w="1934" w:type="dxa"/>
            <w:gridSpan w:val="2"/>
            <w:tcBorders>
              <w:top w:val="nil"/>
              <w:bottom w:val="nil"/>
            </w:tcBorders>
          </w:tcPr>
          <w:p w14:paraId="4616527C" w14:textId="77777777" w:rsidR="006E40C9" w:rsidRDefault="006E40C9">
            <w:pPr>
              <w:pStyle w:val="MeasureTableTextItalic"/>
            </w:pPr>
            <w:r>
              <w:t>Commencement date:</w:t>
            </w:r>
          </w:p>
        </w:tc>
        <w:tc>
          <w:tcPr>
            <w:tcW w:w="3179" w:type="dxa"/>
            <w:gridSpan w:val="4"/>
            <w:tcBorders>
              <w:top w:val="nil"/>
              <w:bottom w:val="nil"/>
            </w:tcBorders>
          </w:tcPr>
          <w:p w14:paraId="6167385C" w14:textId="77777777" w:rsidR="006E40C9" w:rsidRDefault="006E40C9">
            <w:pPr>
              <w:pStyle w:val="MeasureTableTextLeftAligned"/>
            </w:pPr>
            <w:r>
              <w:t>1 July 2021 (brewers)</w:t>
            </w:r>
          </w:p>
          <w:p w14:paraId="614FE8DE" w14:textId="7D20BE60" w:rsidR="006E40C9" w:rsidRDefault="006E40C9">
            <w:pPr>
              <w:pStyle w:val="MeasureTableTextLeftAligned"/>
            </w:pPr>
            <w:r>
              <w:t>1 July 2021 (distillers)</w:t>
            </w:r>
          </w:p>
        </w:tc>
        <w:tc>
          <w:tcPr>
            <w:tcW w:w="1500" w:type="dxa"/>
            <w:gridSpan w:val="2"/>
            <w:tcBorders>
              <w:top w:val="nil"/>
              <w:bottom w:val="nil"/>
            </w:tcBorders>
          </w:tcPr>
          <w:p w14:paraId="51A57E9D" w14:textId="77777777" w:rsidR="006E40C9" w:rsidRPr="00F32057" w:rsidRDefault="006E40C9">
            <w:pPr>
              <w:pStyle w:val="MeasureTableTextItalic"/>
            </w:pPr>
            <w:r>
              <w:t>Expiry date:</w:t>
            </w:r>
          </w:p>
        </w:tc>
        <w:tc>
          <w:tcPr>
            <w:tcW w:w="1124" w:type="dxa"/>
            <w:gridSpan w:val="2"/>
            <w:tcBorders>
              <w:top w:val="nil"/>
              <w:bottom w:val="nil"/>
            </w:tcBorders>
          </w:tcPr>
          <w:p w14:paraId="54F73170" w14:textId="77777777" w:rsidR="006E40C9" w:rsidRPr="00F32057" w:rsidRDefault="006E40C9">
            <w:pPr>
              <w:pStyle w:val="MeasureTableTextLeftAligned"/>
            </w:pPr>
          </w:p>
        </w:tc>
      </w:tr>
      <w:tr w:rsidR="006E40C9" w14:paraId="6155CA99" w14:textId="77777777">
        <w:trPr>
          <w:cantSplit/>
          <w:jc w:val="center"/>
        </w:trPr>
        <w:tc>
          <w:tcPr>
            <w:tcW w:w="1934" w:type="dxa"/>
            <w:gridSpan w:val="2"/>
            <w:tcBorders>
              <w:top w:val="nil"/>
            </w:tcBorders>
          </w:tcPr>
          <w:p w14:paraId="217DC556" w14:textId="77777777" w:rsidR="006E40C9" w:rsidRDefault="006E40C9">
            <w:pPr>
              <w:pStyle w:val="MeasureTableTextItalic"/>
            </w:pPr>
            <w:r>
              <w:t>Legislative reference:</w:t>
            </w:r>
          </w:p>
        </w:tc>
        <w:tc>
          <w:tcPr>
            <w:tcW w:w="5803" w:type="dxa"/>
            <w:gridSpan w:val="8"/>
            <w:tcBorders>
              <w:top w:val="nil"/>
            </w:tcBorders>
          </w:tcPr>
          <w:p w14:paraId="71082A9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10 of table in subclause 2(1) of Schedule 1 to the </w:t>
            </w:r>
            <w:r>
              <w:rPr>
                <w:rFonts w:ascii="Arial" w:hAnsi="Arial" w:cs="Arial"/>
                <w:i/>
                <w:iCs/>
                <w:color w:val="000000"/>
                <w:sz w:val="16"/>
                <w:szCs w:val="16"/>
              </w:rPr>
              <w:t>Excise Regulation 2015</w:t>
            </w:r>
            <w:r>
              <w:rPr>
                <w:rFonts w:ascii="Arial" w:hAnsi="Arial" w:cs="Arial"/>
                <w:color w:val="000000"/>
                <w:sz w:val="16"/>
                <w:szCs w:val="16"/>
              </w:rPr>
              <w:br/>
              <w:t xml:space="preserve">Item 7 of table in Regulation 12(2) of the </w:t>
            </w:r>
            <w:r>
              <w:rPr>
                <w:rFonts w:ascii="Arial" w:hAnsi="Arial" w:cs="Arial"/>
                <w:i/>
                <w:iCs/>
                <w:color w:val="000000"/>
                <w:sz w:val="16"/>
                <w:szCs w:val="16"/>
              </w:rPr>
              <w:t>Excise Regulation 2015</w:t>
            </w:r>
          </w:p>
        </w:tc>
      </w:tr>
    </w:tbl>
    <w:p w14:paraId="334A4C30" w14:textId="77777777" w:rsidR="006E40C9" w:rsidRPr="00540040" w:rsidRDefault="006E40C9" w:rsidP="006E40C9">
      <w:pPr>
        <w:pStyle w:val="MeasureTableHeading"/>
      </w:pPr>
    </w:p>
    <w:p w14:paraId="4459A9E6" w14:textId="77777777" w:rsidR="006E40C9" w:rsidRDefault="006E40C9" w:rsidP="006E40C9">
      <w:r>
        <w:t>The benchmark tax treatment is that breweries and distilleries pay excise on all beer, spirits and other excisable beverages (such as liqueurs, pre</w:t>
      </w:r>
      <w:r>
        <w:noBreakHyphen/>
        <w:t>mixed spirit</w:t>
      </w:r>
      <w:r>
        <w:noBreakHyphen/>
        <w:t xml:space="preserve">based drinks and fermented products that are not subject to the WET) that they manufacture. </w:t>
      </w:r>
    </w:p>
    <w:p w14:paraId="3ED7BBF0" w14:textId="77777777" w:rsidR="006E40C9" w:rsidRDefault="006E40C9" w:rsidP="006E40C9">
      <w:r>
        <w:t>Since 1 July 2021, eligible brewers and distillers can claim a full remission of any excise paid, up to a cap of $350,000 per financial year. Prior to that, breweries and distilleries could only claim a refund of 60 per cent of excise paid, up to a maximum amount of $100,000 per financial year.</w:t>
      </w:r>
      <w:r>
        <w:fldChar w:fldCharType="begin"/>
      </w:r>
      <w:r>
        <w:instrText xml:space="preserve"> XE "Alcohol:Producers" </w:instrText>
      </w:r>
      <w:r>
        <w:fldChar w:fldCharType="end"/>
      </w:r>
    </w:p>
    <w:p w14:paraId="7551C8CA" w14:textId="77777777" w:rsidR="006E40C9" w:rsidRDefault="006E40C9" w:rsidP="00D9255A">
      <w:pPr>
        <w:pStyle w:val="TESHeading5"/>
      </w:pPr>
      <w:r>
        <w:t>F16</w:t>
      </w:r>
      <w:r>
        <w:tab/>
        <w:t>Excise exemption for privately produced beer</w:t>
      </w:r>
    </w:p>
    <w:p w14:paraId="5D90EF15" w14:textId="7B46D6A1"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C712619" w14:textId="77777777">
        <w:trPr>
          <w:cantSplit/>
          <w:jc w:val="center"/>
        </w:trPr>
        <w:tc>
          <w:tcPr>
            <w:tcW w:w="967" w:type="dxa"/>
            <w:tcBorders>
              <w:top w:val="single" w:sz="2" w:space="0" w:color="auto"/>
              <w:bottom w:val="single" w:sz="2" w:space="0" w:color="auto"/>
            </w:tcBorders>
          </w:tcPr>
          <w:p w14:paraId="1C30E2A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A73FB5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E7DBD7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8DAC3B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B94225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CF761E3"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973375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41E60B8" w14:textId="77777777" w:rsidR="006E40C9" w:rsidRDefault="006E40C9">
            <w:pPr>
              <w:pStyle w:val="MeasureTableTextRightAligned"/>
            </w:pPr>
            <w:r>
              <w:t>2027-28</w:t>
            </w:r>
          </w:p>
        </w:tc>
      </w:tr>
      <w:tr w:rsidR="006E40C9" w14:paraId="7CDDA57D" w14:textId="77777777">
        <w:trPr>
          <w:cantSplit/>
          <w:jc w:val="center"/>
        </w:trPr>
        <w:tc>
          <w:tcPr>
            <w:tcW w:w="967" w:type="dxa"/>
            <w:tcBorders>
              <w:top w:val="single" w:sz="2" w:space="0" w:color="auto"/>
              <w:bottom w:val="single" w:sz="2" w:space="0" w:color="auto"/>
            </w:tcBorders>
          </w:tcPr>
          <w:p w14:paraId="3BCF49D9"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50EF9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E041A9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7D0F8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EC9DE3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15E25D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3DF793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2F3AC67E" w14:textId="77777777" w:rsidR="006E40C9" w:rsidRDefault="006E40C9">
            <w:pPr>
              <w:pStyle w:val="MeasureTableTextRightAligned"/>
            </w:pPr>
            <w:r>
              <w:t>*</w:t>
            </w:r>
          </w:p>
        </w:tc>
      </w:tr>
      <w:tr w:rsidR="006E40C9" w14:paraId="5A30F771" w14:textId="77777777">
        <w:trPr>
          <w:cantSplit/>
          <w:jc w:val="center"/>
        </w:trPr>
        <w:tc>
          <w:tcPr>
            <w:tcW w:w="1934" w:type="dxa"/>
            <w:gridSpan w:val="2"/>
            <w:tcBorders>
              <w:top w:val="single" w:sz="2" w:space="0" w:color="auto"/>
              <w:bottom w:val="nil"/>
            </w:tcBorders>
          </w:tcPr>
          <w:p w14:paraId="5E22A4D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219E23B" w14:textId="77777777" w:rsidR="006E40C9" w:rsidRDefault="006E40C9">
            <w:pPr>
              <w:pStyle w:val="MeasureTableTextLeftAligned"/>
            </w:pPr>
            <w:r>
              <w:t>Exemption</w:t>
            </w:r>
          </w:p>
        </w:tc>
        <w:tc>
          <w:tcPr>
            <w:tcW w:w="1500" w:type="dxa"/>
            <w:gridSpan w:val="2"/>
            <w:tcBorders>
              <w:top w:val="single" w:sz="2" w:space="0" w:color="auto"/>
              <w:bottom w:val="nil"/>
            </w:tcBorders>
          </w:tcPr>
          <w:p w14:paraId="6608D862" w14:textId="6B0DA6C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C62179E" w14:textId="77777777" w:rsidR="006E40C9" w:rsidRDefault="006E40C9">
            <w:pPr>
              <w:pStyle w:val="MeasureTableTextLeftAligned"/>
            </w:pPr>
            <w:r>
              <w:t>F16</w:t>
            </w:r>
          </w:p>
        </w:tc>
      </w:tr>
      <w:tr w:rsidR="006E40C9" w14:paraId="1B85D8BE" w14:textId="77777777">
        <w:trPr>
          <w:cantSplit/>
          <w:jc w:val="center"/>
        </w:trPr>
        <w:tc>
          <w:tcPr>
            <w:tcW w:w="1934" w:type="dxa"/>
            <w:gridSpan w:val="2"/>
            <w:tcBorders>
              <w:top w:val="nil"/>
              <w:bottom w:val="nil"/>
            </w:tcBorders>
          </w:tcPr>
          <w:p w14:paraId="23918B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19D0692" w14:textId="77777777" w:rsidR="006E40C9" w:rsidRPr="00584CA7" w:rsidRDefault="006E40C9">
            <w:pPr>
              <w:pStyle w:val="MeasureTableTextLeftAligned"/>
            </w:pPr>
            <w:r>
              <w:t>Not Applicable</w:t>
            </w:r>
          </w:p>
        </w:tc>
        <w:tc>
          <w:tcPr>
            <w:tcW w:w="1500" w:type="dxa"/>
            <w:gridSpan w:val="2"/>
            <w:tcBorders>
              <w:top w:val="nil"/>
              <w:bottom w:val="nil"/>
            </w:tcBorders>
          </w:tcPr>
          <w:p w14:paraId="2011CBF5" w14:textId="77777777" w:rsidR="006E40C9" w:rsidRDefault="006E40C9">
            <w:pPr>
              <w:pStyle w:val="MeasureTableTextItalic"/>
            </w:pPr>
            <w:r>
              <w:t>* Category</w:t>
            </w:r>
          </w:p>
        </w:tc>
        <w:tc>
          <w:tcPr>
            <w:tcW w:w="1124" w:type="dxa"/>
            <w:gridSpan w:val="2"/>
            <w:tcBorders>
              <w:top w:val="nil"/>
              <w:bottom w:val="nil"/>
            </w:tcBorders>
          </w:tcPr>
          <w:p w14:paraId="65CA4354" w14:textId="77777777" w:rsidR="006E40C9" w:rsidRDefault="006E40C9">
            <w:pPr>
              <w:pStyle w:val="MeasureTableTextLeftAligned"/>
            </w:pPr>
            <w:r>
              <w:t>2+</w:t>
            </w:r>
          </w:p>
        </w:tc>
      </w:tr>
      <w:tr w:rsidR="006E40C9" w14:paraId="3C696470" w14:textId="77777777">
        <w:trPr>
          <w:cantSplit/>
          <w:jc w:val="center"/>
        </w:trPr>
        <w:tc>
          <w:tcPr>
            <w:tcW w:w="1934" w:type="dxa"/>
            <w:gridSpan w:val="2"/>
            <w:tcBorders>
              <w:top w:val="nil"/>
              <w:bottom w:val="nil"/>
            </w:tcBorders>
          </w:tcPr>
          <w:p w14:paraId="78D8A1B9" w14:textId="77777777" w:rsidR="006E40C9" w:rsidRDefault="006E40C9">
            <w:pPr>
              <w:pStyle w:val="MeasureTableTextItalic"/>
            </w:pPr>
            <w:r>
              <w:t>Commencement date:</w:t>
            </w:r>
          </w:p>
        </w:tc>
        <w:tc>
          <w:tcPr>
            <w:tcW w:w="3179" w:type="dxa"/>
            <w:gridSpan w:val="4"/>
            <w:tcBorders>
              <w:top w:val="nil"/>
              <w:bottom w:val="nil"/>
            </w:tcBorders>
          </w:tcPr>
          <w:p w14:paraId="29C138F5" w14:textId="77777777" w:rsidR="006E40C9" w:rsidRDefault="006E40C9">
            <w:pPr>
              <w:pStyle w:val="MeasureTableTextLeftAligned"/>
            </w:pPr>
            <w:r>
              <w:t>18 April 1973</w:t>
            </w:r>
          </w:p>
        </w:tc>
        <w:tc>
          <w:tcPr>
            <w:tcW w:w="1500" w:type="dxa"/>
            <w:gridSpan w:val="2"/>
            <w:tcBorders>
              <w:top w:val="nil"/>
              <w:bottom w:val="nil"/>
            </w:tcBorders>
          </w:tcPr>
          <w:p w14:paraId="74B2E77E" w14:textId="77777777" w:rsidR="006E40C9" w:rsidRPr="00F32057" w:rsidRDefault="006E40C9">
            <w:pPr>
              <w:pStyle w:val="MeasureTableTextItalic"/>
            </w:pPr>
            <w:r>
              <w:t>Expiry date:</w:t>
            </w:r>
          </w:p>
        </w:tc>
        <w:tc>
          <w:tcPr>
            <w:tcW w:w="1124" w:type="dxa"/>
            <w:gridSpan w:val="2"/>
            <w:tcBorders>
              <w:top w:val="nil"/>
              <w:bottom w:val="nil"/>
            </w:tcBorders>
          </w:tcPr>
          <w:p w14:paraId="0E67BA79" w14:textId="77777777" w:rsidR="006E40C9" w:rsidRPr="00F32057" w:rsidRDefault="006E40C9">
            <w:pPr>
              <w:pStyle w:val="MeasureTableTextLeftAligned"/>
            </w:pPr>
          </w:p>
        </w:tc>
      </w:tr>
      <w:tr w:rsidR="006E40C9" w14:paraId="4D9B70A8" w14:textId="77777777">
        <w:trPr>
          <w:cantSplit/>
          <w:jc w:val="center"/>
        </w:trPr>
        <w:tc>
          <w:tcPr>
            <w:tcW w:w="1934" w:type="dxa"/>
            <w:gridSpan w:val="2"/>
            <w:tcBorders>
              <w:top w:val="nil"/>
            </w:tcBorders>
          </w:tcPr>
          <w:p w14:paraId="323EE42C" w14:textId="77777777" w:rsidR="006E40C9" w:rsidRDefault="006E40C9">
            <w:pPr>
              <w:pStyle w:val="MeasureTableTextItalic"/>
            </w:pPr>
            <w:r>
              <w:t>Legislative reference:</w:t>
            </w:r>
          </w:p>
        </w:tc>
        <w:tc>
          <w:tcPr>
            <w:tcW w:w="5803" w:type="dxa"/>
            <w:gridSpan w:val="8"/>
            <w:tcBorders>
              <w:top w:val="nil"/>
            </w:tcBorders>
          </w:tcPr>
          <w:p w14:paraId="31C42A6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Schedule to the </w:t>
            </w:r>
            <w:r>
              <w:rPr>
                <w:rFonts w:ascii="Arial" w:hAnsi="Arial" w:cs="Arial"/>
                <w:i/>
                <w:iCs/>
                <w:color w:val="000000"/>
                <w:sz w:val="16"/>
                <w:szCs w:val="16"/>
              </w:rPr>
              <w:t>Excise Tariff Act 1921</w:t>
            </w:r>
          </w:p>
        </w:tc>
      </w:tr>
    </w:tbl>
    <w:p w14:paraId="5F3DC28F" w14:textId="77777777" w:rsidR="006E40C9" w:rsidRPr="00540040" w:rsidRDefault="006E40C9" w:rsidP="006E40C9">
      <w:pPr>
        <w:pStyle w:val="MeasureTableHeading"/>
      </w:pPr>
    </w:p>
    <w:p w14:paraId="5F5DC682" w14:textId="54CCFF41" w:rsidR="006E40C9" w:rsidRDefault="006E40C9" w:rsidP="006E40C9">
      <w:r>
        <w:t xml:space="preserve">The benchmark excise rate for beer is that which applies to full strength, commercially produced beer stored in containers of less than 8 litres. However, beer </w:t>
      </w:r>
      <w:r>
        <w:fldChar w:fldCharType="begin"/>
      </w:r>
      <w:r>
        <w:instrText xml:space="preserve"> XE "Alcohol:Privately produced beer" </w:instrText>
      </w:r>
      <w:r>
        <w:fldChar w:fldCharType="end"/>
      </w:r>
      <w:r>
        <w:t>made for personal use by private individuals is exempt from the payment of excise.</w:t>
      </w:r>
    </w:p>
    <w:p w14:paraId="2B954BE9" w14:textId="77777777" w:rsidR="006E40C9" w:rsidRDefault="006E40C9" w:rsidP="00D9255A">
      <w:pPr>
        <w:pStyle w:val="TESHeading5"/>
      </w:pPr>
      <w:r>
        <w:t>F17</w:t>
      </w:r>
      <w:r>
        <w:tab/>
        <w:t>Wine equalisation tax exemption for privately produced wine</w:t>
      </w:r>
    </w:p>
    <w:p w14:paraId="198DE597" w14:textId="3C58EE8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C7176FE" w14:textId="77777777">
        <w:trPr>
          <w:cantSplit/>
          <w:jc w:val="center"/>
        </w:trPr>
        <w:tc>
          <w:tcPr>
            <w:tcW w:w="967" w:type="dxa"/>
            <w:tcBorders>
              <w:top w:val="single" w:sz="2" w:space="0" w:color="auto"/>
              <w:bottom w:val="single" w:sz="2" w:space="0" w:color="auto"/>
            </w:tcBorders>
          </w:tcPr>
          <w:p w14:paraId="73AD915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4ACCAD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3EF2C4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821E7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FD6CAEA"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33422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F7CE4F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569F1E4" w14:textId="77777777" w:rsidR="006E40C9" w:rsidRDefault="006E40C9">
            <w:pPr>
              <w:pStyle w:val="MeasureTableTextRightAligned"/>
            </w:pPr>
            <w:r>
              <w:t>2027-28</w:t>
            </w:r>
          </w:p>
        </w:tc>
      </w:tr>
      <w:tr w:rsidR="006E40C9" w14:paraId="5D32ED79" w14:textId="77777777">
        <w:trPr>
          <w:cantSplit/>
          <w:jc w:val="center"/>
        </w:trPr>
        <w:tc>
          <w:tcPr>
            <w:tcW w:w="967" w:type="dxa"/>
            <w:tcBorders>
              <w:top w:val="single" w:sz="2" w:space="0" w:color="auto"/>
              <w:bottom w:val="single" w:sz="2" w:space="0" w:color="auto"/>
            </w:tcBorders>
          </w:tcPr>
          <w:p w14:paraId="57EECCD5" w14:textId="77777777" w:rsidR="006E40C9" w:rsidRDefault="006E40C9">
            <w:pPr>
              <w:pStyle w:val="MeasureTableTextRightAligned"/>
            </w:pPr>
            <w:r>
              <w:t>*</w:t>
            </w:r>
          </w:p>
        </w:tc>
        <w:tc>
          <w:tcPr>
            <w:tcW w:w="967" w:type="dxa"/>
            <w:tcBorders>
              <w:top w:val="single" w:sz="2" w:space="0" w:color="auto"/>
              <w:bottom w:val="single" w:sz="2" w:space="0" w:color="auto"/>
            </w:tcBorders>
          </w:tcPr>
          <w:p w14:paraId="7F34EA3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C09E37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2695CE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F1CB9C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C0F7D7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394D931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01127DB" w14:textId="77777777" w:rsidR="006E40C9" w:rsidRDefault="006E40C9">
            <w:pPr>
              <w:pStyle w:val="MeasureTableTextRightAligned"/>
            </w:pPr>
            <w:r>
              <w:t>*</w:t>
            </w:r>
          </w:p>
        </w:tc>
      </w:tr>
      <w:tr w:rsidR="006E40C9" w14:paraId="3BDCAFFD" w14:textId="77777777">
        <w:trPr>
          <w:cantSplit/>
          <w:jc w:val="center"/>
        </w:trPr>
        <w:tc>
          <w:tcPr>
            <w:tcW w:w="1934" w:type="dxa"/>
            <w:gridSpan w:val="2"/>
            <w:tcBorders>
              <w:top w:val="single" w:sz="2" w:space="0" w:color="auto"/>
              <w:bottom w:val="nil"/>
            </w:tcBorders>
          </w:tcPr>
          <w:p w14:paraId="05CD30F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BDC7728" w14:textId="77777777" w:rsidR="006E40C9" w:rsidRDefault="006E40C9">
            <w:pPr>
              <w:pStyle w:val="MeasureTableTextLeftAligned"/>
            </w:pPr>
            <w:r>
              <w:t>Exemption</w:t>
            </w:r>
          </w:p>
        </w:tc>
        <w:tc>
          <w:tcPr>
            <w:tcW w:w="1500" w:type="dxa"/>
            <w:gridSpan w:val="2"/>
            <w:tcBorders>
              <w:top w:val="single" w:sz="2" w:space="0" w:color="auto"/>
              <w:bottom w:val="nil"/>
            </w:tcBorders>
          </w:tcPr>
          <w:p w14:paraId="43D403EF" w14:textId="469CC7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A7CFD3" w14:textId="77777777" w:rsidR="006E40C9" w:rsidRDefault="006E40C9">
            <w:pPr>
              <w:pStyle w:val="MeasureTableTextLeftAligned"/>
            </w:pPr>
            <w:r>
              <w:t>F17</w:t>
            </w:r>
          </w:p>
        </w:tc>
      </w:tr>
      <w:tr w:rsidR="006E40C9" w14:paraId="5C33060B" w14:textId="77777777">
        <w:trPr>
          <w:cantSplit/>
          <w:jc w:val="center"/>
        </w:trPr>
        <w:tc>
          <w:tcPr>
            <w:tcW w:w="1934" w:type="dxa"/>
            <w:gridSpan w:val="2"/>
            <w:tcBorders>
              <w:top w:val="nil"/>
              <w:bottom w:val="nil"/>
            </w:tcBorders>
          </w:tcPr>
          <w:p w14:paraId="1C584A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2360A3F" w14:textId="77777777" w:rsidR="006E40C9" w:rsidRPr="00584CA7" w:rsidRDefault="006E40C9">
            <w:pPr>
              <w:pStyle w:val="MeasureTableTextLeftAligned"/>
            </w:pPr>
            <w:r>
              <w:t>Not Applicable</w:t>
            </w:r>
          </w:p>
        </w:tc>
        <w:tc>
          <w:tcPr>
            <w:tcW w:w="1500" w:type="dxa"/>
            <w:gridSpan w:val="2"/>
            <w:tcBorders>
              <w:top w:val="nil"/>
              <w:bottom w:val="nil"/>
            </w:tcBorders>
          </w:tcPr>
          <w:p w14:paraId="6E33D139" w14:textId="77777777" w:rsidR="006E40C9" w:rsidRDefault="006E40C9">
            <w:pPr>
              <w:pStyle w:val="MeasureTableTextItalic"/>
            </w:pPr>
            <w:r>
              <w:t>* Category</w:t>
            </w:r>
          </w:p>
        </w:tc>
        <w:tc>
          <w:tcPr>
            <w:tcW w:w="1124" w:type="dxa"/>
            <w:gridSpan w:val="2"/>
            <w:tcBorders>
              <w:top w:val="nil"/>
              <w:bottom w:val="nil"/>
            </w:tcBorders>
          </w:tcPr>
          <w:p w14:paraId="54EE7CB5" w14:textId="77777777" w:rsidR="006E40C9" w:rsidRDefault="006E40C9">
            <w:pPr>
              <w:pStyle w:val="MeasureTableTextLeftAligned"/>
            </w:pPr>
            <w:r>
              <w:t>2+</w:t>
            </w:r>
          </w:p>
        </w:tc>
      </w:tr>
      <w:tr w:rsidR="006E40C9" w14:paraId="48695429" w14:textId="77777777">
        <w:trPr>
          <w:cantSplit/>
          <w:jc w:val="center"/>
        </w:trPr>
        <w:tc>
          <w:tcPr>
            <w:tcW w:w="1934" w:type="dxa"/>
            <w:gridSpan w:val="2"/>
            <w:tcBorders>
              <w:top w:val="nil"/>
              <w:bottom w:val="nil"/>
            </w:tcBorders>
          </w:tcPr>
          <w:p w14:paraId="2C7BA91E" w14:textId="77777777" w:rsidR="006E40C9" w:rsidRDefault="006E40C9">
            <w:pPr>
              <w:pStyle w:val="MeasureTableTextItalic"/>
            </w:pPr>
            <w:r>
              <w:t>Commencement date:</w:t>
            </w:r>
          </w:p>
        </w:tc>
        <w:tc>
          <w:tcPr>
            <w:tcW w:w="3179" w:type="dxa"/>
            <w:gridSpan w:val="4"/>
            <w:tcBorders>
              <w:top w:val="nil"/>
              <w:bottom w:val="nil"/>
            </w:tcBorders>
          </w:tcPr>
          <w:p w14:paraId="1F13A490" w14:textId="77777777" w:rsidR="006E40C9" w:rsidRDefault="006E40C9">
            <w:pPr>
              <w:pStyle w:val="MeasureTableTextLeftAligned"/>
            </w:pPr>
            <w:r>
              <w:t>19 August 1970</w:t>
            </w:r>
          </w:p>
        </w:tc>
        <w:tc>
          <w:tcPr>
            <w:tcW w:w="1500" w:type="dxa"/>
            <w:gridSpan w:val="2"/>
            <w:tcBorders>
              <w:top w:val="nil"/>
              <w:bottom w:val="nil"/>
            </w:tcBorders>
          </w:tcPr>
          <w:p w14:paraId="4F9CF8C9" w14:textId="77777777" w:rsidR="006E40C9" w:rsidRPr="00F32057" w:rsidRDefault="006E40C9">
            <w:pPr>
              <w:pStyle w:val="MeasureTableTextItalic"/>
            </w:pPr>
            <w:r>
              <w:t>Expiry date:</w:t>
            </w:r>
          </w:p>
        </w:tc>
        <w:tc>
          <w:tcPr>
            <w:tcW w:w="1124" w:type="dxa"/>
            <w:gridSpan w:val="2"/>
            <w:tcBorders>
              <w:top w:val="nil"/>
              <w:bottom w:val="nil"/>
            </w:tcBorders>
          </w:tcPr>
          <w:p w14:paraId="54011401" w14:textId="77777777" w:rsidR="006E40C9" w:rsidRPr="00F32057" w:rsidRDefault="006E40C9">
            <w:pPr>
              <w:pStyle w:val="MeasureTableTextLeftAligned"/>
            </w:pPr>
          </w:p>
        </w:tc>
      </w:tr>
      <w:tr w:rsidR="006E40C9" w14:paraId="62DEEBCE" w14:textId="77777777">
        <w:trPr>
          <w:cantSplit/>
          <w:jc w:val="center"/>
        </w:trPr>
        <w:tc>
          <w:tcPr>
            <w:tcW w:w="1934" w:type="dxa"/>
            <w:gridSpan w:val="2"/>
            <w:tcBorders>
              <w:top w:val="nil"/>
            </w:tcBorders>
          </w:tcPr>
          <w:p w14:paraId="0BCE9505" w14:textId="77777777" w:rsidR="006E40C9" w:rsidRDefault="006E40C9">
            <w:pPr>
              <w:pStyle w:val="MeasureTableTextItalic"/>
            </w:pPr>
            <w:r>
              <w:t>Legislative reference:</w:t>
            </w:r>
          </w:p>
        </w:tc>
        <w:tc>
          <w:tcPr>
            <w:tcW w:w="5803" w:type="dxa"/>
            <w:gridSpan w:val="8"/>
            <w:tcBorders>
              <w:top w:val="nil"/>
            </w:tcBorders>
          </w:tcPr>
          <w:p w14:paraId="0F3798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5-5 of </w:t>
            </w:r>
            <w:r>
              <w:rPr>
                <w:rFonts w:ascii="Arial" w:hAnsi="Arial" w:cs="Arial"/>
                <w:i/>
                <w:iCs/>
                <w:color w:val="000000"/>
                <w:sz w:val="16"/>
                <w:szCs w:val="16"/>
              </w:rPr>
              <w:t>A New Tax System (Wine Equalisation Tax) Act 1999</w:t>
            </w:r>
          </w:p>
        </w:tc>
      </w:tr>
    </w:tbl>
    <w:p w14:paraId="1D091AC0" w14:textId="77777777" w:rsidR="006E40C9" w:rsidRPr="00540040" w:rsidRDefault="006E40C9" w:rsidP="006E40C9">
      <w:pPr>
        <w:pStyle w:val="MeasureTableHeading"/>
      </w:pPr>
    </w:p>
    <w:p w14:paraId="0153F439" w14:textId="20784400" w:rsidR="006E40C9" w:rsidRDefault="006E40C9" w:rsidP="006E40C9">
      <w:r>
        <w:t>Under the benchmark tax treatment, wine is taxed under the WET at 29 per cent of its last wholesale value. However, wine</w:t>
      </w:r>
      <w:r>
        <w:fldChar w:fldCharType="begin"/>
      </w:r>
      <w:r>
        <w:instrText xml:space="preserve"> XE "Wine: Privately produced" </w:instrText>
      </w:r>
      <w:r>
        <w:fldChar w:fldCharType="end"/>
      </w:r>
      <w:r>
        <w:t xml:space="preserve"> made for personal use by private individuals is exempt from the WET.</w:t>
      </w:r>
      <w:r>
        <w:fldChar w:fldCharType="begin"/>
      </w:r>
      <w:r>
        <w:instrText xml:space="preserve"> XE "Alcohol:Wine" </w:instrText>
      </w:r>
      <w:r>
        <w:fldChar w:fldCharType="end"/>
      </w:r>
    </w:p>
    <w:p w14:paraId="0CCCD23A" w14:textId="77777777" w:rsidR="006E40C9" w:rsidRDefault="006E40C9" w:rsidP="00D9255A">
      <w:pPr>
        <w:pStyle w:val="TESHeading5"/>
      </w:pPr>
      <w:r>
        <w:t>F18</w:t>
      </w:r>
      <w:r>
        <w:tab/>
        <w:t>Wine equalisation tax producer rebate</w:t>
      </w:r>
    </w:p>
    <w:p w14:paraId="28A9B24C" w14:textId="7C4EDF47"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D83E58" w14:textId="77777777">
        <w:trPr>
          <w:cantSplit/>
          <w:jc w:val="center"/>
        </w:trPr>
        <w:tc>
          <w:tcPr>
            <w:tcW w:w="967" w:type="dxa"/>
            <w:tcBorders>
              <w:top w:val="single" w:sz="2" w:space="0" w:color="auto"/>
              <w:bottom w:val="single" w:sz="2" w:space="0" w:color="auto"/>
            </w:tcBorders>
          </w:tcPr>
          <w:p w14:paraId="1129C79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AD9DF7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35F2CB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424A9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33911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452E9B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DCE5C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467C409" w14:textId="77777777" w:rsidR="006E40C9" w:rsidRDefault="006E40C9">
            <w:pPr>
              <w:pStyle w:val="MeasureTableTextRightAligned"/>
            </w:pPr>
            <w:r>
              <w:t>2027-28</w:t>
            </w:r>
          </w:p>
        </w:tc>
      </w:tr>
      <w:tr w:rsidR="006E40C9" w14:paraId="35551446" w14:textId="77777777">
        <w:trPr>
          <w:cantSplit/>
          <w:jc w:val="center"/>
        </w:trPr>
        <w:tc>
          <w:tcPr>
            <w:tcW w:w="967" w:type="dxa"/>
            <w:tcBorders>
              <w:top w:val="single" w:sz="2" w:space="0" w:color="auto"/>
              <w:bottom w:val="single" w:sz="2" w:space="0" w:color="auto"/>
            </w:tcBorders>
          </w:tcPr>
          <w:p w14:paraId="61DCB532" w14:textId="77777777" w:rsidR="006E40C9" w:rsidRDefault="006E40C9">
            <w:pPr>
              <w:pStyle w:val="MeasureTableTextRightAligned"/>
            </w:pPr>
            <w:r>
              <w:t>270</w:t>
            </w:r>
          </w:p>
        </w:tc>
        <w:tc>
          <w:tcPr>
            <w:tcW w:w="967" w:type="dxa"/>
            <w:tcBorders>
              <w:top w:val="single" w:sz="2" w:space="0" w:color="auto"/>
              <w:bottom w:val="single" w:sz="2" w:space="0" w:color="auto"/>
            </w:tcBorders>
          </w:tcPr>
          <w:p w14:paraId="6B20297C" w14:textId="77777777" w:rsidR="006E40C9" w:rsidRDefault="006E40C9">
            <w:pPr>
              <w:pStyle w:val="MeasureTableTextRightAligned"/>
            </w:pPr>
            <w:r>
              <w:t>250</w:t>
            </w:r>
          </w:p>
        </w:tc>
        <w:tc>
          <w:tcPr>
            <w:tcW w:w="967" w:type="dxa"/>
            <w:tcBorders>
              <w:top w:val="single" w:sz="2" w:space="0" w:color="auto"/>
              <w:bottom w:val="single" w:sz="2" w:space="0" w:color="auto"/>
            </w:tcBorders>
            <w:vAlign w:val="bottom"/>
          </w:tcPr>
          <w:p w14:paraId="4BE47095"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15BFEBC2" w14:textId="77777777" w:rsidR="006E40C9" w:rsidRDefault="006E40C9">
            <w:pPr>
              <w:pStyle w:val="MeasureTableTextRightAligned"/>
            </w:pPr>
            <w:r>
              <w:t>240</w:t>
            </w:r>
          </w:p>
        </w:tc>
        <w:tc>
          <w:tcPr>
            <w:tcW w:w="967" w:type="dxa"/>
            <w:tcBorders>
              <w:top w:val="single" w:sz="2" w:space="0" w:color="auto"/>
              <w:bottom w:val="single" w:sz="2" w:space="0" w:color="auto"/>
            </w:tcBorders>
            <w:vAlign w:val="bottom"/>
          </w:tcPr>
          <w:p w14:paraId="7EC42CF7"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46FE0879"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1A97F6D5" w14:textId="77777777" w:rsidR="006E40C9" w:rsidRDefault="006E40C9">
            <w:pPr>
              <w:pStyle w:val="MeasureTableTextRightAligned"/>
            </w:pPr>
            <w:r>
              <w:t>320</w:t>
            </w:r>
          </w:p>
        </w:tc>
        <w:tc>
          <w:tcPr>
            <w:tcW w:w="968" w:type="dxa"/>
            <w:tcBorders>
              <w:top w:val="single" w:sz="2" w:space="0" w:color="auto"/>
              <w:bottom w:val="single" w:sz="2" w:space="0" w:color="auto"/>
            </w:tcBorders>
            <w:vAlign w:val="bottom"/>
          </w:tcPr>
          <w:p w14:paraId="52E4F9EE" w14:textId="77777777" w:rsidR="006E40C9" w:rsidRDefault="006E40C9">
            <w:pPr>
              <w:pStyle w:val="MeasureTableTextRightAligned"/>
            </w:pPr>
            <w:r>
              <w:t>330</w:t>
            </w:r>
          </w:p>
        </w:tc>
      </w:tr>
      <w:tr w:rsidR="006E40C9" w14:paraId="733F63AE" w14:textId="77777777">
        <w:trPr>
          <w:cantSplit/>
          <w:jc w:val="center"/>
        </w:trPr>
        <w:tc>
          <w:tcPr>
            <w:tcW w:w="1934" w:type="dxa"/>
            <w:gridSpan w:val="2"/>
            <w:tcBorders>
              <w:top w:val="single" w:sz="2" w:space="0" w:color="auto"/>
              <w:bottom w:val="nil"/>
            </w:tcBorders>
          </w:tcPr>
          <w:p w14:paraId="1BF7A21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120BF9" w14:textId="77777777" w:rsidR="006E40C9" w:rsidRDefault="006E40C9">
            <w:pPr>
              <w:pStyle w:val="MeasureTableTextLeftAligned"/>
            </w:pPr>
            <w:r>
              <w:t>Rebate</w:t>
            </w:r>
          </w:p>
        </w:tc>
        <w:tc>
          <w:tcPr>
            <w:tcW w:w="1500" w:type="dxa"/>
            <w:gridSpan w:val="2"/>
            <w:tcBorders>
              <w:top w:val="single" w:sz="2" w:space="0" w:color="auto"/>
              <w:bottom w:val="nil"/>
            </w:tcBorders>
          </w:tcPr>
          <w:p w14:paraId="7D620B19" w14:textId="7F94BA5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550AE67" w14:textId="77777777" w:rsidR="006E40C9" w:rsidRDefault="006E40C9">
            <w:pPr>
              <w:pStyle w:val="MeasureTableTextLeftAligned"/>
            </w:pPr>
            <w:r>
              <w:t>F18</w:t>
            </w:r>
          </w:p>
        </w:tc>
      </w:tr>
      <w:tr w:rsidR="006E40C9" w14:paraId="650DB004" w14:textId="77777777">
        <w:trPr>
          <w:cantSplit/>
          <w:jc w:val="center"/>
        </w:trPr>
        <w:tc>
          <w:tcPr>
            <w:tcW w:w="1934" w:type="dxa"/>
            <w:gridSpan w:val="2"/>
            <w:tcBorders>
              <w:top w:val="nil"/>
              <w:bottom w:val="nil"/>
            </w:tcBorders>
          </w:tcPr>
          <w:p w14:paraId="61E0083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AA8FA14" w14:textId="77777777" w:rsidR="006E40C9" w:rsidRPr="00584CA7" w:rsidRDefault="006E40C9">
            <w:pPr>
              <w:pStyle w:val="MeasureTableTextLeftAligned"/>
            </w:pPr>
            <w:r>
              <w:t>Medium</w:t>
            </w:r>
          </w:p>
        </w:tc>
        <w:tc>
          <w:tcPr>
            <w:tcW w:w="1500" w:type="dxa"/>
            <w:gridSpan w:val="2"/>
            <w:tcBorders>
              <w:top w:val="nil"/>
              <w:bottom w:val="nil"/>
            </w:tcBorders>
          </w:tcPr>
          <w:p w14:paraId="6F8EBD03" w14:textId="77777777" w:rsidR="006E40C9" w:rsidRDefault="006E40C9">
            <w:pPr>
              <w:pStyle w:val="MeasureTableTextItalic"/>
            </w:pPr>
          </w:p>
        </w:tc>
        <w:tc>
          <w:tcPr>
            <w:tcW w:w="1124" w:type="dxa"/>
            <w:gridSpan w:val="2"/>
            <w:tcBorders>
              <w:top w:val="nil"/>
              <w:bottom w:val="nil"/>
            </w:tcBorders>
          </w:tcPr>
          <w:p w14:paraId="51F5FD92" w14:textId="77777777" w:rsidR="006E40C9" w:rsidRDefault="006E40C9">
            <w:pPr>
              <w:pStyle w:val="MeasureTableTextLeftAligned"/>
            </w:pPr>
          </w:p>
        </w:tc>
      </w:tr>
      <w:tr w:rsidR="006E40C9" w14:paraId="7255723D" w14:textId="77777777">
        <w:trPr>
          <w:cantSplit/>
          <w:jc w:val="center"/>
        </w:trPr>
        <w:tc>
          <w:tcPr>
            <w:tcW w:w="1934" w:type="dxa"/>
            <w:gridSpan w:val="2"/>
            <w:tcBorders>
              <w:top w:val="nil"/>
              <w:bottom w:val="nil"/>
            </w:tcBorders>
          </w:tcPr>
          <w:p w14:paraId="59266B75" w14:textId="77777777" w:rsidR="006E40C9" w:rsidRDefault="006E40C9">
            <w:pPr>
              <w:pStyle w:val="MeasureTableTextItalic"/>
            </w:pPr>
            <w:r>
              <w:t>Commencement date:</w:t>
            </w:r>
          </w:p>
        </w:tc>
        <w:tc>
          <w:tcPr>
            <w:tcW w:w="3179" w:type="dxa"/>
            <w:gridSpan w:val="4"/>
            <w:tcBorders>
              <w:top w:val="nil"/>
              <w:bottom w:val="nil"/>
            </w:tcBorders>
          </w:tcPr>
          <w:p w14:paraId="31F557D3" w14:textId="77777777" w:rsidR="006E40C9" w:rsidRDefault="006E40C9">
            <w:pPr>
              <w:pStyle w:val="MeasureTableTextLeftAligned"/>
            </w:pPr>
            <w:r>
              <w:t>1 October 2004</w:t>
            </w:r>
          </w:p>
          <w:p w14:paraId="2C36F7D8" w14:textId="77777777" w:rsidR="006E40C9" w:rsidRDefault="006E40C9">
            <w:pPr>
              <w:pStyle w:val="MeasureTableTextLeftAligned"/>
            </w:pPr>
            <w:r>
              <w:t>1 July 2018 (tightened eligibility criteria and reduced rebate cap)</w:t>
            </w:r>
          </w:p>
        </w:tc>
        <w:tc>
          <w:tcPr>
            <w:tcW w:w="1500" w:type="dxa"/>
            <w:gridSpan w:val="2"/>
            <w:tcBorders>
              <w:top w:val="nil"/>
              <w:bottom w:val="nil"/>
            </w:tcBorders>
          </w:tcPr>
          <w:p w14:paraId="53CEEA2A" w14:textId="77777777" w:rsidR="006E40C9" w:rsidRPr="00F32057" w:rsidRDefault="006E40C9">
            <w:pPr>
              <w:pStyle w:val="MeasureTableTextItalic"/>
            </w:pPr>
            <w:r>
              <w:t>Expiry date:</w:t>
            </w:r>
          </w:p>
        </w:tc>
        <w:tc>
          <w:tcPr>
            <w:tcW w:w="1124" w:type="dxa"/>
            <w:gridSpan w:val="2"/>
            <w:tcBorders>
              <w:top w:val="nil"/>
              <w:bottom w:val="nil"/>
            </w:tcBorders>
          </w:tcPr>
          <w:p w14:paraId="43FA3F26" w14:textId="77777777" w:rsidR="006E40C9" w:rsidRPr="00F32057" w:rsidRDefault="006E40C9">
            <w:pPr>
              <w:pStyle w:val="MeasureTableTextLeftAligned"/>
            </w:pPr>
          </w:p>
        </w:tc>
      </w:tr>
      <w:tr w:rsidR="006E40C9" w14:paraId="5C9D164C" w14:textId="77777777">
        <w:trPr>
          <w:cantSplit/>
          <w:jc w:val="center"/>
        </w:trPr>
        <w:tc>
          <w:tcPr>
            <w:tcW w:w="1934" w:type="dxa"/>
            <w:gridSpan w:val="2"/>
            <w:tcBorders>
              <w:top w:val="nil"/>
            </w:tcBorders>
          </w:tcPr>
          <w:p w14:paraId="530C7B68" w14:textId="77777777" w:rsidR="006E40C9" w:rsidRDefault="006E40C9">
            <w:pPr>
              <w:pStyle w:val="MeasureTableTextItalic"/>
            </w:pPr>
            <w:r>
              <w:t>Legislative reference:</w:t>
            </w:r>
          </w:p>
        </w:tc>
        <w:tc>
          <w:tcPr>
            <w:tcW w:w="5803" w:type="dxa"/>
            <w:gridSpan w:val="8"/>
            <w:tcBorders>
              <w:top w:val="nil"/>
            </w:tcBorders>
          </w:tcPr>
          <w:p w14:paraId="20E7185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19 of </w:t>
            </w:r>
            <w:r>
              <w:rPr>
                <w:rFonts w:ascii="Arial" w:hAnsi="Arial" w:cs="Arial"/>
                <w:i/>
                <w:iCs/>
                <w:color w:val="000000"/>
                <w:sz w:val="16"/>
                <w:szCs w:val="16"/>
              </w:rPr>
              <w:t>A New Tax System (Wine Equalisation Tax) Act 1999</w:t>
            </w:r>
          </w:p>
        </w:tc>
      </w:tr>
    </w:tbl>
    <w:p w14:paraId="116D3BE7" w14:textId="77777777" w:rsidR="006E40C9" w:rsidRPr="00540040" w:rsidRDefault="006E40C9" w:rsidP="006E40C9">
      <w:pPr>
        <w:pStyle w:val="MeasureTableHeading"/>
      </w:pPr>
    </w:p>
    <w:p w14:paraId="269FBBAD" w14:textId="40D566A7" w:rsidR="006E40C9" w:rsidRDefault="006E40C9" w:rsidP="006E40C9">
      <w:r>
        <w:t>Under the benchmark tax treatment, wine is taxed under the WET</w:t>
      </w:r>
      <w:r>
        <w:fldChar w:fldCharType="begin"/>
      </w:r>
      <w:r>
        <w:instrText xml:space="preserve"> XE "Wine:Wine equalisation tax" </w:instrText>
      </w:r>
      <w:r>
        <w:fldChar w:fldCharType="end"/>
      </w:r>
      <w:r>
        <w:t xml:space="preserve"> at 29 per cent of its last wholesale value. However, wine producers are able to claim a rebate of WET they have paid, up to $350,000 per financial year. The rebate also extends to producers of other fruit and vegetable wines, traditional cider, perry, mead, and sake. </w:t>
      </w:r>
    </w:p>
    <w:p w14:paraId="58EF9C82" w14:textId="77777777" w:rsidR="006E40C9" w:rsidRDefault="006E40C9" w:rsidP="006E40C9">
      <w:r>
        <w:t>From 1 July 2018, eligibility for the rebate was tightened, including by requiring wine producers to own at least 85 per cent of the grapes used to make the wine throughout the winemaking process, and for wine to be branded and packaged in a container not exceeding 5 litres (51 litres for cider and perry).</w:t>
      </w:r>
    </w:p>
    <w:p w14:paraId="7B541E0F" w14:textId="77777777" w:rsidR="006E40C9" w:rsidRDefault="006E40C9" w:rsidP="006E40C9">
      <w:r>
        <w:t>The tightened eligibility criteria has applied to all wine from the 2018 vintage irrespective of when the rebate is claimed.</w:t>
      </w:r>
      <w:r>
        <w:fldChar w:fldCharType="begin"/>
      </w:r>
      <w:r>
        <w:instrText xml:space="preserve"> XE "Alcohol:Wine" </w:instrText>
      </w:r>
      <w:r>
        <w:fldChar w:fldCharType="end"/>
      </w:r>
    </w:p>
    <w:p w14:paraId="651228CC" w14:textId="77777777" w:rsidR="006E40C9" w:rsidRDefault="006E40C9" w:rsidP="00D9255A">
      <w:pPr>
        <w:pStyle w:val="Heading3"/>
      </w:pPr>
      <w:r>
        <w:t>General consumption tax expenditures</w:t>
      </w:r>
    </w:p>
    <w:p w14:paraId="04B403FD" w14:textId="77777777" w:rsidR="006E40C9" w:rsidRDefault="006E40C9" w:rsidP="00D9255A">
      <w:pPr>
        <w:pStyle w:val="TESHeading5"/>
      </w:pPr>
      <w:r>
        <w:t>F19</w:t>
      </w:r>
      <w:r>
        <w:tab/>
        <w:t>Certain exemptions for diplomats, diplomatic missions and approved international organisations</w:t>
      </w:r>
    </w:p>
    <w:p w14:paraId="0909A747" w14:textId="28664F03"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3669D1" w14:textId="77777777">
        <w:trPr>
          <w:cantSplit/>
          <w:jc w:val="center"/>
        </w:trPr>
        <w:tc>
          <w:tcPr>
            <w:tcW w:w="967" w:type="dxa"/>
            <w:tcBorders>
              <w:top w:val="single" w:sz="2" w:space="0" w:color="auto"/>
              <w:bottom w:val="single" w:sz="2" w:space="0" w:color="auto"/>
            </w:tcBorders>
          </w:tcPr>
          <w:p w14:paraId="526302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5AE2B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8B9460D"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6C12E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C32EC0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895BA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32F50F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942A811" w14:textId="77777777" w:rsidR="006E40C9" w:rsidRDefault="006E40C9">
            <w:pPr>
              <w:pStyle w:val="MeasureTableTextRightAligned"/>
            </w:pPr>
            <w:r>
              <w:t>2027-28</w:t>
            </w:r>
          </w:p>
        </w:tc>
      </w:tr>
      <w:tr w:rsidR="006E40C9" w14:paraId="208175BF" w14:textId="77777777">
        <w:trPr>
          <w:cantSplit/>
          <w:jc w:val="center"/>
        </w:trPr>
        <w:tc>
          <w:tcPr>
            <w:tcW w:w="967" w:type="dxa"/>
            <w:tcBorders>
              <w:top w:val="single" w:sz="2" w:space="0" w:color="auto"/>
              <w:bottom w:val="single" w:sz="2" w:space="0" w:color="auto"/>
            </w:tcBorders>
          </w:tcPr>
          <w:p w14:paraId="5B86685E" w14:textId="77777777" w:rsidR="006E40C9" w:rsidRDefault="006E40C9">
            <w:pPr>
              <w:pStyle w:val="MeasureTableTextRightAligned"/>
            </w:pPr>
            <w:r>
              <w:t>1</w:t>
            </w:r>
          </w:p>
        </w:tc>
        <w:tc>
          <w:tcPr>
            <w:tcW w:w="967" w:type="dxa"/>
            <w:tcBorders>
              <w:top w:val="single" w:sz="2" w:space="0" w:color="auto"/>
              <w:bottom w:val="single" w:sz="2" w:space="0" w:color="auto"/>
            </w:tcBorders>
          </w:tcPr>
          <w:p w14:paraId="4E5EB849"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22D0B611"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3BE57315"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6C7CBC5A"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0852ACBA" w14:textId="77777777" w:rsidR="006E40C9" w:rsidRDefault="006E40C9">
            <w:pPr>
              <w:pStyle w:val="MeasureTableTextRightAligned"/>
            </w:pPr>
            <w:r>
              <w:t>1</w:t>
            </w:r>
          </w:p>
        </w:tc>
        <w:tc>
          <w:tcPr>
            <w:tcW w:w="967" w:type="dxa"/>
            <w:gridSpan w:val="2"/>
            <w:tcBorders>
              <w:top w:val="single" w:sz="2" w:space="0" w:color="auto"/>
              <w:bottom w:val="single" w:sz="2" w:space="0" w:color="auto"/>
            </w:tcBorders>
            <w:vAlign w:val="bottom"/>
          </w:tcPr>
          <w:p w14:paraId="66B921ED" w14:textId="77777777" w:rsidR="006E40C9" w:rsidRDefault="006E40C9">
            <w:pPr>
              <w:pStyle w:val="MeasureTableTextRightAligned"/>
            </w:pPr>
            <w:r>
              <w:t>1</w:t>
            </w:r>
          </w:p>
        </w:tc>
        <w:tc>
          <w:tcPr>
            <w:tcW w:w="968" w:type="dxa"/>
            <w:tcBorders>
              <w:top w:val="single" w:sz="2" w:space="0" w:color="auto"/>
              <w:bottom w:val="single" w:sz="2" w:space="0" w:color="auto"/>
            </w:tcBorders>
            <w:vAlign w:val="bottom"/>
          </w:tcPr>
          <w:p w14:paraId="67577070" w14:textId="77777777" w:rsidR="006E40C9" w:rsidRDefault="006E40C9">
            <w:pPr>
              <w:pStyle w:val="MeasureTableTextRightAligned"/>
            </w:pPr>
            <w:r>
              <w:t>1</w:t>
            </w:r>
          </w:p>
        </w:tc>
      </w:tr>
      <w:tr w:rsidR="006E40C9" w14:paraId="38316466" w14:textId="77777777">
        <w:trPr>
          <w:cantSplit/>
          <w:jc w:val="center"/>
        </w:trPr>
        <w:tc>
          <w:tcPr>
            <w:tcW w:w="1934" w:type="dxa"/>
            <w:gridSpan w:val="2"/>
            <w:tcBorders>
              <w:top w:val="single" w:sz="2" w:space="0" w:color="auto"/>
              <w:bottom w:val="nil"/>
            </w:tcBorders>
          </w:tcPr>
          <w:p w14:paraId="218ED9E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04B6C7C" w14:textId="77777777" w:rsidR="006E40C9" w:rsidRDefault="006E40C9">
            <w:pPr>
              <w:pStyle w:val="MeasureTableTextLeftAligned"/>
            </w:pPr>
            <w:r>
              <w:t>Exemption</w:t>
            </w:r>
          </w:p>
        </w:tc>
        <w:tc>
          <w:tcPr>
            <w:tcW w:w="1500" w:type="dxa"/>
            <w:gridSpan w:val="2"/>
            <w:tcBorders>
              <w:top w:val="single" w:sz="2" w:space="0" w:color="auto"/>
              <w:bottom w:val="nil"/>
            </w:tcBorders>
          </w:tcPr>
          <w:p w14:paraId="688D8F89" w14:textId="06C5F0D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9C86758" w14:textId="77777777" w:rsidR="006E40C9" w:rsidRDefault="006E40C9">
            <w:pPr>
              <w:pStyle w:val="MeasureTableTextLeftAligned"/>
            </w:pPr>
            <w:r>
              <w:t>F19</w:t>
            </w:r>
          </w:p>
        </w:tc>
      </w:tr>
      <w:tr w:rsidR="006E40C9" w14:paraId="3923E022" w14:textId="77777777">
        <w:trPr>
          <w:cantSplit/>
          <w:jc w:val="center"/>
        </w:trPr>
        <w:tc>
          <w:tcPr>
            <w:tcW w:w="1934" w:type="dxa"/>
            <w:gridSpan w:val="2"/>
            <w:tcBorders>
              <w:top w:val="nil"/>
              <w:bottom w:val="nil"/>
            </w:tcBorders>
          </w:tcPr>
          <w:p w14:paraId="59E5773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31A8058" w14:textId="77777777" w:rsidR="006E40C9" w:rsidRPr="00584CA7" w:rsidRDefault="006E40C9">
            <w:pPr>
              <w:pStyle w:val="MeasureTableTextLeftAligned"/>
            </w:pPr>
            <w:r>
              <w:t>Low</w:t>
            </w:r>
          </w:p>
        </w:tc>
        <w:tc>
          <w:tcPr>
            <w:tcW w:w="1500" w:type="dxa"/>
            <w:gridSpan w:val="2"/>
            <w:tcBorders>
              <w:top w:val="nil"/>
              <w:bottom w:val="nil"/>
            </w:tcBorders>
          </w:tcPr>
          <w:p w14:paraId="3ABA9F3D" w14:textId="77777777" w:rsidR="006E40C9" w:rsidRDefault="006E40C9">
            <w:pPr>
              <w:pStyle w:val="MeasureTableTextItalic"/>
            </w:pPr>
          </w:p>
        </w:tc>
        <w:tc>
          <w:tcPr>
            <w:tcW w:w="1124" w:type="dxa"/>
            <w:gridSpan w:val="2"/>
            <w:tcBorders>
              <w:top w:val="nil"/>
              <w:bottom w:val="nil"/>
            </w:tcBorders>
          </w:tcPr>
          <w:p w14:paraId="247BB6E3" w14:textId="77777777" w:rsidR="006E40C9" w:rsidRDefault="006E40C9">
            <w:pPr>
              <w:pStyle w:val="MeasureTableTextLeftAligned"/>
            </w:pPr>
          </w:p>
        </w:tc>
      </w:tr>
      <w:tr w:rsidR="006E40C9" w14:paraId="25C78C65" w14:textId="77777777">
        <w:trPr>
          <w:cantSplit/>
          <w:jc w:val="center"/>
        </w:trPr>
        <w:tc>
          <w:tcPr>
            <w:tcW w:w="1934" w:type="dxa"/>
            <w:gridSpan w:val="2"/>
            <w:tcBorders>
              <w:top w:val="nil"/>
              <w:bottom w:val="nil"/>
            </w:tcBorders>
          </w:tcPr>
          <w:p w14:paraId="305A3EA3" w14:textId="77777777" w:rsidR="006E40C9" w:rsidRDefault="006E40C9">
            <w:pPr>
              <w:pStyle w:val="MeasureTableTextItalic"/>
            </w:pPr>
            <w:r>
              <w:t>Commencement date:</w:t>
            </w:r>
          </w:p>
        </w:tc>
        <w:tc>
          <w:tcPr>
            <w:tcW w:w="3179" w:type="dxa"/>
            <w:gridSpan w:val="4"/>
            <w:tcBorders>
              <w:top w:val="nil"/>
              <w:bottom w:val="nil"/>
            </w:tcBorders>
          </w:tcPr>
          <w:p w14:paraId="1121B53B" w14:textId="77777777" w:rsidR="006E40C9" w:rsidRDefault="006E40C9">
            <w:pPr>
              <w:pStyle w:val="MeasureTableTextLeftAligned"/>
            </w:pPr>
            <w:r>
              <w:t>21 August 1940</w:t>
            </w:r>
          </w:p>
        </w:tc>
        <w:tc>
          <w:tcPr>
            <w:tcW w:w="1500" w:type="dxa"/>
            <w:gridSpan w:val="2"/>
            <w:tcBorders>
              <w:top w:val="nil"/>
              <w:bottom w:val="nil"/>
            </w:tcBorders>
          </w:tcPr>
          <w:p w14:paraId="55324CE2" w14:textId="77777777" w:rsidR="006E40C9" w:rsidRPr="00F32057" w:rsidRDefault="006E40C9">
            <w:pPr>
              <w:pStyle w:val="MeasureTableTextItalic"/>
            </w:pPr>
            <w:r>
              <w:t>Expiry date:</w:t>
            </w:r>
          </w:p>
        </w:tc>
        <w:tc>
          <w:tcPr>
            <w:tcW w:w="1124" w:type="dxa"/>
            <w:gridSpan w:val="2"/>
            <w:tcBorders>
              <w:top w:val="nil"/>
              <w:bottom w:val="nil"/>
            </w:tcBorders>
          </w:tcPr>
          <w:p w14:paraId="05BC59A4" w14:textId="77777777" w:rsidR="006E40C9" w:rsidRPr="00F32057" w:rsidRDefault="006E40C9">
            <w:pPr>
              <w:pStyle w:val="MeasureTableTextLeftAligned"/>
            </w:pPr>
          </w:p>
        </w:tc>
      </w:tr>
      <w:tr w:rsidR="006E40C9" w14:paraId="1B3ABD7F" w14:textId="77777777">
        <w:trPr>
          <w:cantSplit/>
          <w:jc w:val="center"/>
        </w:trPr>
        <w:tc>
          <w:tcPr>
            <w:tcW w:w="1934" w:type="dxa"/>
            <w:gridSpan w:val="2"/>
            <w:tcBorders>
              <w:top w:val="nil"/>
            </w:tcBorders>
          </w:tcPr>
          <w:p w14:paraId="7361D1C9" w14:textId="77777777" w:rsidR="006E40C9" w:rsidRDefault="006E40C9">
            <w:pPr>
              <w:pStyle w:val="MeasureTableTextItalic"/>
            </w:pPr>
            <w:r>
              <w:t>Legislative reference:</w:t>
            </w:r>
          </w:p>
        </w:tc>
        <w:tc>
          <w:tcPr>
            <w:tcW w:w="5803" w:type="dxa"/>
            <w:gridSpan w:val="8"/>
            <w:tcBorders>
              <w:top w:val="nil"/>
            </w:tcBorders>
          </w:tcPr>
          <w:p w14:paraId="0AB9F6B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Regulation 8 and Schedule 1 of the </w:t>
            </w:r>
            <w:r>
              <w:rPr>
                <w:rFonts w:ascii="Arial" w:hAnsi="Arial" w:cs="Arial"/>
                <w:i/>
                <w:iCs/>
                <w:color w:val="000000"/>
                <w:sz w:val="16"/>
                <w:szCs w:val="16"/>
              </w:rPr>
              <w:t>Excise Regulation 2015</w:t>
            </w:r>
            <w:r>
              <w:rPr>
                <w:rFonts w:ascii="Arial" w:hAnsi="Arial" w:cs="Arial"/>
                <w:color w:val="000000"/>
                <w:sz w:val="16"/>
                <w:szCs w:val="16"/>
              </w:rPr>
              <w:br/>
              <w:t xml:space="preserve">Section 9 of the </w:t>
            </w:r>
            <w:r>
              <w:rPr>
                <w:rFonts w:ascii="Arial" w:hAnsi="Arial" w:cs="Arial"/>
                <w:i/>
                <w:iCs/>
                <w:color w:val="000000"/>
                <w:sz w:val="16"/>
                <w:szCs w:val="16"/>
              </w:rPr>
              <w:t>Diplomatic Privileges and Immunities Act 1967</w:t>
            </w:r>
            <w:r>
              <w:rPr>
                <w:rFonts w:ascii="Arial" w:hAnsi="Arial" w:cs="Arial"/>
                <w:color w:val="000000"/>
                <w:sz w:val="16"/>
                <w:szCs w:val="16"/>
              </w:rPr>
              <w:br/>
              <w:t xml:space="preserve">Section 7 of the </w:t>
            </w:r>
            <w:r>
              <w:rPr>
                <w:rFonts w:ascii="Arial" w:hAnsi="Arial" w:cs="Arial"/>
                <w:i/>
                <w:iCs/>
                <w:color w:val="000000"/>
                <w:sz w:val="16"/>
                <w:szCs w:val="16"/>
              </w:rPr>
              <w:t>Consular Privileges and Immunities Act 1972</w:t>
            </w:r>
            <w:r>
              <w:rPr>
                <w:rFonts w:ascii="Arial" w:hAnsi="Arial" w:cs="Arial"/>
                <w:color w:val="000000"/>
                <w:sz w:val="16"/>
                <w:szCs w:val="16"/>
              </w:rPr>
              <w:br/>
              <w:t xml:space="preserve">Section 11B of the </w:t>
            </w:r>
            <w:r>
              <w:rPr>
                <w:rFonts w:ascii="Arial" w:hAnsi="Arial" w:cs="Arial"/>
                <w:i/>
                <w:iCs/>
                <w:color w:val="000000"/>
                <w:sz w:val="16"/>
                <w:szCs w:val="16"/>
              </w:rPr>
              <w:t>International Organisations (Privileges and Immunities) Act 1963</w:t>
            </w:r>
            <w:r>
              <w:rPr>
                <w:rFonts w:ascii="Arial" w:hAnsi="Arial" w:cs="Arial"/>
                <w:color w:val="000000"/>
                <w:sz w:val="16"/>
                <w:szCs w:val="16"/>
              </w:rPr>
              <w:br/>
              <w:t xml:space="preserve">Section 12 of the </w:t>
            </w:r>
            <w:r>
              <w:rPr>
                <w:rFonts w:ascii="Arial" w:hAnsi="Arial" w:cs="Arial"/>
                <w:i/>
                <w:iCs/>
                <w:color w:val="000000"/>
                <w:sz w:val="16"/>
                <w:szCs w:val="16"/>
              </w:rPr>
              <w:t>Overseas Missions (Privileges and Immunities) Act 1995</w:t>
            </w:r>
          </w:p>
        </w:tc>
      </w:tr>
    </w:tbl>
    <w:p w14:paraId="37848402" w14:textId="77777777" w:rsidR="006E40C9" w:rsidRPr="00540040" w:rsidRDefault="006E40C9" w:rsidP="006E40C9">
      <w:pPr>
        <w:pStyle w:val="MeasureTableHeading"/>
      </w:pPr>
    </w:p>
    <w:p w14:paraId="71C91684" w14:textId="23C750DE" w:rsidR="006E40C9" w:rsidRDefault="006E40C9" w:rsidP="006E40C9">
      <w:pPr>
        <w:rPr>
          <w:rFonts w:cs="Book Antiqua"/>
        </w:rPr>
      </w:pPr>
      <w:r>
        <w:rPr>
          <w:rFonts w:cs="Book Antiqua"/>
        </w:rPr>
        <w:t>Under the benchmark tax treatment, fuel, tobacco and alcohol (other than wine) are subject to excise and excise</w:t>
      </w:r>
      <w:r>
        <w:rPr>
          <w:rFonts w:cs="Book Antiqua"/>
        </w:rPr>
        <w:noBreakHyphen/>
        <w:t>equivalent customs duty, and wine is subject to the wine equalisation tax. However, these taxes are not payable (or the amount paid is refundable) on items acquired for official purposes by diplomatic missions and consulates,</w:t>
      </w:r>
      <w:r>
        <w:rPr>
          <w:rFonts w:cs="Book Antiqua"/>
        </w:rPr>
        <w:fldChar w:fldCharType="begin"/>
      </w:r>
      <w:r>
        <w:instrText xml:space="preserve"> XE "</w:instrText>
      </w:r>
      <w:r>
        <w:rPr>
          <w:rFonts w:cs="Book Antiqua"/>
        </w:rPr>
        <w:instrText>Diplomatic missions</w:instrText>
      </w:r>
      <w:r>
        <w:instrText xml:space="preserve">" </w:instrText>
      </w:r>
      <w:r>
        <w:rPr>
          <w:rFonts w:cs="Book Antiqua"/>
        </w:rPr>
        <w:fldChar w:fldCharType="end"/>
      </w:r>
      <w:r>
        <w:rPr>
          <w:rFonts w:cs="Book Antiqua"/>
        </w:rPr>
        <w:t xml:space="preserve"> for personal use by privileged individuals, or for official use by approved international organisations. Any refunds provided must be within the scope of the </w:t>
      </w:r>
      <w:r>
        <w:rPr>
          <w:rFonts w:cs="Book Antiqua"/>
          <w:i/>
        </w:rPr>
        <w:t>Diplomatic Privileges and Immunities Act 1967</w:t>
      </w:r>
      <w:r>
        <w:rPr>
          <w:rFonts w:cs="Book Antiqua"/>
        </w:rPr>
        <w:t xml:space="preserve">, the </w:t>
      </w:r>
      <w:r>
        <w:rPr>
          <w:rFonts w:cs="Book Antiqua"/>
          <w:i/>
        </w:rPr>
        <w:t>Consular Privileges and Immunities Act 1972</w:t>
      </w:r>
      <w:r>
        <w:rPr>
          <w:rFonts w:cs="Book Antiqua"/>
        </w:rPr>
        <w:t xml:space="preserve">, or the </w:t>
      </w:r>
      <w:r>
        <w:rPr>
          <w:rFonts w:cs="Book Antiqua"/>
          <w:i/>
        </w:rPr>
        <w:t>International Organisations (Privileges and Immunities) Act 1963</w:t>
      </w:r>
      <w:r>
        <w:rPr>
          <w:rFonts w:cs="Book Antiqua"/>
        </w:rPr>
        <w:t>.</w:t>
      </w:r>
    </w:p>
    <w:p w14:paraId="4A71C555" w14:textId="77777777" w:rsidR="006E40C9" w:rsidRDefault="006E40C9" w:rsidP="00D9255A">
      <w:pPr>
        <w:pStyle w:val="TESHeading5"/>
      </w:pPr>
      <w:r>
        <w:t>F20</w:t>
      </w:r>
      <w:r>
        <w:tab/>
        <w:t>Certain exemptions for Australian military seagoing vessels</w:t>
      </w:r>
    </w:p>
    <w:p w14:paraId="09AC1FA1" w14:textId="77777777" w:rsidR="006E40C9" w:rsidRDefault="006E40C9" w:rsidP="006E40C9">
      <w:pPr>
        <w:pStyle w:val="MeasureTableHeading"/>
      </w:pPr>
      <w:r>
        <w:t>Defence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81E6153" w14:textId="77777777">
        <w:trPr>
          <w:cantSplit/>
          <w:jc w:val="center"/>
        </w:trPr>
        <w:tc>
          <w:tcPr>
            <w:tcW w:w="967" w:type="dxa"/>
            <w:tcBorders>
              <w:top w:val="single" w:sz="2" w:space="0" w:color="auto"/>
              <w:bottom w:val="single" w:sz="2" w:space="0" w:color="auto"/>
            </w:tcBorders>
          </w:tcPr>
          <w:p w14:paraId="2B461D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BE5E827"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07EC4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100E81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AD3A08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3C2386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CFAADD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7EC1CED" w14:textId="77777777" w:rsidR="006E40C9" w:rsidRDefault="006E40C9">
            <w:pPr>
              <w:pStyle w:val="MeasureTableTextRightAligned"/>
            </w:pPr>
            <w:r>
              <w:t>2027-28</w:t>
            </w:r>
          </w:p>
        </w:tc>
      </w:tr>
      <w:tr w:rsidR="006E40C9" w14:paraId="3CE34544" w14:textId="77777777">
        <w:trPr>
          <w:cantSplit/>
          <w:jc w:val="center"/>
        </w:trPr>
        <w:tc>
          <w:tcPr>
            <w:tcW w:w="967" w:type="dxa"/>
            <w:tcBorders>
              <w:top w:val="single" w:sz="2" w:space="0" w:color="auto"/>
              <w:bottom w:val="single" w:sz="2" w:space="0" w:color="auto"/>
            </w:tcBorders>
          </w:tcPr>
          <w:p w14:paraId="208893F5" w14:textId="77777777" w:rsidR="006E40C9" w:rsidRDefault="006E40C9">
            <w:pPr>
              <w:pStyle w:val="MeasureTableTextRightAligned"/>
            </w:pPr>
            <w:r>
              <w:t>*</w:t>
            </w:r>
          </w:p>
        </w:tc>
        <w:tc>
          <w:tcPr>
            <w:tcW w:w="967" w:type="dxa"/>
            <w:tcBorders>
              <w:top w:val="single" w:sz="2" w:space="0" w:color="auto"/>
              <w:bottom w:val="single" w:sz="2" w:space="0" w:color="auto"/>
            </w:tcBorders>
          </w:tcPr>
          <w:p w14:paraId="32A0D99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FC79F6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3A81A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78C40E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AA2ACF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DD271C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D637DF1" w14:textId="77777777" w:rsidR="006E40C9" w:rsidRDefault="006E40C9">
            <w:pPr>
              <w:pStyle w:val="MeasureTableTextRightAligned"/>
            </w:pPr>
            <w:r>
              <w:t>*</w:t>
            </w:r>
          </w:p>
        </w:tc>
      </w:tr>
      <w:tr w:rsidR="006E40C9" w14:paraId="2C4C4F37" w14:textId="77777777">
        <w:trPr>
          <w:cantSplit/>
          <w:jc w:val="center"/>
        </w:trPr>
        <w:tc>
          <w:tcPr>
            <w:tcW w:w="1934" w:type="dxa"/>
            <w:gridSpan w:val="2"/>
            <w:tcBorders>
              <w:top w:val="single" w:sz="2" w:space="0" w:color="auto"/>
              <w:bottom w:val="nil"/>
            </w:tcBorders>
          </w:tcPr>
          <w:p w14:paraId="75E51CD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8F52F7" w14:textId="77777777" w:rsidR="006E40C9" w:rsidRDefault="006E40C9">
            <w:pPr>
              <w:pStyle w:val="MeasureTableTextLeftAligned"/>
            </w:pPr>
            <w:r>
              <w:t>Exemption</w:t>
            </w:r>
          </w:p>
        </w:tc>
        <w:tc>
          <w:tcPr>
            <w:tcW w:w="1500" w:type="dxa"/>
            <w:gridSpan w:val="2"/>
            <w:tcBorders>
              <w:top w:val="single" w:sz="2" w:space="0" w:color="auto"/>
              <w:bottom w:val="nil"/>
            </w:tcBorders>
          </w:tcPr>
          <w:p w14:paraId="226ED43B" w14:textId="16B0E6F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0D090B6" w14:textId="77777777" w:rsidR="006E40C9" w:rsidRDefault="006E40C9">
            <w:pPr>
              <w:pStyle w:val="MeasureTableTextLeftAligned"/>
            </w:pPr>
            <w:r>
              <w:t>F20</w:t>
            </w:r>
          </w:p>
        </w:tc>
      </w:tr>
      <w:tr w:rsidR="006E40C9" w14:paraId="394D50B5" w14:textId="77777777">
        <w:trPr>
          <w:cantSplit/>
          <w:jc w:val="center"/>
        </w:trPr>
        <w:tc>
          <w:tcPr>
            <w:tcW w:w="1934" w:type="dxa"/>
            <w:gridSpan w:val="2"/>
            <w:tcBorders>
              <w:top w:val="nil"/>
              <w:bottom w:val="nil"/>
            </w:tcBorders>
          </w:tcPr>
          <w:p w14:paraId="0687B43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F189305" w14:textId="77777777" w:rsidR="006E40C9" w:rsidRPr="00584CA7" w:rsidRDefault="006E40C9">
            <w:pPr>
              <w:pStyle w:val="MeasureTableTextLeftAligned"/>
            </w:pPr>
            <w:r>
              <w:t>Not Applicable</w:t>
            </w:r>
          </w:p>
        </w:tc>
        <w:tc>
          <w:tcPr>
            <w:tcW w:w="1500" w:type="dxa"/>
            <w:gridSpan w:val="2"/>
            <w:tcBorders>
              <w:top w:val="nil"/>
              <w:bottom w:val="nil"/>
            </w:tcBorders>
          </w:tcPr>
          <w:p w14:paraId="0CCCEAC8" w14:textId="77777777" w:rsidR="006E40C9" w:rsidRDefault="006E40C9">
            <w:pPr>
              <w:pStyle w:val="MeasureTableTextItalic"/>
            </w:pPr>
            <w:r>
              <w:t>* Category</w:t>
            </w:r>
          </w:p>
        </w:tc>
        <w:tc>
          <w:tcPr>
            <w:tcW w:w="1124" w:type="dxa"/>
            <w:gridSpan w:val="2"/>
            <w:tcBorders>
              <w:top w:val="nil"/>
              <w:bottom w:val="nil"/>
            </w:tcBorders>
          </w:tcPr>
          <w:p w14:paraId="2C57A478" w14:textId="77777777" w:rsidR="006E40C9" w:rsidRDefault="006E40C9">
            <w:pPr>
              <w:pStyle w:val="MeasureTableTextLeftAligned"/>
            </w:pPr>
            <w:r>
              <w:t>1+</w:t>
            </w:r>
          </w:p>
        </w:tc>
      </w:tr>
      <w:tr w:rsidR="006E40C9" w14:paraId="4813D5A4" w14:textId="77777777">
        <w:trPr>
          <w:cantSplit/>
          <w:jc w:val="center"/>
        </w:trPr>
        <w:tc>
          <w:tcPr>
            <w:tcW w:w="1934" w:type="dxa"/>
            <w:gridSpan w:val="2"/>
            <w:tcBorders>
              <w:top w:val="nil"/>
              <w:bottom w:val="nil"/>
            </w:tcBorders>
          </w:tcPr>
          <w:p w14:paraId="661E03AC" w14:textId="77777777" w:rsidR="006E40C9" w:rsidRDefault="006E40C9">
            <w:pPr>
              <w:pStyle w:val="MeasureTableTextItalic"/>
            </w:pPr>
            <w:r>
              <w:t>Commencement date:</w:t>
            </w:r>
          </w:p>
        </w:tc>
        <w:tc>
          <w:tcPr>
            <w:tcW w:w="3179" w:type="dxa"/>
            <w:gridSpan w:val="4"/>
            <w:tcBorders>
              <w:top w:val="nil"/>
              <w:bottom w:val="nil"/>
            </w:tcBorders>
          </w:tcPr>
          <w:p w14:paraId="287FC81C" w14:textId="77777777" w:rsidR="006E40C9" w:rsidRDefault="006E40C9">
            <w:pPr>
              <w:pStyle w:val="MeasureTableTextLeftAligned"/>
            </w:pPr>
            <w:r>
              <w:t>29 November 1935</w:t>
            </w:r>
          </w:p>
        </w:tc>
        <w:tc>
          <w:tcPr>
            <w:tcW w:w="1500" w:type="dxa"/>
            <w:gridSpan w:val="2"/>
            <w:tcBorders>
              <w:top w:val="nil"/>
              <w:bottom w:val="nil"/>
            </w:tcBorders>
          </w:tcPr>
          <w:p w14:paraId="492C9FDB" w14:textId="77777777" w:rsidR="006E40C9" w:rsidRPr="00F32057" w:rsidRDefault="006E40C9">
            <w:pPr>
              <w:pStyle w:val="MeasureTableTextItalic"/>
            </w:pPr>
            <w:r>
              <w:t>Expiry date:</w:t>
            </w:r>
          </w:p>
        </w:tc>
        <w:tc>
          <w:tcPr>
            <w:tcW w:w="1124" w:type="dxa"/>
            <w:gridSpan w:val="2"/>
            <w:tcBorders>
              <w:top w:val="nil"/>
              <w:bottom w:val="nil"/>
            </w:tcBorders>
          </w:tcPr>
          <w:p w14:paraId="4FFD6B8D" w14:textId="77777777" w:rsidR="006E40C9" w:rsidRPr="00F32057" w:rsidRDefault="006E40C9">
            <w:pPr>
              <w:pStyle w:val="MeasureTableTextLeftAligned"/>
            </w:pPr>
          </w:p>
        </w:tc>
      </w:tr>
      <w:tr w:rsidR="006E40C9" w14:paraId="798681F2" w14:textId="77777777">
        <w:trPr>
          <w:cantSplit/>
          <w:jc w:val="center"/>
        </w:trPr>
        <w:tc>
          <w:tcPr>
            <w:tcW w:w="1934" w:type="dxa"/>
            <w:gridSpan w:val="2"/>
            <w:tcBorders>
              <w:top w:val="nil"/>
            </w:tcBorders>
          </w:tcPr>
          <w:p w14:paraId="3BF7D11D" w14:textId="77777777" w:rsidR="006E40C9" w:rsidRDefault="006E40C9">
            <w:pPr>
              <w:pStyle w:val="MeasureTableTextItalic"/>
            </w:pPr>
            <w:r>
              <w:t>Legislative reference:</w:t>
            </w:r>
          </w:p>
        </w:tc>
        <w:tc>
          <w:tcPr>
            <w:tcW w:w="5803" w:type="dxa"/>
            <w:gridSpan w:val="8"/>
            <w:tcBorders>
              <w:top w:val="nil"/>
            </w:tcBorders>
          </w:tcPr>
          <w:p w14:paraId="2D1E2BE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6 of Table 2 of Schedule 1 to the </w:t>
            </w:r>
            <w:r>
              <w:rPr>
                <w:rFonts w:ascii="Arial" w:hAnsi="Arial" w:cs="Arial"/>
                <w:i/>
                <w:iCs/>
                <w:color w:val="000000"/>
                <w:sz w:val="16"/>
                <w:szCs w:val="16"/>
              </w:rPr>
              <w:t>Excise Regulation 2015</w:t>
            </w:r>
          </w:p>
        </w:tc>
      </w:tr>
    </w:tbl>
    <w:p w14:paraId="383422FE" w14:textId="77777777" w:rsidR="006E40C9" w:rsidRPr="00540040" w:rsidRDefault="006E40C9" w:rsidP="006E40C9">
      <w:pPr>
        <w:pStyle w:val="MeasureTableHeading"/>
      </w:pPr>
    </w:p>
    <w:p w14:paraId="432F2A56" w14:textId="77777777" w:rsidR="006E40C9" w:rsidRDefault="006E40C9" w:rsidP="006E40C9">
      <w:r>
        <w:t>Under the benchmark tax treatment, tobacco and alcohol (other than wine) are subject to excise and excise</w:t>
      </w:r>
      <w:r>
        <w:noBreakHyphen/>
        <w:t>equivalent customs duty. However, excise on tobacco and certain alcoholic products is not payable by Australian military seagoing vessels</w:t>
      </w:r>
      <w:r>
        <w:fldChar w:fldCharType="begin"/>
      </w:r>
      <w:r>
        <w:instrText xml:space="preserve"> XE "Australian military seagoing vessels" </w:instrText>
      </w:r>
      <w:r>
        <w:fldChar w:fldCharType="end"/>
      </w:r>
      <w:r>
        <w:t xml:space="preserve"> in full commission when the products are consumed on board.</w:t>
      </w:r>
    </w:p>
    <w:p w14:paraId="03780AB3" w14:textId="77777777" w:rsidR="006E40C9" w:rsidRDefault="006E40C9" w:rsidP="00D9255A">
      <w:pPr>
        <w:pStyle w:val="TESHeading5"/>
      </w:pPr>
      <w:r>
        <w:t>F21</w:t>
      </w:r>
      <w:r>
        <w:tab/>
        <w:t>Customs duty</w:t>
      </w:r>
    </w:p>
    <w:p w14:paraId="2F3F2642"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38ABD66" w14:textId="77777777">
        <w:trPr>
          <w:cantSplit/>
          <w:jc w:val="center"/>
        </w:trPr>
        <w:tc>
          <w:tcPr>
            <w:tcW w:w="967" w:type="dxa"/>
            <w:tcBorders>
              <w:top w:val="single" w:sz="2" w:space="0" w:color="auto"/>
              <w:bottom w:val="single" w:sz="2" w:space="0" w:color="auto"/>
            </w:tcBorders>
          </w:tcPr>
          <w:p w14:paraId="24AB726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0512E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56F680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DF709F2"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945593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47D483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5480B4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7E6279E" w14:textId="77777777" w:rsidR="006E40C9" w:rsidRDefault="006E40C9">
            <w:pPr>
              <w:pStyle w:val="MeasureTableTextRightAligned"/>
            </w:pPr>
            <w:r>
              <w:t>2027-28</w:t>
            </w:r>
          </w:p>
        </w:tc>
      </w:tr>
      <w:tr w:rsidR="006E40C9" w14:paraId="6CFB772A" w14:textId="77777777">
        <w:trPr>
          <w:cantSplit/>
          <w:jc w:val="center"/>
        </w:trPr>
        <w:tc>
          <w:tcPr>
            <w:tcW w:w="967" w:type="dxa"/>
            <w:tcBorders>
              <w:top w:val="single" w:sz="2" w:space="0" w:color="auto"/>
              <w:bottom w:val="single" w:sz="2" w:space="0" w:color="auto"/>
            </w:tcBorders>
          </w:tcPr>
          <w:p w14:paraId="5C90EC90" w14:textId="7D5A894E" w:rsidR="006E40C9" w:rsidRDefault="006E40C9">
            <w:pPr>
              <w:pStyle w:val="MeasureTableTextRightAligned"/>
            </w:pPr>
            <w:r>
              <w:t>-1,770</w:t>
            </w:r>
          </w:p>
        </w:tc>
        <w:tc>
          <w:tcPr>
            <w:tcW w:w="967" w:type="dxa"/>
            <w:tcBorders>
              <w:top w:val="single" w:sz="2" w:space="0" w:color="auto"/>
              <w:bottom w:val="single" w:sz="2" w:space="0" w:color="auto"/>
            </w:tcBorders>
          </w:tcPr>
          <w:p w14:paraId="3ED0297A" w14:textId="193D0C65" w:rsidR="006E40C9" w:rsidRDefault="006E40C9">
            <w:pPr>
              <w:pStyle w:val="MeasureTableTextRightAligned"/>
            </w:pPr>
            <w:r>
              <w:t>-1,960</w:t>
            </w:r>
          </w:p>
        </w:tc>
        <w:tc>
          <w:tcPr>
            <w:tcW w:w="967" w:type="dxa"/>
            <w:tcBorders>
              <w:top w:val="single" w:sz="2" w:space="0" w:color="auto"/>
              <w:bottom w:val="single" w:sz="2" w:space="0" w:color="auto"/>
            </w:tcBorders>
            <w:vAlign w:val="bottom"/>
          </w:tcPr>
          <w:p w14:paraId="52D40D01" w14:textId="6E4DFB50" w:rsidR="006E40C9" w:rsidRDefault="006E40C9">
            <w:pPr>
              <w:pStyle w:val="MeasureTableTextRightAligned"/>
            </w:pPr>
            <w:r>
              <w:t>-2,190</w:t>
            </w:r>
          </w:p>
        </w:tc>
        <w:tc>
          <w:tcPr>
            <w:tcW w:w="967" w:type="dxa"/>
            <w:tcBorders>
              <w:top w:val="single" w:sz="2" w:space="0" w:color="auto"/>
              <w:bottom w:val="single" w:sz="2" w:space="0" w:color="auto"/>
            </w:tcBorders>
            <w:vAlign w:val="bottom"/>
          </w:tcPr>
          <w:p w14:paraId="2C03B77B" w14:textId="4BC28118" w:rsidR="006E40C9" w:rsidRDefault="006E40C9">
            <w:pPr>
              <w:pStyle w:val="MeasureTableTextRightAligned"/>
            </w:pPr>
            <w:r>
              <w:t>-2,0</w:t>
            </w:r>
            <w:r w:rsidR="000C169B">
              <w:t>7</w:t>
            </w:r>
            <w:r>
              <w:t>0</w:t>
            </w:r>
          </w:p>
        </w:tc>
        <w:tc>
          <w:tcPr>
            <w:tcW w:w="967" w:type="dxa"/>
            <w:tcBorders>
              <w:top w:val="single" w:sz="2" w:space="0" w:color="auto"/>
              <w:bottom w:val="single" w:sz="2" w:space="0" w:color="auto"/>
            </w:tcBorders>
            <w:vAlign w:val="bottom"/>
          </w:tcPr>
          <w:p w14:paraId="25A2B48A" w14:textId="71D7743E" w:rsidR="006E40C9" w:rsidRDefault="006E40C9">
            <w:pPr>
              <w:pStyle w:val="MeasureTableTextRightAligned"/>
            </w:pPr>
            <w:r>
              <w:t>-2,1</w:t>
            </w:r>
            <w:r w:rsidR="00C73ADF">
              <w:t>3</w:t>
            </w:r>
            <w:r>
              <w:t>0</w:t>
            </w:r>
          </w:p>
        </w:tc>
        <w:tc>
          <w:tcPr>
            <w:tcW w:w="967" w:type="dxa"/>
            <w:gridSpan w:val="2"/>
            <w:tcBorders>
              <w:top w:val="single" w:sz="2" w:space="0" w:color="auto"/>
              <w:bottom w:val="single" w:sz="2" w:space="0" w:color="auto"/>
            </w:tcBorders>
            <w:vAlign w:val="bottom"/>
          </w:tcPr>
          <w:p w14:paraId="6DF4D737" w14:textId="3DBE61E7" w:rsidR="006E40C9" w:rsidRDefault="006E40C9">
            <w:pPr>
              <w:pStyle w:val="MeasureTableTextRightAligned"/>
            </w:pPr>
            <w:r>
              <w:t>-2,160</w:t>
            </w:r>
          </w:p>
        </w:tc>
        <w:tc>
          <w:tcPr>
            <w:tcW w:w="967" w:type="dxa"/>
            <w:gridSpan w:val="2"/>
            <w:tcBorders>
              <w:top w:val="single" w:sz="2" w:space="0" w:color="auto"/>
              <w:bottom w:val="single" w:sz="2" w:space="0" w:color="auto"/>
            </w:tcBorders>
            <w:vAlign w:val="bottom"/>
          </w:tcPr>
          <w:p w14:paraId="64F144F3" w14:textId="75911E33" w:rsidR="006E40C9" w:rsidRDefault="006E40C9">
            <w:pPr>
              <w:pStyle w:val="MeasureTableTextRightAligned"/>
            </w:pPr>
            <w:r>
              <w:t>-2,2</w:t>
            </w:r>
            <w:r w:rsidR="00C73ADF">
              <w:t>1</w:t>
            </w:r>
            <w:r>
              <w:t>0</w:t>
            </w:r>
          </w:p>
        </w:tc>
        <w:tc>
          <w:tcPr>
            <w:tcW w:w="968" w:type="dxa"/>
            <w:tcBorders>
              <w:top w:val="single" w:sz="2" w:space="0" w:color="auto"/>
              <w:bottom w:val="single" w:sz="2" w:space="0" w:color="auto"/>
            </w:tcBorders>
            <w:vAlign w:val="bottom"/>
          </w:tcPr>
          <w:p w14:paraId="16EF14BE" w14:textId="627F3C67" w:rsidR="006E40C9" w:rsidRDefault="006E40C9">
            <w:pPr>
              <w:pStyle w:val="MeasureTableTextRightAligned"/>
            </w:pPr>
            <w:r>
              <w:t>-1,1</w:t>
            </w:r>
            <w:r w:rsidR="000836C3">
              <w:t>8</w:t>
            </w:r>
            <w:r>
              <w:t>0</w:t>
            </w:r>
          </w:p>
        </w:tc>
      </w:tr>
      <w:tr w:rsidR="006E40C9" w14:paraId="0E9AAE62" w14:textId="77777777">
        <w:trPr>
          <w:cantSplit/>
          <w:jc w:val="center"/>
        </w:trPr>
        <w:tc>
          <w:tcPr>
            <w:tcW w:w="1934" w:type="dxa"/>
            <w:gridSpan w:val="2"/>
            <w:tcBorders>
              <w:top w:val="single" w:sz="2" w:space="0" w:color="auto"/>
              <w:bottom w:val="nil"/>
            </w:tcBorders>
          </w:tcPr>
          <w:p w14:paraId="061784AA"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F4931B8"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46053004" w14:textId="34B8199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0FF0EE" w14:textId="77777777" w:rsidR="006E40C9" w:rsidRDefault="006E40C9">
            <w:pPr>
              <w:pStyle w:val="MeasureTableTextLeftAligned"/>
            </w:pPr>
            <w:r>
              <w:t>F21</w:t>
            </w:r>
          </w:p>
        </w:tc>
      </w:tr>
      <w:tr w:rsidR="006E40C9" w14:paraId="40C4DDAF" w14:textId="77777777">
        <w:trPr>
          <w:cantSplit/>
          <w:jc w:val="center"/>
        </w:trPr>
        <w:tc>
          <w:tcPr>
            <w:tcW w:w="1934" w:type="dxa"/>
            <w:gridSpan w:val="2"/>
            <w:tcBorders>
              <w:top w:val="nil"/>
              <w:bottom w:val="nil"/>
            </w:tcBorders>
          </w:tcPr>
          <w:p w14:paraId="5F20A9DC"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32148F9" w14:textId="171FBFBA" w:rsidR="006E40C9" w:rsidRPr="00584CA7" w:rsidRDefault="006E40C9">
            <w:pPr>
              <w:pStyle w:val="MeasureTableTextLeftAligned"/>
            </w:pPr>
            <w:r>
              <w:t>Medium</w:t>
            </w:r>
            <w:r w:rsidR="009F5E3D">
              <w:t xml:space="preserve"> – </w:t>
            </w:r>
            <w:r>
              <w:t>High</w:t>
            </w:r>
          </w:p>
        </w:tc>
        <w:tc>
          <w:tcPr>
            <w:tcW w:w="1500" w:type="dxa"/>
            <w:gridSpan w:val="2"/>
            <w:tcBorders>
              <w:top w:val="nil"/>
              <w:bottom w:val="nil"/>
            </w:tcBorders>
          </w:tcPr>
          <w:p w14:paraId="2EF92916" w14:textId="77777777" w:rsidR="006E40C9" w:rsidRDefault="006E40C9">
            <w:pPr>
              <w:pStyle w:val="MeasureTableTextItalic"/>
            </w:pPr>
          </w:p>
        </w:tc>
        <w:tc>
          <w:tcPr>
            <w:tcW w:w="1124" w:type="dxa"/>
            <w:gridSpan w:val="2"/>
            <w:tcBorders>
              <w:top w:val="nil"/>
              <w:bottom w:val="nil"/>
            </w:tcBorders>
          </w:tcPr>
          <w:p w14:paraId="27AA066A" w14:textId="77777777" w:rsidR="006E40C9" w:rsidRDefault="006E40C9">
            <w:pPr>
              <w:pStyle w:val="MeasureTableTextLeftAligned"/>
            </w:pPr>
          </w:p>
        </w:tc>
      </w:tr>
      <w:tr w:rsidR="006E40C9" w14:paraId="05BE1A37" w14:textId="77777777">
        <w:trPr>
          <w:cantSplit/>
          <w:jc w:val="center"/>
        </w:trPr>
        <w:tc>
          <w:tcPr>
            <w:tcW w:w="1934" w:type="dxa"/>
            <w:gridSpan w:val="2"/>
            <w:tcBorders>
              <w:top w:val="nil"/>
              <w:bottom w:val="nil"/>
            </w:tcBorders>
          </w:tcPr>
          <w:p w14:paraId="5B795FDC" w14:textId="77777777" w:rsidR="006E40C9" w:rsidRDefault="006E40C9">
            <w:pPr>
              <w:pStyle w:val="MeasureTableTextItalic"/>
            </w:pPr>
            <w:r>
              <w:t>Commencement date:</w:t>
            </w:r>
          </w:p>
        </w:tc>
        <w:tc>
          <w:tcPr>
            <w:tcW w:w="3179" w:type="dxa"/>
            <w:gridSpan w:val="4"/>
            <w:tcBorders>
              <w:top w:val="nil"/>
              <w:bottom w:val="nil"/>
            </w:tcBorders>
          </w:tcPr>
          <w:p w14:paraId="5A5F5A3B" w14:textId="77777777" w:rsidR="006E40C9" w:rsidRDefault="006E40C9">
            <w:pPr>
              <w:pStyle w:val="MeasureTableTextLeftAligned"/>
            </w:pPr>
            <w:r>
              <w:t>4 October 1901</w:t>
            </w:r>
          </w:p>
        </w:tc>
        <w:tc>
          <w:tcPr>
            <w:tcW w:w="1500" w:type="dxa"/>
            <w:gridSpan w:val="2"/>
            <w:tcBorders>
              <w:top w:val="nil"/>
              <w:bottom w:val="nil"/>
            </w:tcBorders>
          </w:tcPr>
          <w:p w14:paraId="17156513" w14:textId="77777777" w:rsidR="006E40C9" w:rsidRPr="00F32057" w:rsidRDefault="006E40C9">
            <w:pPr>
              <w:pStyle w:val="MeasureTableTextItalic"/>
            </w:pPr>
            <w:r>
              <w:t>Expiry date:</w:t>
            </w:r>
          </w:p>
        </w:tc>
        <w:tc>
          <w:tcPr>
            <w:tcW w:w="1124" w:type="dxa"/>
            <w:gridSpan w:val="2"/>
            <w:tcBorders>
              <w:top w:val="nil"/>
              <w:bottom w:val="nil"/>
            </w:tcBorders>
          </w:tcPr>
          <w:p w14:paraId="2AD34300" w14:textId="77777777" w:rsidR="006E40C9" w:rsidRPr="00F32057" w:rsidRDefault="006E40C9">
            <w:pPr>
              <w:pStyle w:val="MeasureTableTextLeftAligned"/>
            </w:pPr>
          </w:p>
        </w:tc>
      </w:tr>
      <w:tr w:rsidR="006E40C9" w14:paraId="32E29DCA" w14:textId="77777777">
        <w:trPr>
          <w:cantSplit/>
          <w:jc w:val="center"/>
        </w:trPr>
        <w:tc>
          <w:tcPr>
            <w:tcW w:w="1934" w:type="dxa"/>
            <w:gridSpan w:val="2"/>
            <w:tcBorders>
              <w:top w:val="nil"/>
            </w:tcBorders>
          </w:tcPr>
          <w:p w14:paraId="690060D5" w14:textId="77777777" w:rsidR="006E40C9" w:rsidRDefault="006E40C9">
            <w:pPr>
              <w:pStyle w:val="MeasureTableTextItalic"/>
            </w:pPr>
            <w:r>
              <w:t>Legislative reference:</w:t>
            </w:r>
          </w:p>
        </w:tc>
        <w:tc>
          <w:tcPr>
            <w:tcW w:w="5803" w:type="dxa"/>
            <w:gridSpan w:val="8"/>
            <w:tcBorders>
              <w:top w:val="nil"/>
            </w:tcBorders>
          </w:tcPr>
          <w:p w14:paraId="4E8FB5B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i/>
                <w:iCs/>
                <w:color w:val="000000"/>
                <w:sz w:val="16"/>
                <w:szCs w:val="16"/>
              </w:rPr>
              <w:t>Customs Act 1901</w:t>
            </w:r>
          </w:p>
          <w:p w14:paraId="7A3A8A90"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Customs Tariff Act 1995</w:t>
            </w:r>
          </w:p>
        </w:tc>
      </w:tr>
    </w:tbl>
    <w:p w14:paraId="3ACC2261" w14:textId="77777777" w:rsidR="006E40C9" w:rsidRPr="00540040" w:rsidRDefault="006E40C9" w:rsidP="006E40C9">
      <w:pPr>
        <w:pStyle w:val="MeasureTableHeading"/>
      </w:pPr>
    </w:p>
    <w:p w14:paraId="444FAE77" w14:textId="45ED85F5" w:rsidR="006E40C9" w:rsidRDefault="006E40C9" w:rsidP="006E40C9">
      <w:pPr>
        <w:rPr>
          <w:lang w:val="en-US"/>
        </w:rPr>
      </w:pPr>
      <w:r>
        <w:rPr>
          <w:lang w:val="en-US"/>
        </w:rPr>
        <w:t>The benchmark tax treatment is that imported goods are subject to the same taxes on consumption as domestically produced goods and, therefore, are free from customs duty (except for excise</w:t>
      </w:r>
      <w:r>
        <w:rPr>
          <w:lang w:val="en-US"/>
        </w:rPr>
        <w:noBreakHyphen/>
        <w:t>equivalent customs duty). Customs duty</w:t>
      </w:r>
      <w:r>
        <w:rPr>
          <w:lang w:val="en-US"/>
        </w:rPr>
        <w:fldChar w:fldCharType="begin"/>
      </w:r>
      <w:r>
        <w:instrText xml:space="preserve"> XE "</w:instrText>
      </w:r>
      <w:r>
        <w:rPr>
          <w:lang w:val="en-US"/>
        </w:rPr>
        <w:instrText>Customs duty</w:instrText>
      </w:r>
      <w:r>
        <w:instrText xml:space="preserve">" </w:instrText>
      </w:r>
      <w:r>
        <w:rPr>
          <w:lang w:val="en-US"/>
        </w:rPr>
        <w:fldChar w:fldCharType="end"/>
      </w:r>
      <w:r>
        <w:rPr>
          <w:lang w:val="en-US"/>
        </w:rPr>
        <w:t xml:space="preserve"> is collected on certain goods imported into Australia (for example, most cars are subject to 5 per cent customs duty upon importation, unless a free</w:t>
      </w:r>
      <w:r>
        <w:rPr>
          <w:lang w:val="en-US"/>
        </w:rPr>
        <w:noBreakHyphen/>
        <w:t xml:space="preserve">trade agreement applies). This is a negative tax </w:t>
      </w:r>
      <w:r w:rsidR="0052518E">
        <w:rPr>
          <w:lang w:val="en-US"/>
        </w:rPr>
        <w:t>expenditure</w:t>
      </w:r>
      <w:r>
        <w:rPr>
          <w:lang w:val="en-US"/>
        </w:rPr>
        <w:t>.</w:t>
      </w:r>
    </w:p>
    <w:p w14:paraId="158FBA5F" w14:textId="5F7F4562" w:rsidR="006E40C9" w:rsidRDefault="00444820" w:rsidP="00444820">
      <w:pPr>
        <w:spacing w:after="0" w:line="240" w:lineRule="auto"/>
        <w:jc w:val="left"/>
        <w:rPr>
          <w:lang w:val="en-US"/>
        </w:rPr>
      </w:pPr>
      <w:r>
        <w:rPr>
          <w:lang w:val="en-US"/>
        </w:rPr>
        <w:br w:type="page"/>
      </w:r>
    </w:p>
    <w:p w14:paraId="3FE4F328" w14:textId="77777777" w:rsidR="006E40C9" w:rsidRDefault="006E40C9" w:rsidP="003218AC">
      <w:pPr>
        <w:pStyle w:val="Heading3"/>
      </w:pPr>
      <w:bookmarkStart w:id="94" w:name="_Toc183710297"/>
      <w:r>
        <w:t>Natural resources taxes</w:t>
      </w:r>
      <w:bookmarkEnd w:id="94"/>
    </w:p>
    <w:p w14:paraId="4D511CE6" w14:textId="77777777" w:rsidR="006E40C9" w:rsidRDefault="006E40C9" w:rsidP="00D9255A">
      <w:pPr>
        <w:pStyle w:val="Heading3"/>
      </w:pPr>
      <w:r>
        <w:t>Tax expenditures for manufacturing and mining</w:t>
      </w:r>
    </w:p>
    <w:p w14:paraId="3BCE7574" w14:textId="77777777" w:rsidR="006E40C9" w:rsidRDefault="006E40C9" w:rsidP="00D9255A">
      <w:pPr>
        <w:pStyle w:val="TESHeading5"/>
      </w:pPr>
      <w:r>
        <w:t>G1</w:t>
      </w:r>
      <w:r>
        <w:tab/>
        <w:t>Junior Minerals Exploration Incentive</w:t>
      </w:r>
    </w:p>
    <w:p w14:paraId="7A7CAB12"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A66D46E" w14:textId="77777777">
        <w:trPr>
          <w:cantSplit/>
          <w:jc w:val="center"/>
        </w:trPr>
        <w:tc>
          <w:tcPr>
            <w:tcW w:w="967" w:type="dxa"/>
            <w:tcBorders>
              <w:top w:val="single" w:sz="2" w:space="0" w:color="auto"/>
              <w:bottom w:val="single" w:sz="2" w:space="0" w:color="auto"/>
            </w:tcBorders>
          </w:tcPr>
          <w:p w14:paraId="1BBBB9C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BD2612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0E603E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30ED5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70D16F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C35DF3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9C0F55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A917CA1" w14:textId="77777777" w:rsidR="006E40C9" w:rsidRDefault="006E40C9">
            <w:pPr>
              <w:pStyle w:val="MeasureTableTextRightAligned"/>
            </w:pPr>
            <w:r>
              <w:t>2027-28</w:t>
            </w:r>
          </w:p>
        </w:tc>
      </w:tr>
      <w:tr w:rsidR="006E40C9" w14:paraId="4B3EC0F5" w14:textId="77777777">
        <w:trPr>
          <w:cantSplit/>
          <w:jc w:val="center"/>
        </w:trPr>
        <w:tc>
          <w:tcPr>
            <w:tcW w:w="967" w:type="dxa"/>
            <w:tcBorders>
              <w:top w:val="single" w:sz="2" w:space="0" w:color="auto"/>
              <w:bottom w:val="single" w:sz="2" w:space="0" w:color="auto"/>
            </w:tcBorders>
          </w:tcPr>
          <w:p w14:paraId="25F02C52" w14:textId="77777777" w:rsidR="006E40C9" w:rsidRDefault="006E40C9">
            <w:pPr>
              <w:pStyle w:val="MeasureTableTextRightAligned"/>
            </w:pPr>
            <w:r>
              <w:t>1</w:t>
            </w:r>
          </w:p>
        </w:tc>
        <w:tc>
          <w:tcPr>
            <w:tcW w:w="967" w:type="dxa"/>
            <w:tcBorders>
              <w:top w:val="single" w:sz="2" w:space="0" w:color="auto"/>
              <w:bottom w:val="single" w:sz="2" w:space="0" w:color="auto"/>
            </w:tcBorders>
          </w:tcPr>
          <w:p w14:paraId="09E10DA6" w14:textId="77777777" w:rsidR="006E40C9" w:rsidRDefault="006E40C9">
            <w:pPr>
              <w:pStyle w:val="MeasureTableTextRightAligned"/>
            </w:pPr>
            <w:r>
              <w:t>1</w:t>
            </w:r>
          </w:p>
        </w:tc>
        <w:tc>
          <w:tcPr>
            <w:tcW w:w="967" w:type="dxa"/>
            <w:tcBorders>
              <w:top w:val="single" w:sz="2" w:space="0" w:color="auto"/>
              <w:bottom w:val="single" w:sz="2" w:space="0" w:color="auto"/>
            </w:tcBorders>
            <w:vAlign w:val="bottom"/>
          </w:tcPr>
          <w:p w14:paraId="19D55433" w14:textId="77777777" w:rsidR="006E40C9" w:rsidRDefault="006E40C9">
            <w:pPr>
              <w:pStyle w:val="MeasureTableTextRightAligned"/>
            </w:pPr>
            <w:r>
              <w:t>2</w:t>
            </w:r>
          </w:p>
        </w:tc>
        <w:tc>
          <w:tcPr>
            <w:tcW w:w="967" w:type="dxa"/>
            <w:tcBorders>
              <w:top w:val="single" w:sz="2" w:space="0" w:color="auto"/>
              <w:bottom w:val="single" w:sz="2" w:space="0" w:color="auto"/>
            </w:tcBorders>
            <w:vAlign w:val="bottom"/>
          </w:tcPr>
          <w:p w14:paraId="280BF987" w14:textId="77777777" w:rsidR="006E40C9" w:rsidRDefault="006E40C9">
            <w:pPr>
              <w:pStyle w:val="MeasureTableTextRightAligned"/>
            </w:pPr>
            <w:r>
              <w:t>5</w:t>
            </w:r>
          </w:p>
        </w:tc>
        <w:tc>
          <w:tcPr>
            <w:tcW w:w="967" w:type="dxa"/>
            <w:tcBorders>
              <w:top w:val="single" w:sz="2" w:space="0" w:color="auto"/>
              <w:bottom w:val="single" w:sz="2" w:space="0" w:color="auto"/>
            </w:tcBorders>
            <w:vAlign w:val="bottom"/>
          </w:tcPr>
          <w:p w14:paraId="6E707114"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6AAEFF94" w14:textId="77777777" w:rsidR="006E40C9" w:rsidRDefault="006E40C9">
            <w:pPr>
              <w:pStyle w:val="MeasureTableTextRightAligned"/>
            </w:pPr>
            <w:r>
              <w:t>4</w:t>
            </w:r>
          </w:p>
        </w:tc>
        <w:tc>
          <w:tcPr>
            <w:tcW w:w="967" w:type="dxa"/>
            <w:gridSpan w:val="2"/>
            <w:tcBorders>
              <w:top w:val="single" w:sz="2" w:space="0" w:color="auto"/>
              <w:bottom w:val="single" w:sz="2" w:space="0" w:color="auto"/>
            </w:tcBorders>
            <w:vAlign w:val="bottom"/>
          </w:tcPr>
          <w:p w14:paraId="568FBF9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3B5A9C4" w14:textId="77777777" w:rsidR="006E40C9" w:rsidRDefault="006E40C9">
            <w:pPr>
              <w:pStyle w:val="MeasureTableTextRightAligned"/>
            </w:pPr>
            <w:r>
              <w:t>-</w:t>
            </w:r>
          </w:p>
        </w:tc>
      </w:tr>
      <w:tr w:rsidR="006E40C9" w14:paraId="03043A98" w14:textId="77777777">
        <w:trPr>
          <w:cantSplit/>
          <w:jc w:val="center"/>
        </w:trPr>
        <w:tc>
          <w:tcPr>
            <w:tcW w:w="1934" w:type="dxa"/>
            <w:gridSpan w:val="2"/>
            <w:tcBorders>
              <w:top w:val="single" w:sz="2" w:space="0" w:color="auto"/>
              <w:bottom w:val="nil"/>
            </w:tcBorders>
          </w:tcPr>
          <w:p w14:paraId="417D6167"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20E8390" w14:textId="77777777" w:rsidR="006E40C9" w:rsidRDefault="006E40C9">
            <w:pPr>
              <w:pStyle w:val="MeasureTableTextLeftAligned"/>
            </w:pPr>
            <w:r>
              <w:t>Exemption</w:t>
            </w:r>
          </w:p>
        </w:tc>
        <w:tc>
          <w:tcPr>
            <w:tcW w:w="1500" w:type="dxa"/>
            <w:gridSpan w:val="2"/>
            <w:tcBorders>
              <w:top w:val="single" w:sz="2" w:space="0" w:color="auto"/>
              <w:bottom w:val="nil"/>
            </w:tcBorders>
          </w:tcPr>
          <w:p w14:paraId="01D9E84F" w14:textId="563DE62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FB1CCA3" w14:textId="77777777" w:rsidR="006E40C9" w:rsidRDefault="006E40C9">
            <w:pPr>
              <w:pStyle w:val="MeasureTableTextLeftAligned"/>
            </w:pPr>
            <w:r>
              <w:t>G1</w:t>
            </w:r>
          </w:p>
        </w:tc>
      </w:tr>
      <w:tr w:rsidR="006E40C9" w14:paraId="63A81F3A" w14:textId="77777777">
        <w:trPr>
          <w:cantSplit/>
          <w:jc w:val="center"/>
        </w:trPr>
        <w:tc>
          <w:tcPr>
            <w:tcW w:w="1934" w:type="dxa"/>
            <w:gridSpan w:val="2"/>
            <w:tcBorders>
              <w:top w:val="nil"/>
              <w:bottom w:val="nil"/>
            </w:tcBorders>
          </w:tcPr>
          <w:p w14:paraId="5448799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B6D5B50" w14:textId="77777777" w:rsidR="006E40C9" w:rsidRPr="00584CA7" w:rsidRDefault="006E40C9">
            <w:pPr>
              <w:pStyle w:val="MeasureTableTextLeftAligned"/>
            </w:pPr>
            <w:r>
              <w:t>Medium</w:t>
            </w:r>
          </w:p>
        </w:tc>
        <w:tc>
          <w:tcPr>
            <w:tcW w:w="1500" w:type="dxa"/>
            <w:gridSpan w:val="2"/>
            <w:tcBorders>
              <w:top w:val="nil"/>
              <w:bottom w:val="nil"/>
            </w:tcBorders>
          </w:tcPr>
          <w:p w14:paraId="2D550B84" w14:textId="77777777" w:rsidR="006E40C9" w:rsidRDefault="006E40C9">
            <w:pPr>
              <w:pStyle w:val="MeasureTableTextItalic"/>
            </w:pPr>
          </w:p>
        </w:tc>
        <w:tc>
          <w:tcPr>
            <w:tcW w:w="1124" w:type="dxa"/>
            <w:gridSpan w:val="2"/>
            <w:tcBorders>
              <w:top w:val="nil"/>
              <w:bottom w:val="nil"/>
            </w:tcBorders>
          </w:tcPr>
          <w:p w14:paraId="32A79FBF" w14:textId="77777777" w:rsidR="006E40C9" w:rsidRDefault="006E40C9">
            <w:pPr>
              <w:pStyle w:val="MeasureTableTextLeftAligned"/>
            </w:pPr>
          </w:p>
        </w:tc>
      </w:tr>
      <w:tr w:rsidR="006E40C9" w14:paraId="632B29E8" w14:textId="77777777">
        <w:trPr>
          <w:cantSplit/>
          <w:jc w:val="center"/>
        </w:trPr>
        <w:tc>
          <w:tcPr>
            <w:tcW w:w="1934" w:type="dxa"/>
            <w:gridSpan w:val="2"/>
            <w:tcBorders>
              <w:top w:val="nil"/>
              <w:bottom w:val="nil"/>
            </w:tcBorders>
          </w:tcPr>
          <w:p w14:paraId="43C2E0CB" w14:textId="77777777" w:rsidR="006E40C9" w:rsidRDefault="006E40C9">
            <w:pPr>
              <w:pStyle w:val="MeasureTableTextItalic"/>
            </w:pPr>
            <w:r>
              <w:t>Commencement date:</w:t>
            </w:r>
          </w:p>
        </w:tc>
        <w:tc>
          <w:tcPr>
            <w:tcW w:w="3179" w:type="dxa"/>
            <w:gridSpan w:val="4"/>
            <w:tcBorders>
              <w:top w:val="nil"/>
              <w:bottom w:val="nil"/>
            </w:tcBorders>
          </w:tcPr>
          <w:p w14:paraId="263694BA" w14:textId="77777777" w:rsidR="006E40C9" w:rsidRDefault="006E40C9">
            <w:pPr>
              <w:pStyle w:val="MeasureTableTextLeftAligned"/>
            </w:pPr>
            <w:r>
              <w:t>1 July 2014</w:t>
            </w:r>
          </w:p>
        </w:tc>
        <w:tc>
          <w:tcPr>
            <w:tcW w:w="1500" w:type="dxa"/>
            <w:gridSpan w:val="2"/>
            <w:tcBorders>
              <w:top w:val="nil"/>
              <w:bottom w:val="nil"/>
            </w:tcBorders>
          </w:tcPr>
          <w:p w14:paraId="16F47A44" w14:textId="77777777" w:rsidR="006E40C9" w:rsidRPr="00F32057" w:rsidRDefault="006E40C9">
            <w:pPr>
              <w:pStyle w:val="MeasureTableTextItalic"/>
            </w:pPr>
            <w:r>
              <w:t>Expiry date:</w:t>
            </w:r>
          </w:p>
        </w:tc>
        <w:tc>
          <w:tcPr>
            <w:tcW w:w="1124" w:type="dxa"/>
            <w:gridSpan w:val="2"/>
            <w:tcBorders>
              <w:top w:val="nil"/>
              <w:bottom w:val="nil"/>
            </w:tcBorders>
          </w:tcPr>
          <w:p w14:paraId="3C033C40" w14:textId="77777777" w:rsidR="006E40C9" w:rsidRPr="00F32057" w:rsidRDefault="006E40C9">
            <w:pPr>
              <w:pStyle w:val="MeasureTableTextLeftAligned"/>
            </w:pPr>
            <w:r>
              <w:t>30 June 2025</w:t>
            </w:r>
          </w:p>
        </w:tc>
      </w:tr>
      <w:tr w:rsidR="006E40C9" w14:paraId="2F643124" w14:textId="77777777">
        <w:trPr>
          <w:cantSplit/>
          <w:jc w:val="center"/>
        </w:trPr>
        <w:tc>
          <w:tcPr>
            <w:tcW w:w="1934" w:type="dxa"/>
            <w:gridSpan w:val="2"/>
            <w:tcBorders>
              <w:top w:val="nil"/>
            </w:tcBorders>
          </w:tcPr>
          <w:p w14:paraId="09F38E23" w14:textId="77777777" w:rsidR="006E40C9" w:rsidRDefault="006E40C9">
            <w:pPr>
              <w:pStyle w:val="MeasureTableTextItalic"/>
            </w:pPr>
            <w:r>
              <w:t>Legislative reference:</w:t>
            </w:r>
          </w:p>
        </w:tc>
        <w:tc>
          <w:tcPr>
            <w:tcW w:w="5803" w:type="dxa"/>
            <w:gridSpan w:val="8"/>
            <w:tcBorders>
              <w:top w:val="nil"/>
            </w:tcBorders>
          </w:tcPr>
          <w:p w14:paraId="5FA09AE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418 of the </w:t>
            </w:r>
            <w:r>
              <w:rPr>
                <w:rFonts w:ascii="Arial" w:hAnsi="Arial" w:cs="Arial"/>
                <w:i/>
                <w:iCs/>
                <w:color w:val="000000"/>
                <w:sz w:val="16"/>
                <w:szCs w:val="16"/>
              </w:rPr>
              <w:t>Income Tax Assessment Act 1997</w:t>
            </w:r>
            <w:r>
              <w:rPr>
                <w:rFonts w:ascii="Arial" w:hAnsi="Arial" w:cs="Arial"/>
                <w:color w:val="000000"/>
                <w:sz w:val="16"/>
                <w:szCs w:val="16"/>
              </w:rPr>
              <w:t>.</w:t>
            </w:r>
          </w:p>
        </w:tc>
      </w:tr>
    </w:tbl>
    <w:p w14:paraId="31BE1103" w14:textId="77777777" w:rsidR="006E40C9" w:rsidRPr="00540040" w:rsidRDefault="006E40C9" w:rsidP="006E40C9">
      <w:pPr>
        <w:pStyle w:val="MeasureTableHeading"/>
      </w:pPr>
    </w:p>
    <w:p w14:paraId="639F7F3F" w14:textId="77777777" w:rsidR="006E40C9" w:rsidRDefault="006E40C9" w:rsidP="006E40C9">
      <w:r>
        <w:t xml:space="preserve">Under the benchmark, government payments to taxpayers are generally treated as assessable income and subject to tax. A tax expenditure arises when payments made under a refundable tax offset are exempt from tax. </w:t>
      </w:r>
    </w:p>
    <w:p w14:paraId="78E187F3" w14:textId="77777777" w:rsidR="006E40C9" w:rsidRDefault="006E40C9" w:rsidP="006E40C9">
      <w:r>
        <w:t xml:space="preserve">The Junior Minerals Exploration Incentive provides a tax benefit to Australian resident investors that purchase newly issued shares in small minerals exploration companies that are raising capital to fund greenfields exploration activity. Eligible companies can create exploration credits by giving up a portion of their tax losses relating to their exploration expenditure, which can then be distributed to investors. Most investors that receive a credit are entitled to a refundable tax offset or an additional franking credit if the investor is a company. </w:t>
      </w:r>
    </w:p>
    <w:p w14:paraId="7F295CF9" w14:textId="77777777" w:rsidR="006E40C9" w:rsidRDefault="006E40C9" w:rsidP="006E40C9">
      <w:pPr>
        <w:rPr>
          <w:rFonts w:eastAsia="Calibri"/>
          <w:lang w:eastAsia="en-US"/>
        </w:rPr>
      </w:pPr>
      <w:r>
        <w:t>The Junior Minerals Exploration Incentive applies from 2017</w:t>
      </w:r>
      <w:r>
        <w:noBreakHyphen/>
        <w:t>18 to 30 June 2025, replacing the former Exploration Development Incentive which applied from 2014</w:t>
      </w:r>
      <w:r>
        <w:noBreakHyphen/>
        <w:t>15 to 30 June 2017.</w:t>
      </w:r>
      <w:r>
        <w:rPr>
          <w:rFonts w:eastAsia="Calibri"/>
          <w:lang w:eastAsia="en-US"/>
        </w:rPr>
        <w:fldChar w:fldCharType="begin"/>
      </w:r>
      <w:r>
        <w:instrText xml:space="preserve"> XE "Junior Minerals Exploration Incentive" </w:instrText>
      </w:r>
      <w:r>
        <w:rPr>
          <w:rFonts w:eastAsia="Calibri"/>
          <w:lang w:eastAsia="en-US"/>
        </w:rPr>
        <w:fldChar w:fldCharType="end"/>
      </w:r>
    </w:p>
    <w:p w14:paraId="70E0CBA4" w14:textId="77777777" w:rsidR="006E40C9" w:rsidRDefault="006E40C9" w:rsidP="00D9255A">
      <w:pPr>
        <w:pStyle w:val="Heading3"/>
      </w:pPr>
      <w:r>
        <w:t>Petroleum</w:t>
      </w:r>
    </w:p>
    <w:p w14:paraId="7AF15746" w14:textId="77777777" w:rsidR="006E40C9" w:rsidRDefault="006E40C9" w:rsidP="00D9255A">
      <w:pPr>
        <w:pStyle w:val="TESHeading5"/>
      </w:pPr>
      <w:r>
        <w:t>G2</w:t>
      </w:r>
      <w:r>
        <w:tab/>
        <w:t>Crude Oil Excise</w:t>
      </w:r>
    </w:p>
    <w:p w14:paraId="17AE0CA5"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97FF5B6" w14:textId="77777777">
        <w:trPr>
          <w:cantSplit/>
          <w:jc w:val="center"/>
        </w:trPr>
        <w:tc>
          <w:tcPr>
            <w:tcW w:w="967" w:type="dxa"/>
            <w:tcBorders>
              <w:top w:val="single" w:sz="2" w:space="0" w:color="auto"/>
              <w:bottom w:val="single" w:sz="2" w:space="0" w:color="auto"/>
            </w:tcBorders>
          </w:tcPr>
          <w:p w14:paraId="0B27E54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4942F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3EC903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654E1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4A72C15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F6F3A5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91DBD0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4E96977" w14:textId="77777777" w:rsidR="006E40C9" w:rsidRDefault="006E40C9">
            <w:pPr>
              <w:pStyle w:val="MeasureTableTextRightAligned"/>
            </w:pPr>
            <w:r>
              <w:t>2027-28</w:t>
            </w:r>
          </w:p>
        </w:tc>
      </w:tr>
      <w:tr w:rsidR="006E40C9" w14:paraId="1E64B33C" w14:textId="77777777">
        <w:trPr>
          <w:cantSplit/>
          <w:jc w:val="center"/>
        </w:trPr>
        <w:tc>
          <w:tcPr>
            <w:tcW w:w="967" w:type="dxa"/>
            <w:tcBorders>
              <w:top w:val="single" w:sz="2" w:space="0" w:color="auto"/>
              <w:bottom w:val="single" w:sz="2" w:space="0" w:color="auto"/>
            </w:tcBorders>
          </w:tcPr>
          <w:p w14:paraId="6D022E24" w14:textId="77777777" w:rsidR="006E40C9" w:rsidRDefault="006E40C9">
            <w:pPr>
              <w:pStyle w:val="MeasureTableTextRightAligned"/>
            </w:pPr>
            <w:r>
              <w:t>*</w:t>
            </w:r>
          </w:p>
        </w:tc>
        <w:tc>
          <w:tcPr>
            <w:tcW w:w="967" w:type="dxa"/>
            <w:tcBorders>
              <w:top w:val="single" w:sz="2" w:space="0" w:color="auto"/>
              <w:bottom w:val="single" w:sz="2" w:space="0" w:color="auto"/>
            </w:tcBorders>
          </w:tcPr>
          <w:p w14:paraId="07B111E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F091B2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B632BD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694AE7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F503C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29E1A1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565BE4C8" w14:textId="77777777" w:rsidR="006E40C9" w:rsidRDefault="006E40C9">
            <w:pPr>
              <w:pStyle w:val="MeasureTableTextRightAligned"/>
            </w:pPr>
            <w:r>
              <w:t>*</w:t>
            </w:r>
          </w:p>
        </w:tc>
      </w:tr>
      <w:tr w:rsidR="006E40C9" w14:paraId="680F8A7D" w14:textId="77777777">
        <w:trPr>
          <w:cantSplit/>
          <w:jc w:val="center"/>
        </w:trPr>
        <w:tc>
          <w:tcPr>
            <w:tcW w:w="1934" w:type="dxa"/>
            <w:gridSpan w:val="2"/>
            <w:tcBorders>
              <w:top w:val="single" w:sz="2" w:space="0" w:color="auto"/>
              <w:bottom w:val="nil"/>
            </w:tcBorders>
          </w:tcPr>
          <w:p w14:paraId="183CD1D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04A5B00" w14:textId="77777777" w:rsidR="006E40C9" w:rsidRDefault="006E40C9">
            <w:pPr>
              <w:pStyle w:val="MeasureTableTextLeftAligned"/>
            </w:pPr>
            <w:r>
              <w:t>Deduction</w:t>
            </w:r>
          </w:p>
        </w:tc>
        <w:tc>
          <w:tcPr>
            <w:tcW w:w="1500" w:type="dxa"/>
            <w:gridSpan w:val="2"/>
            <w:tcBorders>
              <w:top w:val="single" w:sz="2" w:space="0" w:color="auto"/>
              <w:bottom w:val="nil"/>
            </w:tcBorders>
          </w:tcPr>
          <w:p w14:paraId="6F91F68C" w14:textId="5869E7D0"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DAC5A43" w14:textId="77777777" w:rsidR="006E40C9" w:rsidRDefault="006E40C9">
            <w:pPr>
              <w:pStyle w:val="MeasureTableTextLeftAligned"/>
            </w:pPr>
            <w:r>
              <w:t>G2</w:t>
            </w:r>
          </w:p>
        </w:tc>
      </w:tr>
      <w:tr w:rsidR="006E40C9" w14:paraId="49070043" w14:textId="77777777">
        <w:trPr>
          <w:cantSplit/>
          <w:jc w:val="center"/>
        </w:trPr>
        <w:tc>
          <w:tcPr>
            <w:tcW w:w="1934" w:type="dxa"/>
            <w:gridSpan w:val="2"/>
            <w:tcBorders>
              <w:top w:val="nil"/>
              <w:bottom w:val="nil"/>
            </w:tcBorders>
          </w:tcPr>
          <w:p w14:paraId="3740C88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B5AE60C" w14:textId="77777777" w:rsidR="006E40C9" w:rsidRPr="00584CA7" w:rsidRDefault="006E40C9">
            <w:pPr>
              <w:pStyle w:val="MeasureTableTextLeftAligned"/>
            </w:pPr>
            <w:r>
              <w:t>Not Applicable</w:t>
            </w:r>
          </w:p>
        </w:tc>
        <w:tc>
          <w:tcPr>
            <w:tcW w:w="1500" w:type="dxa"/>
            <w:gridSpan w:val="2"/>
            <w:tcBorders>
              <w:top w:val="nil"/>
              <w:bottom w:val="nil"/>
            </w:tcBorders>
          </w:tcPr>
          <w:p w14:paraId="79383ADD" w14:textId="77777777" w:rsidR="006E40C9" w:rsidRDefault="006E40C9">
            <w:pPr>
              <w:pStyle w:val="MeasureTableTextItalic"/>
            </w:pPr>
            <w:r>
              <w:t>* Category</w:t>
            </w:r>
          </w:p>
        </w:tc>
        <w:tc>
          <w:tcPr>
            <w:tcW w:w="1124" w:type="dxa"/>
            <w:gridSpan w:val="2"/>
            <w:tcBorders>
              <w:top w:val="nil"/>
              <w:bottom w:val="nil"/>
            </w:tcBorders>
          </w:tcPr>
          <w:p w14:paraId="7D372EB0" w14:textId="77777777" w:rsidR="006E40C9" w:rsidRDefault="006E40C9">
            <w:pPr>
              <w:pStyle w:val="MeasureTableTextLeftAligned"/>
            </w:pPr>
            <w:r>
              <w:t>NA</w:t>
            </w:r>
          </w:p>
        </w:tc>
      </w:tr>
      <w:tr w:rsidR="006E40C9" w14:paraId="4FA26B05" w14:textId="77777777">
        <w:trPr>
          <w:cantSplit/>
          <w:jc w:val="center"/>
        </w:trPr>
        <w:tc>
          <w:tcPr>
            <w:tcW w:w="1934" w:type="dxa"/>
            <w:gridSpan w:val="2"/>
            <w:tcBorders>
              <w:top w:val="nil"/>
              <w:bottom w:val="nil"/>
            </w:tcBorders>
          </w:tcPr>
          <w:p w14:paraId="2CA1DA97" w14:textId="77777777" w:rsidR="006E40C9" w:rsidRDefault="006E40C9">
            <w:pPr>
              <w:pStyle w:val="MeasureTableTextItalic"/>
            </w:pPr>
            <w:r>
              <w:t>Commencement date:</w:t>
            </w:r>
          </w:p>
        </w:tc>
        <w:tc>
          <w:tcPr>
            <w:tcW w:w="3179" w:type="dxa"/>
            <w:gridSpan w:val="4"/>
            <w:tcBorders>
              <w:top w:val="nil"/>
              <w:bottom w:val="nil"/>
            </w:tcBorders>
          </w:tcPr>
          <w:p w14:paraId="584B9AEF" w14:textId="77777777" w:rsidR="006E40C9" w:rsidRDefault="006E40C9">
            <w:pPr>
              <w:pStyle w:val="MeasureTableTextLeftAligned"/>
            </w:pPr>
            <w:r>
              <w:t>1 July 2012</w:t>
            </w:r>
          </w:p>
        </w:tc>
        <w:tc>
          <w:tcPr>
            <w:tcW w:w="1500" w:type="dxa"/>
            <w:gridSpan w:val="2"/>
            <w:tcBorders>
              <w:top w:val="nil"/>
              <w:bottom w:val="nil"/>
            </w:tcBorders>
          </w:tcPr>
          <w:p w14:paraId="6783B8FC" w14:textId="77777777" w:rsidR="006E40C9" w:rsidRPr="00F32057" w:rsidRDefault="006E40C9">
            <w:pPr>
              <w:pStyle w:val="MeasureTableTextItalic"/>
            </w:pPr>
            <w:r>
              <w:t>Expiry date:</w:t>
            </w:r>
          </w:p>
        </w:tc>
        <w:tc>
          <w:tcPr>
            <w:tcW w:w="1124" w:type="dxa"/>
            <w:gridSpan w:val="2"/>
            <w:tcBorders>
              <w:top w:val="nil"/>
              <w:bottom w:val="nil"/>
            </w:tcBorders>
          </w:tcPr>
          <w:p w14:paraId="435C868B" w14:textId="77777777" w:rsidR="006E40C9" w:rsidRPr="00F32057" w:rsidRDefault="006E40C9">
            <w:pPr>
              <w:pStyle w:val="MeasureTableTextLeftAligned"/>
            </w:pPr>
          </w:p>
        </w:tc>
      </w:tr>
      <w:tr w:rsidR="006E40C9" w14:paraId="65CBA105" w14:textId="77777777">
        <w:trPr>
          <w:cantSplit/>
          <w:jc w:val="center"/>
        </w:trPr>
        <w:tc>
          <w:tcPr>
            <w:tcW w:w="1934" w:type="dxa"/>
            <w:gridSpan w:val="2"/>
            <w:tcBorders>
              <w:top w:val="nil"/>
            </w:tcBorders>
          </w:tcPr>
          <w:p w14:paraId="24F08791" w14:textId="77777777" w:rsidR="006E40C9" w:rsidRDefault="006E40C9">
            <w:pPr>
              <w:pStyle w:val="MeasureTableTextItalic"/>
            </w:pPr>
            <w:r>
              <w:t>Legislative reference:</w:t>
            </w:r>
          </w:p>
        </w:tc>
        <w:tc>
          <w:tcPr>
            <w:tcW w:w="5803" w:type="dxa"/>
            <w:gridSpan w:val="8"/>
            <w:tcBorders>
              <w:top w:val="nil"/>
            </w:tcBorders>
          </w:tcPr>
          <w:p w14:paraId="3A8D9CF8"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Act 1987</w:t>
            </w:r>
          </w:p>
        </w:tc>
      </w:tr>
    </w:tbl>
    <w:p w14:paraId="4FED2F3B" w14:textId="77777777" w:rsidR="006E40C9" w:rsidRPr="00540040" w:rsidRDefault="006E40C9" w:rsidP="006E40C9">
      <w:pPr>
        <w:pStyle w:val="MeasureTableHeading"/>
      </w:pPr>
    </w:p>
    <w:p w14:paraId="5939D248" w14:textId="3932EDE8" w:rsidR="006E40C9" w:rsidRDefault="006E40C9" w:rsidP="006E40C9">
      <w:pPr>
        <w:rPr>
          <w:lang w:val="en-US"/>
        </w:rPr>
      </w:pPr>
      <w:r>
        <w:rPr>
          <w:lang w:val="en-US"/>
        </w:rPr>
        <w:t xml:space="preserve">Under the natural resource benchmark, crude oil excise is treated as a prepayment of </w:t>
      </w:r>
      <w:bookmarkStart w:id="95" w:name="_Hlk92793987"/>
      <w:r w:rsidR="0065662C">
        <w:rPr>
          <w:lang w:val="en-US"/>
        </w:rPr>
        <w:t>p</w:t>
      </w:r>
      <w:r>
        <w:rPr>
          <w:lang w:val="en-US"/>
        </w:rPr>
        <w:t xml:space="preserve">etroleum </w:t>
      </w:r>
      <w:r w:rsidR="0065662C">
        <w:rPr>
          <w:lang w:val="en-US"/>
        </w:rPr>
        <w:t>r</w:t>
      </w:r>
      <w:r>
        <w:rPr>
          <w:lang w:val="en-US"/>
        </w:rPr>
        <w:t xml:space="preserve">esource </w:t>
      </w:r>
      <w:r w:rsidR="0065662C">
        <w:rPr>
          <w:lang w:val="en-US"/>
        </w:rPr>
        <w:t>r</w:t>
      </w:r>
      <w:r>
        <w:rPr>
          <w:lang w:val="en-US"/>
        </w:rPr>
        <w:t xml:space="preserve">ent </w:t>
      </w:r>
      <w:r w:rsidR="0065662C">
        <w:rPr>
          <w:lang w:val="en-US"/>
        </w:rPr>
        <w:t>t</w:t>
      </w:r>
      <w:r>
        <w:rPr>
          <w:lang w:val="en-US"/>
        </w:rPr>
        <w:t xml:space="preserve">ax </w:t>
      </w:r>
      <w:bookmarkEnd w:id="95"/>
      <w:r>
        <w:rPr>
          <w:lang w:val="en-US"/>
        </w:rPr>
        <w:t>(PRRT)</w:t>
      </w:r>
      <w:r>
        <w:rPr>
          <w:lang w:val="en-US"/>
        </w:rPr>
        <w:fldChar w:fldCharType="begin"/>
      </w:r>
      <w:r>
        <w:instrText xml:space="preserve"> XE "Petroleum Resource Rent Tax:Crude Oil" </w:instrText>
      </w:r>
      <w:r>
        <w:rPr>
          <w:lang w:val="en-US"/>
        </w:rPr>
        <w:fldChar w:fldCharType="end"/>
      </w:r>
      <w:r>
        <w:rPr>
          <w:lang w:val="en-US"/>
        </w:rPr>
        <w:t xml:space="preserve"> liabilities and to the extent that the crude oil excise exceeds the PRRT payable in a year, a negative tax </w:t>
      </w:r>
      <w:r w:rsidR="0052518E">
        <w:rPr>
          <w:lang w:val="en-US"/>
        </w:rPr>
        <w:t>expenditure</w:t>
      </w:r>
      <w:r>
        <w:rPr>
          <w:lang w:val="en-US"/>
        </w:rPr>
        <w:t xml:space="preserve"> will arise for that period. Where crude oil excise credits are carried forward and used to reduce PRRT in later periods, a tax </w:t>
      </w:r>
      <w:r w:rsidR="0052518E">
        <w:rPr>
          <w:lang w:val="en-US"/>
        </w:rPr>
        <w:t>expenditure</w:t>
      </w:r>
      <w:r>
        <w:rPr>
          <w:lang w:val="en-US"/>
        </w:rPr>
        <w:t xml:space="preserve"> will arise in the year the carried forward credit is utilised.</w:t>
      </w:r>
      <w:r>
        <w:rPr>
          <w:lang w:val="en-US"/>
        </w:rPr>
        <w:fldChar w:fldCharType="begin"/>
      </w:r>
      <w:r>
        <w:instrText xml:space="preserve"> XE "Crude Oil" </w:instrText>
      </w:r>
      <w:r>
        <w:rPr>
          <w:lang w:val="en-US"/>
        </w:rPr>
        <w:fldChar w:fldCharType="end"/>
      </w:r>
    </w:p>
    <w:p w14:paraId="65C0AF63" w14:textId="52325CE6" w:rsidR="006E40C9" w:rsidRDefault="006E40C9" w:rsidP="006E40C9"/>
    <w:p w14:paraId="2C1556E3" w14:textId="2202D679" w:rsidR="006E40C9" w:rsidRDefault="006E40C9" w:rsidP="00D9255A">
      <w:pPr>
        <w:pStyle w:val="TESHeading5"/>
      </w:pPr>
      <w:r>
        <w:t>G3</w:t>
      </w:r>
      <w:r>
        <w:tab/>
        <w:t xml:space="preserve">Petroleum Resource Rent Tax </w:t>
      </w:r>
      <w:r w:rsidR="001842B5">
        <w:t>–</w:t>
      </w:r>
      <w:r>
        <w:t xml:space="preserve"> Deductions cap</w:t>
      </w:r>
    </w:p>
    <w:p w14:paraId="49B307D9"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C85F5A4" w14:textId="77777777">
        <w:trPr>
          <w:cantSplit/>
          <w:jc w:val="center"/>
        </w:trPr>
        <w:tc>
          <w:tcPr>
            <w:tcW w:w="967" w:type="dxa"/>
            <w:tcBorders>
              <w:top w:val="single" w:sz="2" w:space="0" w:color="auto"/>
              <w:bottom w:val="single" w:sz="2" w:space="0" w:color="auto"/>
            </w:tcBorders>
          </w:tcPr>
          <w:p w14:paraId="7440F15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A766FF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CB231C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B2C20B7"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EFF7A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EFBAB9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7F27A1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C4209FD" w14:textId="77777777" w:rsidR="006E40C9" w:rsidRDefault="006E40C9">
            <w:pPr>
              <w:pStyle w:val="MeasureTableTextRightAligned"/>
            </w:pPr>
            <w:r>
              <w:t>2027-28</w:t>
            </w:r>
          </w:p>
        </w:tc>
      </w:tr>
      <w:tr w:rsidR="006E40C9" w14:paraId="1914CD12" w14:textId="77777777">
        <w:trPr>
          <w:cantSplit/>
          <w:jc w:val="center"/>
        </w:trPr>
        <w:tc>
          <w:tcPr>
            <w:tcW w:w="967" w:type="dxa"/>
            <w:tcBorders>
              <w:top w:val="single" w:sz="2" w:space="0" w:color="auto"/>
              <w:bottom w:val="single" w:sz="2" w:space="0" w:color="auto"/>
            </w:tcBorders>
          </w:tcPr>
          <w:p w14:paraId="4A2D8066" w14:textId="77777777" w:rsidR="006E40C9" w:rsidRDefault="006E40C9">
            <w:pPr>
              <w:pStyle w:val="MeasureTableTextRightAligned"/>
            </w:pPr>
            <w:r>
              <w:t>-</w:t>
            </w:r>
          </w:p>
        </w:tc>
        <w:tc>
          <w:tcPr>
            <w:tcW w:w="967" w:type="dxa"/>
            <w:tcBorders>
              <w:top w:val="single" w:sz="2" w:space="0" w:color="auto"/>
              <w:bottom w:val="single" w:sz="2" w:space="0" w:color="auto"/>
            </w:tcBorders>
          </w:tcPr>
          <w:p w14:paraId="4EA3B18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8DD83A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102C5A" w14:textId="77777777" w:rsidR="006E40C9" w:rsidRDefault="006E40C9">
            <w:pPr>
              <w:pStyle w:val="MeasureTableTextRightAligned"/>
            </w:pPr>
            <w:r>
              <w:t>-300</w:t>
            </w:r>
          </w:p>
        </w:tc>
        <w:tc>
          <w:tcPr>
            <w:tcW w:w="967" w:type="dxa"/>
            <w:tcBorders>
              <w:top w:val="single" w:sz="2" w:space="0" w:color="auto"/>
              <w:bottom w:val="single" w:sz="2" w:space="0" w:color="auto"/>
            </w:tcBorders>
            <w:vAlign w:val="bottom"/>
          </w:tcPr>
          <w:p w14:paraId="3882699D" w14:textId="77777777" w:rsidR="006E40C9" w:rsidRDefault="006E40C9">
            <w:pPr>
              <w:pStyle w:val="MeasureTableTextRightAligned"/>
            </w:pPr>
            <w:r>
              <w:t>-400</w:t>
            </w:r>
          </w:p>
        </w:tc>
        <w:tc>
          <w:tcPr>
            <w:tcW w:w="967" w:type="dxa"/>
            <w:gridSpan w:val="2"/>
            <w:tcBorders>
              <w:top w:val="single" w:sz="2" w:space="0" w:color="auto"/>
              <w:bottom w:val="single" w:sz="2" w:space="0" w:color="auto"/>
            </w:tcBorders>
            <w:vAlign w:val="bottom"/>
          </w:tcPr>
          <w:p w14:paraId="7E1A7B9B"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5904E5C3" w14:textId="77777777" w:rsidR="006E40C9" w:rsidRDefault="006E40C9">
            <w:pPr>
              <w:pStyle w:val="MeasureTableTextRightAligned"/>
            </w:pPr>
            <w:r>
              <w:t>-700</w:t>
            </w:r>
          </w:p>
        </w:tc>
        <w:tc>
          <w:tcPr>
            <w:tcW w:w="968" w:type="dxa"/>
            <w:tcBorders>
              <w:top w:val="single" w:sz="2" w:space="0" w:color="auto"/>
              <w:bottom w:val="single" w:sz="2" w:space="0" w:color="auto"/>
            </w:tcBorders>
            <w:vAlign w:val="bottom"/>
          </w:tcPr>
          <w:p w14:paraId="2BEF5ECE" w14:textId="77777777" w:rsidR="006E40C9" w:rsidRDefault="006E40C9">
            <w:pPr>
              <w:pStyle w:val="MeasureTableTextRightAligned"/>
            </w:pPr>
            <w:r>
              <w:t>-700</w:t>
            </w:r>
          </w:p>
        </w:tc>
      </w:tr>
      <w:tr w:rsidR="006E40C9" w14:paraId="39EBBC27" w14:textId="77777777">
        <w:trPr>
          <w:cantSplit/>
          <w:jc w:val="center"/>
        </w:trPr>
        <w:tc>
          <w:tcPr>
            <w:tcW w:w="1934" w:type="dxa"/>
            <w:gridSpan w:val="2"/>
            <w:tcBorders>
              <w:top w:val="single" w:sz="2" w:space="0" w:color="auto"/>
              <w:bottom w:val="nil"/>
            </w:tcBorders>
          </w:tcPr>
          <w:p w14:paraId="4E0BE2E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90CE767" w14:textId="77777777" w:rsidR="006E40C9" w:rsidRDefault="006E40C9">
            <w:pPr>
              <w:pStyle w:val="MeasureTableTextLeftAligned"/>
            </w:pPr>
            <w:r>
              <w:t>Denial of deduction, Deferral of deduction</w:t>
            </w:r>
          </w:p>
        </w:tc>
        <w:tc>
          <w:tcPr>
            <w:tcW w:w="1500" w:type="dxa"/>
            <w:gridSpan w:val="2"/>
            <w:tcBorders>
              <w:top w:val="single" w:sz="2" w:space="0" w:color="auto"/>
              <w:bottom w:val="nil"/>
            </w:tcBorders>
          </w:tcPr>
          <w:p w14:paraId="3F161D54" w14:textId="78FEF4C4"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E700139" w14:textId="77777777" w:rsidR="006E40C9" w:rsidRDefault="006E40C9">
            <w:pPr>
              <w:pStyle w:val="MeasureTableTextLeftAligned"/>
            </w:pPr>
            <w:r>
              <w:t>G3</w:t>
            </w:r>
          </w:p>
        </w:tc>
      </w:tr>
      <w:tr w:rsidR="006E40C9" w14:paraId="5B262259" w14:textId="77777777">
        <w:trPr>
          <w:cantSplit/>
          <w:jc w:val="center"/>
        </w:trPr>
        <w:tc>
          <w:tcPr>
            <w:tcW w:w="1934" w:type="dxa"/>
            <w:gridSpan w:val="2"/>
            <w:tcBorders>
              <w:top w:val="nil"/>
              <w:bottom w:val="nil"/>
            </w:tcBorders>
          </w:tcPr>
          <w:p w14:paraId="239DF2D8"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7A17AA" w14:textId="17E9F7E5"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4FEAD4BC" w14:textId="77777777" w:rsidR="006E40C9" w:rsidRDefault="006E40C9">
            <w:pPr>
              <w:pStyle w:val="MeasureTableTextItalic"/>
            </w:pPr>
          </w:p>
        </w:tc>
        <w:tc>
          <w:tcPr>
            <w:tcW w:w="1124" w:type="dxa"/>
            <w:gridSpan w:val="2"/>
            <w:tcBorders>
              <w:top w:val="nil"/>
              <w:bottom w:val="nil"/>
            </w:tcBorders>
          </w:tcPr>
          <w:p w14:paraId="7EF0136C" w14:textId="77777777" w:rsidR="006E40C9" w:rsidRDefault="006E40C9">
            <w:pPr>
              <w:pStyle w:val="MeasureTableTextLeftAligned"/>
            </w:pPr>
          </w:p>
        </w:tc>
      </w:tr>
      <w:tr w:rsidR="006E40C9" w14:paraId="6D01176C" w14:textId="77777777">
        <w:trPr>
          <w:cantSplit/>
          <w:jc w:val="center"/>
        </w:trPr>
        <w:tc>
          <w:tcPr>
            <w:tcW w:w="1934" w:type="dxa"/>
            <w:gridSpan w:val="2"/>
            <w:tcBorders>
              <w:top w:val="nil"/>
              <w:bottom w:val="nil"/>
            </w:tcBorders>
          </w:tcPr>
          <w:p w14:paraId="6100A3F2" w14:textId="77777777" w:rsidR="006E40C9" w:rsidRDefault="006E40C9">
            <w:pPr>
              <w:pStyle w:val="MeasureTableTextItalic"/>
            </w:pPr>
            <w:r>
              <w:t>Commencement date:</w:t>
            </w:r>
          </w:p>
        </w:tc>
        <w:tc>
          <w:tcPr>
            <w:tcW w:w="3179" w:type="dxa"/>
            <w:gridSpan w:val="4"/>
            <w:tcBorders>
              <w:top w:val="nil"/>
              <w:bottom w:val="nil"/>
            </w:tcBorders>
          </w:tcPr>
          <w:p w14:paraId="709E5F2A" w14:textId="77777777" w:rsidR="006E40C9" w:rsidRDefault="006E40C9">
            <w:pPr>
              <w:pStyle w:val="MeasureTableTextLeftAligned"/>
            </w:pPr>
            <w:r>
              <w:t>1 July 2023</w:t>
            </w:r>
          </w:p>
        </w:tc>
        <w:tc>
          <w:tcPr>
            <w:tcW w:w="1500" w:type="dxa"/>
            <w:gridSpan w:val="2"/>
            <w:tcBorders>
              <w:top w:val="nil"/>
              <w:bottom w:val="nil"/>
            </w:tcBorders>
          </w:tcPr>
          <w:p w14:paraId="06B5CFD0" w14:textId="77777777" w:rsidR="006E40C9" w:rsidRPr="00F32057" w:rsidRDefault="006E40C9">
            <w:pPr>
              <w:pStyle w:val="MeasureTableTextItalic"/>
            </w:pPr>
            <w:r>
              <w:t>Expiry date:</w:t>
            </w:r>
          </w:p>
        </w:tc>
        <w:tc>
          <w:tcPr>
            <w:tcW w:w="1124" w:type="dxa"/>
            <w:gridSpan w:val="2"/>
            <w:tcBorders>
              <w:top w:val="nil"/>
              <w:bottom w:val="nil"/>
            </w:tcBorders>
          </w:tcPr>
          <w:p w14:paraId="07F2144A" w14:textId="77777777" w:rsidR="006E40C9" w:rsidRPr="00F32057" w:rsidRDefault="006E40C9">
            <w:pPr>
              <w:pStyle w:val="MeasureTableTextLeftAligned"/>
            </w:pPr>
          </w:p>
        </w:tc>
      </w:tr>
      <w:tr w:rsidR="006E40C9" w14:paraId="34C44159" w14:textId="77777777">
        <w:trPr>
          <w:cantSplit/>
          <w:jc w:val="center"/>
        </w:trPr>
        <w:tc>
          <w:tcPr>
            <w:tcW w:w="1934" w:type="dxa"/>
            <w:gridSpan w:val="2"/>
            <w:tcBorders>
              <w:top w:val="nil"/>
            </w:tcBorders>
          </w:tcPr>
          <w:p w14:paraId="5DEC8172" w14:textId="77777777" w:rsidR="006E40C9" w:rsidRDefault="006E40C9" w:rsidP="00796C9D">
            <w:pPr>
              <w:pStyle w:val="MeasureTableTextItalic"/>
              <w:spacing w:after="0"/>
            </w:pPr>
            <w:r>
              <w:t>Legislative reference:</w:t>
            </w:r>
          </w:p>
        </w:tc>
        <w:tc>
          <w:tcPr>
            <w:tcW w:w="5803" w:type="dxa"/>
            <w:gridSpan w:val="8"/>
            <w:tcBorders>
              <w:top w:val="nil"/>
            </w:tcBorders>
          </w:tcPr>
          <w:p w14:paraId="7F532BCD" w14:textId="6F4935FD" w:rsidR="006E40C9" w:rsidRPr="00F32057" w:rsidRDefault="006E40C9" w:rsidP="00796C9D">
            <w:pPr>
              <w:widowControl w:val="0"/>
              <w:autoSpaceDE w:val="0"/>
              <w:autoSpaceDN w:val="0"/>
              <w:adjustRightInd w:val="0"/>
              <w:spacing w:after="0" w:line="252" w:lineRule="auto"/>
            </w:pPr>
            <w:r>
              <w:rPr>
                <w:rFonts w:ascii="Arial" w:hAnsi="Arial" w:cs="Arial"/>
                <w:color w:val="000000"/>
                <w:sz w:val="16"/>
                <w:szCs w:val="16"/>
              </w:rPr>
              <w:t xml:space="preserve">Sections 22 and 35F of the </w:t>
            </w:r>
            <w:r>
              <w:rPr>
                <w:rFonts w:ascii="Arial" w:hAnsi="Arial" w:cs="Arial"/>
                <w:i/>
                <w:iCs/>
                <w:color w:val="000000"/>
                <w:sz w:val="16"/>
                <w:szCs w:val="16"/>
              </w:rPr>
              <w:t>Petroleum Resource Rent Tax Assessment Act 1987</w:t>
            </w:r>
          </w:p>
        </w:tc>
      </w:tr>
    </w:tbl>
    <w:p w14:paraId="680BC022" w14:textId="77777777" w:rsidR="006E40C9" w:rsidRPr="00540040" w:rsidRDefault="006E40C9" w:rsidP="006E40C9">
      <w:pPr>
        <w:pStyle w:val="MeasureTableHeading"/>
      </w:pPr>
    </w:p>
    <w:p w14:paraId="25D6B929" w14:textId="0465F1DD" w:rsidR="006E40C9" w:rsidRDefault="006E40C9" w:rsidP="006E40C9">
      <w:pPr>
        <w:rPr>
          <w:rStyle w:val="normaltextrun"/>
          <w:color w:val="000000"/>
          <w:bdr w:val="none" w:sz="0" w:space="0" w:color="auto" w:frame="1"/>
        </w:rPr>
      </w:pPr>
      <w:r>
        <w:t xml:space="preserve">Under the natural resources benchmark, all project expenses are immediately expensed when assessing a taxpayer’s PRRT liability. The deductions cap instead limits deductible expenditure to the value of 90 per cent </w:t>
      </w:r>
      <w:r>
        <w:rPr>
          <w:rStyle w:val="normaltextrun"/>
          <w:color w:val="000000"/>
          <w:bdr w:val="none" w:sz="0" w:space="0" w:color="auto" w:frame="1"/>
        </w:rPr>
        <w:t xml:space="preserve">of each taxpayer’s PRRT assessable receipts in respect of each project interest in the relevant income year. The cap applies after mandatory transfers of exploration expenditure. The amounts that are unable to be deducted because of the cap are carried forward and uplifted at the </w:t>
      </w:r>
      <w:r w:rsidR="003956F4">
        <w:rPr>
          <w:rStyle w:val="normaltextrun"/>
          <w:color w:val="000000"/>
          <w:bdr w:val="none" w:sz="0" w:space="0" w:color="auto" w:frame="1"/>
        </w:rPr>
        <w:t>long</w:t>
      </w:r>
      <w:r w:rsidR="003956F4">
        <w:rPr>
          <w:rStyle w:val="normaltextrun"/>
          <w:color w:val="000000"/>
          <w:bdr w:val="none" w:sz="0" w:space="0" w:color="auto" w:frame="1"/>
        </w:rPr>
        <w:noBreakHyphen/>
        <w:t>term g</w:t>
      </w:r>
      <w:r>
        <w:rPr>
          <w:rStyle w:val="normaltextrun"/>
          <w:color w:val="000000"/>
          <w:bdr w:val="none" w:sz="0" w:space="0" w:color="auto" w:frame="1"/>
        </w:rPr>
        <w:t>overnment bond rate. The cap only appl</w:t>
      </w:r>
      <w:r>
        <w:rPr>
          <w:rStyle w:val="normaltextrun"/>
          <w:color w:val="000000" w:themeColor="text1"/>
        </w:rPr>
        <w:t>ies</w:t>
      </w:r>
      <w:r>
        <w:rPr>
          <w:rStyle w:val="normaltextrun"/>
          <w:color w:val="000000"/>
          <w:bdr w:val="none" w:sz="0" w:space="0" w:color="auto" w:frame="1"/>
        </w:rPr>
        <w:t xml:space="preserve"> to PRRT LNG projects. Projects </w:t>
      </w:r>
      <w:r>
        <w:rPr>
          <w:rStyle w:val="normaltextrun"/>
          <w:color w:val="000000" w:themeColor="text1"/>
        </w:rPr>
        <w:t>are</w:t>
      </w:r>
      <w:r>
        <w:rPr>
          <w:rStyle w:val="normaltextrun"/>
          <w:color w:val="000000"/>
          <w:bdr w:val="none" w:sz="0" w:space="0" w:color="auto" w:frame="1"/>
        </w:rPr>
        <w:t xml:space="preserve"> not subject to the cap until 7 years after the year of first assessable petroleum receipts.</w:t>
      </w:r>
    </w:p>
    <w:p w14:paraId="398A2772" w14:textId="77777777" w:rsidR="006E40C9" w:rsidRDefault="006E40C9" w:rsidP="00D9255A">
      <w:pPr>
        <w:pStyle w:val="TESHeading5"/>
      </w:pPr>
      <w:r>
        <w:t>G4</w:t>
      </w:r>
      <w:r>
        <w:tab/>
        <w:t>PRRT – denial of refund of tax credits for losses at project end</w:t>
      </w:r>
    </w:p>
    <w:p w14:paraId="04181A2F"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DF77476" w14:textId="77777777">
        <w:trPr>
          <w:cantSplit/>
          <w:jc w:val="center"/>
        </w:trPr>
        <w:tc>
          <w:tcPr>
            <w:tcW w:w="967" w:type="dxa"/>
            <w:tcBorders>
              <w:top w:val="single" w:sz="2" w:space="0" w:color="auto"/>
              <w:bottom w:val="single" w:sz="2" w:space="0" w:color="auto"/>
            </w:tcBorders>
          </w:tcPr>
          <w:p w14:paraId="2BB1216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5BBD0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6F36A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4910D6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BBBBC6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38682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B018ABF"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3499A7" w14:textId="77777777" w:rsidR="006E40C9" w:rsidRDefault="006E40C9">
            <w:pPr>
              <w:pStyle w:val="MeasureTableTextRightAligned"/>
            </w:pPr>
            <w:r>
              <w:t>2027-28</w:t>
            </w:r>
          </w:p>
        </w:tc>
      </w:tr>
      <w:tr w:rsidR="006E40C9" w14:paraId="060F3765" w14:textId="77777777">
        <w:trPr>
          <w:cantSplit/>
          <w:jc w:val="center"/>
        </w:trPr>
        <w:tc>
          <w:tcPr>
            <w:tcW w:w="967" w:type="dxa"/>
            <w:tcBorders>
              <w:top w:val="single" w:sz="2" w:space="0" w:color="auto"/>
              <w:bottom w:val="single" w:sz="2" w:space="0" w:color="auto"/>
            </w:tcBorders>
          </w:tcPr>
          <w:p w14:paraId="693B8FB5" w14:textId="77777777" w:rsidR="006E40C9" w:rsidRDefault="006E40C9">
            <w:pPr>
              <w:pStyle w:val="MeasureTableTextRightAligned"/>
            </w:pPr>
            <w:r>
              <w:t>*</w:t>
            </w:r>
          </w:p>
        </w:tc>
        <w:tc>
          <w:tcPr>
            <w:tcW w:w="967" w:type="dxa"/>
            <w:tcBorders>
              <w:top w:val="single" w:sz="2" w:space="0" w:color="auto"/>
              <w:bottom w:val="single" w:sz="2" w:space="0" w:color="auto"/>
            </w:tcBorders>
          </w:tcPr>
          <w:p w14:paraId="2D04FF7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C9B44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C16C4A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838DAA"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1DE9FC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4A47A3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4F1A9E3" w14:textId="77777777" w:rsidR="006E40C9" w:rsidRDefault="006E40C9">
            <w:pPr>
              <w:pStyle w:val="MeasureTableTextRightAligned"/>
            </w:pPr>
            <w:r>
              <w:t>*</w:t>
            </w:r>
          </w:p>
        </w:tc>
      </w:tr>
      <w:tr w:rsidR="006E40C9" w14:paraId="446AFE17" w14:textId="77777777">
        <w:trPr>
          <w:cantSplit/>
          <w:jc w:val="center"/>
        </w:trPr>
        <w:tc>
          <w:tcPr>
            <w:tcW w:w="1934" w:type="dxa"/>
            <w:gridSpan w:val="2"/>
            <w:tcBorders>
              <w:top w:val="single" w:sz="2" w:space="0" w:color="auto"/>
              <w:bottom w:val="nil"/>
            </w:tcBorders>
          </w:tcPr>
          <w:p w14:paraId="10CCCD93"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BF73681" w14:textId="77777777" w:rsidR="006E40C9" w:rsidRDefault="006E40C9">
            <w:pPr>
              <w:pStyle w:val="MeasureTableTextLeftAligned"/>
            </w:pPr>
            <w:r>
              <w:t>Denial of refund</w:t>
            </w:r>
          </w:p>
        </w:tc>
        <w:tc>
          <w:tcPr>
            <w:tcW w:w="1500" w:type="dxa"/>
            <w:gridSpan w:val="2"/>
            <w:tcBorders>
              <w:top w:val="single" w:sz="2" w:space="0" w:color="auto"/>
              <w:bottom w:val="nil"/>
            </w:tcBorders>
          </w:tcPr>
          <w:p w14:paraId="75F2ABE1" w14:textId="06D8E1F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9B8DFB4" w14:textId="77777777" w:rsidR="006E40C9" w:rsidRDefault="006E40C9">
            <w:pPr>
              <w:pStyle w:val="MeasureTableTextLeftAligned"/>
            </w:pPr>
            <w:r>
              <w:t>G4</w:t>
            </w:r>
          </w:p>
        </w:tc>
      </w:tr>
      <w:tr w:rsidR="006E40C9" w14:paraId="3BD57F39" w14:textId="77777777">
        <w:trPr>
          <w:cantSplit/>
          <w:jc w:val="center"/>
        </w:trPr>
        <w:tc>
          <w:tcPr>
            <w:tcW w:w="1934" w:type="dxa"/>
            <w:gridSpan w:val="2"/>
            <w:tcBorders>
              <w:top w:val="nil"/>
              <w:bottom w:val="nil"/>
            </w:tcBorders>
          </w:tcPr>
          <w:p w14:paraId="57A2A261"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53C3DE8" w14:textId="77777777" w:rsidR="006E40C9" w:rsidRPr="00584CA7" w:rsidRDefault="006E40C9">
            <w:pPr>
              <w:pStyle w:val="MeasureTableTextLeftAligned"/>
            </w:pPr>
            <w:r>
              <w:t>Not Applicable</w:t>
            </w:r>
          </w:p>
        </w:tc>
        <w:tc>
          <w:tcPr>
            <w:tcW w:w="1500" w:type="dxa"/>
            <w:gridSpan w:val="2"/>
            <w:tcBorders>
              <w:top w:val="nil"/>
              <w:bottom w:val="nil"/>
            </w:tcBorders>
          </w:tcPr>
          <w:p w14:paraId="431F9884" w14:textId="77777777" w:rsidR="006E40C9" w:rsidRDefault="006E40C9">
            <w:pPr>
              <w:pStyle w:val="MeasureTableTextItalic"/>
            </w:pPr>
            <w:r>
              <w:t>* Category</w:t>
            </w:r>
          </w:p>
        </w:tc>
        <w:tc>
          <w:tcPr>
            <w:tcW w:w="1124" w:type="dxa"/>
            <w:gridSpan w:val="2"/>
            <w:tcBorders>
              <w:top w:val="nil"/>
              <w:bottom w:val="nil"/>
            </w:tcBorders>
          </w:tcPr>
          <w:p w14:paraId="2E2AD260" w14:textId="77777777" w:rsidR="006E40C9" w:rsidRDefault="006E40C9">
            <w:pPr>
              <w:pStyle w:val="MeasureTableTextLeftAligned"/>
            </w:pPr>
            <w:r>
              <w:t>1-</w:t>
            </w:r>
          </w:p>
        </w:tc>
      </w:tr>
      <w:tr w:rsidR="006E40C9" w14:paraId="5067EDC7" w14:textId="77777777">
        <w:trPr>
          <w:cantSplit/>
          <w:jc w:val="center"/>
        </w:trPr>
        <w:tc>
          <w:tcPr>
            <w:tcW w:w="1934" w:type="dxa"/>
            <w:gridSpan w:val="2"/>
            <w:tcBorders>
              <w:top w:val="nil"/>
              <w:bottom w:val="nil"/>
            </w:tcBorders>
          </w:tcPr>
          <w:p w14:paraId="087E7917" w14:textId="77777777" w:rsidR="006E40C9" w:rsidRDefault="006E40C9">
            <w:pPr>
              <w:pStyle w:val="MeasureTableTextItalic"/>
            </w:pPr>
            <w:r>
              <w:t>Commencement date:</w:t>
            </w:r>
          </w:p>
        </w:tc>
        <w:tc>
          <w:tcPr>
            <w:tcW w:w="3179" w:type="dxa"/>
            <w:gridSpan w:val="4"/>
            <w:tcBorders>
              <w:top w:val="nil"/>
              <w:bottom w:val="nil"/>
            </w:tcBorders>
          </w:tcPr>
          <w:p w14:paraId="76F8107D" w14:textId="77777777" w:rsidR="006E40C9" w:rsidRDefault="006E40C9">
            <w:pPr>
              <w:pStyle w:val="MeasureTableTextLeftAligned"/>
            </w:pPr>
            <w:r>
              <w:t>1 July 1990</w:t>
            </w:r>
          </w:p>
        </w:tc>
        <w:tc>
          <w:tcPr>
            <w:tcW w:w="1500" w:type="dxa"/>
            <w:gridSpan w:val="2"/>
            <w:tcBorders>
              <w:top w:val="nil"/>
              <w:bottom w:val="nil"/>
            </w:tcBorders>
          </w:tcPr>
          <w:p w14:paraId="259D80E6" w14:textId="77777777" w:rsidR="006E40C9" w:rsidRPr="00F32057" w:rsidRDefault="006E40C9">
            <w:pPr>
              <w:pStyle w:val="MeasureTableTextItalic"/>
            </w:pPr>
            <w:r>
              <w:t>Expiry date:</w:t>
            </w:r>
          </w:p>
        </w:tc>
        <w:tc>
          <w:tcPr>
            <w:tcW w:w="1124" w:type="dxa"/>
            <w:gridSpan w:val="2"/>
            <w:tcBorders>
              <w:top w:val="nil"/>
              <w:bottom w:val="nil"/>
            </w:tcBorders>
          </w:tcPr>
          <w:p w14:paraId="2666CA34" w14:textId="77777777" w:rsidR="006E40C9" w:rsidRPr="00F32057" w:rsidRDefault="006E40C9">
            <w:pPr>
              <w:pStyle w:val="MeasureTableTextLeftAligned"/>
            </w:pPr>
          </w:p>
        </w:tc>
      </w:tr>
      <w:tr w:rsidR="006E40C9" w14:paraId="335421BB" w14:textId="77777777">
        <w:trPr>
          <w:cantSplit/>
          <w:jc w:val="center"/>
        </w:trPr>
        <w:tc>
          <w:tcPr>
            <w:tcW w:w="1934" w:type="dxa"/>
            <w:gridSpan w:val="2"/>
            <w:tcBorders>
              <w:top w:val="nil"/>
            </w:tcBorders>
          </w:tcPr>
          <w:p w14:paraId="3E19D0AC" w14:textId="77777777" w:rsidR="006E40C9" w:rsidRDefault="006E40C9">
            <w:pPr>
              <w:pStyle w:val="MeasureTableTextItalic"/>
            </w:pPr>
            <w:r>
              <w:t>Legislative reference:</w:t>
            </w:r>
          </w:p>
        </w:tc>
        <w:tc>
          <w:tcPr>
            <w:tcW w:w="5803" w:type="dxa"/>
            <w:gridSpan w:val="8"/>
            <w:tcBorders>
              <w:top w:val="nil"/>
            </w:tcBorders>
          </w:tcPr>
          <w:p w14:paraId="7F67271B"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Act 1987</w:t>
            </w:r>
          </w:p>
        </w:tc>
      </w:tr>
    </w:tbl>
    <w:p w14:paraId="3D9EE491" w14:textId="77777777" w:rsidR="006E40C9" w:rsidRPr="00540040" w:rsidRDefault="006E40C9" w:rsidP="006E40C9">
      <w:pPr>
        <w:pStyle w:val="MeasureTableHeading"/>
      </w:pPr>
    </w:p>
    <w:p w14:paraId="62E316F6" w14:textId="49287659" w:rsidR="006E40C9" w:rsidRDefault="006E40C9" w:rsidP="006E40C9">
      <w:pPr>
        <w:rPr>
          <w:rFonts w:eastAsia="Calibri"/>
          <w:lang w:eastAsia="en-US"/>
        </w:rPr>
      </w:pPr>
      <w:r>
        <w:rPr>
          <w:lang w:val="en-US"/>
        </w:rPr>
        <w:t>Under the natural resources benchmark, any unutilised tax losses that are available when a petroleum project closes down are refunded. However under the PRRT, there is no general refund of the tax value of losses available when the project closes down.</w:t>
      </w:r>
      <w:r>
        <w:rPr>
          <w:lang w:val="en-US"/>
        </w:rPr>
        <w:fldChar w:fldCharType="begin"/>
      </w:r>
      <w:r>
        <w:instrText xml:space="preserve"> XE "Petroleum Resource Rent Tax:Losses at project end" </w:instrText>
      </w:r>
      <w:r>
        <w:rPr>
          <w:lang w:val="en-US"/>
        </w:rPr>
        <w:fldChar w:fldCharType="end"/>
      </w:r>
      <w:r>
        <w:rPr>
          <w:lang w:val="en-US"/>
        </w:rPr>
        <w:t xml:space="preserve"> Closing-down expenditure is the only category of expenditure that is refundable and that is limited to the total amount of PRRT paid in respect of the project.</w:t>
      </w:r>
    </w:p>
    <w:p w14:paraId="3CF4D08E" w14:textId="77777777" w:rsidR="006E40C9" w:rsidRDefault="006E40C9" w:rsidP="00D9255A">
      <w:pPr>
        <w:pStyle w:val="TESHeading5"/>
      </w:pPr>
      <w:r>
        <w:t>G5</w:t>
      </w:r>
      <w:r>
        <w:tab/>
        <w:t>PRRT – expenditure uplift rate</w:t>
      </w:r>
    </w:p>
    <w:p w14:paraId="16F1B4BA"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3B0D3D2" w14:textId="77777777">
        <w:trPr>
          <w:cantSplit/>
          <w:jc w:val="center"/>
        </w:trPr>
        <w:tc>
          <w:tcPr>
            <w:tcW w:w="967" w:type="dxa"/>
            <w:tcBorders>
              <w:top w:val="single" w:sz="2" w:space="0" w:color="auto"/>
              <w:bottom w:val="single" w:sz="2" w:space="0" w:color="auto"/>
            </w:tcBorders>
          </w:tcPr>
          <w:p w14:paraId="51AEEE94"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F0387A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577A3A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9CE07E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012C2C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AC7F2A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3B616F6"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B9BD114" w14:textId="77777777" w:rsidR="006E40C9" w:rsidRDefault="006E40C9">
            <w:pPr>
              <w:pStyle w:val="MeasureTableTextRightAligned"/>
            </w:pPr>
            <w:r>
              <w:t>2027-28</w:t>
            </w:r>
          </w:p>
        </w:tc>
      </w:tr>
      <w:tr w:rsidR="006E40C9" w14:paraId="3AD8F199" w14:textId="77777777">
        <w:trPr>
          <w:cantSplit/>
          <w:jc w:val="center"/>
        </w:trPr>
        <w:tc>
          <w:tcPr>
            <w:tcW w:w="967" w:type="dxa"/>
            <w:tcBorders>
              <w:top w:val="single" w:sz="2" w:space="0" w:color="auto"/>
              <w:bottom w:val="single" w:sz="2" w:space="0" w:color="auto"/>
            </w:tcBorders>
          </w:tcPr>
          <w:p w14:paraId="31BAD3D1" w14:textId="77777777" w:rsidR="006E40C9" w:rsidRDefault="006E40C9">
            <w:pPr>
              <w:pStyle w:val="MeasureTableTextRightAligned"/>
            </w:pPr>
            <w:r>
              <w:t>*</w:t>
            </w:r>
          </w:p>
        </w:tc>
        <w:tc>
          <w:tcPr>
            <w:tcW w:w="967" w:type="dxa"/>
            <w:tcBorders>
              <w:top w:val="single" w:sz="2" w:space="0" w:color="auto"/>
              <w:bottom w:val="single" w:sz="2" w:space="0" w:color="auto"/>
            </w:tcBorders>
          </w:tcPr>
          <w:p w14:paraId="675CB91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B34873B"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934DC4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F30407"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4EE6CE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19D43355"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CC208CF" w14:textId="77777777" w:rsidR="006E40C9" w:rsidRDefault="006E40C9">
            <w:pPr>
              <w:pStyle w:val="MeasureTableTextRightAligned"/>
            </w:pPr>
            <w:r>
              <w:t>*</w:t>
            </w:r>
          </w:p>
        </w:tc>
      </w:tr>
      <w:tr w:rsidR="006E40C9" w14:paraId="068BBB5D" w14:textId="77777777">
        <w:trPr>
          <w:cantSplit/>
          <w:jc w:val="center"/>
        </w:trPr>
        <w:tc>
          <w:tcPr>
            <w:tcW w:w="1934" w:type="dxa"/>
            <w:gridSpan w:val="2"/>
            <w:tcBorders>
              <w:top w:val="single" w:sz="2" w:space="0" w:color="auto"/>
              <w:bottom w:val="nil"/>
            </w:tcBorders>
          </w:tcPr>
          <w:p w14:paraId="2FB952E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AF077D" w14:textId="77777777" w:rsidR="006E40C9" w:rsidRDefault="006E40C9">
            <w:pPr>
              <w:pStyle w:val="MeasureTableTextLeftAligned"/>
            </w:pPr>
            <w:r>
              <w:t>Deduction</w:t>
            </w:r>
          </w:p>
        </w:tc>
        <w:tc>
          <w:tcPr>
            <w:tcW w:w="1500" w:type="dxa"/>
            <w:gridSpan w:val="2"/>
            <w:tcBorders>
              <w:top w:val="single" w:sz="2" w:space="0" w:color="auto"/>
              <w:bottom w:val="nil"/>
            </w:tcBorders>
          </w:tcPr>
          <w:p w14:paraId="1CBF4BDC" w14:textId="3E2C1EF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1CDFDBA" w14:textId="77777777" w:rsidR="006E40C9" w:rsidRDefault="006E40C9">
            <w:pPr>
              <w:pStyle w:val="MeasureTableTextLeftAligned"/>
            </w:pPr>
            <w:r>
              <w:t>G8</w:t>
            </w:r>
          </w:p>
        </w:tc>
      </w:tr>
      <w:tr w:rsidR="006E40C9" w14:paraId="3149740F" w14:textId="77777777">
        <w:trPr>
          <w:cantSplit/>
          <w:jc w:val="center"/>
        </w:trPr>
        <w:tc>
          <w:tcPr>
            <w:tcW w:w="1934" w:type="dxa"/>
            <w:gridSpan w:val="2"/>
            <w:tcBorders>
              <w:top w:val="nil"/>
              <w:bottom w:val="nil"/>
            </w:tcBorders>
          </w:tcPr>
          <w:p w14:paraId="399F9CC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4D53E8" w14:textId="77777777" w:rsidR="006E40C9" w:rsidRPr="00584CA7" w:rsidRDefault="006E40C9">
            <w:pPr>
              <w:pStyle w:val="MeasureTableTextLeftAligned"/>
            </w:pPr>
            <w:r>
              <w:t>Not Applicable</w:t>
            </w:r>
          </w:p>
        </w:tc>
        <w:tc>
          <w:tcPr>
            <w:tcW w:w="1500" w:type="dxa"/>
            <w:gridSpan w:val="2"/>
            <w:tcBorders>
              <w:top w:val="nil"/>
              <w:bottom w:val="nil"/>
            </w:tcBorders>
          </w:tcPr>
          <w:p w14:paraId="2098C32D" w14:textId="77777777" w:rsidR="006E40C9" w:rsidRDefault="006E40C9">
            <w:pPr>
              <w:pStyle w:val="MeasureTableTextItalic"/>
            </w:pPr>
            <w:r>
              <w:t>* Category</w:t>
            </w:r>
          </w:p>
        </w:tc>
        <w:tc>
          <w:tcPr>
            <w:tcW w:w="1124" w:type="dxa"/>
            <w:gridSpan w:val="2"/>
            <w:tcBorders>
              <w:top w:val="nil"/>
              <w:bottom w:val="nil"/>
            </w:tcBorders>
          </w:tcPr>
          <w:p w14:paraId="1F844B4C" w14:textId="77777777" w:rsidR="006E40C9" w:rsidRDefault="006E40C9">
            <w:pPr>
              <w:pStyle w:val="MeasureTableTextLeftAligned"/>
            </w:pPr>
            <w:r>
              <w:t>2+</w:t>
            </w:r>
          </w:p>
        </w:tc>
      </w:tr>
      <w:tr w:rsidR="006E40C9" w14:paraId="123559F4" w14:textId="77777777">
        <w:trPr>
          <w:cantSplit/>
          <w:jc w:val="center"/>
        </w:trPr>
        <w:tc>
          <w:tcPr>
            <w:tcW w:w="1934" w:type="dxa"/>
            <w:gridSpan w:val="2"/>
            <w:tcBorders>
              <w:top w:val="nil"/>
              <w:bottom w:val="nil"/>
            </w:tcBorders>
          </w:tcPr>
          <w:p w14:paraId="69F627EE" w14:textId="77777777" w:rsidR="006E40C9" w:rsidRDefault="006E40C9">
            <w:pPr>
              <w:pStyle w:val="MeasureTableTextItalic"/>
            </w:pPr>
            <w:r>
              <w:t>Commencement date:</w:t>
            </w:r>
          </w:p>
        </w:tc>
        <w:tc>
          <w:tcPr>
            <w:tcW w:w="3179" w:type="dxa"/>
            <w:gridSpan w:val="4"/>
            <w:tcBorders>
              <w:top w:val="nil"/>
              <w:bottom w:val="nil"/>
            </w:tcBorders>
          </w:tcPr>
          <w:p w14:paraId="2366D66A" w14:textId="77777777" w:rsidR="006E40C9" w:rsidRDefault="006E40C9">
            <w:pPr>
              <w:pStyle w:val="MeasureTableTextLeftAligned"/>
            </w:pPr>
            <w:r>
              <w:t>1 July 1990</w:t>
            </w:r>
          </w:p>
        </w:tc>
        <w:tc>
          <w:tcPr>
            <w:tcW w:w="1500" w:type="dxa"/>
            <w:gridSpan w:val="2"/>
            <w:tcBorders>
              <w:top w:val="nil"/>
              <w:bottom w:val="nil"/>
            </w:tcBorders>
          </w:tcPr>
          <w:p w14:paraId="3B3C6B23" w14:textId="77777777" w:rsidR="006E40C9" w:rsidRPr="00F32057" w:rsidRDefault="006E40C9">
            <w:pPr>
              <w:pStyle w:val="MeasureTableTextItalic"/>
            </w:pPr>
            <w:r>
              <w:t>Expiry date:</w:t>
            </w:r>
          </w:p>
        </w:tc>
        <w:tc>
          <w:tcPr>
            <w:tcW w:w="1124" w:type="dxa"/>
            <w:gridSpan w:val="2"/>
            <w:tcBorders>
              <w:top w:val="nil"/>
              <w:bottom w:val="nil"/>
            </w:tcBorders>
          </w:tcPr>
          <w:p w14:paraId="17E6F443" w14:textId="77777777" w:rsidR="006E40C9" w:rsidRPr="00F32057" w:rsidRDefault="006E40C9">
            <w:pPr>
              <w:pStyle w:val="MeasureTableTextLeftAligned"/>
            </w:pPr>
          </w:p>
        </w:tc>
      </w:tr>
      <w:tr w:rsidR="006E40C9" w14:paraId="76998764" w14:textId="77777777">
        <w:trPr>
          <w:cantSplit/>
          <w:jc w:val="center"/>
        </w:trPr>
        <w:tc>
          <w:tcPr>
            <w:tcW w:w="1934" w:type="dxa"/>
            <w:gridSpan w:val="2"/>
            <w:tcBorders>
              <w:top w:val="nil"/>
            </w:tcBorders>
          </w:tcPr>
          <w:p w14:paraId="23C88E2E" w14:textId="77777777" w:rsidR="006E40C9" w:rsidRDefault="006E40C9">
            <w:pPr>
              <w:pStyle w:val="MeasureTableTextItalic"/>
            </w:pPr>
            <w:r>
              <w:t>Legislative reference:</w:t>
            </w:r>
          </w:p>
        </w:tc>
        <w:tc>
          <w:tcPr>
            <w:tcW w:w="5803" w:type="dxa"/>
            <w:gridSpan w:val="8"/>
            <w:tcBorders>
              <w:top w:val="nil"/>
            </w:tcBorders>
          </w:tcPr>
          <w:p w14:paraId="60033873"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Act 1987</w:t>
            </w:r>
          </w:p>
        </w:tc>
      </w:tr>
    </w:tbl>
    <w:p w14:paraId="7AEBEB94" w14:textId="77777777" w:rsidR="006E40C9" w:rsidRPr="00540040" w:rsidRDefault="006E40C9" w:rsidP="006E40C9">
      <w:pPr>
        <w:pStyle w:val="MeasureTableHeading"/>
      </w:pPr>
    </w:p>
    <w:p w14:paraId="47B98E77" w14:textId="77777777" w:rsidR="006E40C9" w:rsidRDefault="006E40C9" w:rsidP="006E40C9">
      <w:pPr>
        <w:rPr>
          <w:lang w:val="en-US"/>
        </w:rPr>
      </w:pPr>
      <w:r>
        <w:rPr>
          <w:lang w:val="en-US"/>
        </w:rPr>
        <w:t>The natural resources benchmark includes immediate expensing of project expenditures. To the extent that losses are carried forward because they cannot be utilised immediately, they are uplifted at the long</w:t>
      </w:r>
      <w:r>
        <w:rPr>
          <w:lang w:val="en-US"/>
        </w:rPr>
        <w:noBreakHyphen/>
        <w:t>term government bond rate (a proxy for the risk</w:t>
      </w:r>
      <w:r>
        <w:rPr>
          <w:lang w:val="en-US"/>
        </w:rPr>
        <w:noBreakHyphen/>
        <w:t xml:space="preserve">free rate). The uplift rate compensates investors for the delay in the recognition of the tax credit and preserves the value of the tax credit over time. </w:t>
      </w:r>
    </w:p>
    <w:p w14:paraId="0AF78885" w14:textId="1100C373" w:rsidR="006E40C9" w:rsidRPr="008F03DC" w:rsidRDefault="006E40C9" w:rsidP="006E40C9">
      <w:pPr>
        <w:rPr>
          <w:rFonts w:ascii="Calibri" w:hAnsi="Calibri"/>
          <w:lang w:val="en-US"/>
        </w:rPr>
      </w:pPr>
      <w:r>
        <w:rPr>
          <w:lang w:val="en-US"/>
        </w:rPr>
        <w:t>Under the PRRT, expenditure that generates project losses is uplifted at a number of different rates depending on when the expenditure took place and the nature of the expenditure. A significant amount of expenditure is uplifted at rates that exceed the long</w:t>
      </w:r>
      <w:r>
        <w:rPr>
          <w:lang w:val="en-US"/>
        </w:rPr>
        <w:noBreakHyphen/>
        <w:t>term government bond rate.</w:t>
      </w:r>
    </w:p>
    <w:p w14:paraId="553D0D03" w14:textId="77777777" w:rsidR="006E40C9" w:rsidRDefault="006E40C9" w:rsidP="00D9255A">
      <w:pPr>
        <w:pStyle w:val="TESHeading5"/>
      </w:pPr>
      <w:r>
        <w:t>G6</w:t>
      </w:r>
      <w:r>
        <w:tab/>
        <w:t>PRRT – gas transfer price regulations</w:t>
      </w:r>
    </w:p>
    <w:p w14:paraId="22291CDC"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61FF35D" w14:textId="77777777">
        <w:trPr>
          <w:cantSplit/>
          <w:jc w:val="center"/>
        </w:trPr>
        <w:tc>
          <w:tcPr>
            <w:tcW w:w="967" w:type="dxa"/>
            <w:tcBorders>
              <w:top w:val="single" w:sz="2" w:space="0" w:color="auto"/>
              <w:bottom w:val="single" w:sz="2" w:space="0" w:color="auto"/>
            </w:tcBorders>
          </w:tcPr>
          <w:p w14:paraId="1E44E590"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4277D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9FE274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63656E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DB133B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219ABC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DDECE6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7A0FD3E" w14:textId="77777777" w:rsidR="006E40C9" w:rsidRDefault="006E40C9">
            <w:pPr>
              <w:pStyle w:val="MeasureTableTextRightAligned"/>
            </w:pPr>
            <w:r>
              <w:t>2027-28</w:t>
            </w:r>
          </w:p>
        </w:tc>
      </w:tr>
      <w:tr w:rsidR="006E40C9" w14:paraId="2684EA1F" w14:textId="77777777">
        <w:trPr>
          <w:cantSplit/>
          <w:jc w:val="center"/>
        </w:trPr>
        <w:tc>
          <w:tcPr>
            <w:tcW w:w="967" w:type="dxa"/>
            <w:tcBorders>
              <w:top w:val="single" w:sz="2" w:space="0" w:color="auto"/>
              <w:bottom w:val="single" w:sz="2" w:space="0" w:color="auto"/>
            </w:tcBorders>
          </w:tcPr>
          <w:p w14:paraId="52C80755" w14:textId="77777777" w:rsidR="006E40C9" w:rsidRDefault="006E40C9">
            <w:pPr>
              <w:pStyle w:val="MeasureTableTextRightAligned"/>
            </w:pPr>
            <w:r>
              <w:t>*</w:t>
            </w:r>
          </w:p>
        </w:tc>
        <w:tc>
          <w:tcPr>
            <w:tcW w:w="967" w:type="dxa"/>
            <w:tcBorders>
              <w:top w:val="single" w:sz="2" w:space="0" w:color="auto"/>
              <w:bottom w:val="single" w:sz="2" w:space="0" w:color="auto"/>
            </w:tcBorders>
          </w:tcPr>
          <w:p w14:paraId="5ECE2BD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674700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BFBB59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71EF9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80070BB"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3F194B8"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5E32810" w14:textId="77777777" w:rsidR="006E40C9" w:rsidRDefault="006E40C9">
            <w:pPr>
              <w:pStyle w:val="MeasureTableTextRightAligned"/>
            </w:pPr>
            <w:r>
              <w:t>*</w:t>
            </w:r>
          </w:p>
        </w:tc>
      </w:tr>
      <w:tr w:rsidR="006E40C9" w14:paraId="41CD5ED0" w14:textId="77777777">
        <w:trPr>
          <w:cantSplit/>
          <w:jc w:val="center"/>
        </w:trPr>
        <w:tc>
          <w:tcPr>
            <w:tcW w:w="1934" w:type="dxa"/>
            <w:gridSpan w:val="2"/>
            <w:tcBorders>
              <w:top w:val="single" w:sz="2" w:space="0" w:color="auto"/>
              <w:bottom w:val="nil"/>
            </w:tcBorders>
          </w:tcPr>
          <w:p w14:paraId="541667ED"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A9DBF91" w14:textId="77777777" w:rsidR="006E40C9" w:rsidRDefault="006E40C9">
            <w:pPr>
              <w:pStyle w:val="MeasureTableTextLeftAligned"/>
            </w:pPr>
            <w:r>
              <w:t>Deduction</w:t>
            </w:r>
          </w:p>
        </w:tc>
        <w:tc>
          <w:tcPr>
            <w:tcW w:w="1500" w:type="dxa"/>
            <w:gridSpan w:val="2"/>
            <w:tcBorders>
              <w:top w:val="single" w:sz="2" w:space="0" w:color="auto"/>
              <w:bottom w:val="nil"/>
            </w:tcBorders>
          </w:tcPr>
          <w:p w14:paraId="10CB2107" w14:textId="26A9B74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BBECD0D" w14:textId="77777777" w:rsidR="006E40C9" w:rsidRDefault="006E40C9">
            <w:pPr>
              <w:pStyle w:val="MeasureTableTextLeftAligned"/>
            </w:pPr>
            <w:r>
              <w:t>G5</w:t>
            </w:r>
          </w:p>
        </w:tc>
      </w:tr>
      <w:tr w:rsidR="006E40C9" w14:paraId="0A88E271" w14:textId="77777777">
        <w:trPr>
          <w:cantSplit/>
          <w:jc w:val="center"/>
        </w:trPr>
        <w:tc>
          <w:tcPr>
            <w:tcW w:w="1934" w:type="dxa"/>
            <w:gridSpan w:val="2"/>
            <w:tcBorders>
              <w:top w:val="nil"/>
              <w:bottom w:val="nil"/>
            </w:tcBorders>
          </w:tcPr>
          <w:p w14:paraId="7EBB2B66"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D7CE016" w14:textId="77777777" w:rsidR="006E40C9" w:rsidRPr="00584CA7" w:rsidRDefault="006E40C9">
            <w:pPr>
              <w:pStyle w:val="MeasureTableTextLeftAligned"/>
            </w:pPr>
            <w:r>
              <w:t>Not Applicable</w:t>
            </w:r>
          </w:p>
        </w:tc>
        <w:tc>
          <w:tcPr>
            <w:tcW w:w="1500" w:type="dxa"/>
            <w:gridSpan w:val="2"/>
            <w:tcBorders>
              <w:top w:val="nil"/>
              <w:bottom w:val="nil"/>
            </w:tcBorders>
          </w:tcPr>
          <w:p w14:paraId="6AADABE4" w14:textId="77777777" w:rsidR="006E40C9" w:rsidRDefault="006E40C9">
            <w:pPr>
              <w:pStyle w:val="MeasureTableTextItalic"/>
            </w:pPr>
            <w:r>
              <w:t>* Category</w:t>
            </w:r>
          </w:p>
        </w:tc>
        <w:tc>
          <w:tcPr>
            <w:tcW w:w="1124" w:type="dxa"/>
            <w:gridSpan w:val="2"/>
            <w:tcBorders>
              <w:top w:val="nil"/>
              <w:bottom w:val="nil"/>
            </w:tcBorders>
          </w:tcPr>
          <w:p w14:paraId="23A84C6E" w14:textId="77777777" w:rsidR="006E40C9" w:rsidRDefault="006E40C9">
            <w:pPr>
              <w:pStyle w:val="MeasureTableTextLeftAligned"/>
            </w:pPr>
            <w:r>
              <w:t>2+</w:t>
            </w:r>
          </w:p>
        </w:tc>
      </w:tr>
      <w:tr w:rsidR="006E40C9" w14:paraId="1C28C7F9" w14:textId="77777777">
        <w:trPr>
          <w:cantSplit/>
          <w:jc w:val="center"/>
        </w:trPr>
        <w:tc>
          <w:tcPr>
            <w:tcW w:w="1934" w:type="dxa"/>
            <w:gridSpan w:val="2"/>
            <w:tcBorders>
              <w:top w:val="nil"/>
              <w:bottom w:val="nil"/>
            </w:tcBorders>
          </w:tcPr>
          <w:p w14:paraId="4063D1A8" w14:textId="77777777" w:rsidR="006E40C9" w:rsidRDefault="006E40C9">
            <w:pPr>
              <w:pStyle w:val="MeasureTableTextItalic"/>
            </w:pPr>
            <w:r>
              <w:t>Commencement date:</w:t>
            </w:r>
          </w:p>
        </w:tc>
        <w:tc>
          <w:tcPr>
            <w:tcW w:w="3179" w:type="dxa"/>
            <w:gridSpan w:val="4"/>
            <w:tcBorders>
              <w:top w:val="nil"/>
              <w:bottom w:val="nil"/>
            </w:tcBorders>
          </w:tcPr>
          <w:p w14:paraId="506EF43F" w14:textId="77777777" w:rsidR="006E40C9" w:rsidRDefault="006E40C9">
            <w:pPr>
              <w:pStyle w:val="MeasureTableTextLeftAligned"/>
            </w:pPr>
            <w:r>
              <w:t>7 August 2024</w:t>
            </w:r>
          </w:p>
        </w:tc>
        <w:tc>
          <w:tcPr>
            <w:tcW w:w="1500" w:type="dxa"/>
            <w:gridSpan w:val="2"/>
            <w:tcBorders>
              <w:top w:val="nil"/>
              <w:bottom w:val="nil"/>
            </w:tcBorders>
          </w:tcPr>
          <w:p w14:paraId="4B9CE309" w14:textId="77777777" w:rsidR="006E40C9" w:rsidRPr="00F32057" w:rsidRDefault="006E40C9">
            <w:pPr>
              <w:pStyle w:val="MeasureTableTextItalic"/>
            </w:pPr>
            <w:r>
              <w:t>Expiry date:</w:t>
            </w:r>
          </w:p>
        </w:tc>
        <w:tc>
          <w:tcPr>
            <w:tcW w:w="1124" w:type="dxa"/>
            <w:gridSpan w:val="2"/>
            <w:tcBorders>
              <w:top w:val="nil"/>
              <w:bottom w:val="nil"/>
            </w:tcBorders>
          </w:tcPr>
          <w:p w14:paraId="5CBEBB6A" w14:textId="77777777" w:rsidR="006E40C9" w:rsidRPr="00F32057" w:rsidRDefault="006E40C9">
            <w:pPr>
              <w:pStyle w:val="MeasureTableTextLeftAligned"/>
            </w:pPr>
          </w:p>
        </w:tc>
      </w:tr>
      <w:tr w:rsidR="006E40C9" w14:paraId="7B10C9CB" w14:textId="77777777">
        <w:trPr>
          <w:cantSplit/>
          <w:jc w:val="center"/>
        </w:trPr>
        <w:tc>
          <w:tcPr>
            <w:tcW w:w="1934" w:type="dxa"/>
            <w:gridSpan w:val="2"/>
            <w:tcBorders>
              <w:top w:val="nil"/>
            </w:tcBorders>
          </w:tcPr>
          <w:p w14:paraId="638C5599" w14:textId="77777777" w:rsidR="006E40C9" w:rsidRDefault="006E40C9">
            <w:pPr>
              <w:pStyle w:val="MeasureTableTextItalic"/>
            </w:pPr>
            <w:r>
              <w:t>Legislative reference:</w:t>
            </w:r>
          </w:p>
        </w:tc>
        <w:tc>
          <w:tcPr>
            <w:tcW w:w="5803" w:type="dxa"/>
            <w:gridSpan w:val="8"/>
            <w:tcBorders>
              <w:top w:val="nil"/>
            </w:tcBorders>
          </w:tcPr>
          <w:p w14:paraId="19BCCCF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Regulations 2024</w:t>
            </w:r>
          </w:p>
        </w:tc>
      </w:tr>
    </w:tbl>
    <w:p w14:paraId="4E1A6050" w14:textId="77777777" w:rsidR="006E40C9" w:rsidRPr="00540040" w:rsidRDefault="006E40C9" w:rsidP="006E40C9">
      <w:pPr>
        <w:pStyle w:val="MeasureTableHeading"/>
      </w:pPr>
    </w:p>
    <w:p w14:paraId="64EDC8BC" w14:textId="77777777" w:rsidR="006E40C9" w:rsidRDefault="006E40C9" w:rsidP="006E40C9">
      <w:r>
        <w:t xml:space="preserve">The natural resources benchmark is a 40 per cent tax rate on the economic rents earned on the extraction of petroleum resources including natural gas. </w:t>
      </w:r>
    </w:p>
    <w:p w14:paraId="113AAED0" w14:textId="53597DA0" w:rsidR="006E40C9" w:rsidRDefault="006E40C9" w:rsidP="006E40C9">
      <w:r>
        <w:t xml:space="preserve">The PRRT gas transfer price regulation stipulates rules for calculating the value of gas at the PRRT taxing point attributable to activities within the PRRT ringfence where there is no arm’s length transaction to determine the price of that gas in a liquefied natural gas (LNG) project. The regulations rely on formulaic rules to determine the assessable receipts of the PRRT project. </w:t>
      </w:r>
      <w:r>
        <w:fldChar w:fldCharType="begin"/>
      </w:r>
      <w:r>
        <w:instrText xml:space="preserve"> XE "Gas transfer price regulations" </w:instrText>
      </w:r>
      <w:r>
        <w:fldChar w:fldCharType="end"/>
      </w:r>
      <w:r>
        <w:t xml:space="preserve"> </w:t>
      </w:r>
    </w:p>
    <w:p w14:paraId="2B0DD65F" w14:textId="1943DD61" w:rsidR="006E40C9" w:rsidRDefault="006E40C9" w:rsidP="006E40C9">
      <w:r>
        <w:t>The regulations include provisions in the calculation of the gas transfer price that reduce the estimated upstream gas price by half the difference between the estimated ‘upstream’ price and the estimated ‘downstream’ price.</w:t>
      </w:r>
      <w:r>
        <w:fldChar w:fldCharType="begin"/>
      </w:r>
      <w:r>
        <w:instrText xml:space="preserve"> XE "Petroleum Resource Rent Tax:Gas price transfer regulations" </w:instrText>
      </w:r>
      <w:r>
        <w:fldChar w:fldCharType="end"/>
      </w:r>
    </w:p>
    <w:p w14:paraId="4CE5CC1C" w14:textId="77777777" w:rsidR="006E40C9" w:rsidRDefault="006E40C9" w:rsidP="00D9255A">
      <w:pPr>
        <w:pStyle w:val="TESHeading5"/>
      </w:pPr>
      <w:r>
        <w:t>G7</w:t>
      </w:r>
      <w:r>
        <w:tab/>
        <w:t>PRRT – starting base and uplift rate for capital assets</w:t>
      </w:r>
    </w:p>
    <w:p w14:paraId="26D42098" w14:textId="77777777" w:rsidR="006E40C9" w:rsidRDefault="006E40C9" w:rsidP="006E40C9">
      <w:pPr>
        <w:pStyle w:val="MeasureTableHeading"/>
      </w:pPr>
      <w:r>
        <w:t>Fuel and energy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2DB7306" w14:textId="77777777">
        <w:trPr>
          <w:cantSplit/>
          <w:jc w:val="center"/>
        </w:trPr>
        <w:tc>
          <w:tcPr>
            <w:tcW w:w="967" w:type="dxa"/>
            <w:tcBorders>
              <w:top w:val="single" w:sz="2" w:space="0" w:color="auto"/>
              <w:bottom w:val="single" w:sz="2" w:space="0" w:color="auto"/>
            </w:tcBorders>
          </w:tcPr>
          <w:p w14:paraId="32F3399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F43B0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8A5796"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694EE49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2A5540C"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B9611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72083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5589867" w14:textId="77777777" w:rsidR="006E40C9" w:rsidRDefault="006E40C9">
            <w:pPr>
              <w:pStyle w:val="MeasureTableTextRightAligned"/>
            </w:pPr>
            <w:r>
              <w:t>2027-28</w:t>
            </w:r>
          </w:p>
        </w:tc>
      </w:tr>
      <w:tr w:rsidR="006E40C9" w14:paraId="1C3FDFA7" w14:textId="77777777">
        <w:trPr>
          <w:cantSplit/>
          <w:jc w:val="center"/>
        </w:trPr>
        <w:tc>
          <w:tcPr>
            <w:tcW w:w="967" w:type="dxa"/>
            <w:tcBorders>
              <w:top w:val="single" w:sz="2" w:space="0" w:color="auto"/>
              <w:bottom w:val="single" w:sz="2" w:space="0" w:color="auto"/>
            </w:tcBorders>
          </w:tcPr>
          <w:p w14:paraId="57D86B38" w14:textId="77777777" w:rsidR="006E40C9" w:rsidRDefault="006E40C9">
            <w:pPr>
              <w:pStyle w:val="MeasureTableTextRightAligned"/>
            </w:pPr>
            <w:r>
              <w:t>*</w:t>
            </w:r>
          </w:p>
        </w:tc>
        <w:tc>
          <w:tcPr>
            <w:tcW w:w="967" w:type="dxa"/>
            <w:tcBorders>
              <w:top w:val="single" w:sz="2" w:space="0" w:color="auto"/>
              <w:bottom w:val="single" w:sz="2" w:space="0" w:color="auto"/>
            </w:tcBorders>
          </w:tcPr>
          <w:p w14:paraId="24962C7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034CB5D"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6A8B7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6756EE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22BAA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032CE6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68263158" w14:textId="77777777" w:rsidR="006E40C9" w:rsidRDefault="006E40C9">
            <w:pPr>
              <w:pStyle w:val="MeasureTableTextRightAligned"/>
            </w:pPr>
            <w:r>
              <w:t>*</w:t>
            </w:r>
          </w:p>
        </w:tc>
      </w:tr>
      <w:tr w:rsidR="006E40C9" w14:paraId="550AAD9A" w14:textId="77777777">
        <w:trPr>
          <w:cantSplit/>
          <w:jc w:val="center"/>
        </w:trPr>
        <w:tc>
          <w:tcPr>
            <w:tcW w:w="1934" w:type="dxa"/>
            <w:gridSpan w:val="2"/>
            <w:tcBorders>
              <w:top w:val="single" w:sz="2" w:space="0" w:color="auto"/>
              <w:bottom w:val="nil"/>
            </w:tcBorders>
          </w:tcPr>
          <w:p w14:paraId="5973C59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970D780" w14:textId="77777777" w:rsidR="006E40C9" w:rsidRDefault="006E40C9">
            <w:pPr>
              <w:pStyle w:val="MeasureTableTextLeftAligned"/>
            </w:pPr>
            <w:r>
              <w:t>Deduction</w:t>
            </w:r>
          </w:p>
        </w:tc>
        <w:tc>
          <w:tcPr>
            <w:tcW w:w="1500" w:type="dxa"/>
            <w:gridSpan w:val="2"/>
            <w:tcBorders>
              <w:top w:val="single" w:sz="2" w:space="0" w:color="auto"/>
              <w:bottom w:val="nil"/>
            </w:tcBorders>
          </w:tcPr>
          <w:p w14:paraId="09081D93" w14:textId="3260382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633C3D" w14:textId="77777777" w:rsidR="006E40C9" w:rsidRDefault="006E40C9">
            <w:pPr>
              <w:pStyle w:val="MeasureTableTextLeftAligned"/>
            </w:pPr>
            <w:r>
              <w:t>G6</w:t>
            </w:r>
          </w:p>
        </w:tc>
      </w:tr>
      <w:tr w:rsidR="006E40C9" w14:paraId="214BE977" w14:textId="77777777">
        <w:trPr>
          <w:cantSplit/>
          <w:jc w:val="center"/>
        </w:trPr>
        <w:tc>
          <w:tcPr>
            <w:tcW w:w="1934" w:type="dxa"/>
            <w:gridSpan w:val="2"/>
            <w:tcBorders>
              <w:top w:val="nil"/>
              <w:bottom w:val="nil"/>
            </w:tcBorders>
          </w:tcPr>
          <w:p w14:paraId="15B2C4B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6306251" w14:textId="77777777" w:rsidR="006E40C9" w:rsidRPr="00584CA7" w:rsidRDefault="006E40C9">
            <w:pPr>
              <w:pStyle w:val="MeasureTableTextLeftAligned"/>
            </w:pPr>
            <w:r>
              <w:t>Not Applicable</w:t>
            </w:r>
          </w:p>
        </w:tc>
        <w:tc>
          <w:tcPr>
            <w:tcW w:w="1500" w:type="dxa"/>
            <w:gridSpan w:val="2"/>
            <w:tcBorders>
              <w:top w:val="nil"/>
              <w:bottom w:val="nil"/>
            </w:tcBorders>
          </w:tcPr>
          <w:p w14:paraId="093870C1" w14:textId="77777777" w:rsidR="006E40C9" w:rsidRDefault="006E40C9">
            <w:pPr>
              <w:pStyle w:val="MeasureTableTextItalic"/>
            </w:pPr>
            <w:r>
              <w:t>* Category</w:t>
            </w:r>
          </w:p>
        </w:tc>
        <w:tc>
          <w:tcPr>
            <w:tcW w:w="1124" w:type="dxa"/>
            <w:gridSpan w:val="2"/>
            <w:tcBorders>
              <w:top w:val="nil"/>
              <w:bottom w:val="nil"/>
            </w:tcBorders>
          </w:tcPr>
          <w:p w14:paraId="554A5FD9" w14:textId="77777777" w:rsidR="006E40C9" w:rsidRDefault="006E40C9">
            <w:pPr>
              <w:pStyle w:val="MeasureTableTextLeftAligned"/>
            </w:pPr>
            <w:r>
              <w:t>2+</w:t>
            </w:r>
          </w:p>
        </w:tc>
      </w:tr>
      <w:tr w:rsidR="006E40C9" w14:paraId="510FC966" w14:textId="77777777">
        <w:trPr>
          <w:cantSplit/>
          <w:jc w:val="center"/>
        </w:trPr>
        <w:tc>
          <w:tcPr>
            <w:tcW w:w="1934" w:type="dxa"/>
            <w:gridSpan w:val="2"/>
            <w:tcBorders>
              <w:top w:val="nil"/>
              <w:bottom w:val="nil"/>
            </w:tcBorders>
          </w:tcPr>
          <w:p w14:paraId="784847B4" w14:textId="77777777" w:rsidR="006E40C9" w:rsidRDefault="006E40C9">
            <w:pPr>
              <w:pStyle w:val="MeasureTableTextItalic"/>
            </w:pPr>
            <w:r>
              <w:t>Commencement date:</w:t>
            </w:r>
          </w:p>
        </w:tc>
        <w:tc>
          <w:tcPr>
            <w:tcW w:w="3179" w:type="dxa"/>
            <w:gridSpan w:val="4"/>
            <w:tcBorders>
              <w:top w:val="nil"/>
              <w:bottom w:val="nil"/>
            </w:tcBorders>
          </w:tcPr>
          <w:p w14:paraId="07F3BD8E" w14:textId="77777777" w:rsidR="006E40C9" w:rsidRDefault="006E40C9">
            <w:pPr>
              <w:pStyle w:val="MeasureTableTextLeftAligned"/>
            </w:pPr>
            <w:r>
              <w:t>1 July 2012</w:t>
            </w:r>
          </w:p>
        </w:tc>
        <w:tc>
          <w:tcPr>
            <w:tcW w:w="1500" w:type="dxa"/>
            <w:gridSpan w:val="2"/>
            <w:tcBorders>
              <w:top w:val="nil"/>
              <w:bottom w:val="nil"/>
            </w:tcBorders>
          </w:tcPr>
          <w:p w14:paraId="2CBB9920" w14:textId="77777777" w:rsidR="006E40C9" w:rsidRPr="00F32057" w:rsidRDefault="006E40C9">
            <w:pPr>
              <w:pStyle w:val="MeasureTableTextItalic"/>
            </w:pPr>
            <w:r>
              <w:t>Expiry date:</w:t>
            </w:r>
          </w:p>
        </w:tc>
        <w:tc>
          <w:tcPr>
            <w:tcW w:w="1124" w:type="dxa"/>
            <w:gridSpan w:val="2"/>
            <w:tcBorders>
              <w:top w:val="nil"/>
              <w:bottom w:val="nil"/>
            </w:tcBorders>
          </w:tcPr>
          <w:p w14:paraId="33EE1E5E" w14:textId="77777777" w:rsidR="006E40C9" w:rsidRPr="00F32057" w:rsidRDefault="006E40C9">
            <w:pPr>
              <w:pStyle w:val="MeasureTableTextLeftAligned"/>
            </w:pPr>
          </w:p>
        </w:tc>
      </w:tr>
      <w:tr w:rsidR="006E40C9" w14:paraId="5C1C6F7A" w14:textId="77777777">
        <w:trPr>
          <w:cantSplit/>
          <w:jc w:val="center"/>
        </w:trPr>
        <w:tc>
          <w:tcPr>
            <w:tcW w:w="1934" w:type="dxa"/>
            <w:gridSpan w:val="2"/>
            <w:tcBorders>
              <w:top w:val="nil"/>
            </w:tcBorders>
          </w:tcPr>
          <w:p w14:paraId="65AE324F" w14:textId="77777777" w:rsidR="006E40C9" w:rsidRDefault="006E40C9">
            <w:pPr>
              <w:pStyle w:val="MeasureTableTextItalic"/>
            </w:pPr>
            <w:r>
              <w:t>Legislative reference:</w:t>
            </w:r>
          </w:p>
        </w:tc>
        <w:tc>
          <w:tcPr>
            <w:tcW w:w="5803" w:type="dxa"/>
            <w:gridSpan w:val="8"/>
            <w:tcBorders>
              <w:top w:val="nil"/>
            </w:tcBorders>
          </w:tcPr>
          <w:p w14:paraId="66CCDBE3"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Petroleum Resource Rent Tax Assessment Act 1987</w:t>
            </w:r>
          </w:p>
        </w:tc>
      </w:tr>
    </w:tbl>
    <w:p w14:paraId="49ED7742" w14:textId="77777777" w:rsidR="006E40C9" w:rsidRPr="00540040" w:rsidRDefault="006E40C9" w:rsidP="006E40C9">
      <w:pPr>
        <w:pStyle w:val="MeasureTableHeading"/>
      </w:pPr>
    </w:p>
    <w:p w14:paraId="3604F3F2" w14:textId="77777777" w:rsidR="006E40C9" w:rsidRDefault="006E40C9" w:rsidP="006E40C9">
      <w:r>
        <w:t>The natural resources benchmark includes immediate expensing of project expenditures. To the extent that losses are carried forward because they cannot be utilised immediately, they are uplifted at the long</w:t>
      </w:r>
      <w:r>
        <w:noBreakHyphen/>
        <w:t>term government bond rate (a proxy for the risk</w:t>
      </w:r>
      <w:r>
        <w:noBreakHyphen/>
        <w:t>free rate).</w:t>
      </w:r>
      <w:r>
        <w:fldChar w:fldCharType="begin"/>
      </w:r>
      <w:r>
        <w:instrText xml:space="preserve"> XE "Petroleum Resource Rent Tax:Capital assets" </w:instrText>
      </w:r>
      <w:r>
        <w:fldChar w:fldCharType="end"/>
      </w:r>
      <w:r>
        <w:t xml:space="preserve"> </w:t>
      </w:r>
    </w:p>
    <w:p w14:paraId="770F6400" w14:textId="77777777" w:rsidR="006E40C9" w:rsidRDefault="006E40C9" w:rsidP="006E40C9">
      <w:r>
        <w:t>Existing investments of projects brought under the PRRT on 1 July 2012 are recognised through the provision of a starting base allowance. The starting base allowance recognises assets relating to the upstream assets of the PRRT project on 2 May 2010. Unused starting base losses are uplifted at the long</w:t>
      </w:r>
      <w:r>
        <w:noBreakHyphen/>
        <w:t>term bond rate plus 5 percentage points. Unused exploration expenditure under the look back valuation option is uplifted at the long</w:t>
      </w:r>
      <w:r>
        <w:noBreakHyphen/>
        <w:t>term bond rate plus 15 percentage points.</w:t>
      </w:r>
    </w:p>
    <w:p w14:paraId="0CC95A9F" w14:textId="77777777" w:rsidR="006E40C9" w:rsidRDefault="006E40C9" w:rsidP="00D9255A">
      <w:pPr>
        <w:pStyle w:val="TESHeading5"/>
      </w:pPr>
      <w:r>
        <w:t>G8</w:t>
      </w:r>
      <w:r>
        <w:tab/>
        <w:t>Decommissioning levy for Laminaria-Corallina oil fields</w:t>
      </w:r>
    </w:p>
    <w:p w14:paraId="23A62D8D"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D53BCAA" w14:textId="77777777">
        <w:trPr>
          <w:cantSplit/>
          <w:jc w:val="center"/>
        </w:trPr>
        <w:tc>
          <w:tcPr>
            <w:tcW w:w="967" w:type="dxa"/>
            <w:tcBorders>
              <w:top w:val="single" w:sz="2" w:space="0" w:color="auto"/>
              <w:bottom w:val="single" w:sz="2" w:space="0" w:color="auto"/>
            </w:tcBorders>
          </w:tcPr>
          <w:p w14:paraId="392E3F0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33FFD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BEA222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02D56F0"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66CF92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D9EF6F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675BC4C"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DC58388" w14:textId="77777777" w:rsidR="006E40C9" w:rsidRDefault="006E40C9">
            <w:pPr>
              <w:pStyle w:val="MeasureTableTextRightAligned"/>
            </w:pPr>
            <w:r>
              <w:t>2027-28</w:t>
            </w:r>
          </w:p>
        </w:tc>
      </w:tr>
      <w:tr w:rsidR="006E40C9" w14:paraId="59536DAE" w14:textId="77777777">
        <w:trPr>
          <w:cantSplit/>
          <w:jc w:val="center"/>
        </w:trPr>
        <w:tc>
          <w:tcPr>
            <w:tcW w:w="967" w:type="dxa"/>
            <w:tcBorders>
              <w:top w:val="single" w:sz="2" w:space="0" w:color="auto"/>
              <w:bottom w:val="single" w:sz="2" w:space="0" w:color="auto"/>
            </w:tcBorders>
          </w:tcPr>
          <w:p w14:paraId="4079B1CE" w14:textId="77777777" w:rsidR="006E40C9" w:rsidRDefault="006E40C9">
            <w:pPr>
              <w:pStyle w:val="MeasureTableTextRightAligned"/>
            </w:pPr>
            <w:r>
              <w:t>-</w:t>
            </w:r>
          </w:p>
        </w:tc>
        <w:tc>
          <w:tcPr>
            <w:tcW w:w="967" w:type="dxa"/>
            <w:tcBorders>
              <w:top w:val="single" w:sz="2" w:space="0" w:color="auto"/>
              <w:bottom w:val="single" w:sz="2" w:space="0" w:color="auto"/>
            </w:tcBorders>
          </w:tcPr>
          <w:p w14:paraId="17A702FB" w14:textId="77777777" w:rsidR="006E40C9" w:rsidRDefault="006E40C9">
            <w:pPr>
              <w:pStyle w:val="MeasureTableTextRightAligned"/>
            </w:pPr>
            <w:r>
              <w:t>-407</w:t>
            </w:r>
          </w:p>
        </w:tc>
        <w:tc>
          <w:tcPr>
            <w:tcW w:w="967" w:type="dxa"/>
            <w:tcBorders>
              <w:top w:val="single" w:sz="2" w:space="0" w:color="auto"/>
              <w:bottom w:val="single" w:sz="2" w:space="0" w:color="auto"/>
            </w:tcBorders>
            <w:vAlign w:val="bottom"/>
          </w:tcPr>
          <w:p w14:paraId="7D2A142C" w14:textId="77777777" w:rsidR="006E40C9" w:rsidRDefault="006E40C9">
            <w:pPr>
              <w:pStyle w:val="MeasureTableTextRightAligned"/>
            </w:pPr>
            <w:r>
              <w:t>-360</w:t>
            </w:r>
          </w:p>
        </w:tc>
        <w:tc>
          <w:tcPr>
            <w:tcW w:w="967" w:type="dxa"/>
            <w:tcBorders>
              <w:top w:val="single" w:sz="2" w:space="0" w:color="auto"/>
              <w:bottom w:val="single" w:sz="2" w:space="0" w:color="auto"/>
            </w:tcBorders>
            <w:vAlign w:val="bottom"/>
          </w:tcPr>
          <w:p w14:paraId="5254D6A4" w14:textId="77777777" w:rsidR="006E40C9" w:rsidRDefault="006E40C9">
            <w:pPr>
              <w:pStyle w:val="MeasureTableTextRightAligned"/>
            </w:pPr>
            <w:r>
              <w:t>-381</w:t>
            </w:r>
          </w:p>
        </w:tc>
        <w:tc>
          <w:tcPr>
            <w:tcW w:w="967" w:type="dxa"/>
            <w:tcBorders>
              <w:top w:val="single" w:sz="2" w:space="0" w:color="auto"/>
              <w:bottom w:val="single" w:sz="2" w:space="0" w:color="auto"/>
            </w:tcBorders>
            <w:vAlign w:val="bottom"/>
          </w:tcPr>
          <w:p w14:paraId="1BBB38C2" w14:textId="2A6C3EDB" w:rsidR="006E40C9" w:rsidRDefault="000A0626">
            <w:pPr>
              <w:pStyle w:val="MeasureTableTextRightAligned"/>
            </w:pPr>
            <w:r>
              <w:t>nfp</w:t>
            </w:r>
          </w:p>
        </w:tc>
        <w:tc>
          <w:tcPr>
            <w:tcW w:w="967" w:type="dxa"/>
            <w:gridSpan w:val="2"/>
            <w:tcBorders>
              <w:top w:val="single" w:sz="2" w:space="0" w:color="auto"/>
              <w:bottom w:val="single" w:sz="2" w:space="0" w:color="auto"/>
            </w:tcBorders>
            <w:vAlign w:val="bottom"/>
          </w:tcPr>
          <w:p w14:paraId="787D2285" w14:textId="6C35040B" w:rsidR="006E40C9" w:rsidRDefault="000A0626">
            <w:pPr>
              <w:pStyle w:val="MeasureTableTextRightAligned"/>
            </w:pPr>
            <w:r>
              <w:t>nfp</w:t>
            </w:r>
          </w:p>
        </w:tc>
        <w:tc>
          <w:tcPr>
            <w:tcW w:w="967" w:type="dxa"/>
            <w:gridSpan w:val="2"/>
            <w:tcBorders>
              <w:top w:val="single" w:sz="2" w:space="0" w:color="auto"/>
              <w:bottom w:val="single" w:sz="2" w:space="0" w:color="auto"/>
            </w:tcBorders>
            <w:vAlign w:val="bottom"/>
          </w:tcPr>
          <w:p w14:paraId="73A2436C" w14:textId="3B02E4BE" w:rsidR="006E40C9" w:rsidRDefault="000A0626">
            <w:pPr>
              <w:pStyle w:val="MeasureTableTextRightAligned"/>
            </w:pPr>
            <w:r>
              <w:t>nfp</w:t>
            </w:r>
          </w:p>
        </w:tc>
        <w:tc>
          <w:tcPr>
            <w:tcW w:w="968" w:type="dxa"/>
            <w:tcBorders>
              <w:top w:val="single" w:sz="2" w:space="0" w:color="auto"/>
              <w:bottom w:val="single" w:sz="2" w:space="0" w:color="auto"/>
            </w:tcBorders>
            <w:vAlign w:val="bottom"/>
          </w:tcPr>
          <w:p w14:paraId="330170DC" w14:textId="6CFBBA65" w:rsidR="006E40C9" w:rsidRDefault="000A0626">
            <w:pPr>
              <w:pStyle w:val="MeasureTableTextRightAligned"/>
            </w:pPr>
            <w:r>
              <w:t>nfp</w:t>
            </w:r>
          </w:p>
        </w:tc>
      </w:tr>
      <w:tr w:rsidR="006E40C9" w14:paraId="3BB8A97F" w14:textId="77777777">
        <w:trPr>
          <w:cantSplit/>
          <w:jc w:val="center"/>
        </w:trPr>
        <w:tc>
          <w:tcPr>
            <w:tcW w:w="1934" w:type="dxa"/>
            <w:gridSpan w:val="2"/>
            <w:tcBorders>
              <w:top w:val="single" w:sz="2" w:space="0" w:color="auto"/>
              <w:bottom w:val="nil"/>
            </w:tcBorders>
          </w:tcPr>
          <w:p w14:paraId="70A38A2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4CF88B48" w14:textId="77777777" w:rsidR="006E40C9" w:rsidRDefault="006E40C9">
            <w:pPr>
              <w:pStyle w:val="MeasureTableTextLeftAligned"/>
            </w:pPr>
            <w:r>
              <w:t>Increased rate</w:t>
            </w:r>
          </w:p>
        </w:tc>
        <w:tc>
          <w:tcPr>
            <w:tcW w:w="1500" w:type="dxa"/>
            <w:gridSpan w:val="2"/>
            <w:tcBorders>
              <w:top w:val="single" w:sz="2" w:space="0" w:color="auto"/>
              <w:bottom w:val="nil"/>
            </w:tcBorders>
          </w:tcPr>
          <w:p w14:paraId="76042624" w14:textId="2336C9FF"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8381CE1" w14:textId="77777777" w:rsidR="006E40C9" w:rsidRDefault="006E40C9">
            <w:pPr>
              <w:pStyle w:val="MeasureTableTextLeftAligned"/>
            </w:pPr>
            <w:r>
              <w:t>G7</w:t>
            </w:r>
          </w:p>
        </w:tc>
      </w:tr>
      <w:tr w:rsidR="006E40C9" w14:paraId="76262798" w14:textId="77777777">
        <w:trPr>
          <w:cantSplit/>
          <w:jc w:val="center"/>
        </w:trPr>
        <w:tc>
          <w:tcPr>
            <w:tcW w:w="1934" w:type="dxa"/>
            <w:gridSpan w:val="2"/>
            <w:tcBorders>
              <w:top w:val="nil"/>
              <w:bottom w:val="nil"/>
            </w:tcBorders>
          </w:tcPr>
          <w:p w14:paraId="364B4B1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18CCF62" w14:textId="77777777" w:rsidR="006E40C9" w:rsidRPr="00584CA7" w:rsidRDefault="006E40C9">
            <w:pPr>
              <w:pStyle w:val="MeasureTableTextLeftAligned"/>
            </w:pPr>
            <w:r>
              <w:t>Not Applicable</w:t>
            </w:r>
          </w:p>
        </w:tc>
        <w:tc>
          <w:tcPr>
            <w:tcW w:w="1500" w:type="dxa"/>
            <w:gridSpan w:val="2"/>
            <w:tcBorders>
              <w:top w:val="nil"/>
              <w:bottom w:val="nil"/>
            </w:tcBorders>
          </w:tcPr>
          <w:p w14:paraId="11FC9927" w14:textId="77777777" w:rsidR="006E40C9" w:rsidRDefault="006E40C9">
            <w:pPr>
              <w:pStyle w:val="MeasureTableTextItalic"/>
            </w:pPr>
          </w:p>
        </w:tc>
        <w:tc>
          <w:tcPr>
            <w:tcW w:w="1124" w:type="dxa"/>
            <w:gridSpan w:val="2"/>
            <w:tcBorders>
              <w:top w:val="nil"/>
              <w:bottom w:val="nil"/>
            </w:tcBorders>
          </w:tcPr>
          <w:p w14:paraId="228C29A3" w14:textId="77777777" w:rsidR="006E40C9" w:rsidRDefault="006E40C9">
            <w:pPr>
              <w:pStyle w:val="MeasureTableTextLeftAligned"/>
            </w:pPr>
          </w:p>
        </w:tc>
      </w:tr>
      <w:tr w:rsidR="006E40C9" w14:paraId="37BEF156" w14:textId="77777777">
        <w:trPr>
          <w:cantSplit/>
          <w:jc w:val="center"/>
        </w:trPr>
        <w:tc>
          <w:tcPr>
            <w:tcW w:w="1934" w:type="dxa"/>
            <w:gridSpan w:val="2"/>
            <w:tcBorders>
              <w:top w:val="nil"/>
              <w:bottom w:val="nil"/>
            </w:tcBorders>
          </w:tcPr>
          <w:p w14:paraId="30C9DE74" w14:textId="77777777" w:rsidR="006E40C9" w:rsidRDefault="006E40C9">
            <w:pPr>
              <w:pStyle w:val="MeasureTableTextItalic"/>
            </w:pPr>
            <w:r>
              <w:t>Commencement date:</w:t>
            </w:r>
          </w:p>
        </w:tc>
        <w:tc>
          <w:tcPr>
            <w:tcW w:w="3179" w:type="dxa"/>
            <w:gridSpan w:val="4"/>
            <w:tcBorders>
              <w:top w:val="nil"/>
              <w:bottom w:val="nil"/>
            </w:tcBorders>
          </w:tcPr>
          <w:p w14:paraId="4B67DD7C" w14:textId="77777777" w:rsidR="006E40C9" w:rsidRDefault="006E40C9">
            <w:pPr>
              <w:pStyle w:val="MeasureTableTextLeftAligned"/>
            </w:pPr>
            <w:r>
              <w:t>1 July 2021</w:t>
            </w:r>
          </w:p>
        </w:tc>
        <w:tc>
          <w:tcPr>
            <w:tcW w:w="1500" w:type="dxa"/>
            <w:gridSpan w:val="2"/>
            <w:tcBorders>
              <w:top w:val="nil"/>
              <w:bottom w:val="nil"/>
            </w:tcBorders>
          </w:tcPr>
          <w:p w14:paraId="6AA8B39D" w14:textId="77777777" w:rsidR="006E40C9" w:rsidRPr="00F32057" w:rsidRDefault="006E40C9">
            <w:pPr>
              <w:pStyle w:val="MeasureTableTextItalic"/>
            </w:pPr>
            <w:r>
              <w:t>Expiry date:</w:t>
            </w:r>
          </w:p>
        </w:tc>
        <w:tc>
          <w:tcPr>
            <w:tcW w:w="1124" w:type="dxa"/>
            <w:gridSpan w:val="2"/>
            <w:tcBorders>
              <w:top w:val="nil"/>
              <w:bottom w:val="nil"/>
            </w:tcBorders>
          </w:tcPr>
          <w:p w14:paraId="64FF7882" w14:textId="77777777" w:rsidR="006E40C9" w:rsidRPr="00F32057" w:rsidRDefault="006E40C9">
            <w:pPr>
              <w:pStyle w:val="MeasureTableTextLeftAligned"/>
            </w:pPr>
          </w:p>
        </w:tc>
      </w:tr>
      <w:tr w:rsidR="006E40C9" w14:paraId="031E007E" w14:textId="77777777">
        <w:trPr>
          <w:cantSplit/>
          <w:jc w:val="center"/>
        </w:trPr>
        <w:tc>
          <w:tcPr>
            <w:tcW w:w="1934" w:type="dxa"/>
            <w:gridSpan w:val="2"/>
            <w:tcBorders>
              <w:top w:val="nil"/>
            </w:tcBorders>
          </w:tcPr>
          <w:p w14:paraId="333D4F7A" w14:textId="77777777" w:rsidR="006E40C9" w:rsidRDefault="006E40C9">
            <w:pPr>
              <w:pStyle w:val="MeasureTableTextItalic"/>
            </w:pPr>
            <w:r>
              <w:t>Legislative reference:</w:t>
            </w:r>
          </w:p>
        </w:tc>
        <w:tc>
          <w:tcPr>
            <w:tcW w:w="5803" w:type="dxa"/>
            <w:gridSpan w:val="8"/>
            <w:tcBorders>
              <w:top w:val="nil"/>
            </w:tcBorders>
          </w:tcPr>
          <w:p w14:paraId="521ECFFD" w14:textId="77777777" w:rsidR="006E40C9" w:rsidRPr="00F32057" w:rsidRDefault="006E40C9">
            <w:pPr>
              <w:widowControl w:val="0"/>
              <w:autoSpaceDE w:val="0"/>
              <w:autoSpaceDN w:val="0"/>
              <w:adjustRightInd w:val="0"/>
              <w:spacing w:after="0" w:line="240" w:lineRule="auto"/>
            </w:pPr>
            <w:r>
              <w:rPr>
                <w:rFonts w:ascii="Arial" w:hAnsi="Arial" w:cs="Arial"/>
                <w:i/>
                <w:iCs/>
                <w:color w:val="000000"/>
                <w:sz w:val="16"/>
                <w:szCs w:val="16"/>
              </w:rPr>
              <w:t>Offshore Petroleum (Laminaria and Corallina Decommissioning Cost Recovery Levy) Act 2022</w:t>
            </w:r>
          </w:p>
        </w:tc>
      </w:tr>
    </w:tbl>
    <w:p w14:paraId="5B89DEB6" w14:textId="17372A40" w:rsidR="006E40C9" w:rsidRDefault="006E40C9" w:rsidP="006E40C9">
      <w:r>
        <w:t xml:space="preserve">From 1 July 2021, registered holders of petroleum production licences under the </w:t>
      </w:r>
      <w:r w:rsidRPr="00EF06F7">
        <w:rPr>
          <w:i/>
          <w:iCs/>
        </w:rPr>
        <w:t>Offshore Petroleum and Greenhouse Gas Storage Act 2006</w:t>
      </w:r>
      <w:r>
        <w:t xml:space="preserve"> are liable to pay a levy of 48 cents per barrel of oil equivalent petroleum production from offshore titles. The levy will not be deductible for PRRT or corporate income tax. The levy will cease in 2029</w:t>
      </w:r>
      <w:r>
        <w:noBreakHyphen/>
        <w:t>30 at the latest.</w:t>
      </w:r>
      <w:r>
        <w:fldChar w:fldCharType="begin"/>
      </w:r>
      <w:r>
        <w:instrText xml:space="preserve"> XE "Petroleum Resource Rent Tax:Laminaria-Corallina oil fields" </w:instrText>
      </w:r>
      <w:r>
        <w:fldChar w:fldCharType="end"/>
      </w:r>
    </w:p>
    <w:p w14:paraId="3DDF34BB" w14:textId="77777777" w:rsidR="00DA02F3" w:rsidRDefault="00DA02F3">
      <w:pPr>
        <w:spacing w:after="0" w:line="240" w:lineRule="auto"/>
        <w:jc w:val="left"/>
        <w:rPr>
          <w:rFonts w:ascii="Arial Bold" w:hAnsi="Arial Bold"/>
          <w:b/>
          <w:color w:val="000000"/>
          <w:spacing w:val="-6"/>
          <w:sz w:val="27"/>
        </w:rPr>
      </w:pPr>
      <w:r>
        <w:br w:type="page"/>
      </w:r>
    </w:p>
    <w:p w14:paraId="5331D7B7" w14:textId="5EB0C0BE" w:rsidR="006E40C9" w:rsidRDefault="006E40C9" w:rsidP="003218AC">
      <w:pPr>
        <w:pStyle w:val="Heading3"/>
      </w:pPr>
      <w:bookmarkStart w:id="96" w:name="_Toc183710298"/>
      <w:r>
        <w:t>Goods and Services Tax</w:t>
      </w:r>
      <w:bookmarkEnd w:id="96"/>
    </w:p>
    <w:p w14:paraId="3A2D5B07" w14:textId="77777777" w:rsidR="006E40C9" w:rsidRDefault="006E40C9" w:rsidP="00D9255A">
      <w:pPr>
        <w:pStyle w:val="Heading3"/>
      </w:pPr>
      <w:r>
        <w:t>Tax expenditures for general public services</w:t>
      </w:r>
    </w:p>
    <w:p w14:paraId="7909E352" w14:textId="77777777" w:rsidR="006E40C9" w:rsidRDefault="006E40C9" w:rsidP="00130689">
      <w:pPr>
        <w:pStyle w:val="Heading4"/>
      </w:pPr>
      <w:r>
        <w:t>H1</w:t>
      </w:r>
      <w:r>
        <w:tab/>
        <w:t>Financial supplies – financial acquisitions threshold – input tax credits</w:t>
      </w:r>
    </w:p>
    <w:p w14:paraId="0B62C172" w14:textId="440B7053"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6DB1159" w14:textId="77777777">
        <w:trPr>
          <w:cantSplit/>
          <w:jc w:val="center"/>
        </w:trPr>
        <w:tc>
          <w:tcPr>
            <w:tcW w:w="967" w:type="dxa"/>
            <w:tcBorders>
              <w:top w:val="single" w:sz="2" w:space="0" w:color="auto"/>
              <w:bottom w:val="single" w:sz="2" w:space="0" w:color="auto"/>
            </w:tcBorders>
          </w:tcPr>
          <w:p w14:paraId="66A3E13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804F585"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14BBBA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6B6C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12D90F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C1F04E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D0B31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18783E1" w14:textId="77777777" w:rsidR="006E40C9" w:rsidRDefault="006E40C9">
            <w:pPr>
              <w:pStyle w:val="MeasureTableTextRightAligned"/>
            </w:pPr>
            <w:r>
              <w:t>2027-28</w:t>
            </w:r>
          </w:p>
        </w:tc>
      </w:tr>
      <w:tr w:rsidR="006E40C9" w14:paraId="3654928D" w14:textId="77777777">
        <w:trPr>
          <w:cantSplit/>
          <w:jc w:val="center"/>
        </w:trPr>
        <w:tc>
          <w:tcPr>
            <w:tcW w:w="967" w:type="dxa"/>
            <w:tcBorders>
              <w:top w:val="single" w:sz="2" w:space="0" w:color="auto"/>
              <w:bottom w:val="single" w:sz="2" w:space="0" w:color="auto"/>
            </w:tcBorders>
          </w:tcPr>
          <w:p w14:paraId="7D356F86" w14:textId="77777777" w:rsidR="006E40C9" w:rsidRDefault="006E40C9">
            <w:pPr>
              <w:pStyle w:val="MeasureTableTextRightAligned"/>
            </w:pPr>
            <w:r>
              <w:t>*</w:t>
            </w:r>
          </w:p>
        </w:tc>
        <w:tc>
          <w:tcPr>
            <w:tcW w:w="967" w:type="dxa"/>
            <w:tcBorders>
              <w:top w:val="single" w:sz="2" w:space="0" w:color="auto"/>
              <w:bottom w:val="single" w:sz="2" w:space="0" w:color="auto"/>
            </w:tcBorders>
          </w:tcPr>
          <w:p w14:paraId="060472F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3BB87B5"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C520F0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3169B10"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5479ED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A5527A"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5A1140" w14:textId="77777777" w:rsidR="006E40C9" w:rsidRDefault="006E40C9">
            <w:pPr>
              <w:pStyle w:val="MeasureTableTextRightAligned"/>
            </w:pPr>
            <w:r>
              <w:t>*</w:t>
            </w:r>
          </w:p>
        </w:tc>
      </w:tr>
      <w:tr w:rsidR="006E40C9" w14:paraId="0AE8F4B6" w14:textId="77777777">
        <w:trPr>
          <w:cantSplit/>
          <w:jc w:val="center"/>
        </w:trPr>
        <w:tc>
          <w:tcPr>
            <w:tcW w:w="1934" w:type="dxa"/>
            <w:gridSpan w:val="2"/>
            <w:tcBorders>
              <w:top w:val="single" w:sz="2" w:space="0" w:color="auto"/>
              <w:bottom w:val="nil"/>
            </w:tcBorders>
          </w:tcPr>
          <w:p w14:paraId="6586FDF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6C8F4C6"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66630AD2" w14:textId="1B08597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0A311A7" w14:textId="77777777" w:rsidR="006E40C9" w:rsidRDefault="006E40C9">
            <w:pPr>
              <w:pStyle w:val="MeasureTableTextLeftAligned"/>
            </w:pPr>
            <w:r>
              <w:t>H1</w:t>
            </w:r>
          </w:p>
        </w:tc>
      </w:tr>
      <w:tr w:rsidR="006E40C9" w14:paraId="6B72D341" w14:textId="77777777">
        <w:trPr>
          <w:cantSplit/>
          <w:jc w:val="center"/>
        </w:trPr>
        <w:tc>
          <w:tcPr>
            <w:tcW w:w="1934" w:type="dxa"/>
            <w:gridSpan w:val="2"/>
            <w:tcBorders>
              <w:top w:val="nil"/>
              <w:bottom w:val="nil"/>
            </w:tcBorders>
          </w:tcPr>
          <w:p w14:paraId="260090B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EBC43A2" w14:textId="77777777" w:rsidR="006E40C9" w:rsidRPr="00584CA7" w:rsidRDefault="006E40C9">
            <w:pPr>
              <w:pStyle w:val="MeasureTableTextLeftAligned"/>
            </w:pPr>
            <w:r>
              <w:t>Not Applicable</w:t>
            </w:r>
          </w:p>
        </w:tc>
        <w:tc>
          <w:tcPr>
            <w:tcW w:w="1500" w:type="dxa"/>
            <w:gridSpan w:val="2"/>
            <w:tcBorders>
              <w:top w:val="nil"/>
              <w:bottom w:val="nil"/>
            </w:tcBorders>
          </w:tcPr>
          <w:p w14:paraId="177B982D" w14:textId="77777777" w:rsidR="006E40C9" w:rsidRDefault="006E40C9">
            <w:pPr>
              <w:pStyle w:val="MeasureTableTextItalic"/>
            </w:pPr>
            <w:r>
              <w:t>* Category</w:t>
            </w:r>
          </w:p>
        </w:tc>
        <w:tc>
          <w:tcPr>
            <w:tcW w:w="1124" w:type="dxa"/>
            <w:gridSpan w:val="2"/>
            <w:tcBorders>
              <w:top w:val="nil"/>
              <w:bottom w:val="nil"/>
            </w:tcBorders>
          </w:tcPr>
          <w:p w14:paraId="7B89AB05" w14:textId="77777777" w:rsidR="006E40C9" w:rsidRDefault="006E40C9">
            <w:pPr>
              <w:pStyle w:val="MeasureTableTextLeftAligned"/>
            </w:pPr>
            <w:r>
              <w:t>3+</w:t>
            </w:r>
          </w:p>
        </w:tc>
      </w:tr>
      <w:tr w:rsidR="006E40C9" w14:paraId="36B90F44" w14:textId="77777777">
        <w:trPr>
          <w:cantSplit/>
          <w:jc w:val="center"/>
        </w:trPr>
        <w:tc>
          <w:tcPr>
            <w:tcW w:w="1934" w:type="dxa"/>
            <w:gridSpan w:val="2"/>
            <w:tcBorders>
              <w:top w:val="nil"/>
              <w:bottom w:val="nil"/>
            </w:tcBorders>
          </w:tcPr>
          <w:p w14:paraId="2F1F48F2" w14:textId="77777777" w:rsidR="006E40C9" w:rsidRDefault="006E40C9">
            <w:pPr>
              <w:pStyle w:val="MeasureTableTextItalic"/>
            </w:pPr>
            <w:r>
              <w:t>Commencement date:</w:t>
            </w:r>
          </w:p>
        </w:tc>
        <w:tc>
          <w:tcPr>
            <w:tcW w:w="3179" w:type="dxa"/>
            <w:gridSpan w:val="4"/>
            <w:tcBorders>
              <w:top w:val="nil"/>
              <w:bottom w:val="nil"/>
            </w:tcBorders>
          </w:tcPr>
          <w:p w14:paraId="5E3E27C8" w14:textId="77777777" w:rsidR="006E40C9" w:rsidRDefault="006E40C9">
            <w:pPr>
              <w:pStyle w:val="MeasureTableTextLeftAligned"/>
            </w:pPr>
            <w:r>
              <w:t>1 July 2000</w:t>
            </w:r>
          </w:p>
        </w:tc>
        <w:tc>
          <w:tcPr>
            <w:tcW w:w="1500" w:type="dxa"/>
            <w:gridSpan w:val="2"/>
            <w:tcBorders>
              <w:top w:val="nil"/>
              <w:bottom w:val="nil"/>
            </w:tcBorders>
          </w:tcPr>
          <w:p w14:paraId="11890285" w14:textId="77777777" w:rsidR="006E40C9" w:rsidRPr="00F32057" w:rsidRDefault="006E40C9">
            <w:pPr>
              <w:pStyle w:val="MeasureTableTextItalic"/>
            </w:pPr>
            <w:r>
              <w:t>Expiry date:</w:t>
            </w:r>
          </w:p>
        </w:tc>
        <w:tc>
          <w:tcPr>
            <w:tcW w:w="1124" w:type="dxa"/>
            <w:gridSpan w:val="2"/>
            <w:tcBorders>
              <w:top w:val="nil"/>
              <w:bottom w:val="nil"/>
            </w:tcBorders>
          </w:tcPr>
          <w:p w14:paraId="50325A25" w14:textId="77777777" w:rsidR="006E40C9" w:rsidRPr="00F32057" w:rsidRDefault="006E40C9">
            <w:pPr>
              <w:pStyle w:val="MeasureTableTextLeftAligned"/>
            </w:pPr>
          </w:p>
        </w:tc>
      </w:tr>
      <w:tr w:rsidR="006E40C9" w14:paraId="316D6A76" w14:textId="77777777">
        <w:trPr>
          <w:cantSplit/>
          <w:jc w:val="center"/>
        </w:trPr>
        <w:tc>
          <w:tcPr>
            <w:tcW w:w="1934" w:type="dxa"/>
            <w:gridSpan w:val="2"/>
            <w:tcBorders>
              <w:top w:val="nil"/>
            </w:tcBorders>
          </w:tcPr>
          <w:p w14:paraId="748B64AA" w14:textId="77777777" w:rsidR="006E40C9" w:rsidRDefault="006E40C9">
            <w:pPr>
              <w:pStyle w:val="MeasureTableTextItalic"/>
            </w:pPr>
            <w:r>
              <w:t>Legislative reference:</w:t>
            </w:r>
          </w:p>
        </w:tc>
        <w:tc>
          <w:tcPr>
            <w:tcW w:w="5803" w:type="dxa"/>
            <w:gridSpan w:val="8"/>
            <w:tcBorders>
              <w:top w:val="nil"/>
            </w:tcBorders>
          </w:tcPr>
          <w:p w14:paraId="22A1BA1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11-15(4) and 189-5 of the </w:t>
            </w:r>
            <w:r>
              <w:rPr>
                <w:rFonts w:ascii="Arial" w:hAnsi="Arial" w:cs="Arial"/>
                <w:i/>
                <w:iCs/>
                <w:color w:val="000000"/>
                <w:sz w:val="16"/>
                <w:szCs w:val="16"/>
              </w:rPr>
              <w:t>A New Tax System (Goods and Services Tax) Act 1999</w:t>
            </w:r>
          </w:p>
        </w:tc>
      </w:tr>
    </w:tbl>
    <w:p w14:paraId="4D9A03BD" w14:textId="77777777" w:rsidR="006E40C9" w:rsidRPr="00540040" w:rsidRDefault="006E40C9" w:rsidP="006E40C9">
      <w:pPr>
        <w:pStyle w:val="MeasureTableHeading"/>
      </w:pPr>
    </w:p>
    <w:p w14:paraId="288E3F74" w14:textId="77777777" w:rsidR="006E40C9" w:rsidRDefault="006E40C9" w:rsidP="006E40C9">
      <w:r>
        <w:t xml:space="preserve">The benchmark tax treatment is that GST applies at the rate of 10 per cent to most supplies of goods and services and that entities may claim input tax credits for GST they pay on their inputs. However, financial supplies are generally input taxed – that is, they are not subject to GST and input tax credits cannot be claimed for anything acquired or imported to make the supply. In addition, entities that make financial supplies without exceeding the financial acquisitions threshold are entitled to input tax credits for acquisitions used or intended to be used for making the financial supplies. This allows entities to claim input tax credits for financial supplies, where they have principal commercial activities other than providing financial supplies. </w:t>
      </w:r>
      <w:r>
        <w:fldChar w:fldCharType="begin"/>
      </w:r>
      <w:r>
        <w:instrText xml:space="preserve"> XE "Goods and Services Tax: Financial supplies" </w:instrText>
      </w:r>
      <w:r>
        <w:fldChar w:fldCharType="end"/>
      </w:r>
    </w:p>
    <w:p w14:paraId="74251E27" w14:textId="77777777" w:rsidR="006E40C9" w:rsidRDefault="006E40C9" w:rsidP="006E40C9">
      <w:r>
        <w:t>An entity does not exceed the financial acquisitions threshold</w:t>
      </w:r>
      <w:r>
        <w:fldChar w:fldCharType="begin"/>
      </w:r>
      <w:r>
        <w:instrText xml:space="preserve"> XE "Financial acquisitions threshold" </w:instrText>
      </w:r>
      <w:r>
        <w:fldChar w:fldCharType="end"/>
      </w:r>
      <w:r>
        <w:t xml:space="preserve"> if the input tax credits it would have been entitled to for the acquisitions do not exceed $150,000 or 10 per cent of their total input tax credits for the year.</w:t>
      </w:r>
    </w:p>
    <w:p w14:paraId="4F02B647" w14:textId="77777777" w:rsidR="006E40C9" w:rsidRDefault="006E40C9" w:rsidP="00130689">
      <w:pPr>
        <w:pStyle w:val="Heading4"/>
      </w:pPr>
      <w:r>
        <w:t>H2</w:t>
      </w:r>
      <w:r>
        <w:tab/>
        <w:t>Financial supplies – input taxed treatment</w:t>
      </w:r>
    </w:p>
    <w:p w14:paraId="3617A23A" w14:textId="2122EB1F"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B11CC9C" w14:textId="77777777">
        <w:trPr>
          <w:cantSplit/>
          <w:jc w:val="center"/>
        </w:trPr>
        <w:tc>
          <w:tcPr>
            <w:tcW w:w="967" w:type="dxa"/>
            <w:tcBorders>
              <w:top w:val="single" w:sz="2" w:space="0" w:color="auto"/>
              <w:bottom w:val="single" w:sz="2" w:space="0" w:color="auto"/>
            </w:tcBorders>
          </w:tcPr>
          <w:p w14:paraId="43B75C2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C56BF7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FB679B"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5C2946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4C501C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4E0E8A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4A60E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7755383" w14:textId="77777777" w:rsidR="006E40C9" w:rsidRDefault="006E40C9">
            <w:pPr>
              <w:pStyle w:val="MeasureTableTextRightAligned"/>
            </w:pPr>
            <w:r>
              <w:t>2027-28</w:t>
            </w:r>
          </w:p>
        </w:tc>
      </w:tr>
      <w:tr w:rsidR="006E40C9" w14:paraId="11921C91" w14:textId="77777777">
        <w:trPr>
          <w:cantSplit/>
          <w:jc w:val="center"/>
        </w:trPr>
        <w:tc>
          <w:tcPr>
            <w:tcW w:w="967" w:type="dxa"/>
            <w:tcBorders>
              <w:top w:val="single" w:sz="2" w:space="0" w:color="auto"/>
              <w:bottom w:val="single" w:sz="2" w:space="0" w:color="auto"/>
            </w:tcBorders>
          </w:tcPr>
          <w:p w14:paraId="24E37EF9" w14:textId="77777777" w:rsidR="006E40C9" w:rsidRDefault="006E40C9">
            <w:pPr>
              <w:pStyle w:val="MeasureTableTextRightAligned"/>
            </w:pPr>
            <w:r>
              <w:t>3,050</w:t>
            </w:r>
          </w:p>
        </w:tc>
        <w:tc>
          <w:tcPr>
            <w:tcW w:w="967" w:type="dxa"/>
            <w:tcBorders>
              <w:top w:val="single" w:sz="2" w:space="0" w:color="auto"/>
              <w:bottom w:val="single" w:sz="2" w:space="0" w:color="auto"/>
            </w:tcBorders>
          </w:tcPr>
          <w:p w14:paraId="468AEB80" w14:textId="77777777" w:rsidR="006E40C9" w:rsidRDefault="006E40C9">
            <w:pPr>
              <w:pStyle w:val="MeasureTableTextRightAligned"/>
            </w:pPr>
            <w:r>
              <w:t>2,950</w:t>
            </w:r>
          </w:p>
        </w:tc>
        <w:tc>
          <w:tcPr>
            <w:tcW w:w="967" w:type="dxa"/>
            <w:tcBorders>
              <w:top w:val="single" w:sz="2" w:space="0" w:color="auto"/>
              <w:bottom w:val="single" w:sz="2" w:space="0" w:color="auto"/>
            </w:tcBorders>
            <w:vAlign w:val="bottom"/>
          </w:tcPr>
          <w:p w14:paraId="5A796D8F" w14:textId="77777777" w:rsidR="006E40C9" w:rsidRDefault="006E40C9">
            <w:pPr>
              <w:pStyle w:val="MeasureTableTextRightAligned"/>
            </w:pPr>
            <w:r>
              <w:t>3,250</w:t>
            </w:r>
          </w:p>
        </w:tc>
        <w:tc>
          <w:tcPr>
            <w:tcW w:w="967" w:type="dxa"/>
            <w:tcBorders>
              <w:top w:val="single" w:sz="2" w:space="0" w:color="auto"/>
              <w:bottom w:val="single" w:sz="2" w:space="0" w:color="auto"/>
            </w:tcBorders>
            <w:vAlign w:val="bottom"/>
          </w:tcPr>
          <w:p w14:paraId="7F6CDB8A" w14:textId="77777777" w:rsidR="006E40C9" w:rsidRDefault="006E40C9">
            <w:pPr>
              <w:pStyle w:val="MeasureTableTextRightAligned"/>
            </w:pPr>
            <w:r>
              <w:t>3,400</w:t>
            </w:r>
          </w:p>
        </w:tc>
        <w:tc>
          <w:tcPr>
            <w:tcW w:w="967" w:type="dxa"/>
            <w:tcBorders>
              <w:top w:val="single" w:sz="2" w:space="0" w:color="auto"/>
              <w:bottom w:val="single" w:sz="2" w:space="0" w:color="auto"/>
            </w:tcBorders>
            <w:vAlign w:val="bottom"/>
          </w:tcPr>
          <w:p w14:paraId="0E2F401C" w14:textId="77777777" w:rsidR="006E40C9" w:rsidRDefault="006E40C9">
            <w:pPr>
              <w:pStyle w:val="MeasureTableTextRightAligned"/>
            </w:pPr>
            <w:r>
              <w:t>3,500</w:t>
            </w:r>
          </w:p>
        </w:tc>
        <w:tc>
          <w:tcPr>
            <w:tcW w:w="967" w:type="dxa"/>
            <w:gridSpan w:val="2"/>
            <w:tcBorders>
              <w:top w:val="single" w:sz="2" w:space="0" w:color="auto"/>
              <w:bottom w:val="single" w:sz="2" w:space="0" w:color="auto"/>
            </w:tcBorders>
            <w:vAlign w:val="bottom"/>
          </w:tcPr>
          <w:p w14:paraId="45BB3921" w14:textId="77777777" w:rsidR="006E40C9" w:rsidRDefault="006E40C9">
            <w:pPr>
              <w:pStyle w:val="MeasureTableTextRightAligned"/>
            </w:pPr>
            <w:r>
              <w:t>3,650</w:t>
            </w:r>
          </w:p>
        </w:tc>
        <w:tc>
          <w:tcPr>
            <w:tcW w:w="967" w:type="dxa"/>
            <w:gridSpan w:val="2"/>
            <w:tcBorders>
              <w:top w:val="single" w:sz="2" w:space="0" w:color="auto"/>
              <w:bottom w:val="single" w:sz="2" w:space="0" w:color="auto"/>
            </w:tcBorders>
            <w:vAlign w:val="bottom"/>
          </w:tcPr>
          <w:p w14:paraId="3A8B815A" w14:textId="77777777" w:rsidR="006E40C9" w:rsidRDefault="006E40C9">
            <w:pPr>
              <w:pStyle w:val="MeasureTableTextRightAligned"/>
            </w:pPr>
            <w:r>
              <w:t>3,850</w:t>
            </w:r>
          </w:p>
        </w:tc>
        <w:tc>
          <w:tcPr>
            <w:tcW w:w="968" w:type="dxa"/>
            <w:tcBorders>
              <w:top w:val="single" w:sz="2" w:space="0" w:color="auto"/>
              <w:bottom w:val="single" w:sz="2" w:space="0" w:color="auto"/>
            </w:tcBorders>
            <w:vAlign w:val="bottom"/>
          </w:tcPr>
          <w:p w14:paraId="14EE35C9" w14:textId="77777777" w:rsidR="006E40C9" w:rsidRDefault="006E40C9">
            <w:pPr>
              <w:pStyle w:val="MeasureTableTextRightAligned"/>
            </w:pPr>
            <w:r>
              <w:t>4,050</w:t>
            </w:r>
          </w:p>
        </w:tc>
      </w:tr>
      <w:tr w:rsidR="006E40C9" w14:paraId="1F90E543" w14:textId="77777777">
        <w:trPr>
          <w:cantSplit/>
          <w:jc w:val="center"/>
        </w:trPr>
        <w:tc>
          <w:tcPr>
            <w:tcW w:w="1934" w:type="dxa"/>
            <w:gridSpan w:val="2"/>
            <w:tcBorders>
              <w:top w:val="single" w:sz="2" w:space="0" w:color="auto"/>
              <w:bottom w:val="nil"/>
            </w:tcBorders>
          </w:tcPr>
          <w:p w14:paraId="2D5E9129"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F3AB5C"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6201BD9D" w14:textId="4137A50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7D41E07" w14:textId="77777777" w:rsidR="006E40C9" w:rsidRDefault="006E40C9">
            <w:pPr>
              <w:pStyle w:val="MeasureTableTextLeftAligned"/>
            </w:pPr>
            <w:r>
              <w:t>H2</w:t>
            </w:r>
          </w:p>
        </w:tc>
      </w:tr>
      <w:tr w:rsidR="006E40C9" w14:paraId="245F9FE9" w14:textId="77777777">
        <w:trPr>
          <w:cantSplit/>
          <w:jc w:val="center"/>
        </w:trPr>
        <w:tc>
          <w:tcPr>
            <w:tcW w:w="1934" w:type="dxa"/>
            <w:gridSpan w:val="2"/>
            <w:tcBorders>
              <w:top w:val="nil"/>
              <w:bottom w:val="nil"/>
            </w:tcBorders>
          </w:tcPr>
          <w:p w14:paraId="14B7F26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FDB9363" w14:textId="28B9ADEE"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55B236B9" w14:textId="77777777" w:rsidR="006E40C9" w:rsidRDefault="006E40C9">
            <w:pPr>
              <w:pStyle w:val="MeasureTableTextItalic"/>
            </w:pPr>
          </w:p>
        </w:tc>
        <w:tc>
          <w:tcPr>
            <w:tcW w:w="1124" w:type="dxa"/>
            <w:gridSpan w:val="2"/>
            <w:tcBorders>
              <w:top w:val="nil"/>
              <w:bottom w:val="nil"/>
            </w:tcBorders>
          </w:tcPr>
          <w:p w14:paraId="30EA377E" w14:textId="77777777" w:rsidR="006E40C9" w:rsidRDefault="006E40C9">
            <w:pPr>
              <w:pStyle w:val="MeasureTableTextLeftAligned"/>
            </w:pPr>
          </w:p>
        </w:tc>
      </w:tr>
      <w:tr w:rsidR="006E40C9" w14:paraId="1EC01FB4" w14:textId="77777777">
        <w:trPr>
          <w:cantSplit/>
          <w:jc w:val="center"/>
        </w:trPr>
        <w:tc>
          <w:tcPr>
            <w:tcW w:w="1934" w:type="dxa"/>
            <w:gridSpan w:val="2"/>
            <w:tcBorders>
              <w:top w:val="nil"/>
              <w:bottom w:val="nil"/>
            </w:tcBorders>
          </w:tcPr>
          <w:p w14:paraId="03867DE6" w14:textId="77777777" w:rsidR="006E40C9" w:rsidRDefault="006E40C9">
            <w:pPr>
              <w:pStyle w:val="MeasureTableTextItalic"/>
            </w:pPr>
            <w:r>
              <w:t>Commencement date:</w:t>
            </w:r>
          </w:p>
        </w:tc>
        <w:tc>
          <w:tcPr>
            <w:tcW w:w="3179" w:type="dxa"/>
            <w:gridSpan w:val="4"/>
            <w:tcBorders>
              <w:top w:val="nil"/>
              <w:bottom w:val="nil"/>
            </w:tcBorders>
          </w:tcPr>
          <w:p w14:paraId="59988245" w14:textId="77777777" w:rsidR="006E40C9" w:rsidRDefault="006E40C9">
            <w:pPr>
              <w:pStyle w:val="MeasureTableTextLeftAligned"/>
            </w:pPr>
            <w:r>
              <w:t>1 July 2000</w:t>
            </w:r>
          </w:p>
        </w:tc>
        <w:tc>
          <w:tcPr>
            <w:tcW w:w="1500" w:type="dxa"/>
            <w:gridSpan w:val="2"/>
            <w:tcBorders>
              <w:top w:val="nil"/>
              <w:bottom w:val="nil"/>
            </w:tcBorders>
          </w:tcPr>
          <w:p w14:paraId="4ACA873A" w14:textId="77777777" w:rsidR="006E40C9" w:rsidRPr="00F32057" w:rsidRDefault="006E40C9">
            <w:pPr>
              <w:pStyle w:val="MeasureTableTextItalic"/>
            </w:pPr>
            <w:r>
              <w:t>Expiry date:</w:t>
            </w:r>
          </w:p>
        </w:tc>
        <w:tc>
          <w:tcPr>
            <w:tcW w:w="1124" w:type="dxa"/>
            <w:gridSpan w:val="2"/>
            <w:tcBorders>
              <w:top w:val="nil"/>
              <w:bottom w:val="nil"/>
            </w:tcBorders>
          </w:tcPr>
          <w:p w14:paraId="56B2A711" w14:textId="77777777" w:rsidR="006E40C9" w:rsidRPr="00F32057" w:rsidRDefault="006E40C9">
            <w:pPr>
              <w:pStyle w:val="MeasureTableTextLeftAligned"/>
            </w:pPr>
          </w:p>
        </w:tc>
      </w:tr>
      <w:tr w:rsidR="006E40C9" w14:paraId="39F2186C" w14:textId="77777777">
        <w:trPr>
          <w:cantSplit/>
          <w:jc w:val="center"/>
        </w:trPr>
        <w:tc>
          <w:tcPr>
            <w:tcW w:w="1934" w:type="dxa"/>
            <w:gridSpan w:val="2"/>
            <w:tcBorders>
              <w:top w:val="nil"/>
            </w:tcBorders>
          </w:tcPr>
          <w:p w14:paraId="4B8CFEC7" w14:textId="77777777" w:rsidR="006E40C9" w:rsidRDefault="006E40C9">
            <w:pPr>
              <w:pStyle w:val="MeasureTableTextItalic"/>
            </w:pPr>
            <w:r>
              <w:t>Legislative reference:</w:t>
            </w:r>
          </w:p>
        </w:tc>
        <w:tc>
          <w:tcPr>
            <w:tcW w:w="5803" w:type="dxa"/>
            <w:gridSpan w:val="8"/>
            <w:tcBorders>
              <w:top w:val="nil"/>
            </w:tcBorders>
          </w:tcPr>
          <w:p w14:paraId="7B16EF9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40-A of the </w:t>
            </w:r>
            <w:r>
              <w:rPr>
                <w:rFonts w:ascii="Arial" w:hAnsi="Arial" w:cs="Arial"/>
                <w:i/>
                <w:iCs/>
                <w:color w:val="000000"/>
                <w:sz w:val="16"/>
                <w:szCs w:val="16"/>
              </w:rPr>
              <w:t>A New Tax System (Goods and Services Tax) Act 1999</w:t>
            </w:r>
          </w:p>
        </w:tc>
      </w:tr>
    </w:tbl>
    <w:p w14:paraId="179FB34A" w14:textId="77777777" w:rsidR="006E40C9" w:rsidRPr="00540040" w:rsidRDefault="006E40C9" w:rsidP="006E40C9">
      <w:pPr>
        <w:pStyle w:val="MeasureTableHeading"/>
      </w:pPr>
    </w:p>
    <w:p w14:paraId="64ADDF5E" w14:textId="77777777" w:rsidR="006E40C9" w:rsidRDefault="006E40C9" w:rsidP="006E40C9">
      <w:r>
        <w:t>The benchmark tax treatment is that GST applies at the rate of 10 per cent to most supplies of goods and services and that entities may claim input tax credits for the GST they pay on their inputs. However, generally, financial supplies are not subject to GST and input tax credits cannot be claimed for such supplies. For example, banks do not charge GST on the supply of bank accounts to customers, and cannot claim back the GST component of the costs they incur in supplying bank accounts. A positive tax expenditure arises in this situation as the GST paid is less than 10 per cent of the final value of the financial supply.</w:t>
      </w:r>
      <w:r w:rsidRPr="00CE53AE">
        <w:t xml:space="preserve"> </w:t>
      </w:r>
      <w:r>
        <w:fldChar w:fldCharType="begin"/>
      </w:r>
      <w:r>
        <w:instrText xml:space="preserve"> XE "Goods and Services Tax: Financial supplies" </w:instrText>
      </w:r>
      <w:r>
        <w:fldChar w:fldCharType="end"/>
      </w:r>
    </w:p>
    <w:p w14:paraId="7D5F0FE8" w14:textId="77777777" w:rsidR="006E40C9" w:rsidRDefault="006E40C9" w:rsidP="006E40C9">
      <w:r>
        <w:t>A negative tax expenditure arises where the financial supply is to a business. This is because no GST would actually be payable under the benchmark (subjecting financial services to GST) in this situation as businesses would claim an input tax credit for the GST amount. However, under actual tax arrangements, some GST is paid as input tax credits cannot be claimed on financial supplies to businesses.</w:t>
      </w:r>
    </w:p>
    <w:p w14:paraId="42F233AA" w14:textId="77777777" w:rsidR="006E40C9" w:rsidRDefault="006E40C9" w:rsidP="006E40C9">
      <w:r>
        <w:t xml:space="preserve">Financial supplies are input taxed due to the difficulty in valuing them. The input tax treatment of financial supplies in Australia is consistent with international practice. </w:t>
      </w:r>
    </w:p>
    <w:p w14:paraId="60B4C850" w14:textId="77777777" w:rsidR="006E40C9" w:rsidRDefault="006E40C9" w:rsidP="00130689">
      <w:pPr>
        <w:pStyle w:val="Heading4"/>
      </w:pPr>
      <w:r>
        <w:t>H3</w:t>
      </w:r>
      <w:r>
        <w:tab/>
        <w:t>Financial supplies – reduced input tax credits</w:t>
      </w:r>
    </w:p>
    <w:p w14:paraId="127590D0" w14:textId="508D27BF" w:rsidR="006E40C9" w:rsidRDefault="006E40C9" w:rsidP="006E40C9">
      <w:pPr>
        <w:pStyle w:val="MeasureTableHeading"/>
      </w:pPr>
      <w:r>
        <w:t>General public services</w:t>
      </w:r>
      <w:r w:rsidR="009F5E3D">
        <w:t xml:space="preserve"> – </w:t>
      </w:r>
      <w:r>
        <w:t>Financial and fiscal affairs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C7907D6" w14:textId="77777777">
        <w:trPr>
          <w:cantSplit/>
          <w:jc w:val="center"/>
        </w:trPr>
        <w:tc>
          <w:tcPr>
            <w:tcW w:w="967" w:type="dxa"/>
            <w:tcBorders>
              <w:top w:val="single" w:sz="2" w:space="0" w:color="auto"/>
              <w:bottom w:val="single" w:sz="2" w:space="0" w:color="auto"/>
            </w:tcBorders>
          </w:tcPr>
          <w:p w14:paraId="434136AE"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7DB971D"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E410E9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20D8EB7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CCE8BA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AD04176"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26C23C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9A4A5CB" w14:textId="77777777" w:rsidR="006E40C9" w:rsidRDefault="006E40C9">
            <w:pPr>
              <w:pStyle w:val="MeasureTableTextRightAligned"/>
            </w:pPr>
            <w:r>
              <w:t>2027-28</w:t>
            </w:r>
          </w:p>
        </w:tc>
      </w:tr>
      <w:tr w:rsidR="006E40C9" w14:paraId="00128FAD" w14:textId="77777777">
        <w:trPr>
          <w:cantSplit/>
          <w:jc w:val="center"/>
        </w:trPr>
        <w:tc>
          <w:tcPr>
            <w:tcW w:w="967" w:type="dxa"/>
            <w:tcBorders>
              <w:top w:val="single" w:sz="2" w:space="0" w:color="auto"/>
              <w:bottom w:val="single" w:sz="2" w:space="0" w:color="auto"/>
            </w:tcBorders>
          </w:tcPr>
          <w:p w14:paraId="1A2E51DC" w14:textId="77777777" w:rsidR="006E40C9" w:rsidRDefault="006E40C9">
            <w:pPr>
              <w:pStyle w:val="MeasureTableTextRightAligned"/>
            </w:pPr>
            <w:r>
              <w:t>750</w:t>
            </w:r>
          </w:p>
        </w:tc>
        <w:tc>
          <w:tcPr>
            <w:tcW w:w="967" w:type="dxa"/>
            <w:tcBorders>
              <w:top w:val="single" w:sz="2" w:space="0" w:color="auto"/>
              <w:bottom w:val="single" w:sz="2" w:space="0" w:color="auto"/>
            </w:tcBorders>
          </w:tcPr>
          <w:p w14:paraId="7E07272F" w14:textId="77777777" w:rsidR="006E40C9" w:rsidRDefault="006E40C9">
            <w:pPr>
              <w:pStyle w:val="MeasureTableTextRightAligned"/>
            </w:pPr>
            <w:r>
              <w:t>750</w:t>
            </w:r>
          </w:p>
        </w:tc>
        <w:tc>
          <w:tcPr>
            <w:tcW w:w="967" w:type="dxa"/>
            <w:tcBorders>
              <w:top w:val="single" w:sz="2" w:space="0" w:color="auto"/>
              <w:bottom w:val="single" w:sz="2" w:space="0" w:color="auto"/>
            </w:tcBorders>
            <w:vAlign w:val="bottom"/>
          </w:tcPr>
          <w:p w14:paraId="73772D35" w14:textId="77777777" w:rsidR="006E40C9" w:rsidRDefault="006E40C9">
            <w:pPr>
              <w:pStyle w:val="MeasureTableTextRightAligned"/>
            </w:pPr>
            <w:r>
              <w:t>800</w:t>
            </w:r>
          </w:p>
        </w:tc>
        <w:tc>
          <w:tcPr>
            <w:tcW w:w="967" w:type="dxa"/>
            <w:tcBorders>
              <w:top w:val="single" w:sz="2" w:space="0" w:color="auto"/>
              <w:bottom w:val="single" w:sz="2" w:space="0" w:color="auto"/>
            </w:tcBorders>
            <w:vAlign w:val="bottom"/>
          </w:tcPr>
          <w:p w14:paraId="3E0E4343" w14:textId="77777777" w:rsidR="006E40C9" w:rsidRDefault="006E40C9">
            <w:pPr>
              <w:pStyle w:val="MeasureTableTextRightAligned"/>
            </w:pPr>
            <w:r>
              <w:t>850</w:t>
            </w:r>
          </w:p>
        </w:tc>
        <w:tc>
          <w:tcPr>
            <w:tcW w:w="967" w:type="dxa"/>
            <w:tcBorders>
              <w:top w:val="single" w:sz="2" w:space="0" w:color="auto"/>
              <w:bottom w:val="single" w:sz="2" w:space="0" w:color="auto"/>
            </w:tcBorders>
            <w:vAlign w:val="bottom"/>
          </w:tcPr>
          <w:p w14:paraId="443748AB" w14:textId="77777777" w:rsidR="006E40C9" w:rsidRDefault="006E40C9">
            <w:pPr>
              <w:pStyle w:val="MeasureTableTextRightAligned"/>
            </w:pPr>
            <w:r>
              <w:t>850</w:t>
            </w:r>
          </w:p>
        </w:tc>
        <w:tc>
          <w:tcPr>
            <w:tcW w:w="967" w:type="dxa"/>
            <w:gridSpan w:val="2"/>
            <w:tcBorders>
              <w:top w:val="single" w:sz="2" w:space="0" w:color="auto"/>
              <w:bottom w:val="single" w:sz="2" w:space="0" w:color="auto"/>
            </w:tcBorders>
            <w:vAlign w:val="bottom"/>
          </w:tcPr>
          <w:p w14:paraId="17EB8E1B" w14:textId="77777777" w:rsidR="006E40C9" w:rsidRDefault="006E40C9">
            <w:pPr>
              <w:pStyle w:val="MeasureTableTextRightAligned"/>
            </w:pPr>
            <w:r>
              <w:t>900</w:t>
            </w:r>
          </w:p>
        </w:tc>
        <w:tc>
          <w:tcPr>
            <w:tcW w:w="967" w:type="dxa"/>
            <w:gridSpan w:val="2"/>
            <w:tcBorders>
              <w:top w:val="single" w:sz="2" w:space="0" w:color="auto"/>
              <w:bottom w:val="single" w:sz="2" w:space="0" w:color="auto"/>
            </w:tcBorders>
            <w:vAlign w:val="bottom"/>
          </w:tcPr>
          <w:p w14:paraId="42B76E4F" w14:textId="77777777" w:rsidR="006E40C9" w:rsidRDefault="006E40C9">
            <w:pPr>
              <w:pStyle w:val="MeasureTableTextRightAligned"/>
            </w:pPr>
            <w:r>
              <w:t>950</w:t>
            </w:r>
          </w:p>
        </w:tc>
        <w:tc>
          <w:tcPr>
            <w:tcW w:w="968" w:type="dxa"/>
            <w:tcBorders>
              <w:top w:val="single" w:sz="2" w:space="0" w:color="auto"/>
              <w:bottom w:val="single" w:sz="2" w:space="0" w:color="auto"/>
            </w:tcBorders>
            <w:vAlign w:val="bottom"/>
          </w:tcPr>
          <w:p w14:paraId="120FB800" w14:textId="77777777" w:rsidR="006E40C9" w:rsidRDefault="006E40C9">
            <w:pPr>
              <w:pStyle w:val="MeasureTableTextRightAligned"/>
            </w:pPr>
            <w:r>
              <w:t>1,000</w:t>
            </w:r>
          </w:p>
        </w:tc>
      </w:tr>
      <w:tr w:rsidR="006E40C9" w14:paraId="104E97D1" w14:textId="77777777">
        <w:trPr>
          <w:cantSplit/>
          <w:jc w:val="center"/>
        </w:trPr>
        <w:tc>
          <w:tcPr>
            <w:tcW w:w="1934" w:type="dxa"/>
            <w:gridSpan w:val="2"/>
            <w:tcBorders>
              <w:top w:val="single" w:sz="2" w:space="0" w:color="auto"/>
              <w:bottom w:val="nil"/>
            </w:tcBorders>
          </w:tcPr>
          <w:p w14:paraId="631E91C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6CA4B8B"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39C0DDFA" w14:textId="0061332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710886D" w14:textId="77777777" w:rsidR="006E40C9" w:rsidRDefault="006E40C9">
            <w:pPr>
              <w:pStyle w:val="MeasureTableTextLeftAligned"/>
            </w:pPr>
            <w:r>
              <w:t>H3</w:t>
            </w:r>
          </w:p>
        </w:tc>
      </w:tr>
      <w:tr w:rsidR="006E40C9" w14:paraId="75769618" w14:textId="77777777">
        <w:trPr>
          <w:cantSplit/>
          <w:jc w:val="center"/>
        </w:trPr>
        <w:tc>
          <w:tcPr>
            <w:tcW w:w="1934" w:type="dxa"/>
            <w:gridSpan w:val="2"/>
            <w:tcBorders>
              <w:top w:val="nil"/>
              <w:bottom w:val="nil"/>
            </w:tcBorders>
          </w:tcPr>
          <w:p w14:paraId="3222D4B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D473543" w14:textId="320270FB"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2FD341CE" w14:textId="77777777" w:rsidR="006E40C9" w:rsidRDefault="006E40C9">
            <w:pPr>
              <w:pStyle w:val="MeasureTableTextItalic"/>
            </w:pPr>
          </w:p>
        </w:tc>
        <w:tc>
          <w:tcPr>
            <w:tcW w:w="1124" w:type="dxa"/>
            <w:gridSpan w:val="2"/>
            <w:tcBorders>
              <w:top w:val="nil"/>
              <w:bottom w:val="nil"/>
            </w:tcBorders>
          </w:tcPr>
          <w:p w14:paraId="5690360E" w14:textId="77777777" w:rsidR="006E40C9" w:rsidRDefault="006E40C9">
            <w:pPr>
              <w:pStyle w:val="MeasureTableTextLeftAligned"/>
            </w:pPr>
          </w:p>
        </w:tc>
      </w:tr>
      <w:tr w:rsidR="006E40C9" w14:paraId="63808529" w14:textId="77777777">
        <w:trPr>
          <w:cantSplit/>
          <w:jc w:val="center"/>
        </w:trPr>
        <w:tc>
          <w:tcPr>
            <w:tcW w:w="1934" w:type="dxa"/>
            <w:gridSpan w:val="2"/>
            <w:tcBorders>
              <w:top w:val="nil"/>
              <w:bottom w:val="nil"/>
            </w:tcBorders>
          </w:tcPr>
          <w:p w14:paraId="6168FCD8" w14:textId="77777777" w:rsidR="006E40C9" w:rsidRDefault="006E40C9">
            <w:pPr>
              <w:pStyle w:val="MeasureTableTextItalic"/>
            </w:pPr>
            <w:r>
              <w:t>Commencement date:</w:t>
            </w:r>
          </w:p>
        </w:tc>
        <w:tc>
          <w:tcPr>
            <w:tcW w:w="3179" w:type="dxa"/>
            <w:gridSpan w:val="4"/>
            <w:tcBorders>
              <w:top w:val="nil"/>
              <w:bottom w:val="nil"/>
            </w:tcBorders>
          </w:tcPr>
          <w:p w14:paraId="13B8DA7D" w14:textId="77777777" w:rsidR="006E40C9" w:rsidRDefault="006E40C9">
            <w:pPr>
              <w:pStyle w:val="MeasureTableTextLeftAligned"/>
            </w:pPr>
            <w:r>
              <w:t>1 July 2000</w:t>
            </w:r>
          </w:p>
        </w:tc>
        <w:tc>
          <w:tcPr>
            <w:tcW w:w="1500" w:type="dxa"/>
            <w:gridSpan w:val="2"/>
            <w:tcBorders>
              <w:top w:val="nil"/>
              <w:bottom w:val="nil"/>
            </w:tcBorders>
          </w:tcPr>
          <w:p w14:paraId="35A2B617" w14:textId="77777777" w:rsidR="006E40C9" w:rsidRPr="00F32057" w:rsidRDefault="006E40C9">
            <w:pPr>
              <w:pStyle w:val="MeasureTableTextItalic"/>
            </w:pPr>
            <w:r>
              <w:t>Expiry date:</w:t>
            </w:r>
          </w:p>
        </w:tc>
        <w:tc>
          <w:tcPr>
            <w:tcW w:w="1124" w:type="dxa"/>
            <w:gridSpan w:val="2"/>
            <w:tcBorders>
              <w:top w:val="nil"/>
              <w:bottom w:val="nil"/>
            </w:tcBorders>
          </w:tcPr>
          <w:p w14:paraId="3E30718A" w14:textId="77777777" w:rsidR="006E40C9" w:rsidRPr="00F32057" w:rsidRDefault="006E40C9">
            <w:pPr>
              <w:pStyle w:val="MeasureTableTextLeftAligned"/>
            </w:pPr>
          </w:p>
        </w:tc>
      </w:tr>
      <w:tr w:rsidR="006E40C9" w14:paraId="796791AD" w14:textId="77777777">
        <w:trPr>
          <w:cantSplit/>
          <w:jc w:val="center"/>
        </w:trPr>
        <w:tc>
          <w:tcPr>
            <w:tcW w:w="1934" w:type="dxa"/>
            <w:gridSpan w:val="2"/>
            <w:tcBorders>
              <w:top w:val="nil"/>
            </w:tcBorders>
          </w:tcPr>
          <w:p w14:paraId="5481616A" w14:textId="77777777" w:rsidR="006E40C9" w:rsidRDefault="006E40C9">
            <w:pPr>
              <w:pStyle w:val="MeasureTableTextItalic"/>
            </w:pPr>
            <w:r>
              <w:t>Legislative reference:</w:t>
            </w:r>
          </w:p>
        </w:tc>
        <w:tc>
          <w:tcPr>
            <w:tcW w:w="5803" w:type="dxa"/>
            <w:gridSpan w:val="8"/>
            <w:tcBorders>
              <w:top w:val="nil"/>
            </w:tcBorders>
          </w:tcPr>
          <w:p w14:paraId="028312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70 of the </w:t>
            </w:r>
            <w:r>
              <w:rPr>
                <w:rFonts w:ascii="Arial" w:hAnsi="Arial" w:cs="Arial"/>
                <w:i/>
                <w:iCs/>
                <w:color w:val="000000"/>
                <w:sz w:val="16"/>
                <w:szCs w:val="16"/>
              </w:rPr>
              <w:t>A New Tax System (Goods and Services Tax) Act 1999</w:t>
            </w:r>
          </w:p>
        </w:tc>
      </w:tr>
    </w:tbl>
    <w:p w14:paraId="154C9A21" w14:textId="77777777" w:rsidR="006E40C9" w:rsidRPr="00540040" w:rsidRDefault="006E40C9" w:rsidP="006E40C9">
      <w:pPr>
        <w:pStyle w:val="MeasureTableHeading"/>
      </w:pPr>
    </w:p>
    <w:p w14:paraId="36C1AD58" w14:textId="77777777" w:rsidR="006E40C9" w:rsidRDefault="006E40C9" w:rsidP="006E40C9">
      <w:r>
        <w:t xml:space="preserve">The benchmark tax treatment is that GST applies at the rate of 10 per cent to most supplies of goods and services and that entities may claim input tax credits for the GST they pay on their inputs. However, generally, financial supplies are not subject to GST and input tax credits cannot be claimed for such supplies. However, input tax credits may be claimed for the acquisition of certain supplies, (including cash management, funds transfer, and debt collection services) but at a reduced rate (either 55 or 75 per cent of the standard input tax credit entitlement depending on the acquisition). </w:t>
      </w:r>
    </w:p>
    <w:p w14:paraId="3F23DC24" w14:textId="77777777" w:rsidR="006E40C9" w:rsidRDefault="006E40C9" w:rsidP="006E40C9">
      <w:r>
        <w:t>Reduced input tax credits are designed to reduce the bias between insourcing and outsourcing the relevant services, as GST can apply where these services are outsourced, but not when they are provided internally by employees.</w:t>
      </w:r>
      <w:r w:rsidRPr="00CE53AE">
        <w:t xml:space="preserve"> </w:t>
      </w:r>
      <w:r>
        <w:fldChar w:fldCharType="begin"/>
      </w:r>
      <w:r>
        <w:instrText xml:space="preserve"> XE "Goods and Services Tax: Financial supplies" </w:instrText>
      </w:r>
      <w:r>
        <w:fldChar w:fldCharType="end"/>
      </w:r>
    </w:p>
    <w:p w14:paraId="5DC11C61" w14:textId="77777777" w:rsidR="006E40C9" w:rsidRDefault="006E40C9" w:rsidP="00130689">
      <w:pPr>
        <w:pStyle w:val="Heading4"/>
      </w:pPr>
      <w:r>
        <w:t>H4</w:t>
      </w:r>
      <w:r>
        <w:tab/>
        <w:t>Charities and non-profit bodies</w:t>
      </w:r>
    </w:p>
    <w:p w14:paraId="546AA422" w14:textId="18793BF2" w:rsidR="006E40C9" w:rsidRDefault="006E40C9" w:rsidP="006E40C9">
      <w:pPr>
        <w:pStyle w:val="MeasureTableHeading"/>
      </w:pPr>
      <w:r>
        <w:t>General public services</w:t>
      </w:r>
      <w:r w:rsidR="009F5E3D">
        <w:t xml:space="preserve"> – </w:t>
      </w:r>
      <w:r>
        <w:t>General services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89FC5F0" w14:textId="77777777">
        <w:trPr>
          <w:cantSplit/>
          <w:jc w:val="center"/>
        </w:trPr>
        <w:tc>
          <w:tcPr>
            <w:tcW w:w="967" w:type="dxa"/>
            <w:tcBorders>
              <w:top w:val="single" w:sz="2" w:space="0" w:color="auto"/>
              <w:bottom w:val="single" w:sz="2" w:space="0" w:color="auto"/>
            </w:tcBorders>
          </w:tcPr>
          <w:p w14:paraId="1A277F99"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56E2DA"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849AFF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DF090C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0EF6B1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BEC967E"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5635A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C54B48F" w14:textId="77777777" w:rsidR="006E40C9" w:rsidRDefault="006E40C9">
            <w:pPr>
              <w:pStyle w:val="MeasureTableTextRightAligned"/>
            </w:pPr>
            <w:r>
              <w:t>2027-28</w:t>
            </w:r>
          </w:p>
        </w:tc>
      </w:tr>
      <w:tr w:rsidR="006E40C9" w14:paraId="3B3AF82C" w14:textId="77777777">
        <w:trPr>
          <w:cantSplit/>
          <w:jc w:val="center"/>
        </w:trPr>
        <w:tc>
          <w:tcPr>
            <w:tcW w:w="967" w:type="dxa"/>
            <w:tcBorders>
              <w:top w:val="single" w:sz="2" w:space="0" w:color="auto"/>
              <w:bottom w:val="single" w:sz="2" w:space="0" w:color="auto"/>
            </w:tcBorders>
          </w:tcPr>
          <w:p w14:paraId="647968EB" w14:textId="77777777" w:rsidR="006E40C9" w:rsidRDefault="006E40C9">
            <w:pPr>
              <w:pStyle w:val="MeasureTableTextRightAligned"/>
            </w:pPr>
            <w:r>
              <w:t>*</w:t>
            </w:r>
          </w:p>
        </w:tc>
        <w:tc>
          <w:tcPr>
            <w:tcW w:w="967" w:type="dxa"/>
            <w:tcBorders>
              <w:top w:val="single" w:sz="2" w:space="0" w:color="auto"/>
              <w:bottom w:val="single" w:sz="2" w:space="0" w:color="auto"/>
            </w:tcBorders>
          </w:tcPr>
          <w:p w14:paraId="20BAEC5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E08BD50"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053706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C0B8D5C"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23AE4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86E3902"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78DEFF3" w14:textId="77777777" w:rsidR="006E40C9" w:rsidRDefault="006E40C9">
            <w:pPr>
              <w:pStyle w:val="MeasureTableTextRightAligned"/>
            </w:pPr>
            <w:r>
              <w:t>*</w:t>
            </w:r>
          </w:p>
        </w:tc>
      </w:tr>
      <w:tr w:rsidR="006E40C9" w14:paraId="1F74736C" w14:textId="77777777">
        <w:trPr>
          <w:cantSplit/>
          <w:jc w:val="center"/>
        </w:trPr>
        <w:tc>
          <w:tcPr>
            <w:tcW w:w="1934" w:type="dxa"/>
            <w:gridSpan w:val="2"/>
            <w:tcBorders>
              <w:top w:val="single" w:sz="2" w:space="0" w:color="auto"/>
              <w:bottom w:val="nil"/>
            </w:tcBorders>
          </w:tcPr>
          <w:p w14:paraId="604F80F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5140495" w14:textId="77777777" w:rsidR="006E40C9" w:rsidRDefault="006E40C9">
            <w:pPr>
              <w:pStyle w:val="MeasureTableTextLeftAligned"/>
            </w:pPr>
            <w:r>
              <w:t>Exemption</w:t>
            </w:r>
          </w:p>
        </w:tc>
        <w:tc>
          <w:tcPr>
            <w:tcW w:w="1500" w:type="dxa"/>
            <w:gridSpan w:val="2"/>
            <w:tcBorders>
              <w:top w:val="single" w:sz="2" w:space="0" w:color="auto"/>
              <w:bottom w:val="nil"/>
            </w:tcBorders>
          </w:tcPr>
          <w:p w14:paraId="4C00BB71" w14:textId="3FAF548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323CCCB" w14:textId="77777777" w:rsidR="006E40C9" w:rsidRDefault="006E40C9">
            <w:pPr>
              <w:pStyle w:val="MeasureTableTextLeftAligned"/>
            </w:pPr>
            <w:r>
              <w:t>H4</w:t>
            </w:r>
          </w:p>
        </w:tc>
      </w:tr>
      <w:tr w:rsidR="006E40C9" w14:paraId="2CCAA89B" w14:textId="77777777">
        <w:trPr>
          <w:cantSplit/>
          <w:jc w:val="center"/>
        </w:trPr>
        <w:tc>
          <w:tcPr>
            <w:tcW w:w="1934" w:type="dxa"/>
            <w:gridSpan w:val="2"/>
            <w:tcBorders>
              <w:top w:val="nil"/>
              <w:bottom w:val="nil"/>
            </w:tcBorders>
          </w:tcPr>
          <w:p w14:paraId="517CAA6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6A15BA0" w14:textId="77777777" w:rsidR="006E40C9" w:rsidRPr="00584CA7" w:rsidRDefault="006E40C9">
            <w:pPr>
              <w:pStyle w:val="MeasureTableTextLeftAligned"/>
            </w:pPr>
            <w:r>
              <w:t>Not Applicable</w:t>
            </w:r>
          </w:p>
        </w:tc>
        <w:tc>
          <w:tcPr>
            <w:tcW w:w="1500" w:type="dxa"/>
            <w:gridSpan w:val="2"/>
            <w:tcBorders>
              <w:top w:val="nil"/>
              <w:bottom w:val="nil"/>
            </w:tcBorders>
          </w:tcPr>
          <w:p w14:paraId="6744E3C9" w14:textId="77777777" w:rsidR="006E40C9" w:rsidRDefault="006E40C9">
            <w:pPr>
              <w:pStyle w:val="MeasureTableTextItalic"/>
            </w:pPr>
            <w:r>
              <w:t>* Category</w:t>
            </w:r>
          </w:p>
        </w:tc>
        <w:tc>
          <w:tcPr>
            <w:tcW w:w="1124" w:type="dxa"/>
            <w:gridSpan w:val="2"/>
            <w:tcBorders>
              <w:top w:val="nil"/>
              <w:bottom w:val="nil"/>
            </w:tcBorders>
          </w:tcPr>
          <w:p w14:paraId="58E38DFB" w14:textId="77777777" w:rsidR="006E40C9" w:rsidRDefault="006E40C9">
            <w:pPr>
              <w:pStyle w:val="MeasureTableTextLeftAligned"/>
            </w:pPr>
            <w:r>
              <w:t>3+</w:t>
            </w:r>
          </w:p>
        </w:tc>
      </w:tr>
      <w:tr w:rsidR="006E40C9" w14:paraId="355D267A" w14:textId="77777777">
        <w:trPr>
          <w:cantSplit/>
          <w:jc w:val="center"/>
        </w:trPr>
        <w:tc>
          <w:tcPr>
            <w:tcW w:w="1934" w:type="dxa"/>
            <w:gridSpan w:val="2"/>
            <w:tcBorders>
              <w:top w:val="nil"/>
              <w:bottom w:val="nil"/>
            </w:tcBorders>
          </w:tcPr>
          <w:p w14:paraId="75B314A7" w14:textId="77777777" w:rsidR="006E40C9" w:rsidRDefault="006E40C9">
            <w:pPr>
              <w:pStyle w:val="MeasureTableTextItalic"/>
            </w:pPr>
            <w:r>
              <w:t>Commencement date:</w:t>
            </w:r>
          </w:p>
        </w:tc>
        <w:tc>
          <w:tcPr>
            <w:tcW w:w="3179" w:type="dxa"/>
            <w:gridSpan w:val="4"/>
            <w:tcBorders>
              <w:top w:val="nil"/>
              <w:bottom w:val="nil"/>
            </w:tcBorders>
          </w:tcPr>
          <w:p w14:paraId="722C3C68" w14:textId="77777777" w:rsidR="006E40C9" w:rsidRDefault="006E40C9">
            <w:pPr>
              <w:pStyle w:val="MeasureTableTextLeftAligned"/>
            </w:pPr>
            <w:r>
              <w:t>1 July 2000</w:t>
            </w:r>
          </w:p>
        </w:tc>
        <w:tc>
          <w:tcPr>
            <w:tcW w:w="1500" w:type="dxa"/>
            <w:gridSpan w:val="2"/>
            <w:tcBorders>
              <w:top w:val="nil"/>
              <w:bottom w:val="nil"/>
            </w:tcBorders>
          </w:tcPr>
          <w:p w14:paraId="261657CC" w14:textId="77777777" w:rsidR="006E40C9" w:rsidRPr="00F32057" w:rsidRDefault="006E40C9">
            <w:pPr>
              <w:pStyle w:val="MeasureTableTextItalic"/>
            </w:pPr>
            <w:r>
              <w:t>Expiry date:</w:t>
            </w:r>
          </w:p>
        </w:tc>
        <w:tc>
          <w:tcPr>
            <w:tcW w:w="1124" w:type="dxa"/>
            <w:gridSpan w:val="2"/>
            <w:tcBorders>
              <w:top w:val="nil"/>
              <w:bottom w:val="nil"/>
            </w:tcBorders>
          </w:tcPr>
          <w:p w14:paraId="4232E3E2" w14:textId="77777777" w:rsidR="006E40C9" w:rsidRPr="00F32057" w:rsidRDefault="006E40C9">
            <w:pPr>
              <w:pStyle w:val="MeasureTableTextLeftAligned"/>
            </w:pPr>
          </w:p>
        </w:tc>
      </w:tr>
      <w:tr w:rsidR="006E40C9" w14:paraId="359F0765" w14:textId="77777777">
        <w:trPr>
          <w:cantSplit/>
          <w:jc w:val="center"/>
        </w:trPr>
        <w:tc>
          <w:tcPr>
            <w:tcW w:w="1934" w:type="dxa"/>
            <w:gridSpan w:val="2"/>
            <w:tcBorders>
              <w:top w:val="nil"/>
            </w:tcBorders>
          </w:tcPr>
          <w:p w14:paraId="5199D3D6" w14:textId="77777777" w:rsidR="006E40C9" w:rsidRDefault="006E40C9">
            <w:pPr>
              <w:pStyle w:val="MeasureTableTextItalic"/>
            </w:pPr>
            <w:r>
              <w:t>Legislative reference:</w:t>
            </w:r>
          </w:p>
        </w:tc>
        <w:tc>
          <w:tcPr>
            <w:tcW w:w="5803" w:type="dxa"/>
            <w:gridSpan w:val="8"/>
            <w:tcBorders>
              <w:top w:val="nil"/>
            </w:tcBorders>
          </w:tcPr>
          <w:p w14:paraId="1560977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38-G of the </w:t>
            </w:r>
            <w:r>
              <w:rPr>
                <w:rFonts w:ascii="Arial" w:hAnsi="Arial" w:cs="Arial"/>
                <w:i/>
                <w:iCs/>
                <w:color w:val="000000"/>
                <w:sz w:val="16"/>
                <w:szCs w:val="16"/>
              </w:rPr>
              <w:t>A New Tax System (Goods and Services Tax) Act 1999</w:t>
            </w:r>
          </w:p>
        </w:tc>
      </w:tr>
    </w:tbl>
    <w:p w14:paraId="30EB87C2" w14:textId="77777777" w:rsidR="006E40C9" w:rsidRPr="00540040" w:rsidRDefault="006E40C9" w:rsidP="006E40C9">
      <w:pPr>
        <w:pStyle w:val="MeasureTableHeading"/>
      </w:pPr>
    </w:p>
    <w:p w14:paraId="56C3DDB0" w14:textId="77777777" w:rsidR="006E40C9" w:rsidRDefault="006E40C9" w:rsidP="006E40C9">
      <w:r>
        <w:t xml:space="preserve">Broadly, the benchmark tax treatment is that GST applies at the rate of 10 per cent to most supplies of goods and services. </w:t>
      </w:r>
      <w:r>
        <w:fldChar w:fldCharType="begin"/>
      </w:r>
      <w:r>
        <w:instrText xml:space="preserve"> XE "Charitable institutions" </w:instrText>
      </w:r>
      <w:r>
        <w:fldChar w:fldCharType="end"/>
      </w:r>
      <w:r>
        <w:t>Non</w:t>
      </w:r>
      <w:r>
        <w:noBreakHyphen/>
        <w:t>profit bodies</w:t>
      </w:r>
      <w:r>
        <w:fldChar w:fldCharType="begin"/>
      </w:r>
      <w:r>
        <w:instrText xml:space="preserve"> XE "Deductible gift recipients" </w:instrText>
      </w:r>
      <w:r>
        <w:fldChar w:fldCharType="end"/>
      </w:r>
      <w:r>
        <w:t xml:space="preserve"> are entitled to a higher GST registration threshold</w:t>
      </w:r>
      <w:r>
        <w:fldChar w:fldCharType="begin"/>
      </w:r>
      <w:r>
        <w:instrText xml:space="preserve"> XE "Goods and Services Tax:Registration threshold" </w:instrText>
      </w:r>
      <w:r>
        <w:fldChar w:fldCharType="end"/>
      </w:r>
      <w:r>
        <w:t xml:space="preserve"> of $150,000. They are entitled to GST</w:t>
      </w:r>
      <w:r>
        <w:noBreakHyphen/>
        <w:t>free treatment on non</w:t>
      </w:r>
      <w:r>
        <w:noBreakHyphen/>
        <w:t>commercial activities, certain retirement village services, bingo, and sale of second</w:t>
      </w:r>
      <w:r>
        <w:noBreakHyphen/>
        <w:t>hand goods. Charities can elect to have fundraising treated as input taxed. This option is also available to deductible gift recipients and government schools.</w:t>
      </w:r>
    </w:p>
    <w:p w14:paraId="331C9C54" w14:textId="77777777" w:rsidR="006E40C9" w:rsidRDefault="006E40C9" w:rsidP="00130689">
      <w:pPr>
        <w:pStyle w:val="Heading4"/>
      </w:pPr>
      <w:r>
        <w:t>H5</w:t>
      </w:r>
      <w:r>
        <w:tab/>
        <w:t>Child care services</w:t>
      </w:r>
    </w:p>
    <w:p w14:paraId="6BA611DD"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824BC67" w14:textId="77777777">
        <w:trPr>
          <w:cantSplit/>
          <w:jc w:val="center"/>
        </w:trPr>
        <w:tc>
          <w:tcPr>
            <w:tcW w:w="967" w:type="dxa"/>
            <w:tcBorders>
              <w:top w:val="single" w:sz="2" w:space="0" w:color="auto"/>
              <w:bottom w:val="single" w:sz="2" w:space="0" w:color="auto"/>
            </w:tcBorders>
          </w:tcPr>
          <w:p w14:paraId="5D0832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E9316C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0BDDC4B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5D11E1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27D12C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345564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60A8A7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D6E3644" w14:textId="77777777" w:rsidR="006E40C9" w:rsidRDefault="006E40C9">
            <w:pPr>
              <w:pStyle w:val="MeasureTableTextRightAligned"/>
            </w:pPr>
            <w:r>
              <w:t>2027-28</w:t>
            </w:r>
          </w:p>
        </w:tc>
      </w:tr>
      <w:tr w:rsidR="006E40C9" w14:paraId="2A865F33" w14:textId="77777777">
        <w:trPr>
          <w:cantSplit/>
          <w:jc w:val="center"/>
        </w:trPr>
        <w:tc>
          <w:tcPr>
            <w:tcW w:w="967" w:type="dxa"/>
            <w:tcBorders>
              <w:top w:val="single" w:sz="2" w:space="0" w:color="auto"/>
              <w:bottom w:val="single" w:sz="2" w:space="0" w:color="auto"/>
            </w:tcBorders>
          </w:tcPr>
          <w:p w14:paraId="545C6BE5" w14:textId="77777777" w:rsidR="006E40C9" w:rsidRDefault="006E40C9">
            <w:pPr>
              <w:pStyle w:val="MeasureTableTextRightAligned"/>
            </w:pPr>
            <w:r>
              <w:t>1,620</w:t>
            </w:r>
          </w:p>
        </w:tc>
        <w:tc>
          <w:tcPr>
            <w:tcW w:w="967" w:type="dxa"/>
            <w:tcBorders>
              <w:top w:val="single" w:sz="2" w:space="0" w:color="auto"/>
              <w:bottom w:val="single" w:sz="2" w:space="0" w:color="auto"/>
            </w:tcBorders>
          </w:tcPr>
          <w:p w14:paraId="78A41E08" w14:textId="77777777" w:rsidR="006E40C9" w:rsidRDefault="006E40C9">
            <w:pPr>
              <w:pStyle w:val="MeasureTableTextRightAligned"/>
            </w:pPr>
            <w:r>
              <w:t>1,820</w:t>
            </w:r>
          </w:p>
        </w:tc>
        <w:tc>
          <w:tcPr>
            <w:tcW w:w="967" w:type="dxa"/>
            <w:tcBorders>
              <w:top w:val="single" w:sz="2" w:space="0" w:color="auto"/>
              <w:bottom w:val="single" w:sz="2" w:space="0" w:color="auto"/>
            </w:tcBorders>
            <w:vAlign w:val="bottom"/>
          </w:tcPr>
          <w:p w14:paraId="4B21240C" w14:textId="77777777" w:rsidR="006E40C9" w:rsidRDefault="006E40C9">
            <w:pPr>
              <w:pStyle w:val="MeasureTableTextRightAligned"/>
            </w:pPr>
            <w:r>
              <w:t>1,950</w:t>
            </w:r>
          </w:p>
        </w:tc>
        <w:tc>
          <w:tcPr>
            <w:tcW w:w="967" w:type="dxa"/>
            <w:tcBorders>
              <w:top w:val="single" w:sz="2" w:space="0" w:color="auto"/>
              <w:bottom w:val="single" w:sz="2" w:space="0" w:color="auto"/>
            </w:tcBorders>
            <w:vAlign w:val="bottom"/>
          </w:tcPr>
          <w:p w14:paraId="5170C609" w14:textId="77777777" w:rsidR="006E40C9" w:rsidRDefault="006E40C9">
            <w:pPr>
              <w:pStyle w:val="MeasureTableTextRightAligned"/>
            </w:pPr>
            <w:r>
              <w:t>2,230</w:t>
            </w:r>
          </w:p>
        </w:tc>
        <w:tc>
          <w:tcPr>
            <w:tcW w:w="967" w:type="dxa"/>
            <w:tcBorders>
              <w:top w:val="single" w:sz="2" w:space="0" w:color="auto"/>
              <w:bottom w:val="single" w:sz="2" w:space="0" w:color="auto"/>
            </w:tcBorders>
            <w:vAlign w:val="bottom"/>
          </w:tcPr>
          <w:p w14:paraId="6E6A33C3" w14:textId="77777777" w:rsidR="006E40C9" w:rsidRDefault="006E40C9">
            <w:pPr>
              <w:pStyle w:val="MeasureTableTextRightAligned"/>
            </w:pPr>
            <w:r>
              <w:t>2,330</w:t>
            </w:r>
          </w:p>
        </w:tc>
        <w:tc>
          <w:tcPr>
            <w:tcW w:w="967" w:type="dxa"/>
            <w:gridSpan w:val="2"/>
            <w:tcBorders>
              <w:top w:val="single" w:sz="2" w:space="0" w:color="auto"/>
              <w:bottom w:val="single" w:sz="2" w:space="0" w:color="auto"/>
            </w:tcBorders>
            <w:vAlign w:val="bottom"/>
          </w:tcPr>
          <w:p w14:paraId="7B50C0A3" w14:textId="77777777" w:rsidR="006E40C9" w:rsidRDefault="006E40C9">
            <w:pPr>
              <w:pStyle w:val="MeasureTableTextRightAligned"/>
            </w:pPr>
            <w:r>
              <w:t>2,420</w:t>
            </w:r>
          </w:p>
        </w:tc>
        <w:tc>
          <w:tcPr>
            <w:tcW w:w="967" w:type="dxa"/>
            <w:gridSpan w:val="2"/>
            <w:tcBorders>
              <w:top w:val="single" w:sz="2" w:space="0" w:color="auto"/>
              <w:bottom w:val="single" w:sz="2" w:space="0" w:color="auto"/>
            </w:tcBorders>
            <w:vAlign w:val="bottom"/>
          </w:tcPr>
          <w:p w14:paraId="63FB36B5" w14:textId="77777777" w:rsidR="006E40C9" w:rsidRDefault="006E40C9">
            <w:pPr>
              <w:pStyle w:val="MeasureTableTextRightAligned"/>
            </w:pPr>
            <w:r>
              <w:t>2,560</w:t>
            </w:r>
          </w:p>
        </w:tc>
        <w:tc>
          <w:tcPr>
            <w:tcW w:w="968" w:type="dxa"/>
            <w:tcBorders>
              <w:top w:val="single" w:sz="2" w:space="0" w:color="auto"/>
              <w:bottom w:val="single" w:sz="2" w:space="0" w:color="auto"/>
            </w:tcBorders>
            <w:vAlign w:val="bottom"/>
          </w:tcPr>
          <w:p w14:paraId="376EA395" w14:textId="77777777" w:rsidR="006E40C9" w:rsidRDefault="006E40C9">
            <w:pPr>
              <w:pStyle w:val="MeasureTableTextRightAligned"/>
            </w:pPr>
            <w:r>
              <w:t>2,710</w:t>
            </w:r>
          </w:p>
        </w:tc>
      </w:tr>
      <w:tr w:rsidR="006E40C9" w14:paraId="3FBE4EAC" w14:textId="77777777">
        <w:trPr>
          <w:cantSplit/>
          <w:jc w:val="center"/>
        </w:trPr>
        <w:tc>
          <w:tcPr>
            <w:tcW w:w="1934" w:type="dxa"/>
            <w:gridSpan w:val="2"/>
            <w:tcBorders>
              <w:top w:val="single" w:sz="2" w:space="0" w:color="auto"/>
              <w:bottom w:val="nil"/>
            </w:tcBorders>
          </w:tcPr>
          <w:p w14:paraId="7FFEF9B8"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BF1202"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0422D4D6" w14:textId="274C5EC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74BBDD4" w14:textId="77777777" w:rsidR="006E40C9" w:rsidRDefault="006E40C9">
            <w:pPr>
              <w:pStyle w:val="MeasureTableTextLeftAligned"/>
            </w:pPr>
            <w:r>
              <w:t>H5</w:t>
            </w:r>
          </w:p>
        </w:tc>
      </w:tr>
      <w:tr w:rsidR="006E40C9" w14:paraId="4EEF8F89" w14:textId="77777777">
        <w:trPr>
          <w:cantSplit/>
          <w:jc w:val="center"/>
        </w:trPr>
        <w:tc>
          <w:tcPr>
            <w:tcW w:w="1934" w:type="dxa"/>
            <w:gridSpan w:val="2"/>
            <w:tcBorders>
              <w:top w:val="nil"/>
              <w:bottom w:val="nil"/>
            </w:tcBorders>
          </w:tcPr>
          <w:p w14:paraId="02DD027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3B44ADF" w14:textId="7C50E761" w:rsidR="006E40C9" w:rsidRPr="00584CA7" w:rsidRDefault="006E40C9">
            <w:pPr>
              <w:pStyle w:val="MeasureTableTextLeftAligned"/>
            </w:pPr>
            <w:r>
              <w:t>Medium</w:t>
            </w:r>
            <w:r w:rsidR="009F5E3D">
              <w:t xml:space="preserve"> – </w:t>
            </w:r>
            <w:r>
              <w:t>Low</w:t>
            </w:r>
          </w:p>
        </w:tc>
        <w:tc>
          <w:tcPr>
            <w:tcW w:w="1500" w:type="dxa"/>
            <w:gridSpan w:val="2"/>
            <w:tcBorders>
              <w:top w:val="nil"/>
              <w:bottom w:val="nil"/>
            </w:tcBorders>
          </w:tcPr>
          <w:p w14:paraId="66A93D54" w14:textId="77777777" w:rsidR="006E40C9" w:rsidRDefault="006E40C9">
            <w:pPr>
              <w:pStyle w:val="MeasureTableTextItalic"/>
            </w:pPr>
          </w:p>
        </w:tc>
        <w:tc>
          <w:tcPr>
            <w:tcW w:w="1124" w:type="dxa"/>
            <w:gridSpan w:val="2"/>
            <w:tcBorders>
              <w:top w:val="nil"/>
              <w:bottom w:val="nil"/>
            </w:tcBorders>
          </w:tcPr>
          <w:p w14:paraId="05A2BB14" w14:textId="77777777" w:rsidR="006E40C9" w:rsidRDefault="006E40C9">
            <w:pPr>
              <w:pStyle w:val="MeasureTableTextLeftAligned"/>
            </w:pPr>
          </w:p>
        </w:tc>
      </w:tr>
      <w:tr w:rsidR="006E40C9" w14:paraId="60119782" w14:textId="77777777">
        <w:trPr>
          <w:cantSplit/>
          <w:jc w:val="center"/>
        </w:trPr>
        <w:tc>
          <w:tcPr>
            <w:tcW w:w="1934" w:type="dxa"/>
            <w:gridSpan w:val="2"/>
            <w:tcBorders>
              <w:top w:val="nil"/>
              <w:bottom w:val="nil"/>
            </w:tcBorders>
          </w:tcPr>
          <w:p w14:paraId="5762471F" w14:textId="77777777" w:rsidR="006E40C9" w:rsidRDefault="006E40C9">
            <w:pPr>
              <w:pStyle w:val="MeasureTableTextItalic"/>
            </w:pPr>
            <w:r>
              <w:t>Commencement date:</w:t>
            </w:r>
          </w:p>
        </w:tc>
        <w:tc>
          <w:tcPr>
            <w:tcW w:w="3179" w:type="dxa"/>
            <w:gridSpan w:val="4"/>
            <w:tcBorders>
              <w:top w:val="nil"/>
              <w:bottom w:val="nil"/>
            </w:tcBorders>
          </w:tcPr>
          <w:p w14:paraId="704F4D9F" w14:textId="77777777" w:rsidR="006E40C9" w:rsidRDefault="006E40C9">
            <w:pPr>
              <w:pStyle w:val="MeasureTableTextLeftAligned"/>
            </w:pPr>
            <w:r>
              <w:t>1 July 2000</w:t>
            </w:r>
          </w:p>
        </w:tc>
        <w:tc>
          <w:tcPr>
            <w:tcW w:w="1500" w:type="dxa"/>
            <w:gridSpan w:val="2"/>
            <w:tcBorders>
              <w:top w:val="nil"/>
              <w:bottom w:val="nil"/>
            </w:tcBorders>
          </w:tcPr>
          <w:p w14:paraId="2D61B30A" w14:textId="77777777" w:rsidR="006E40C9" w:rsidRPr="00F32057" w:rsidRDefault="006E40C9">
            <w:pPr>
              <w:pStyle w:val="MeasureTableTextItalic"/>
            </w:pPr>
            <w:r>
              <w:t>Expiry date:</w:t>
            </w:r>
          </w:p>
        </w:tc>
        <w:tc>
          <w:tcPr>
            <w:tcW w:w="1124" w:type="dxa"/>
            <w:gridSpan w:val="2"/>
            <w:tcBorders>
              <w:top w:val="nil"/>
              <w:bottom w:val="nil"/>
            </w:tcBorders>
          </w:tcPr>
          <w:p w14:paraId="181E5E3A" w14:textId="77777777" w:rsidR="006E40C9" w:rsidRPr="00F32057" w:rsidRDefault="006E40C9">
            <w:pPr>
              <w:pStyle w:val="MeasureTableTextLeftAligned"/>
            </w:pPr>
          </w:p>
        </w:tc>
      </w:tr>
      <w:tr w:rsidR="006E40C9" w14:paraId="66B88369" w14:textId="77777777">
        <w:trPr>
          <w:cantSplit/>
          <w:jc w:val="center"/>
        </w:trPr>
        <w:tc>
          <w:tcPr>
            <w:tcW w:w="1934" w:type="dxa"/>
            <w:gridSpan w:val="2"/>
            <w:tcBorders>
              <w:top w:val="nil"/>
            </w:tcBorders>
          </w:tcPr>
          <w:p w14:paraId="1DEE3829" w14:textId="77777777" w:rsidR="006E40C9" w:rsidRDefault="006E40C9">
            <w:pPr>
              <w:pStyle w:val="MeasureTableTextItalic"/>
            </w:pPr>
            <w:r>
              <w:t>Legislative reference:</w:t>
            </w:r>
          </w:p>
        </w:tc>
        <w:tc>
          <w:tcPr>
            <w:tcW w:w="5803" w:type="dxa"/>
            <w:gridSpan w:val="8"/>
            <w:tcBorders>
              <w:top w:val="nil"/>
            </w:tcBorders>
          </w:tcPr>
          <w:p w14:paraId="56ED3FE1"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38-D of the </w:t>
            </w:r>
            <w:r>
              <w:rPr>
                <w:rFonts w:ascii="Arial" w:hAnsi="Arial" w:cs="Arial"/>
                <w:i/>
                <w:iCs/>
                <w:color w:val="000000"/>
                <w:sz w:val="16"/>
                <w:szCs w:val="16"/>
              </w:rPr>
              <w:t>A New Tax System (Goods and Services Tax) Act 1999</w:t>
            </w:r>
          </w:p>
        </w:tc>
      </w:tr>
    </w:tbl>
    <w:p w14:paraId="4F9649D5" w14:textId="77777777" w:rsidR="006E40C9" w:rsidRPr="00540040" w:rsidRDefault="006E40C9" w:rsidP="006E40C9">
      <w:pPr>
        <w:pStyle w:val="MeasureTableHeading"/>
      </w:pPr>
    </w:p>
    <w:p w14:paraId="539B3F6D" w14:textId="77777777" w:rsidR="006E40C9" w:rsidRDefault="006E40C9" w:rsidP="006E40C9">
      <w:r>
        <w:t>The benchmark tax treatment is that GST applies at the rate of 10 per cent to most supplies of goods and services. Generally, child care</w:t>
      </w:r>
      <w:r>
        <w:fldChar w:fldCharType="begin"/>
      </w:r>
      <w:r>
        <w:instrText xml:space="preserve"> XE "Child care:GST-free" </w:instrText>
      </w:r>
      <w:r>
        <w:fldChar w:fldCharType="end"/>
      </w:r>
      <w:r>
        <w:t xml:space="preserve"> will be GST</w:t>
      </w:r>
      <w:r>
        <w:noBreakHyphen/>
        <w:t>free where the provider is eligible to receive government funding, or if the provider is a registered carer or child care service for the purposes of the relevant Commonwealth legislation. All supplies that are directly related to child care are also GST</w:t>
      </w:r>
      <w:r>
        <w:noBreakHyphen/>
        <w:t xml:space="preserve">free. </w:t>
      </w:r>
      <w:r>
        <w:fldChar w:fldCharType="begin"/>
      </w:r>
      <w:r>
        <w:instrText xml:space="preserve"> XE "Goods and Services Tax: Child care" </w:instrText>
      </w:r>
      <w:r>
        <w:fldChar w:fldCharType="end"/>
      </w:r>
    </w:p>
    <w:p w14:paraId="05DD2AA4" w14:textId="77777777" w:rsidR="006E40C9" w:rsidRDefault="006E40C9" w:rsidP="00130689">
      <w:pPr>
        <w:pStyle w:val="Heading4"/>
      </w:pPr>
      <w:r>
        <w:t>H6</w:t>
      </w:r>
      <w:r>
        <w:tab/>
        <w:t>Water, sewerage and drainage</w:t>
      </w:r>
    </w:p>
    <w:p w14:paraId="10B99A97" w14:textId="77777777" w:rsidR="006E40C9" w:rsidRDefault="006E40C9" w:rsidP="006E40C9">
      <w:pPr>
        <w:pStyle w:val="MeasureTableHeading"/>
      </w:pPr>
      <w: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035FE1A7" w14:textId="77777777">
        <w:trPr>
          <w:cantSplit/>
          <w:jc w:val="center"/>
        </w:trPr>
        <w:tc>
          <w:tcPr>
            <w:tcW w:w="967" w:type="dxa"/>
            <w:tcBorders>
              <w:top w:val="single" w:sz="2" w:space="0" w:color="auto"/>
              <w:bottom w:val="single" w:sz="2" w:space="0" w:color="auto"/>
            </w:tcBorders>
          </w:tcPr>
          <w:p w14:paraId="3B6C517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57F494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F2B285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5B6B17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CC34712"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A8A6EC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BC7CDA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1B28B2CB" w14:textId="77777777" w:rsidR="006E40C9" w:rsidRDefault="006E40C9">
            <w:pPr>
              <w:pStyle w:val="MeasureTableTextRightAligned"/>
            </w:pPr>
            <w:r>
              <w:t>2027-28</w:t>
            </w:r>
          </w:p>
        </w:tc>
      </w:tr>
      <w:tr w:rsidR="006E40C9" w14:paraId="2863F824" w14:textId="77777777">
        <w:trPr>
          <w:cantSplit/>
          <w:jc w:val="center"/>
        </w:trPr>
        <w:tc>
          <w:tcPr>
            <w:tcW w:w="967" w:type="dxa"/>
            <w:tcBorders>
              <w:top w:val="single" w:sz="2" w:space="0" w:color="auto"/>
              <w:bottom w:val="single" w:sz="2" w:space="0" w:color="auto"/>
            </w:tcBorders>
          </w:tcPr>
          <w:p w14:paraId="10607739" w14:textId="77777777" w:rsidR="006E40C9" w:rsidRDefault="006E40C9">
            <w:pPr>
              <w:pStyle w:val="MeasureTableTextRightAligned"/>
            </w:pPr>
            <w:r>
              <w:t>1,090</w:t>
            </w:r>
          </w:p>
        </w:tc>
        <w:tc>
          <w:tcPr>
            <w:tcW w:w="967" w:type="dxa"/>
            <w:tcBorders>
              <w:top w:val="single" w:sz="2" w:space="0" w:color="auto"/>
              <w:bottom w:val="single" w:sz="2" w:space="0" w:color="auto"/>
            </w:tcBorders>
          </w:tcPr>
          <w:p w14:paraId="5FCA77FB" w14:textId="77777777" w:rsidR="006E40C9" w:rsidRDefault="006E40C9">
            <w:pPr>
              <w:pStyle w:val="MeasureTableTextRightAligned"/>
            </w:pPr>
            <w:r>
              <w:t>1,110</w:t>
            </w:r>
          </w:p>
        </w:tc>
        <w:tc>
          <w:tcPr>
            <w:tcW w:w="967" w:type="dxa"/>
            <w:tcBorders>
              <w:top w:val="single" w:sz="2" w:space="0" w:color="auto"/>
              <w:bottom w:val="single" w:sz="2" w:space="0" w:color="auto"/>
            </w:tcBorders>
            <w:vAlign w:val="bottom"/>
          </w:tcPr>
          <w:p w14:paraId="7569D3D0" w14:textId="77777777" w:rsidR="006E40C9" w:rsidRDefault="006E40C9">
            <w:pPr>
              <w:pStyle w:val="MeasureTableTextRightAligned"/>
            </w:pPr>
            <w:r>
              <w:t>1,160</w:t>
            </w:r>
          </w:p>
        </w:tc>
        <w:tc>
          <w:tcPr>
            <w:tcW w:w="967" w:type="dxa"/>
            <w:tcBorders>
              <w:top w:val="single" w:sz="2" w:space="0" w:color="auto"/>
              <w:bottom w:val="single" w:sz="2" w:space="0" w:color="auto"/>
            </w:tcBorders>
            <w:vAlign w:val="bottom"/>
          </w:tcPr>
          <w:p w14:paraId="77EFC786" w14:textId="77777777" w:rsidR="006E40C9" w:rsidRDefault="006E40C9">
            <w:pPr>
              <w:pStyle w:val="MeasureTableTextRightAligned"/>
            </w:pPr>
            <w:r>
              <w:t>1,270</w:t>
            </w:r>
          </w:p>
        </w:tc>
        <w:tc>
          <w:tcPr>
            <w:tcW w:w="967" w:type="dxa"/>
            <w:tcBorders>
              <w:top w:val="single" w:sz="2" w:space="0" w:color="auto"/>
              <w:bottom w:val="single" w:sz="2" w:space="0" w:color="auto"/>
            </w:tcBorders>
            <w:vAlign w:val="bottom"/>
          </w:tcPr>
          <w:p w14:paraId="44C64E59" w14:textId="77777777" w:rsidR="006E40C9" w:rsidRDefault="006E40C9">
            <w:pPr>
              <w:pStyle w:val="MeasureTableTextRightAligned"/>
            </w:pPr>
            <w:r>
              <w:t>1,320</w:t>
            </w:r>
          </w:p>
        </w:tc>
        <w:tc>
          <w:tcPr>
            <w:tcW w:w="967" w:type="dxa"/>
            <w:gridSpan w:val="2"/>
            <w:tcBorders>
              <w:top w:val="single" w:sz="2" w:space="0" w:color="auto"/>
              <w:bottom w:val="single" w:sz="2" w:space="0" w:color="auto"/>
            </w:tcBorders>
            <w:vAlign w:val="bottom"/>
          </w:tcPr>
          <w:p w14:paraId="06B8911D" w14:textId="77777777" w:rsidR="006E40C9" w:rsidRDefault="006E40C9">
            <w:pPr>
              <w:pStyle w:val="MeasureTableTextRightAligned"/>
            </w:pPr>
            <w:r>
              <w:t>1,370</w:t>
            </w:r>
          </w:p>
        </w:tc>
        <w:tc>
          <w:tcPr>
            <w:tcW w:w="967" w:type="dxa"/>
            <w:gridSpan w:val="2"/>
            <w:tcBorders>
              <w:top w:val="single" w:sz="2" w:space="0" w:color="auto"/>
              <w:bottom w:val="single" w:sz="2" w:space="0" w:color="auto"/>
            </w:tcBorders>
            <w:vAlign w:val="bottom"/>
          </w:tcPr>
          <w:p w14:paraId="71A3C4C6" w14:textId="77777777" w:rsidR="006E40C9" w:rsidRDefault="006E40C9">
            <w:pPr>
              <w:pStyle w:val="MeasureTableTextRightAligned"/>
            </w:pPr>
            <w:r>
              <w:t>1,410</w:t>
            </w:r>
          </w:p>
        </w:tc>
        <w:tc>
          <w:tcPr>
            <w:tcW w:w="968" w:type="dxa"/>
            <w:tcBorders>
              <w:top w:val="single" w:sz="2" w:space="0" w:color="auto"/>
              <w:bottom w:val="single" w:sz="2" w:space="0" w:color="auto"/>
            </w:tcBorders>
            <w:vAlign w:val="bottom"/>
          </w:tcPr>
          <w:p w14:paraId="32C0C575" w14:textId="77777777" w:rsidR="006E40C9" w:rsidRDefault="006E40C9">
            <w:pPr>
              <w:pStyle w:val="MeasureTableTextRightAligned"/>
            </w:pPr>
            <w:r>
              <w:t>1,460</w:t>
            </w:r>
          </w:p>
        </w:tc>
      </w:tr>
      <w:tr w:rsidR="006E40C9" w14:paraId="7FF9977B" w14:textId="77777777">
        <w:trPr>
          <w:cantSplit/>
          <w:jc w:val="center"/>
        </w:trPr>
        <w:tc>
          <w:tcPr>
            <w:tcW w:w="1934" w:type="dxa"/>
            <w:gridSpan w:val="2"/>
            <w:tcBorders>
              <w:top w:val="single" w:sz="2" w:space="0" w:color="auto"/>
              <w:bottom w:val="nil"/>
            </w:tcBorders>
          </w:tcPr>
          <w:p w14:paraId="1E3340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F390DF9" w14:textId="77777777" w:rsidR="006E40C9" w:rsidRDefault="006E40C9">
            <w:pPr>
              <w:pStyle w:val="MeasureTableTextLeftAligned"/>
            </w:pPr>
            <w:r>
              <w:t>Exemption</w:t>
            </w:r>
          </w:p>
        </w:tc>
        <w:tc>
          <w:tcPr>
            <w:tcW w:w="1500" w:type="dxa"/>
            <w:gridSpan w:val="2"/>
            <w:tcBorders>
              <w:top w:val="single" w:sz="2" w:space="0" w:color="auto"/>
              <w:bottom w:val="nil"/>
            </w:tcBorders>
          </w:tcPr>
          <w:p w14:paraId="3AD9C94C" w14:textId="437556A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00C3928" w14:textId="77777777" w:rsidR="006E40C9" w:rsidRDefault="006E40C9">
            <w:pPr>
              <w:pStyle w:val="MeasureTableTextLeftAligned"/>
            </w:pPr>
            <w:r>
              <w:t>H6</w:t>
            </w:r>
          </w:p>
        </w:tc>
      </w:tr>
      <w:tr w:rsidR="006E40C9" w14:paraId="02013288" w14:textId="77777777">
        <w:trPr>
          <w:cantSplit/>
          <w:jc w:val="center"/>
        </w:trPr>
        <w:tc>
          <w:tcPr>
            <w:tcW w:w="1934" w:type="dxa"/>
            <w:gridSpan w:val="2"/>
            <w:tcBorders>
              <w:top w:val="nil"/>
              <w:bottom w:val="nil"/>
            </w:tcBorders>
          </w:tcPr>
          <w:p w14:paraId="253555B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2686C8" w14:textId="77777777" w:rsidR="006E40C9" w:rsidRPr="00584CA7" w:rsidRDefault="006E40C9">
            <w:pPr>
              <w:pStyle w:val="MeasureTableTextLeftAligned"/>
            </w:pPr>
            <w:r>
              <w:t>Medium</w:t>
            </w:r>
          </w:p>
        </w:tc>
        <w:tc>
          <w:tcPr>
            <w:tcW w:w="1500" w:type="dxa"/>
            <w:gridSpan w:val="2"/>
            <w:tcBorders>
              <w:top w:val="nil"/>
              <w:bottom w:val="nil"/>
            </w:tcBorders>
          </w:tcPr>
          <w:p w14:paraId="030D61B4" w14:textId="77777777" w:rsidR="006E40C9" w:rsidRDefault="006E40C9">
            <w:pPr>
              <w:pStyle w:val="MeasureTableTextItalic"/>
            </w:pPr>
          </w:p>
        </w:tc>
        <w:tc>
          <w:tcPr>
            <w:tcW w:w="1124" w:type="dxa"/>
            <w:gridSpan w:val="2"/>
            <w:tcBorders>
              <w:top w:val="nil"/>
              <w:bottom w:val="nil"/>
            </w:tcBorders>
          </w:tcPr>
          <w:p w14:paraId="3369EEF6" w14:textId="77777777" w:rsidR="006E40C9" w:rsidRDefault="006E40C9">
            <w:pPr>
              <w:pStyle w:val="MeasureTableTextLeftAligned"/>
            </w:pPr>
          </w:p>
        </w:tc>
      </w:tr>
      <w:tr w:rsidR="006E40C9" w14:paraId="03769B8E" w14:textId="77777777">
        <w:trPr>
          <w:cantSplit/>
          <w:jc w:val="center"/>
        </w:trPr>
        <w:tc>
          <w:tcPr>
            <w:tcW w:w="1934" w:type="dxa"/>
            <w:gridSpan w:val="2"/>
            <w:tcBorders>
              <w:top w:val="nil"/>
              <w:bottom w:val="nil"/>
            </w:tcBorders>
          </w:tcPr>
          <w:p w14:paraId="02FC49C0" w14:textId="77777777" w:rsidR="006E40C9" w:rsidRDefault="006E40C9">
            <w:pPr>
              <w:pStyle w:val="MeasureTableTextItalic"/>
            </w:pPr>
            <w:r>
              <w:t>Commencement date:</w:t>
            </w:r>
          </w:p>
        </w:tc>
        <w:tc>
          <w:tcPr>
            <w:tcW w:w="3179" w:type="dxa"/>
            <w:gridSpan w:val="4"/>
            <w:tcBorders>
              <w:top w:val="nil"/>
              <w:bottom w:val="nil"/>
            </w:tcBorders>
          </w:tcPr>
          <w:p w14:paraId="23A60307" w14:textId="77777777" w:rsidR="006E40C9" w:rsidRDefault="006E40C9">
            <w:pPr>
              <w:pStyle w:val="MeasureTableTextLeftAligned"/>
            </w:pPr>
            <w:r>
              <w:t>1 July 2000</w:t>
            </w:r>
          </w:p>
        </w:tc>
        <w:tc>
          <w:tcPr>
            <w:tcW w:w="1500" w:type="dxa"/>
            <w:gridSpan w:val="2"/>
            <w:tcBorders>
              <w:top w:val="nil"/>
              <w:bottom w:val="nil"/>
            </w:tcBorders>
          </w:tcPr>
          <w:p w14:paraId="32CED777" w14:textId="77777777" w:rsidR="006E40C9" w:rsidRPr="00F32057" w:rsidRDefault="006E40C9">
            <w:pPr>
              <w:pStyle w:val="MeasureTableTextItalic"/>
            </w:pPr>
            <w:r>
              <w:t>Expiry date:</w:t>
            </w:r>
          </w:p>
        </w:tc>
        <w:tc>
          <w:tcPr>
            <w:tcW w:w="1124" w:type="dxa"/>
            <w:gridSpan w:val="2"/>
            <w:tcBorders>
              <w:top w:val="nil"/>
              <w:bottom w:val="nil"/>
            </w:tcBorders>
          </w:tcPr>
          <w:p w14:paraId="442CBDB5" w14:textId="77777777" w:rsidR="006E40C9" w:rsidRPr="00F32057" w:rsidRDefault="006E40C9">
            <w:pPr>
              <w:pStyle w:val="MeasureTableTextLeftAligned"/>
            </w:pPr>
          </w:p>
        </w:tc>
      </w:tr>
      <w:tr w:rsidR="006E40C9" w14:paraId="03C7B596" w14:textId="77777777">
        <w:trPr>
          <w:cantSplit/>
          <w:jc w:val="center"/>
        </w:trPr>
        <w:tc>
          <w:tcPr>
            <w:tcW w:w="1934" w:type="dxa"/>
            <w:gridSpan w:val="2"/>
            <w:tcBorders>
              <w:top w:val="nil"/>
            </w:tcBorders>
          </w:tcPr>
          <w:p w14:paraId="783A3F0B" w14:textId="77777777" w:rsidR="006E40C9" w:rsidRDefault="006E40C9">
            <w:pPr>
              <w:pStyle w:val="MeasureTableTextItalic"/>
            </w:pPr>
            <w:r>
              <w:t>Legislative reference:</w:t>
            </w:r>
          </w:p>
        </w:tc>
        <w:tc>
          <w:tcPr>
            <w:tcW w:w="5803" w:type="dxa"/>
            <w:gridSpan w:val="8"/>
            <w:tcBorders>
              <w:top w:val="nil"/>
            </w:tcBorders>
          </w:tcPr>
          <w:p w14:paraId="6D918C7E"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38-I of the </w:t>
            </w:r>
            <w:r>
              <w:rPr>
                <w:rFonts w:ascii="Arial" w:hAnsi="Arial" w:cs="Arial"/>
                <w:i/>
                <w:iCs/>
                <w:color w:val="000000"/>
                <w:sz w:val="16"/>
                <w:szCs w:val="16"/>
              </w:rPr>
              <w:t>A New Tax System (Goods and Services Tax) Act 1999</w:t>
            </w:r>
          </w:p>
        </w:tc>
      </w:tr>
    </w:tbl>
    <w:p w14:paraId="1F8E000E" w14:textId="77777777" w:rsidR="006E40C9" w:rsidRPr="00540040" w:rsidRDefault="006E40C9" w:rsidP="006E40C9">
      <w:pPr>
        <w:pStyle w:val="MeasureTableHeading"/>
      </w:pPr>
    </w:p>
    <w:p w14:paraId="25A4D448" w14:textId="57A8EAE6" w:rsidR="006E40C9" w:rsidRDefault="006E40C9" w:rsidP="006E40C9">
      <w:r>
        <w:t>The benchmark tax treatment is that GST applies at the rate of 10 per cent to most supplies of goods and services. However, a supply of water</w:t>
      </w:r>
      <w:r>
        <w:fldChar w:fldCharType="begin"/>
      </w:r>
      <w:r>
        <w:instrText xml:space="preserve"> XE "Goods and Services Tax:Water, sewerage and drainage supplies" </w:instrText>
      </w:r>
      <w:r>
        <w:fldChar w:fldCharType="end"/>
      </w:r>
      <w:r>
        <w:t xml:space="preserve"> is GST</w:t>
      </w:r>
      <w:r>
        <w:noBreakHyphen/>
        <w:t>free unless it is supplied in, or transferred into, a container with a capacity of less than 100 litres. The draining of storm water, the emptying of a septic tank and sewerage and sewerage</w:t>
      </w:r>
      <w:r>
        <w:noBreakHyphen/>
        <w:t>like services are also GST</w:t>
      </w:r>
      <w:r>
        <w:noBreakHyphen/>
        <w:t>free. Water sold as a beverage is included in tax expenditure H25.</w:t>
      </w:r>
    </w:p>
    <w:p w14:paraId="3F7094AA" w14:textId="77777777" w:rsidR="006E40C9" w:rsidRDefault="006E40C9" w:rsidP="00D9255A">
      <w:pPr>
        <w:pStyle w:val="Heading3"/>
      </w:pPr>
      <w:r>
        <w:t>International tax expenditures</w:t>
      </w:r>
    </w:p>
    <w:p w14:paraId="5D0414AC" w14:textId="77777777" w:rsidR="006E40C9" w:rsidRDefault="006E40C9" w:rsidP="00130689">
      <w:pPr>
        <w:pStyle w:val="Heading4"/>
      </w:pPr>
      <w:r>
        <w:t>H7</w:t>
      </w:r>
      <w:r>
        <w:tab/>
        <w:t>Diplomats, diplomatic missions and approved international organisations</w:t>
      </w:r>
    </w:p>
    <w:p w14:paraId="0099FF4D" w14:textId="36548987" w:rsidR="006E40C9" w:rsidRDefault="006E40C9" w:rsidP="006E40C9">
      <w:pPr>
        <w:pStyle w:val="MeasureTableHeading"/>
      </w:pPr>
      <w:r>
        <w:t>General public services</w:t>
      </w:r>
      <w:r w:rsidR="009F5E3D">
        <w:t xml:space="preserve"> – </w:t>
      </w:r>
      <w:r>
        <w:t>Foreign affairs and economic aid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FE0FD83" w14:textId="77777777">
        <w:trPr>
          <w:cantSplit/>
          <w:jc w:val="center"/>
        </w:trPr>
        <w:tc>
          <w:tcPr>
            <w:tcW w:w="967" w:type="dxa"/>
            <w:tcBorders>
              <w:top w:val="single" w:sz="2" w:space="0" w:color="auto"/>
              <w:bottom w:val="single" w:sz="2" w:space="0" w:color="auto"/>
            </w:tcBorders>
          </w:tcPr>
          <w:p w14:paraId="2EE3E745"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82C01A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495DB8"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89D347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1F34E51"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10480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1A7FCC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49915AA" w14:textId="77777777" w:rsidR="006E40C9" w:rsidRDefault="006E40C9">
            <w:pPr>
              <w:pStyle w:val="MeasureTableTextRightAligned"/>
            </w:pPr>
            <w:r>
              <w:t>2027-28</w:t>
            </w:r>
          </w:p>
        </w:tc>
      </w:tr>
      <w:tr w:rsidR="006E40C9" w14:paraId="21AFA7F5" w14:textId="77777777">
        <w:trPr>
          <w:cantSplit/>
          <w:jc w:val="center"/>
        </w:trPr>
        <w:tc>
          <w:tcPr>
            <w:tcW w:w="967" w:type="dxa"/>
            <w:tcBorders>
              <w:top w:val="single" w:sz="2" w:space="0" w:color="auto"/>
              <w:bottom w:val="single" w:sz="2" w:space="0" w:color="auto"/>
            </w:tcBorders>
          </w:tcPr>
          <w:p w14:paraId="356A73DD" w14:textId="77777777" w:rsidR="006E40C9" w:rsidRDefault="006E40C9">
            <w:pPr>
              <w:pStyle w:val="MeasureTableTextRightAligned"/>
            </w:pPr>
            <w:r>
              <w:t>13</w:t>
            </w:r>
          </w:p>
        </w:tc>
        <w:tc>
          <w:tcPr>
            <w:tcW w:w="967" w:type="dxa"/>
            <w:tcBorders>
              <w:top w:val="single" w:sz="2" w:space="0" w:color="auto"/>
              <w:bottom w:val="single" w:sz="2" w:space="0" w:color="auto"/>
            </w:tcBorders>
          </w:tcPr>
          <w:p w14:paraId="4FEBC6FE"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233DD2B8"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15C9AB85" w14:textId="77777777" w:rsidR="006E40C9" w:rsidRDefault="006E40C9">
            <w:pPr>
              <w:pStyle w:val="MeasureTableTextRightAligned"/>
            </w:pPr>
            <w:r>
              <w:t>9</w:t>
            </w:r>
          </w:p>
        </w:tc>
        <w:tc>
          <w:tcPr>
            <w:tcW w:w="967" w:type="dxa"/>
            <w:tcBorders>
              <w:top w:val="single" w:sz="2" w:space="0" w:color="auto"/>
              <w:bottom w:val="single" w:sz="2" w:space="0" w:color="auto"/>
            </w:tcBorders>
            <w:vAlign w:val="bottom"/>
          </w:tcPr>
          <w:p w14:paraId="74C5DC83" w14:textId="77777777" w:rsidR="006E40C9" w:rsidRDefault="006E40C9">
            <w:pPr>
              <w:pStyle w:val="MeasureTableTextRightAligned"/>
            </w:pPr>
            <w:r>
              <w:t>9</w:t>
            </w:r>
          </w:p>
        </w:tc>
        <w:tc>
          <w:tcPr>
            <w:tcW w:w="967" w:type="dxa"/>
            <w:gridSpan w:val="2"/>
            <w:tcBorders>
              <w:top w:val="single" w:sz="2" w:space="0" w:color="auto"/>
              <w:bottom w:val="single" w:sz="2" w:space="0" w:color="auto"/>
            </w:tcBorders>
            <w:vAlign w:val="bottom"/>
          </w:tcPr>
          <w:p w14:paraId="65A98D91" w14:textId="77777777" w:rsidR="006E40C9" w:rsidRDefault="006E40C9">
            <w:pPr>
              <w:pStyle w:val="MeasureTableTextRightAligned"/>
            </w:pPr>
            <w:r>
              <w:t>9</w:t>
            </w:r>
          </w:p>
        </w:tc>
        <w:tc>
          <w:tcPr>
            <w:tcW w:w="967" w:type="dxa"/>
            <w:gridSpan w:val="2"/>
            <w:tcBorders>
              <w:top w:val="single" w:sz="2" w:space="0" w:color="auto"/>
              <w:bottom w:val="single" w:sz="2" w:space="0" w:color="auto"/>
            </w:tcBorders>
            <w:vAlign w:val="bottom"/>
          </w:tcPr>
          <w:p w14:paraId="34A8D6CF" w14:textId="77777777" w:rsidR="006E40C9" w:rsidRDefault="006E40C9">
            <w:pPr>
              <w:pStyle w:val="MeasureTableTextRightAligned"/>
            </w:pPr>
            <w:r>
              <w:t>9</w:t>
            </w:r>
          </w:p>
        </w:tc>
        <w:tc>
          <w:tcPr>
            <w:tcW w:w="968" w:type="dxa"/>
            <w:tcBorders>
              <w:top w:val="single" w:sz="2" w:space="0" w:color="auto"/>
              <w:bottom w:val="single" w:sz="2" w:space="0" w:color="auto"/>
            </w:tcBorders>
            <w:vAlign w:val="bottom"/>
          </w:tcPr>
          <w:p w14:paraId="4C458297" w14:textId="77777777" w:rsidR="006E40C9" w:rsidRDefault="006E40C9">
            <w:pPr>
              <w:pStyle w:val="MeasureTableTextRightAligned"/>
            </w:pPr>
            <w:r>
              <w:t>9</w:t>
            </w:r>
          </w:p>
        </w:tc>
      </w:tr>
      <w:tr w:rsidR="006E40C9" w14:paraId="7312F196" w14:textId="77777777">
        <w:trPr>
          <w:cantSplit/>
          <w:jc w:val="center"/>
        </w:trPr>
        <w:tc>
          <w:tcPr>
            <w:tcW w:w="1934" w:type="dxa"/>
            <w:gridSpan w:val="2"/>
            <w:tcBorders>
              <w:top w:val="single" w:sz="2" w:space="0" w:color="auto"/>
              <w:bottom w:val="nil"/>
            </w:tcBorders>
          </w:tcPr>
          <w:p w14:paraId="6ACB385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13C8539" w14:textId="77777777" w:rsidR="006E40C9" w:rsidRDefault="006E40C9">
            <w:pPr>
              <w:pStyle w:val="MeasureTableTextLeftAligned"/>
            </w:pPr>
            <w:r>
              <w:t>Exemption</w:t>
            </w:r>
          </w:p>
        </w:tc>
        <w:tc>
          <w:tcPr>
            <w:tcW w:w="1500" w:type="dxa"/>
            <w:gridSpan w:val="2"/>
            <w:tcBorders>
              <w:top w:val="single" w:sz="2" w:space="0" w:color="auto"/>
              <w:bottom w:val="nil"/>
            </w:tcBorders>
          </w:tcPr>
          <w:p w14:paraId="59CF90AE" w14:textId="78A7A37B"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AEE4D2A" w14:textId="77777777" w:rsidR="006E40C9" w:rsidRDefault="006E40C9">
            <w:pPr>
              <w:pStyle w:val="MeasureTableTextLeftAligned"/>
            </w:pPr>
            <w:r>
              <w:t>H7</w:t>
            </w:r>
          </w:p>
        </w:tc>
      </w:tr>
      <w:tr w:rsidR="006E40C9" w14:paraId="40DFEFB9" w14:textId="77777777">
        <w:trPr>
          <w:cantSplit/>
          <w:jc w:val="center"/>
        </w:trPr>
        <w:tc>
          <w:tcPr>
            <w:tcW w:w="1934" w:type="dxa"/>
            <w:gridSpan w:val="2"/>
            <w:tcBorders>
              <w:top w:val="nil"/>
              <w:bottom w:val="nil"/>
            </w:tcBorders>
          </w:tcPr>
          <w:p w14:paraId="38CB039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54F072" w14:textId="77777777" w:rsidR="006E40C9" w:rsidRPr="00584CA7" w:rsidRDefault="006E40C9">
            <w:pPr>
              <w:pStyle w:val="MeasureTableTextLeftAligned"/>
            </w:pPr>
            <w:r>
              <w:t>High</w:t>
            </w:r>
          </w:p>
        </w:tc>
        <w:tc>
          <w:tcPr>
            <w:tcW w:w="1500" w:type="dxa"/>
            <w:gridSpan w:val="2"/>
            <w:tcBorders>
              <w:top w:val="nil"/>
              <w:bottom w:val="nil"/>
            </w:tcBorders>
          </w:tcPr>
          <w:p w14:paraId="589941A5" w14:textId="77777777" w:rsidR="006E40C9" w:rsidRDefault="006E40C9">
            <w:pPr>
              <w:pStyle w:val="MeasureTableTextItalic"/>
            </w:pPr>
          </w:p>
        </w:tc>
        <w:tc>
          <w:tcPr>
            <w:tcW w:w="1124" w:type="dxa"/>
            <w:gridSpan w:val="2"/>
            <w:tcBorders>
              <w:top w:val="nil"/>
              <w:bottom w:val="nil"/>
            </w:tcBorders>
          </w:tcPr>
          <w:p w14:paraId="0A7836EE" w14:textId="77777777" w:rsidR="006E40C9" w:rsidRDefault="006E40C9">
            <w:pPr>
              <w:pStyle w:val="MeasureTableTextLeftAligned"/>
            </w:pPr>
          </w:p>
        </w:tc>
      </w:tr>
      <w:tr w:rsidR="006E40C9" w14:paraId="7DBFD870" w14:textId="77777777">
        <w:trPr>
          <w:cantSplit/>
          <w:jc w:val="center"/>
        </w:trPr>
        <w:tc>
          <w:tcPr>
            <w:tcW w:w="1934" w:type="dxa"/>
            <w:gridSpan w:val="2"/>
            <w:tcBorders>
              <w:top w:val="nil"/>
              <w:bottom w:val="nil"/>
            </w:tcBorders>
          </w:tcPr>
          <w:p w14:paraId="69FC6CF0" w14:textId="77777777" w:rsidR="006E40C9" w:rsidRDefault="006E40C9">
            <w:pPr>
              <w:pStyle w:val="MeasureTableTextItalic"/>
            </w:pPr>
            <w:r>
              <w:t>Commencement date:</w:t>
            </w:r>
          </w:p>
        </w:tc>
        <w:tc>
          <w:tcPr>
            <w:tcW w:w="3179" w:type="dxa"/>
            <w:gridSpan w:val="4"/>
            <w:tcBorders>
              <w:top w:val="nil"/>
              <w:bottom w:val="nil"/>
            </w:tcBorders>
          </w:tcPr>
          <w:p w14:paraId="13EC2023" w14:textId="77777777" w:rsidR="006E40C9" w:rsidRDefault="006E40C9">
            <w:pPr>
              <w:pStyle w:val="MeasureTableTextLeftAligned"/>
            </w:pPr>
            <w:r>
              <w:t>1 July 2000</w:t>
            </w:r>
          </w:p>
        </w:tc>
        <w:tc>
          <w:tcPr>
            <w:tcW w:w="1500" w:type="dxa"/>
            <w:gridSpan w:val="2"/>
            <w:tcBorders>
              <w:top w:val="nil"/>
              <w:bottom w:val="nil"/>
            </w:tcBorders>
          </w:tcPr>
          <w:p w14:paraId="6499963C" w14:textId="77777777" w:rsidR="006E40C9" w:rsidRPr="00F32057" w:rsidRDefault="006E40C9">
            <w:pPr>
              <w:pStyle w:val="MeasureTableTextItalic"/>
            </w:pPr>
            <w:r>
              <w:t>Expiry date:</w:t>
            </w:r>
          </w:p>
        </w:tc>
        <w:tc>
          <w:tcPr>
            <w:tcW w:w="1124" w:type="dxa"/>
            <w:gridSpan w:val="2"/>
            <w:tcBorders>
              <w:top w:val="nil"/>
              <w:bottom w:val="nil"/>
            </w:tcBorders>
          </w:tcPr>
          <w:p w14:paraId="73256C7C" w14:textId="77777777" w:rsidR="006E40C9" w:rsidRPr="00F32057" w:rsidRDefault="006E40C9">
            <w:pPr>
              <w:pStyle w:val="MeasureTableTextLeftAligned"/>
            </w:pPr>
          </w:p>
        </w:tc>
      </w:tr>
      <w:tr w:rsidR="006E40C9" w14:paraId="4F61EBD8" w14:textId="77777777">
        <w:trPr>
          <w:cantSplit/>
          <w:jc w:val="center"/>
        </w:trPr>
        <w:tc>
          <w:tcPr>
            <w:tcW w:w="1934" w:type="dxa"/>
            <w:gridSpan w:val="2"/>
            <w:tcBorders>
              <w:top w:val="nil"/>
            </w:tcBorders>
          </w:tcPr>
          <w:p w14:paraId="43DF4995" w14:textId="77777777" w:rsidR="006E40C9" w:rsidRDefault="006E40C9">
            <w:pPr>
              <w:pStyle w:val="MeasureTableTextItalic"/>
            </w:pPr>
            <w:r>
              <w:t>Legislative reference:</w:t>
            </w:r>
          </w:p>
        </w:tc>
        <w:tc>
          <w:tcPr>
            <w:tcW w:w="5803" w:type="dxa"/>
            <w:gridSpan w:val="8"/>
            <w:tcBorders>
              <w:top w:val="nil"/>
            </w:tcBorders>
          </w:tcPr>
          <w:p w14:paraId="6816AD9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Section 10B of the</w:t>
            </w:r>
            <w:r>
              <w:rPr>
                <w:rFonts w:ascii="Arial" w:hAnsi="Arial" w:cs="Arial"/>
                <w:i/>
                <w:iCs/>
                <w:color w:val="000000"/>
                <w:sz w:val="16"/>
                <w:szCs w:val="16"/>
              </w:rPr>
              <w:t xml:space="preserve"> Diplomatic Privileges and Immunities Act 1967</w:t>
            </w:r>
          </w:p>
          <w:p w14:paraId="490DAF14"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10A of the </w:t>
            </w:r>
            <w:r>
              <w:rPr>
                <w:rFonts w:ascii="Arial" w:hAnsi="Arial" w:cs="Arial"/>
                <w:i/>
                <w:iCs/>
                <w:color w:val="000000"/>
                <w:sz w:val="16"/>
                <w:szCs w:val="16"/>
              </w:rPr>
              <w:t>Consular Privileges and Immunities Act 1972</w:t>
            </w:r>
          </w:p>
          <w:p w14:paraId="2D02617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11C of the </w:t>
            </w:r>
            <w:r>
              <w:rPr>
                <w:rFonts w:ascii="Arial" w:hAnsi="Arial" w:cs="Arial"/>
                <w:i/>
                <w:iCs/>
                <w:color w:val="000000"/>
                <w:sz w:val="16"/>
                <w:szCs w:val="16"/>
              </w:rPr>
              <w:t>International Organisations (Privileges and Immunities) Act 1963</w:t>
            </w:r>
          </w:p>
        </w:tc>
      </w:tr>
    </w:tbl>
    <w:p w14:paraId="7AA1A098" w14:textId="77777777" w:rsidR="006E40C9" w:rsidRPr="00540040" w:rsidRDefault="006E40C9" w:rsidP="006E40C9">
      <w:pPr>
        <w:pStyle w:val="MeasureTableHeading"/>
      </w:pPr>
    </w:p>
    <w:p w14:paraId="259AF356" w14:textId="77777777" w:rsidR="006E40C9" w:rsidRDefault="006E40C9" w:rsidP="006E40C9">
      <w:pPr>
        <w:rPr>
          <w:rFonts w:cs="Book Antiqua"/>
        </w:rPr>
      </w:pPr>
      <w:r>
        <w:t>The benchmark tax treatment is that GST applies at the rate of 10 per cent to most supplies of goods and services within the indirect tax zone. However, t</w:t>
      </w:r>
      <w:r>
        <w:rPr>
          <w:rFonts w:cs="Book Antiqua"/>
        </w:rPr>
        <w:t>he amount of GST paid is refundable on items acquired for official purposes by diplomatic missions and consulates,</w:t>
      </w:r>
      <w:r w:rsidRPr="00F56332">
        <w:t xml:space="preserve"> </w:t>
      </w:r>
      <w:r>
        <w:fldChar w:fldCharType="begin"/>
      </w:r>
      <w:r>
        <w:instrText xml:space="preserve"> XE "Goods and Services Tax:Diplomatic missions" </w:instrText>
      </w:r>
      <w:r>
        <w:fldChar w:fldCharType="end"/>
      </w:r>
      <w:r>
        <w:rPr>
          <w:rFonts w:cs="Book Antiqua"/>
        </w:rPr>
        <w:t xml:space="preserve">for personal use by privileged individuals, or for official use by approved international organisations. Any refunds provided must be within the scope of the </w:t>
      </w:r>
      <w:r>
        <w:rPr>
          <w:rFonts w:cs="Book Antiqua"/>
          <w:i/>
        </w:rPr>
        <w:t>Diplomatic Privileges and Immunities Act 1967</w:t>
      </w:r>
      <w:r>
        <w:rPr>
          <w:rFonts w:cs="Book Antiqua"/>
        </w:rPr>
        <w:t xml:space="preserve">, the </w:t>
      </w:r>
      <w:r>
        <w:rPr>
          <w:rFonts w:cs="Book Antiqua"/>
          <w:i/>
        </w:rPr>
        <w:t>Consular Privileges and Immunities Act 1972</w:t>
      </w:r>
      <w:r>
        <w:rPr>
          <w:rFonts w:cs="Book Antiqua"/>
        </w:rPr>
        <w:t xml:space="preserve">, or the </w:t>
      </w:r>
      <w:r>
        <w:rPr>
          <w:rFonts w:cs="Book Antiqua"/>
          <w:i/>
        </w:rPr>
        <w:t>International Organisations (Privileges and Immunities) Act 1963</w:t>
      </w:r>
      <w:r>
        <w:rPr>
          <w:rFonts w:cs="Book Antiqua"/>
        </w:rPr>
        <w:t>.</w:t>
      </w:r>
    </w:p>
    <w:p w14:paraId="4475F77E" w14:textId="77777777" w:rsidR="006E40C9" w:rsidRDefault="006E40C9" w:rsidP="00130689">
      <w:pPr>
        <w:pStyle w:val="Heading4"/>
      </w:pPr>
      <w:r>
        <w:t>H8</w:t>
      </w:r>
      <w:r>
        <w:tab/>
        <w:t>Global roaming by visitors to Australia</w:t>
      </w:r>
    </w:p>
    <w:p w14:paraId="7CA48106" w14:textId="77777777" w:rsidR="006E40C9" w:rsidRDefault="006E40C9" w:rsidP="006E40C9">
      <w:pPr>
        <w:pStyle w:val="MeasureTableHeading"/>
      </w:pPr>
      <w:r>
        <w:t>Transport and communication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58CABE" w14:textId="77777777">
        <w:trPr>
          <w:cantSplit/>
          <w:jc w:val="center"/>
        </w:trPr>
        <w:tc>
          <w:tcPr>
            <w:tcW w:w="967" w:type="dxa"/>
            <w:tcBorders>
              <w:top w:val="single" w:sz="2" w:space="0" w:color="auto"/>
              <w:bottom w:val="single" w:sz="2" w:space="0" w:color="auto"/>
            </w:tcBorders>
          </w:tcPr>
          <w:p w14:paraId="4DF6C4BB"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0EE61606"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BE7A0B9"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700DAA0D"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741B48D"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EB85A9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77423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7352EFF" w14:textId="77777777" w:rsidR="006E40C9" w:rsidRDefault="006E40C9">
            <w:pPr>
              <w:pStyle w:val="MeasureTableTextRightAligned"/>
            </w:pPr>
            <w:r>
              <w:t>2027-28</w:t>
            </w:r>
          </w:p>
        </w:tc>
      </w:tr>
      <w:tr w:rsidR="006E40C9" w14:paraId="690DE244" w14:textId="77777777">
        <w:trPr>
          <w:cantSplit/>
          <w:jc w:val="center"/>
        </w:trPr>
        <w:tc>
          <w:tcPr>
            <w:tcW w:w="967" w:type="dxa"/>
            <w:tcBorders>
              <w:top w:val="single" w:sz="2" w:space="0" w:color="auto"/>
              <w:bottom w:val="single" w:sz="2" w:space="0" w:color="auto"/>
            </w:tcBorders>
          </w:tcPr>
          <w:p w14:paraId="2F66E09F" w14:textId="77777777" w:rsidR="006E40C9" w:rsidRDefault="006E40C9">
            <w:pPr>
              <w:pStyle w:val="MeasureTableTextRightAligned"/>
            </w:pPr>
            <w:r>
              <w:t>*</w:t>
            </w:r>
          </w:p>
        </w:tc>
        <w:tc>
          <w:tcPr>
            <w:tcW w:w="967" w:type="dxa"/>
            <w:tcBorders>
              <w:top w:val="single" w:sz="2" w:space="0" w:color="auto"/>
              <w:bottom w:val="single" w:sz="2" w:space="0" w:color="auto"/>
            </w:tcBorders>
          </w:tcPr>
          <w:p w14:paraId="18C4088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387276A"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2FFCC3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4A81D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7632A5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25BDEEF"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798471C7" w14:textId="77777777" w:rsidR="006E40C9" w:rsidRDefault="006E40C9">
            <w:pPr>
              <w:pStyle w:val="MeasureTableTextRightAligned"/>
            </w:pPr>
            <w:r>
              <w:t>*</w:t>
            </w:r>
          </w:p>
        </w:tc>
      </w:tr>
      <w:tr w:rsidR="006E40C9" w14:paraId="6D6ECD1D" w14:textId="77777777">
        <w:trPr>
          <w:cantSplit/>
          <w:jc w:val="center"/>
        </w:trPr>
        <w:tc>
          <w:tcPr>
            <w:tcW w:w="1934" w:type="dxa"/>
            <w:gridSpan w:val="2"/>
            <w:tcBorders>
              <w:top w:val="single" w:sz="2" w:space="0" w:color="auto"/>
              <w:bottom w:val="nil"/>
            </w:tcBorders>
          </w:tcPr>
          <w:p w14:paraId="54AE380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AA8188B" w14:textId="77777777" w:rsidR="006E40C9" w:rsidRDefault="006E40C9">
            <w:pPr>
              <w:pStyle w:val="MeasureTableTextLeftAligned"/>
            </w:pPr>
            <w:r>
              <w:t>Exemption</w:t>
            </w:r>
          </w:p>
        </w:tc>
        <w:tc>
          <w:tcPr>
            <w:tcW w:w="1500" w:type="dxa"/>
            <w:gridSpan w:val="2"/>
            <w:tcBorders>
              <w:top w:val="single" w:sz="2" w:space="0" w:color="auto"/>
              <w:bottom w:val="nil"/>
            </w:tcBorders>
          </w:tcPr>
          <w:p w14:paraId="5DC26895" w14:textId="3AC17459"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0632FF0A" w14:textId="77777777" w:rsidR="006E40C9" w:rsidRDefault="006E40C9">
            <w:pPr>
              <w:pStyle w:val="MeasureTableTextLeftAligned"/>
            </w:pPr>
            <w:r>
              <w:t>H8</w:t>
            </w:r>
          </w:p>
        </w:tc>
      </w:tr>
      <w:tr w:rsidR="006E40C9" w14:paraId="4BE6008F" w14:textId="77777777">
        <w:trPr>
          <w:cantSplit/>
          <w:jc w:val="center"/>
        </w:trPr>
        <w:tc>
          <w:tcPr>
            <w:tcW w:w="1934" w:type="dxa"/>
            <w:gridSpan w:val="2"/>
            <w:tcBorders>
              <w:top w:val="nil"/>
              <w:bottom w:val="nil"/>
            </w:tcBorders>
          </w:tcPr>
          <w:p w14:paraId="4EBFD15D"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FCFB221" w14:textId="77777777" w:rsidR="006E40C9" w:rsidRPr="00584CA7" w:rsidRDefault="006E40C9">
            <w:pPr>
              <w:pStyle w:val="MeasureTableTextLeftAligned"/>
            </w:pPr>
            <w:r>
              <w:t>Not Applicable</w:t>
            </w:r>
          </w:p>
        </w:tc>
        <w:tc>
          <w:tcPr>
            <w:tcW w:w="1500" w:type="dxa"/>
            <w:gridSpan w:val="2"/>
            <w:tcBorders>
              <w:top w:val="nil"/>
              <w:bottom w:val="nil"/>
            </w:tcBorders>
          </w:tcPr>
          <w:p w14:paraId="4DF1718E" w14:textId="77777777" w:rsidR="006E40C9" w:rsidRDefault="006E40C9">
            <w:pPr>
              <w:pStyle w:val="MeasureTableTextItalic"/>
            </w:pPr>
            <w:r>
              <w:t>* Category</w:t>
            </w:r>
          </w:p>
        </w:tc>
        <w:tc>
          <w:tcPr>
            <w:tcW w:w="1124" w:type="dxa"/>
            <w:gridSpan w:val="2"/>
            <w:tcBorders>
              <w:top w:val="nil"/>
              <w:bottom w:val="nil"/>
            </w:tcBorders>
          </w:tcPr>
          <w:p w14:paraId="429E3F0F" w14:textId="77777777" w:rsidR="006E40C9" w:rsidRDefault="006E40C9">
            <w:pPr>
              <w:pStyle w:val="MeasureTableTextLeftAligned"/>
            </w:pPr>
            <w:r>
              <w:t>1+</w:t>
            </w:r>
          </w:p>
        </w:tc>
      </w:tr>
      <w:tr w:rsidR="006E40C9" w14:paraId="69A0A30C" w14:textId="77777777">
        <w:trPr>
          <w:cantSplit/>
          <w:jc w:val="center"/>
        </w:trPr>
        <w:tc>
          <w:tcPr>
            <w:tcW w:w="1934" w:type="dxa"/>
            <w:gridSpan w:val="2"/>
            <w:tcBorders>
              <w:top w:val="nil"/>
              <w:bottom w:val="nil"/>
            </w:tcBorders>
          </w:tcPr>
          <w:p w14:paraId="51B04D2F" w14:textId="77777777" w:rsidR="006E40C9" w:rsidRDefault="006E40C9">
            <w:pPr>
              <w:pStyle w:val="MeasureTableTextItalic"/>
            </w:pPr>
            <w:r>
              <w:t>Commencement date:</w:t>
            </w:r>
          </w:p>
        </w:tc>
        <w:tc>
          <w:tcPr>
            <w:tcW w:w="3179" w:type="dxa"/>
            <w:gridSpan w:val="4"/>
            <w:tcBorders>
              <w:top w:val="nil"/>
              <w:bottom w:val="nil"/>
            </w:tcBorders>
          </w:tcPr>
          <w:p w14:paraId="738DD8BE" w14:textId="77777777" w:rsidR="006E40C9" w:rsidRDefault="006E40C9">
            <w:pPr>
              <w:pStyle w:val="MeasureTableTextLeftAligned"/>
            </w:pPr>
            <w:r>
              <w:t>1 July 2000</w:t>
            </w:r>
          </w:p>
        </w:tc>
        <w:tc>
          <w:tcPr>
            <w:tcW w:w="1500" w:type="dxa"/>
            <w:gridSpan w:val="2"/>
            <w:tcBorders>
              <w:top w:val="nil"/>
              <w:bottom w:val="nil"/>
            </w:tcBorders>
          </w:tcPr>
          <w:p w14:paraId="23C0D49B" w14:textId="77777777" w:rsidR="006E40C9" w:rsidRPr="00F32057" w:rsidRDefault="006E40C9">
            <w:pPr>
              <w:pStyle w:val="MeasureTableTextItalic"/>
            </w:pPr>
            <w:r>
              <w:t>Expiry date:</w:t>
            </w:r>
          </w:p>
        </w:tc>
        <w:tc>
          <w:tcPr>
            <w:tcW w:w="1124" w:type="dxa"/>
            <w:gridSpan w:val="2"/>
            <w:tcBorders>
              <w:top w:val="nil"/>
              <w:bottom w:val="nil"/>
            </w:tcBorders>
          </w:tcPr>
          <w:p w14:paraId="37A90138" w14:textId="77777777" w:rsidR="006E40C9" w:rsidRPr="00F32057" w:rsidRDefault="006E40C9">
            <w:pPr>
              <w:pStyle w:val="MeasureTableTextLeftAligned"/>
            </w:pPr>
          </w:p>
        </w:tc>
      </w:tr>
      <w:tr w:rsidR="006E40C9" w14:paraId="5596E0CF" w14:textId="77777777">
        <w:trPr>
          <w:cantSplit/>
          <w:jc w:val="center"/>
        </w:trPr>
        <w:tc>
          <w:tcPr>
            <w:tcW w:w="1934" w:type="dxa"/>
            <w:gridSpan w:val="2"/>
            <w:tcBorders>
              <w:top w:val="nil"/>
            </w:tcBorders>
          </w:tcPr>
          <w:p w14:paraId="529BFE2B" w14:textId="77777777" w:rsidR="006E40C9" w:rsidRDefault="006E40C9">
            <w:pPr>
              <w:pStyle w:val="MeasureTableTextItalic"/>
            </w:pPr>
            <w:r>
              <w:t>Legislative reference:</w:t>
            </w:r>
          </w:p>
        </w:tc>
        <w:tc>
          <w:tcPr>
            <w:tcW w:w="5803" w:type="dxa"/>
            <w:gridSpan w:val="8"/>
            <w:tcBorders>
              <w:top w:val="nil"/>
            </w:tcBorders>
          </w:tcPr>
          <w:p w14:paraId="4572864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38-570 of the </w:t>
            </w:r>
            <w:r>
              <w:rPr>
                <w:rFonts w:ascii="Arial" w:hAnsi="Arial" w:cs="Arial"/>
                <w:i/>
                <w:iCs/>
                <w:color w:val="000000"/>
                <w:sz w:val="16"/>
                <w:szCs w:val="16"/>
              </w:rPr>
              <w:t>A New Tax System (Goods and Services Tax) Act 1999</w:t>
            </w:r>
          </w:p>
        </w:tc>
      </w:tr>
    </w:tbl>
    <w:p w14:paraId="183B3ED1" w14:textId="77777777" w:rsidR="006E40C9" w:rsidRPr="00540040" w:rsidRDefault="006E40C9" w:rsidP="006E40C9">
      <w:pPr>
        <w:pStyle w:val="MeasureTableHeading"/>
      </w:pPr>
    </w:p>
    <w:p w14:paraId="33E594B2" w14:textId="77777777" w:rsidR="006E40C9" w:rsidRDefault="006E40C9" w:rsidP="006E40C9">
      <w:pPr>
        <w:rPr>
          <w:rFonts w:cs="Calibri"/>
        </w:rPr>
      </w:pPr>
      <w:r>
        <w:t xml:space="preserve">The benchmark tax treatment is that GST applies at the rate of 10 per cent to most supplies of goods and services. However, </w:t>
      </w:r>
      <w:r>
        <w:rPr>
          <w:rFonts w:cs="Calibri"/>
        </w:rPr>
        <w:t>telecommunication supplies for global roaming services</w:t>
      </w:r>
      <w:r>
        <w:fldChar w:fldCharType="begin"/>
      </w:r>
      <w:r>
        <w:instrText xml:space="preserve"> XE "Goods and Services Tax: Telecommunications global roaming" </w:instrText>
      </w:r>
      <w:r>
        <w:fldChar w:fldCharType="end"/>
      </w:r>
      <w:r>
        <w:rPr>
          <w:rFonts w:cs="Calibri"/>
        </w:rPr>
        <w:t xml:space="preserve"> provided to visitors to Australia are GST</w:t>
      </w:r>
      <w:r>
        <w:rPr>
          <w:rFonts w:cs="Calibri"/>
        </w:rPr>
        <w:noBreakHyphen/>
        <w:t>free, consistent with Australia’s treaty obligations under the International Telecommunication Regulations (the Melbourne Agreement).</w:t>
      </w:r>
    </w:p>
    <w:p w14:paraId="0986300F" w14:textId="77777777" w:rsidR="006E40C9" w:rsidRDefault="006E40C9" w:rsidP="00130689">
      <w:pPr>
        <w:pStyle w:val="Heading4"/>
      </w:pPr>
      <w:r>
        <w:t>H9</w:t>
      </w:r>
      <w:r>
        <w:tab/>
        <w:t>Tourist refund scheme</w:t>
      </w:r>
    </w:p>
    <w:p w14:paraId="7BEE562F" w14:textId="25D53A1D" w:rsidR="006E40C9" w:rsidRDefault="006E40C9" w:rsidP="006E40C9">
      <w:pPr>
        <w:pStyle w:val="MeasureTableHeading"/>
      </w:pPr>
      <w:r>
        <w:t>Other economic affairs</w:t>
      </w:r>
      <w:r w:rsidR="009F5E3D">
        <w:t xml:space="preserve"> – </w:t>
      </w:r>
      <w:r>
        <w:t>Tourism and area promotion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752094A" w14:textId="77777777">
        <w:trPr>
          <w:cantSplit/>
          <w:jc w:val="center"/>
        </w:trPr>
        <w:tc>
          <w:tcPr>
            <w:tcW w:w="967" w:type="dxa"/>
            <w:tcBorders>
              <w:top w:val="single" w:sz="2" w:space="0" w:color="auto"/>
              <w:bottom w:val="single" w:sz="2" w:space="0" w:color="auto"/>
            </w:tcBorders>
          </w:tcPr>
          <w:p w14:paraId="016D45C2"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819E08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3C80FC2"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D1173EB"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198F4B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3EFB02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D455BB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8DCBD2B" w14:textId="77777777" w:rsidR="006E40C9" w:rsidRDefault="006E40C9">
            <w:pPr>
              <w:pStyle w:val="MeasureTableTextRightAligned"/>
            </w:pPr>
            <w:r>
              <w:t>2027-28</w:t>
            </w:r>
          </w:p>
        </w:tc>
      </w:tr>
      <w:tr w:rsidR="006E40C9" w14:paraId="3B575445" w14:textId="77777777">
        <w:trPr>
          <w:cantSplit/>
          <w:jc w:val="center"/>
        </w:trPr>
        <w:tc>
          <w:tcPr>
            <w:tcW w:w="967" w:type="dxa"/>
            <w:tcBorders>
              <w:top w:val="single" w:sz="2" w:space="0" w:color="auto"/>
              <w:bottom w:val="single" w:sz="2" w:space="0" w:color="auto"/>
            </w:tcBorders>
          </w:tcPr>
          <w:p w14:paraId="213B4097"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79299920" w14:textId="77777777" w:rsidR="006E40C9" w:rsidRDefault="006E40C9">
            <w:pPr>
              <w:pStyle w:val="MeasureTableTextRightAligned"/>
            </w:pPr>
            <w:r>
              <w:t>45</w:t>
            </w:r>
          </w:p>
        </w:tc>
        <w:tc>
          <w:tcPr>
            <w:tcW w:w="967" w:type="dxa"/>
            <w:tcBorders>
              <w:top w:val="single" w:sz="2" w:space="0" w:color="auto"/>
              <w:bottom w:val="single" w:sz="2" w:space="0" w:color="auto"/>
            </w:tcBorders>
            <w:vAlign w:val="bottom"/>
          </w:tcPr>
          <w:p w14:paraId="4BE44A46" w14:textId="77777777" w:rsidR="006E40C9" w:rsidRDefault="006E40C9">
            <w:pPr>
              <w:pStyle w:val="MeasureTableTextRightAligned"/>
            </w:pPr>
            <w:r>
              <w:t>180</w:t>
            </w:r>
          </w:p>
        </w:tc>
        <w:tc>
          <w:tcPr>
            <w:tcW w:w="967" w:type="dxa"/>
            <w:tcBorders>
              <w:top w:val="single" w:sz="2" w:space="0" w:color="auto"/>
              <w:bottom w:val="single" w:sz="2" w:space="0" w:color="auto"/>
            </w:tcBorders>
            <w:vAlign w:val="bottom"/>
          </w:tcPr>
          <w:p w14:paraId="10023DC5" w14:textId="77777777" w:rsidR="006E40C9" w:rsidRDefault="006E40C9">
            <w:pPr>
              <w:pStyle w:val="MeasureTableTextRightAligned"/>
            </w:pPr>
            <w:r>
              <w:t>270</w:t>
            </w:r>
          </w:p>
        </w:tc>
        <w:tc>
          <w:tcPr>
            <w:tcW w:w="967" w:type="dxa"/>
            <w:tcBorders>
              <w:top w:val="single" w:sz="2" w:space="0" w:color="auto"/>
              <w:bottom w:val="single" w:sz="2" w:space="0" w:color="auto"/>
            </w:tcBorders>
            <w:vAlign w:val="bottom"/>
          </w:tcPr>
          <w:p w14:paraId="410855FB" w14:textId="77777777" w:rsidR="006E40C9" w:rsidRDefault="006E40C9">
            <w:pPr>
              <w:pStyle w:val="MeasureTableTextRightAligned"/>
            </w:pPr>
            <w:r>
              <w:t>295</w:t>
            </w:r>
          </w:p>
        </w:tc>
        <w:tc>
          <w:tcPr>
            <w:tcW w:w="967" w:type="dxa"/>
            <w:gridSpan w:val="2"/>
            <w:tcBorders>
              <w:top w:val="single" w:sz="2" w:space="0" w:color="auto"/>
              <w:bottom w:val="single" w:sz="2" w:space="0" w:color="auto"/>
            </w:tcBorders>
            <w:vAlign w:val="bottom"/>
          </w:tcPr>
          <w:p w14:paraId="77D7467C" w14:textId="77777777" w:rsidR="006E40C9" w:rsidRDefault="006E40C9">
            <w:pPr>
              <w:pStyle w:val="MeasureTableTextRightAligned"/>
            </w:pPr>
            <w:r>
              <w:t>300</w:t>
            </w:r>
          </w:p>
        </w:tc>
        <w:tc>
          <w:tcPr>
            <w:tcW w:w="967" w:type="dxa"/>
            <w:gridSpan w:val="2"/>
            <w:tcBorders>
              <w:top w:val="single" w:sz="2" w:space="0" w:color="auto"/>
              <w:bottom w:val="single" w:sz="2" w:space="0" w:color="auto"/>
            </w:tcBorders>
            <w:vAlign w:val="bottom"/>
          </w:tcPr>
          <w:p w14:paraId="18B80E1E" w14:textId="77777777" w:rsidR="006E40C9" w:rsidRDefault="006E40C9">
            <w:pPr>
              <w:pStyle w:val="MeasureTableTextRightAligned"/>
            </w:pPr>
            <w:r>
              <w:t>315</w:t>
            </w:r>
          </w:p>
        </w:tc>
        <w:tc>
          <w:tcPr>
            <w:tcW w:w="968" w:type="dxa"/>
            <w:tcBorders>
              <w:top w:val="single" w:sz="2" w:space="0" w:color="auto"/>
              <w:bottom w:val="single" w:sz="2" w:space="0" w:color="auto"/>
            </w:tcBorders>
            <w:vAlign w:val="bottom"/>
          </w:tcPr>
          <w:p w14:paraId="68024D2B" w14:textId="77777777" w:rsidR="006E40C9" w:rsidRDefault="006E40C9">
            <w:pPr>
              <w:pStyle w:val="MeasureTableTextRightAligned"/>
            </w:pPr>
            <w:r>
              <w:t>325</w:t>
            </w:r>
          </w:p>
        </w:tc>
      </w:tr>
      <w:tr w:rsidR="006E40C9" w14:paraId="0DEA2382" w14:textId="77777777">
        <w:trPr>
          <w:cantSplit/>
          <w:jc w:val="center"/>
        </w:trPr>
        <w:tc>
          <w:tcPr>
            <w:tcW w:w="1934" w:type="dxa"/>
            <w:gridSpan w:val="2"/>
            <w:tcBorders>
              <w:top w:val="single" w:sz="2" w:space="0" w:color="auto"/>
              <w:bottom w:val="nil"/>
            </w:tcBorders>
          </w:tcPr>
          <w:p w14:paraId="2048B941"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0F7B274" w14:textId="77777777" w:rsidR="006E40C9" w:rsidRDefault="006E40C9">
            <w:pPr>
              <w:pStyle w:val="MeasureTableTextLeftAligned"/>
            </w:pPr>
            <w:r>
              <w:t>Exemption</w:t>
            </w:r>
          </w:p>
        </w:tc>
        <w:tc>
          <w:tcPr>
            <w:tcW w:w="1500" w:type="dxa"/>
            <w:gridSpan w:val="2"/>
            <w:tcBorders>
              <w:top w:val="single" w:sz="2" w:space="0" w:color="auto"/>
              <w:bottom w:val="nil"/>
            </w:tcBorders>
          </w:tcPr>
          <w:p w14:paraId="5985DCB0" w14:textId="58670056"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F702FE3" w14:textId="77777777" w:rsidR="006E40C9" w:rsidRDefault="006E40C9">
            <w:pPr>
              <w:pStyle w:val="MeasureTableTextLeftAligned"/>
            </w:pPr>
            <w:r>
              <w:t>H9</w:t>
            </w:r>
          </w:p>
        </w:tc>
      </w:tr>
      <w:tr w:rsidR="006E40C9" w14:paraId="5F6D950C" w14:textId="77777777">
        <w:trPr>
          <w:cantSplit/>
          <w:jc w:val="center"/>
        </w:trPr>
        <w:tc>
          <w:tcPr>
            <w:tcW w:w="1934" w:type="dxa"/>
            <w:gridSpan w:val="2"/>
            <w:tcBorders>
              <w:top w:val="nil"/>
              <w:bottom w:val="nil"/>
            </w:tcBorders>
          </w:tcPr>
          <w:p w14:paraId="6A60F86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279BBC" w14:textId="77777777" w:rsidR="006E40C9" w:rsidRPr="00584CA7" w:rsidRDefault="006E40C9">
            <w:pPr>
              <w:pStyle w:val="MeasureTableTextLeftAligned"/>
            </w:pPr>
            <w:r>
              <w:t>Low</w:t>
            </w:r>
          </w:p>
        </w:tc>
        <w:tc>
          <w:tcPr>
            <w:tcW w:w="1500" w:type="dxa"/>
            <w:gridSpan w:val="2"/>
            <w:tcBorders>
              <w:top w:val="nil"/>
              <w:bottom w:val="nil"/>
            </w:tcBorders>
          </w:tcPr>
          <w:p w14:paraId="7B8E33DD" w14:textId="77777777" w:rsidR="006E40C9" w:rsidRDefault="006E40C9">
            <w:pPr>
              <w:pStyle w:val="MeasureTableTextItalic"/>
            </w:pPr>
          </w:p>
        </w:tc>
        <w:tc>
          <w:tcPr>
            <w:tcW w:w="1124" w:type="dxa"/>
            <w:gridSpan w:val="2"/>
            <w:tcBorders>
              <w:top w:val="nil"/>
              <w:bottom w:val="nil"/>
            </w:tcBorders>
          </w:tcPr>
          <w:p w14:paraId="1968AACF" w14:textId="77777777" w:rsidR="006E40C9" w:rsidRDefault="006E40C9">
            <w:pPr>
              <w:pStyle w:val="MeasureTableTextLeftAligned"/>
            </w:pPr>
          </w:p>
        </w:tc>
      </w:tr>
      <w:tr w:rsidR="006E40C9" w14:paraId="76FF924E" w14:textId="77777777">
        <w:trPr>
          <w:cantSplit/>
          <w:jc w:val="center"/>
        </w:trPr>
        <w:tc>
          <w:tcPr>
            <w:tcW w:w="1934" w:type="dxa"/>
            <w:gridSpan w:val="2"/>
            <w:tcBorders>
              <w:top w:val="nil"/>
              <w:bottom w:val="nil"/>
            </w:tcBorders>
          </w:tcPr>
          <w:p w14:paraId="09FBE300" w14:textId="77777777" w:rsidR="006E40C9" w:rsidRDefault="006E40C9">
            <w:pPr>
              <w:pStyle w:val="MeasureTableTextItalic"/>
            </w:pPr>
            <w:r>
              <w:t>Commencement date:</w:t>
            </w:r>
          </w:p>
        </w:tc>
        <w:tc>
          <w:tcPr>
            <w:tcW w:w="3179" w:type="dxa"/>
            <w:gridSpan w:val="4"/>
            <w:tcBorders>
              <w:top w:val="nil"/>
              <w:bottom w:val="nil"/>
            </w:tcBorders>
          </w:tcPr>
          <w:p w14:paraId="1F403139" w14:textId="77777777" w:rsidR="006E40C9" w:rsidRDefault="006E40C9">
            <w:pPr>
              <w:pStyle w:val="MeasureTableTextLeftAligned"/>
            </w:pPr>
            <w:r>
              <w:t>1 July 2000</w:t>
            </w:r>
          </w:p>
        </w:tc>
        <w:tc>
          <w:tcPr>
            <w:tcW w:w="1500" w:type="dxa"/>
            <w:gridSpan w:val="2"/>
            <w:tcBorders>
              <w:top w:val="nil"/>
              <w:bottom w:val="nil"/>
            </w:tcBorders>
          </w:tcPr>
          <w:p w14:paraId="7CAD1059" w14:textId="77777777" w:rsidR="006E40C9" w:rsidRPr="00F32057" w:rsidRDefault="006E40C9">
            <w:pPr>
              <w:pStyle w:val="MeasureTableTextItalic"/>
            </w:pPr>
            <w:r>
              <w:t>Expiry date:</w:t>
            </w:r>
          </w:p>
        </w:tc>
        <w:tc>
          <w:tcPr>
            <w:tcW w:w="1124" w:type="dxa"/>
            <w:gridSpan w:val="2"/>
            <w:tcBorders>
              <w:top w:val="nil"/>
              <w:bottom w:val="nil"/>
            </w:tcBorders>
          </w:tcPr>
          <w:p w14:paraId="165932D3" w14:textId="77777777" w:rsidR="006E40C9" w:rsidRPr="00F32057" w:rsidRDefault="006E40C9">
            <w:pPr>
              <w:pStyle w:val="MeasureTableTextLeftAligned"/>
            </w:pPr>
          </w:p>
        </w:tc>
      </w:tr>
      <w:tr w:rsidR="006E40C9" w14:paraId="234E1858" w14:textId="77777777">
        <w:trPr>
          <w:cantSplit/>
          <w:jc w:val="center"/>
        </w:trPr>
        <w:tc>
          <w:tcPr>
            <w:tcW w:w="1934" w:type="dxa"/>
            <w:gridSpan w:val="2"/>
            <w:tcBorders>
              <w:top w:val="nil"/>
            </w:tcBorders>
          </w:tcPr>
          <w:p w14:paraId="459CA961" w14:textId="77777777" w:rsidR="006E40C9" w:rsidRDefault="006E40C9">
            <w:pPr>
              <w:pStyle w:val="MeasureTableTextItalic"/>
            </w:pPr>
            <w:r>
              <w:t>Legislative reference:</w:t>
            </w:r>
          </w:p>
        </w:tc>
        <w:tc>
          <w:tcPr>
            <w:tcW w:w="5803" w:type="dxa"/>
            <w:gridSpan w:val="8"/>
            <w:tcBorders>
              <w:top w:val="nil"/>
            </w:tcBorders>
          </w:tcPr>
          <w:p w14:paraId="261ACF92"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168 of the </w:t>
            </w:r>
            <w:r>
              <w:rPr>
                <w:rFonts w:ascii="Arial" w:hAnsi="Arial" w:cs="Arial"/>
                <w:i/>
                <w:iCs/>
                <w:color w:val="000000"/>
                <w:sz w:val="16"/>
                <w:szCs w:val="16"/>
              </w:rPr>
              <w:t>A New Tax System (Goods and Services Tax) Act 1999</w:t>
            </w:r>
          </w:p>
          <w:p w14:paraId="6D99EC01"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Division 168 of the </w:t>
            </w:r>
            <w:r>
              <w:rPr>
                <w:rFonts w:ascii="Arial" w:hAnsi="Arial" w:cs="Arial"/>
                <w:i/>
                <w:iCs/>
                <w:color w:val="000000"/>
                <w:sz w:val="16"/>
                <w:szCs w:val="16"/>
              </w:rPr>
              <w:t>A New Tax System (Goods and Services Tax) Regulations 2019</w:t>
            </w:r>
          </w:p>
          <w:p w14:paraId="44FFC5A5"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25 of the </w:t>
            </w:r>
            <w:r>
              <w:rPr>
                <w:rFonts w:ascii="Arial" w:hAnsi="Arial" w:cs="Arial"/>
                <w:i/>
                <w:iCs/>
                <w:color w:val="000000"/>
                <w:sz w:val="16"/>
                <w:szCs w:val="16"/>
              </w:rPr>
              <w:t>A New Tax System (Wine Equalisation Tax) Act 1999</w:t>
            </w:r>
          </w:p>
        </w:tc>
      </w:tr>
    </w:tbl>
    <w:p w14:paraId="0608B3CD" w14:textId="77777777" w:rsidR="006E40C9" w:rsidRPr="00540040" w:rsidRDefault="006E40C9" w:rsidP="006E40C9">
      <w:pPr>
        <w:pStyle w:val="MeasureTableHeading"/>
      </w:pPr>
    </w:p>
    <w:p w14:paraId="16E66C0F" w14:textId="77777777" w:rsidR="006E40C9" w:rsidRDefault="006E40C9" w:rsidP="006E40C9">
      <w:r>
        <w:t xml:space="preserve">The benchmark tax treatment is that GST applies at the rate of 10 per cent to most supplies of goods and services </w:t>
      </w:r>
      <w:r w:rsidRPr="00301F8A">
        <w:rPr>
          <w:rStyle w:val="normaltextrun"/>
          <w:rFonts w:cs="Segoe UI"/>
          <w:shd w:val="clear" w:color="auto" w:fill="FFFFFF"/>
        </w:rPr>
        <w:t>and wine is taxed under the wine equalisation tax (WET) at 29 per cent of its last wholesale value</w:t>
      </w:r>
      <w:r>
        <w:t xml:space="preserve">. However, international travellers visiting Australia and Australians travelling overseas may be able to claim a refund of GST and WET paid on certain goods bought in Australia if the total value of the goods is $300 or more, they are purchased within 60 days of departure and the goods are taken with the traveller when they depart Australia. </w:t>
      </w:r>
      <w:r>
        <w:fldChar w:fldCharType="begin"/>
      </w:r>
      <w:r>
        <w:instrText xml:space="preserve"> XE "Tourism businesses" </w:instrText>
      </w:r>
      <w:r>
        <w:fldChar w:fldCharType="end"/>
      </w:r>
    </w:p>
    <w:p w14:paraId="20CC31D9" w14:textId="77777777" w:rsidR="006E40C9" w:rsidRDefault="006E40C9" w:rsidP="006E40C9">
      <w:r>
        <w:t>In addition, residents of Australia’s external territories, such as Norfolk, Cocos (Keeling) and Christmas Islands, can claim refunds of GST and WET under the tourist refund scheme. Claims can be made if Australian external territory residents leaving Australia can show proof that the goods have been exported to their external territory within the required period after the goods were acquired.</w:t>
      </w:r>
    </w:p>
    <w:p w14:paraId="54A126BA" w14:textId="77777777" w:rsidR="006E40C9" w:rsidRDefault="006E40C9" w:rsidP="00130689">
      <w:pPr>
        <w:pStyle w:val="Heading4"/>
      </w:pPr>
      <w:r>
        <w:t>H10</w:t>
      </w:r>
      <w:r>
        <w:tab/>
        <w:t>Boats for export</w:t>
      </w:r>
    </w:p>
    <w:p w14:paraId="45577FB1" w14:textId="625C5B8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61585FA" w14:textId="77777777">
        <w:trPr>
          <w:cantSplit/>
          <w:jc w:val="center"/>
        </w:trPr>
        <w:tc>
          <w:tcPr>
            <w:tcW w:w="967" w:type="dxa"/>
            <w:tcBorders>
              <w:top w:val="single" w:sz="2" w:space="0" w:color="auto"/>
              <w:bottom w:val="single" w:sz="2" w:space="0" w:color="auto"/>
            </w:tcBorders>
          </w:tcPr>
          <w:p w14:paraId="48CA8623"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C88C89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683A3C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32E73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680E81D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984198"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F191CF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781048" w14:textId="77777777" w:rsidR="006E40C9" w:rsidRDefault="006E40C9">
            <w:pPr>
              <w:pStyle w:val="MeasureTableTextRightAligned"/>
            </w:pPr>
            <w:r>
              <w:t>2027-28</w:t>
            </w:r>
          </w:p>
        </w:tc>
      </w:tr>
      <w:tr w:rsidR="006E40C9" w14:paraId="5A5CE9A7" w14:textId="77777777">
        <w:trPr>
          <w:cantSplit/>
          <w:jc w:val="center"/>
        </w:trPr>
        <w:tc>
          <w:tcPr>
            <w:tcW w:w="967" w:type="dxa"/>
            <w:tcBorders>
              <w:top w:val="single" w:sz="2" w:space="0" w:color="auto"/>
              <w:bottom w:val="single" w:sz="2" w:space="0" w:color="auto"/>
            </w:tcBorders>
          </w:tcPr>
          <w:p w14:paraId="12C1B046" w14:textId="77777777" w:rsidR="006E40C9" w:rsidRDefault="006E40C9">
            <w:pPr>
              <w:pStyle w:val="MeasureTableTextRightAligned"/>
            </w:pPr>
            <w:r>
              <w:t>*</w:t>
            </w:r>
          </w:p>
        </w:tc>
        <w:tc>
          <w:tcPr>
            <w:tcW w:w="967" w:type="dxa"/>
            <w:tcBorders>
              <w:top w:val="single" w:sz="2" w:space="0" w:color="auto"/>
              <w:bottom w:val="single" w:sz="2" w:space="0" w:color="auto"/>
            </w:tcBorders>
          </w:tcPr>
          <w:p w14:paraId="2B9428D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DEFE83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AD837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469855B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D1C911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BF6E9C3"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3A729F7A" w14:textId="77777777" w:rsidR="006E40C9" w:rsidRDefault="006E40C9">
            <w:pPr>
              <w:pStyle w:val="MeasureTableTextRightAligned"/>
            </w:pPr>
            <w:r>
              <w:t>*</w:t>
            </w:r>
          </w:p>
        </w:tc>
      </w:tr>
      <w:tr w:rsidR="006E40C9" w14:paraId="607BE659" w14:textId="77777777">
        <w:trPr>
          <w:cantSplit/>
          <w:jc w:val="center"/>
        </w:trPr>
        <w:tc>
          <w:tcPr>
            <w:tcW w:w="1934" w:type="dxa"/>
            <w:gridSpan w:val="2"/>
            <w:tcBorders>
              <w:top w:val="single" w:sz="2" w:space="0" w:color="auto"/>
              <w:bottom w:val="nil"/>
            </w:tcBorders>
          </w:tcPr>
          <w:p w14:paraId="397C9FC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D0B9080" w14:textId="77777777" w:rsidR="006E40C9" w:rsidRDefault="006E40C9">
            <w:pPr>
              <w:pStyle w:val="MeasureTableTextLeftAligned"/>
            </w:pPr>
            <w:r>
              <w:t>Exemption</w:t>
            </w:r>
          </w:p>
        </w:tc>
        <w:tc>
          <w:tcPr>
            <w:tcW w:w="1500" w:type="dxa"/>
            <w:gridSpan w:val="2"/>
            <w:tcBorders>
              <w:top w:val="single" w:sz="2" w:space="0" w:color="auto"/>
              <w:bottom w:val="nil"/>
            </w:tcBorders>
          </w:tcPr>
          <w:p w14:paraId="3FB38991" w14:textId="38E6855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5B15E4F" w14:textId="77777777" w:rsidR="006E40C9" w:rsidRDefault="006E40C9">
            <w:pPr>
              <w:pStyle w:val="MeasureTableTextLeftAligned"/>
            </w:pPr>
            <w:r>
              <w:t>H10</w:t>
            </w:r>
          </w:p>
        </w:tc>
      </w:tr>
      <w:tr w:rsidR="006E40C9" w14:paraId="29A4102C" w14:textId="77777777">
        <w:trPr>
          <w:cantSplit/>
          <w:jc w:val="center"/>
        </w:trPr>
        <w:tc>
          <w:tcPr>
            <w:tcW w:w="1934" w:type="dxa"/>
            <w:gridSpan w:val="2"/>
            <w:tcBorders>
              <w:top w:val="nil"/>
              <w:bottom w:val="nil"/>
            </w:tcBorders>
          </w:tcPr>
          <w:p w14:paraId="0C40C28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B732828" w14:textId="77777777" w:rsidR="006E40C9" w:rsidRPr="00584CA7" w:rsidRDefault="006E40C9">
            <w:pPr>
              <w:pStyle w:val="MeasureTableTextLeftAligned"/>
            </w:pPr>
            <w:r>
              <w:t>Not Applicable</w:t>
            </w:r>
          </w:p>
        </w:tc>
        <w:tc>
          <w:tcPr>
            <w:tcW w:w="1500" w:type="dxa"/>
            <w:gridSpan w:val="2"/>
            <w:tcBorders>
              <w:top w:val="nil"/>
              <w:bottom w:val="nil"/>
            </w:tcBorders>
          </w:tcPr>
          <w:p w14:paraId="7BD85713" w14:textId="77777777" w:rsidR="006E40C9" w:rsidRDefault="006E40C9">
            <w:pPr>
              <w:pStyle w:val="MeasureTableTextItalic"/>
            </w:pPr>
            <w:r>
              <w:t>* Category</w:t>
            </w:r>
          </w:p>
        </w:tc>
        <w:tc>
          <w:tcPr>
            <w:tcW w:w="1124" w:type="dxa"/>
            <w:gridSpan w:val="2"/>
            <w:tcBorders>
              <w:top w:val="nil"/>
              <w:bottom w:val="nil"/>
            </w:tcBorders>
          </w:tcPr>
          <w:p w14:paraId="35917E39" w14:textId="77777777" w:rsidR="006E40C9" w:rsidRDefault="006E40C9">
            <w:pPr>
              <w:pStyle w:val="MeasureTableTextLeftAligned"/>
            </w:pPr>
            <w:r>
              <w:t>2+</w:t>
            </w:r>
          </w:p>
        </w:tc>
      </w:tr>
      <w:tr w:rsidR="006E40C9" w14:paraId="6422298C" w14:textId="77777777" w:rsidTr="00796C9D">
        <w:trPr>
          <w:cantSplit/>
          <w:jc w:val="center"/>
        </w:trPr>
        <w:tc>
          <w:tcPr>
            <w:tcW w:w="1934" w:type="dxa"/>
            <w:gridSpan w:val="2"/>
            <w:tcBorders>
              <w:top w:val="nil"/>
              <w:bottom w:val="nil"/>
            </w:tcBorders>
          </w:tcPr>
          <w:p w14:paraId="160D3C0F" w14:textId="77777777" w:rsidR="006E40C9" w:rsidRDefault="006E40C9">
            <w:pPr>
              <w:pStyle w:val="MeasureTableTextItalic"/>
            </w:pPr>
            <w:r>
              <w:t>Commencement date:</w:t>
            </w:r>
          </w:p>
        </w:tc>
        <w:tc>
          <w:tcPr>
            <w:tcW w:w="3179" w:type="dxa"/>
            <w:gridSpan w:val="4"/>
            <w:tcBorders>
              <w:top w:val="nil"/>
              <w:bottom w:val="nil"/>
            </w:tcBorders>
          </w:tcPr>
          <w:p w14:paraId="14C5B749" w14:textId="77777777" w:rsidR="006E40C9" w:rsidRDefault="006E40C9">
            <w:pPr>
              <w:pStyle w:val="MeasureTableTextLeftAligned"/>
            </w:pPr>
            <w:r>
              <w:t>1 July 2000</w:t>
            </w:r>
          </w:p>
        </w:tc>
        <w:tc>
          <w:tcPr>
            <w:tcW w:w="1500" w:type="dxa"/>
            <w:gridSpan w:val="2"/>
            <w:tcBorders>
              <w:top w:val="nil"/>
              <w:bottom w:val="nil"/>
            </w:tcBorders>
          </w:tcPr>
          <w:p w14:paraId="001528F7" w14:textId="77777777" w:rsidR="006E40C9" w:rsidRPr="00F32057" w:rsidRDefault="006E40C9">
            <w:pPr>
              <w:pStyle w:val="MeasureTableTextItalic"/>
            </w:pPr>
            <w:r>
              <w:t>Expiry date:</w:t>
            </w:r>
          </w:p>
        </w:tc>
        <w:tc>
          <w:tcPr>
            <w:tcW w:w="1124" w:type="dxa"/>
            <w:gridSpan w:val="2"/>
            <w:tcBorders>
              <w:top w:val="nil"/>
              <w:bottom w:val="nil"/>
            </w:tcBorders>
          </w:tcPr>
          <w:p w14:paraId="46D13D1C" w14:textId="77777777" w:rsidR="006E40C9" w:rsidRPr="00F32057" w:rsidRDefault="006E40C9">
            <w:pPr>
              <w:pStyle w:val="MeasureTableTextLeftAligned"/>
            </w:pPr>
          </w:p>
        </w:tc>
      </w:tr>
      <w:tr w:rsidR="006E40C9" w14:paraId="472EF5BC" w14:textId="77777777" w:rsidTr="00796C9D">
        <w:trPr>
          <w:cantSplit/>
          <w:jc w:val="center"/>
        </w:trPr>
        <w:tc>
          <w:tcPr>
            <w:tcW w:w="1934" w:type="dxa"/>
            <w:gridSpan w:val="2"/>
            <w:tcBorders>
              <w:top w:val="nil"/>
              <w:bottom w:val="single" w:sz="4" w:space="0" w:color="auto"/>
            </w:tcBorders>
          </w:tcPr>
          <w:p w14:paraId="0DA0C730" w14:textId="77777777" w:rsidR="006E40C9" w:rsidRDefault="006E40C9">
            <w:pPr>
              <w:pStyle w:val="MeasureTableTextItalic"/>
            </w:pPr>
            <w:r>
              <w:t>Legislative reference:</w:t>
            </w:r>
          </w:p>
        </w:tc>
        <w:tc>
          <w:tcPr>
            <w:tcW w:w="5803" w:type="dxa"/>
            <w:gridSpan w:val="8"/>
            <w:tcBorders>
              <w:top w:val="nil"/>
              <w:bottom w:val="single" w:sz="4" w:space="0" w:color="auto"/>
            </w:tcBorders>
          </w:tcPr>
          <w:p w14:paraId="6C06426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Item 4A of section 38-185 of the </w:t>
            </w:r>
            <w:r>
              <w:rPr>
                <w:rFonts w:ascii="Arial" w:hAnsi="Arial" w:cs="Arial"/>
                <w:i/>
                <w:iCs/>
                <w:color w:val="000000"/>
                <w:sz w:val="16"/>
                <w:szCs w:val="16"/>
              </w:rPr>
              <w:t>A New Tax System (Goods and Services Tax) Act 1999</w:t>
            </w:r>
          </w:p>
        </w:tc>
      </w:tr>
    </w:tbl>
    <w:p w14:paraId="6F9618AB" w14:textId="77777777" w:rsidR="006E40C9" w:rsidRPr="00540040" w:rsidRDefault="006E40C9" w:rsidP="006E40C9">
      <w:pPr>
        <w:pStyle w:val="MeasureTableHeading"/>
      </w:pPr>
    </w:p>
    <w:p w14:paraId="6C3D3D1F" w14:textId="77777777" w:rsidR="006E40C9" w:rsidRDefault="006E40C9" w:rsidP="006E40C9">
      <w:r>
        <w:t>The benchmark tax treatment is that GST applies at the rate of 10 per cent to most supplies of goods and services but does not apply to goods which are exported from Australia within 60 days. However, supplies of eligible boats</w:t>
      </w:r>
      <w:r>
        <w:fldChar w:fldCharType="begin"/>
      </w:r>
      <w:r>
        <w:instrText xml:space="preserve"> XE "Goods and Services Tax:Boats" </w:instrText>
      </w:r>
      <w:r>
        <w:fldChar w:fldCharType="end"/>
      </w:r>
      <w:r>
        <w:t xml:space="preserve"> used for recreational purposes are GST</w:t>
      </w:r>
      <w:r>
        <w:noBreakHyphen/>
        <w:t>free if the boats are exported by the purchaser from Australia within 12 months, with effect from 1 July 2011.</w:t>
      </w:r>
    </w:p>
    <w:p w14:paraId="045EC8C6" w14:textId="77777777" w:rsidR="006E40C9" w:rsidRDefault="006E40C9" w:rsidP="00130689">
      <w:pPr>
        <w:pStyle w:val="Heading4"/>
      </w:pPr>
      <w:r>
        <w:t>H11</w:t>
      </w:r>
      <w:r>
        <w:tab/>
        <w:t>Tourism – domestic travel as part of an international arrangement</w:t>
      </w:r>
    </w:p>
    <w:p w14:paraId="434906CE" w14:textId="5A96920E"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C0F987E" w14:textId="77777777">
        <w:trPr>
          <w:cantSplit/>
          <w:jc w:val="center"/>
        </w:trPr>
        <w:tc>
          <w:tcPr>
            <w:tcW w:w="967" w:type="dxa"/>
            <w:tcBorders>
              <w:top w:val="single" w:sz="2" w:space="0" w:color="auto"/>
              <w:bottom w:val="single" w:sz="2" w:space="0" w:color="auto"/>
            </w:tcBorders>
          </w:tcPr>
          <w:p w14:paraId="6396F37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07D668"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4B91F0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CE777A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6E61908"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745B402A"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6BB979A0"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57BDE65" w14:textId="77777777" w:rsidR="006E40C9" w:rsidRDefault="006E40C9">
            <w:pPr>
              <w:pStyle w:val="MeasureTableTextRightAligned"/>
            </w:pPr>
            <w:r>
              <w:t>2027-28</w:t>
            </w:r>
          </w:p>
        </w:tc>
      </w:tr>
      <w:tr w:rsidR="006E40C9" w14:paraId="2F0C6961" w14:textId="77777777">
        <w:trPr>
          <w:cantSplit/>
          <w:jc w:val="center"/>
        </w:trPr>
        <w:tc>
          <w:tcPr>
            <w:tcW w:w="967" w:type="dxa"/>
            <w:tcBorders>
              <w:top w:val="single" w:sz="2" w:space="0" w:color="auto"/>
              <w:bottom w:val="single" w:sz="2" w:space="0" w:color="auto"/>
            </w:tcBorders>
          </w:tcPr>
          <w:p w14:paraId="3D59DE69" w14:textId="77777777" w:rsidR="006E40C9" w:rsidRDefault="006E40C9">
            <w:pPr>
              <w:pStyle w:val="MeasureTableTextRightAligned"/>
            </w:pPr>
            <w:r>
              <w:t>*</w:t>
            </w:r>
          </w:p>
        </w:tc>
        <w:tc>
          <w:tcPr>
            <w:tcW w:w="967" w:type="dxa"/>
            <w:tcBorders>
              <w:top w:val="single" w:sz="2" w:space="0" w:color="auto"/>
              <w:bottom w:val="single" w:sz="2" w:space="0" w:color="auto"/>
            </w:tcBorders>
          </w:tcPr>
          <w:p w14:paraId="3BB6244F"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59BAD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504BFC48"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E1A4774"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2133D2D5"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2BF6D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DAA730D" w14:textId="77777777" w:rsidR="006E40C9" w:rsidRDefault="006E40C9">
            <w:pPr>
              <w:pStyle w:val="MeasureTableTextRightAligned"/>
            </w:pPr>
            <w:r>
              <w:t>*</w:t>
            </w:r>
          </w:p>
        </w:tc>
      </w:tr>
      <w:tr w:rsidR="006E40C9" w14:paraId="4B5C0CDC" w14:textId="77777777">
        <w:trPr>
          <w:cantSplit/>
          <w:jc w:val="center"/>
        </w:trPr>
        <w:tc>
          <w:tcPr>
            <w:tcW w:w="1934" w:type="dxa"/>
            <w:gridSpan w:val="2"/>
            <w:tcBorders>
              <w:top w:val="single" w:sz="2" w:space="0" w:color="auto"/>
              <w:bottom w:val="nil"/>
            </w:tcBorders>
          </w:tcPr>
          <w:p w14:paraId="0A3375C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33AD87D" w14:textId="77777777" w:rsidR="006E40C9" w:rsidRDefault="006E40C9">
            <w:pPr>
              <w:pStyle w:val="MeasureTableTextLeftAligned"/>
            </w:pPr>
            <w:r>
              <w:t>Exemption</w:t>
            </w:r>
          </w:p>
        </w:tc>
        <w:tc>
          <w:tcPr>
            <w:tcW w:w="1500" w:type="dxa"/>
            <w:gridSpan w:val="2"/>
            <w:tcBorders>
              <w:top w:val="single" w:sz="2" w:space="0" w:color="auto"/>
              <w:bottom w:val="nil"/>
            </w:tcBorders>
          </w:tcPr>
          <w:p w14:paraId="33903B42" w14:textId="6A2C341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F3E1297" w14:textId="77777777" w:rsidR="006E40C9" w:rsidRDefault="006E40C9">
            <w:pPr>
              <w:pStyle w:val="MeasureTableTextLeftAligned"/>
            </w:pPr>
            <w:r>
              <w:t>H11</w:t>
            </w:r>
          </w:p>
        </w:tc>
      </w:tr>
      <w:tr w:rsidR="006E40C9" w14:paraId="6B858298" w14:textId="77777777">
        <w:trPr>
          <w:cantSplit/>
          <w:jc w:val="center"/>
        </w:trPr>
        <w:tc>
          <w:tcPr>
            <w:tcW w:w="1934" w:type="dxa"/>
            <w:gridSpan w:val="2"/>
            <w:tcBorders>
              <w:top w:val="nil"/>
              <w:bottom w:val="nil"/>
            </w:tcBorders>
          </w:tcPr>
          <w:p w14:paraId="2566443E"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F54BCB6" w14:textId="77777777" w:rsidR="006E40C9" w:rsidRPr="00584CA7" w:rsidRDefault="006E40C9">
            <w:pPr>
              <w:pStyle w:val="MeasureTableTextLeftAligned"/>
            </w:pPr>
            <w:r>
              <w:t>Not Applicable</w:t>
            </w:r>
          </w:p>
        </w:tc>
        <w:tc>
          <w:tcPr>
            <w:tcW w:w="1500" w:type="dxa"/>
            <w:gridSpan w:val="2"/>
            <w:tcBorders>
              <w:top w:val="nil"/>
              <w:bottom w:val="nil"/>
            </w:tcBorders>
          </w:tcPr>
          <w:p w14:paraId="50D8892D" w14:textId="77777777" w:rsidR="006E40C9" w:rsidRDefault="006E40C9">
            <w:pPr>
              <w:pStyle w:val="MeasureTableTextItalic"/>
            </w:pPr>
            <w:r>
              <w:t>* Category</w:t>
            </w:r>
          </w:p>
        </w:tc>
        <w:tc>
          <w:tcPr>
            <w:tcW w:w="1124" w:type="dxa"/>
            <w:gridSpan w:val="2"/>
            <w:tcBorders>
              <w:top w:val="nil"/>
              <w:bottom w:val="nil"/>
            </w:tcBorders>
          </w:tcPr>
          <w:p w14:paraId="1E13753E" w14:textId="77777777" w:rsidR="006E40C9" w:rsidRDefault="006E40C9">
            <w:pPr>
              <w:pStyle w:val="MeasureTableTextLeftAligned"/>
            </w:pPr>
            <w:r>
              <w:t>2+</w:t>
            </w:r>
          </w:p>
        </w:tc>
      </w:tr>
      <w:tr w:rsidR="006E40C9" w14:paraId="4B421DCF" w14:textId="77777777">
        <w:trPr>
          <w:cantSplit/>
          <w:jc w:val="center"/>
        </w:trPr>
        <w:tc>
          <w:tcPr>
            <w:tcW w:w="1934" w:type="dxa"/>
            <w:gridSpan w:val="2"/>
            <w:tcBorders>
              <w:top w:val="nil"/>
              <w:bottom w:val="nil"/>
            </w:tcBorders>
          </w:tcPr>
          <w:p w14:paraId="7BEFEE76" w14:textId="77777777" w:rsidR="006E40C9" w:rsidRDefault="006E40C9">
            <w:pPr>
              <w:pStyle w:val="MeasureTableTextItalic"/>
            </w:pPr>
            <w:r>
              <w:t>Commencement date:</w:t>
            </w:r>
          </w:p>
        </w:tc>
        <w:tc>
          <w:tcPr>
            <w:tcW w:w="3179" w:type="dxa"/>
            <w:gridSpan w:val="4"/>
            <w:tcBorders>
              <w:top w:val="nil"/>
              <w:bottom w:val="nil"/>
            </w:tcBorders>
          </w:tcPr>
          <w:p w14:paraId="3E9C1EC7" w14:textId="77777777" w:rsidR="006E40C9" w:rsidRDefault="006E40C9">
            <w:pPr>
              <w:pStyle w:val="MeasureTableTextLeftAligned"/>
            </w:pPr>
            <w:r>
              <w:t>1 July 2000</w:t>
            </w:r>
          </w:p>
        </w:tc>
        <w:tc>
          <w:tcPr>
            <w:tcW w:w="1500" w:type="dxa"/>
            <w:gridSpan w:val="2"/>
            <w:tcBorders>
              <w:top w:val="nil"/>
              <w:bottom w:val="nil"/>
            </w:tcBorders>
          </w:tcPr>
          <w:p w14:paraId="06558027" w14:textId="77777777" w:rsidR="006E40C9" w:rsidRPr="00F32057" w:rsidRDefault="006E40C9">
            <w:pPr>
              <w:pStyle w:val="MeasureTableTextItalic"/>
            </w:pPr>
            <w:r>
              <w:t>Expiry date:</w:t>
            </w:r>
          </w:p>
        </w:tc>
        <w:tc>
          <w:tcPr>
            <w:tcW w:w="1124" w:type="dxa"/>
            <w:gridSpan w:val="2"/>
            <w:tcBorders>
              <w:top w:val="nil"/>
              <w:bottom w:val="nil"/>
            </w:tcBorders>
          </w:tcPr>
          <w:p w14:paraId="19221310" w14:textId="77777777" w:rsidR="006E40C9" w:rsidRPr="00F32057" w:rsidRDefault="006E40C9">
            <w:pPr>
              <w:pStyle w:val="MeasureTableTextLeftAligned"/>
            </w:pPr>
          </w:p>
        </w:tc>
      </w:tr>
      <w:tr w:rsidR="006E40C9" w14:paraId="27227CF0" w14:textId="77777777">
        <w:trPr>
          <w:cantSplit/>
          <w:jc w:val="center"/>
        </w:trPr>
        <w:tc>
          <w:tcPr>
            <w:tcW w:w="1934" w:type="dxa"/>
            <w:gridSpan w:val="2"/>
            <w:tcBorders>
              <w:top w:val="nil"/>
            </w:tcBorders>
          </w:tcPr>
          <w:p w14:paraId="427E759A" w14:textId="77777777" w:rsidR="006E40C9" w:rsidRDefault="006E40C9">
            <w:pPr>
              <w:pStyle w:val="MeasureTableTextItalic"/>
            </w:pPr>
            <w:r>
              <w:t>Legislative reference:</w:t>
            </w:r>
          </w:p>
        </w:tc>
        <w:tc>
          <w:tcPr>
            <w:tcW w:w="5803" w:type="dxa"/>
            <w:gridSpan w:val="8"/>
            <w:tcBorders>
              <w:top w:val="nil"/>
            </w:tcBorders>
          </w:tcPr>
          <w:p w14:paraId="087261E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38-355 of the </w:t>
            </w:r>
            <w:r>
              <w:rPr>
                <w:rFonts w:ascii="Arial" w:hAnsi="Arial" w:cs="Arial"/>
                <w:i/>
                <w:iCs/>
                <w:color w:val="000000"/>
                <w:sz w:val="16"/>
                <w:szCs w:val="16"/>
              </w:rPr>
              <w:t>A New Tax System (Goods and Services Tax) Act 1999</w:t>
            </w:r>
          </w:p>
        </w:tc>
      </w:tr>
    </w:tbl>
    <w:p w14:paraId="711FC87E" w14:textId="77777777" w:rsidR="006E40C9" w:rsidRPr="00540040" w:rsidRDefault="006E40C9" w:rsidP="006E40C9">
      <w:pPr>
        <w:pStyle w:val="MeasureTableHeading"/>
      </w:pPr>
    </w:p>
    <w:p w14:paraId="6B5B8AA6" w14:textId="77777777" w:rsidR="006E40C9" w:rsidRDefault="006E40C9" w:rsidP="006E40C9">
      <w:pPr>
        <w:rPr>
          <w:rFonts w:eastAsia="Calibri"/>
          <w:lang w:eastAsia="en-US"/>
        </w:rPr>
      </w:pPr>
      <w:r>
        <w:t>The benchmark tax treatment is that GST applies at the rate of 10 per cent to most supplies of goods and services within the indirect tax zone. However, domestic air or sea travel within Australia by residents or non</w:t>
      </w:r>
      <w:r>
        <w:noBreakHyphen/>
        <w:t>residents as part of a wider international travel arrangement is not subject to GST. In addition, the transport of passengers to the first place of arrival in, or from the last point of departure within, the indirect tax zone is GST</w:t>
      </w:r>
      <w:r>
        <w:noBreakHyphen/>
        <w:t>free. Domestic air travel within Australia by non</w:t>
      </w:r>
      <w:r>
        <w:noBreakHyphen/>
        <w:t>residents is also GST</w:t>
      </w:r>
      <w:r>
        <w:noBreakHyphen/>
        <w:t>free if the ticket is purchased while the passenger is outside Australia. Transport insurance for the above supplies is also GST</w:t>
      </w:r>
      <w:r>
        <w:noBreakHyphen/>
        <w:t>free.</w:t>
      </w:r>
      <w:r>
        <w:fldChar w:fldCharType="begin"/>
      </w:r>
      <w:r>
        <w:instrText xml:space="preserve"> XE "Goods and Services Tax:Tourism" </w:instrText>
      </w:r>
      <w:r>
        <w:fldChar w:fldCharType="end"/>
      </w:r>
      <w:r>
        <w:rPr>
          <w:rFonts w:eastAsia="Calibri"/>
          <w:lang w:eastAsia="en-US"/>
        </w:rPr>
        <w:fldChar w:fldCharType="begin"/>
      </w:r>
      <w:r>
        <w:instrText xml:space="preserve"> XE "</w:instrText>
      </w:r>
      <w:r w:rsidRPr="00B27438">
        <w:instrText xml:space="preserve"> </w:instrText>
      </w:r>
      <w:r>
        <w:instrText xml:space="preserve">Goods and Services Tax:Tourism" </w:instrText>
      </w:r>
      <w:r>
        <w:rPr>
          <w:rFonts w:eastAsia="Calibri"/>
          <w:lang w:eastAsia="en-US"/>
        </w:rPr>
        <w:fldChar w:fldCharType="end"/>
      </w:r>
    </w:p>
    <w:p w14:paraId="31E2EC54" w14:textId="77777777" w:rsidR="006E40C9" w:rsidRDefault="006E40C9" w:rsidP="00130689">
      <w:pPr>
        <w:pStyle w:val="Heading4"/>
      </w:pPr>
      <w:r>
        <w:t>H12</w:t>
      </w:r>
      <w:r>
        <w:tab/>
        <w:t>Tourism – inwards duty free</w:t>
      </w:r>
    </w:p>
    <w:p w14:paraId="69912D40" w14:textId="5F8FC1A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51DA69" w14:textId="77777777">
        <w:trPr>
          <w:cantSplit/>
          <w:jc w:val="center"/>
        </w:trPr>
        <w:tc>
          <w:tcPr>
            <w:tcW w:w="967" w:type="dxa"/>
            <w:tcBorders>
              <w:top w:val="single" w:sz="2" w:space="0" w:color="auto"/>
              <w:bottom w:val="single" w:sz="2" w:space="0" w:color="auto"/>
            </w:tcBorders>
          </w:tcPr>
          <w:p w14:paraId="0181EF2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0C1860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B3EF3D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91C45F5"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CB4A83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A602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10AD402D"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183C60D" w14:textId="77777777" w:rsidR="006E40C9" w:rsidRDefault="006E40C9">
            <w:pPr>
              <w:pStyle w:val="MeasureTableTextRightAligned"/>
            </w:pPr>
            <w:r>
              <w:t>2027-28</w:t>
            </w:r>
          </w:p>
        </w:tc>
      </w:tr>
      <w:tr w:rsidR="006E40C9" w14:paraId="1FE2630A" w14:textId="77777777">
        <w:trPr>
          <w:cantSplit/>
          <w:jc w:val="center"/>
        </w:trPr>
        <w:tc>
          <w:tcPr>
            <w:tcW w:w="967" w:type="dxa"/>
            <w:tcBorders>
              <w:top w:val="single" w:sz="2" w:space="0" w:color="auto"/>
              <w:bottom w:val="single" w:sz="2" w:space="0" w:color="auto"/>
            </w:tcBorders>
          </w:tcPr>
          <w:p w14:paraId="3A34A106" w14:textId="77777777" w:rsidR="006E40C9" w:rsidRDefault="006E40C9">
            <w:pPr>
              <w:pStyle w:val="MeasureTableTextRightAligned"/>
            </w:pPr>
            <w:r>
              <w:t>*</w:t>
            </w:r>
          </w:p>
        </w:tc>
        <w:tc>
          <w:tcPr>
            <w:tcW w:w="967" w:type="dxa"/>
            <w:tcBorders>
              <w:top w:val="single" w:sz="2" w:space="0" w:color="auto"/>
              <w:bottom w:val="single" w:sz="2" w:space="0" w:color="auto"/>
            </w:tcBorders>
          </w:tcPr>
          <w:p w14:paraId="1012237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2E78697"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27231A1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8AC7F8F"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CA641F3"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13CFF89"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4C241910" w14:textId="77777777" w:rsidR="006E40C9" w:rsidRDefault="006E40C9">
            <w:pPr>
              <w:pStyle w:val="MeasureTableTextRightAligned"/>
            </w:pPr>
            <w:r>
              <w:t>*</w:t>
            </w:r>
          </w:p>
        </w:tc>
      </w:tr>
      <w:tr w:rsidR="006E40C9" w14:paraId="554325A5" w14:textId="77777777">
        <w:trPr>
          <w:cantSplit/>
          <w:jc w:val="center"/>
        </w:trPr>
        <w:tc>
          <w:tcPr>
            <w:tcW w:w="1934" w:type="dxa"/>
            <w:gridSpan w:val="2"/>
            <w:tcBorders>
              <w:top w:val="single" w:sz="2" w:space="0" w:color="auto"/>
              <w:bottom w:val="nil"/>
            </w:tcBorders>
          </w:tcPr>
          <w:p w14:paraId="4AFE438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770BA01" w14:textId="77777777" w:rsidR="006E40C9" w:rsidRDefault="006E40C9">
            <w:pPr>
              <w:pStyle w:val="MeasureTableTextLeftAligned"/>
            </w:pPr>
            <w:r>
              <w:t>Exemption, Concessional rate</w:t>
            </w:r>
          </w:p>
        </w:tc>
        <w:tc>
          <w:tcPr>
            <w:tcW w:w="1500" w:type="dxa"/>
            <w:gridSpan w:val="2"/>
            <w:tcBorders>
              <w:top w:val="single" w:sz="2" w:space="0" w:color="auto"/>
              <w:bottom w:val="nil"/>
            </w:tcBorders>
          </w:tcPr>
          <w:p w14:paraId="5A9C81CB" w14:textId="3D3D388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412C22E3" w14:textId="77777777" w:rsidR="006E40C9" w:rsidRDefault="006E40C9">
            <w:pPr>
              <w:pStyle w:val="MeasureTableTextLeftAligned"/>
            </w:pPr>
            <w:r>
              <w:t>H12</w:t>
            </w:r>
          </w:p>
        </w:tc>
      </w:tr>
      <w:tr w:rsidR="006E40C9" w14:paraId="517D4983" w14:textId="77777777">
        <w:trPr>
          <w:cantSplit/>
          <w:jc w:val="center"/>
        </w:trPr>
        <w:tc>
          <w:tcPr>
            <w:tcW w:w="1934" w:type="dxa"/>
            <w:gridSpan w:val="2"/>
            <w:tcBorders>
              <w:top w:val="nil"/>
              <w:bottom w:val="nil"/>
            </w:tcBorders>
          </w:tcPr>
          <w:p w14:paraId="0C081A37"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DE25958" w14:textId="77777777" w:rsidR="006E40C9" w:rsidRPr="00584CA7" w:rsidRDefault="006E40C9">
            <w:pPr>
              <w:pStyle w:val="MeasureTableTextLeftAligned"/>
            </w:pPr>
            <w:r>
              <w:t>Not Applicable</w:t>
            </w:r>
          </w:p>
        </w:tc>
        <w:tc>
          <w:tcPr>
            <w:tcW w:w="1500" w:type="dxa"/>
            <w:gridSpan w:val="2"/>
            <w:tcBorders>
              <w:top w:val="nil"/>
              <w:bottom w:val="nil"/>
            </w:tcBorders>
          </w:tcPr>
          <w:p w14:paraId="5F8A42A2" w14:textId="77777777" w:rsidR="006E40C9" w:rsidRDefault="006E40C9">
            <w:pPr>
              <w:pStyle w:val="MeasureTableTextItalic"/>
            </w:pPr>
            <w:r>
              <w:t>* Category</w:t>
            </w:r>
          </w:p>
        </w:tc>
        <w:tc>
          <w:tcPr>
            <w:tcW w:w="1124" w:type="dxa"/>
            <w:gridSpan w:val="2"/>
            <w:tcBorders>
              <w:top w:val="nil"/>
              <w:bottom w:val="nil"/>
            </w:tcBorders>
          </w:tcPr>
          <w:p w14:paraId="562B2D7F" w14:textId="77777777" w:rsidR="006E40C9" w:rsidRDefault="006E40C9">
            <w:pPr>
              <w:pStyle w:val="MeasureTableTextLeftAligned"/>
            </w:pPr>
            <w:r>
              <w:t>3+</w:t>
            </w:r>
          </w:p>
        </w:tc>
      </w:tr>
      <w:tr w:rsidR="006E40C9" w14:paraId="3305DA4D" w14:textId="77777777">
        <w:trPr>
          <w:cantSplit/>
          <w:jc w:val="center"/>
        </w:trPr>
        <w:tc>
          <w:tcPr>
            <w:tcW w:w="1934" w:type="dxa"/>
            <w:gridSpan w:val="2"/>
            <w:tcBorders>
              <w:top w:val="nil"/>
              <w:bottom w:val="nil"/>
            </w:tcBorders>
          </w:tcPr>
          <w:p w14:paraId="4E7A0167" w14:textId="77777777" w:rsidR="006E40C9" w:rsidRDefault="006E40C9">
            <w:pPr>
              <w:pStyle w:val="MeasureTableTextItalic"/>
            </w:pPr>
            <w:r>
              <w:t>Commencement date:</w:t>
            </w:r>
          </w:p>
        </w:tc>
        <w:tc>
          <w:tcPr>
            <w:tcW w:w="3179" w:type="dxa"/>
            <w:gridSpan w:val="4"/>
            <w:tcBorders>
              <w:top w:val="nil"/>
              <w:bottom w:val="nil"/>
            </w:tcBorders>
          </w:tcPr>
          <w:p w14:paraId="3994ABF4" w14:textId="77777777" w:rsidR="006E40C9" w:rsidRDefault="006E40C9">
            <w:pPr>
              <w:pStyle w:val="MeasureTableTextLeftAligned"/>
            </w:pPr>
            <w:r>
              <w:t>1 July 2000</w:t>
            </w:r>
          </w:p>
        </w:tc>
        <w:tc>
          <w:tcPr>
            <w:tcW w:w="1500" w:type="dxa"/>
            <w:gridSpan w:val="2"/>
            <w:tcBorders>
              <w:top w:val="nil"/>
              <w:bottom w:val="nil"/>
            </w:tcBorders>
          </w:tcPr>
          <w:p w14:paraId="179579D3" w14:textId="77777777" w:rsidR="006E40C9" w:rsidRPr="00F32057" w:rsidRDefault="006E40C9">
            <w:pPr>
              <w:pStyle w:val="MeasureTableTextItalic"/>
            </w:pPr>
            <w:r>
              <w:t>Expiry date:</w:t>
            </w:r>
          </w:p>
        </w:tc>
        <w:tc>
          <w:tcPr>
            <w:tcW w:w="1124" w:type="dxa"/>
            <w:gridSpan w:val="2"/>
            <w:tcBorders>
              <w:top w:val="nil"/>
              <w:bottom w:val="nil"/>
            </w:tcBorders>
          </w:tcPr>
          <w:p w14:paraId="5C6F4062" w14:textId="77777777" w:rsidR="006E40C9" w:rsidRPr="00F32057" w:rsidRDefault="006E40C9">
            <w:pPr>
              <w:pStyle w:val="MeasureTableTextLeftAligned"/>
            </w:pPr>
          </w:p>
        </w:tc>
      </w:tr>
      <w:tr w:rsidR="006E40C9" w14:paraId="14DFF06F" w14:textId="77777777">
        <w:trPr>
          <w:cantSplit/>
          <w:jc w:val="center"/>
        </w:trPr>
        <w:tc>
          <w:tcPr>
            <w:tcW w:w="1934" w:type="dxa"/>
            <w:gridSpan w:val="2"/>
            <w:tcBorders>
              <w:top w:val="nil"/>
            </w:tcBorders>
          </w:tcPr>
          <w:p w14:paraId="029488A1" w14:textId="77777777" w:rsidR="006E40C9" w:rsidRDefault="006E40C9">
            <w:pPr>
              <w:pStyle w:val="MeasureTableTextItalic"/>
            </w:pPr>
            <w:r>
              <w:t>Legislative reference:</w:t>
            </w:r>
          </w:p>
        </w:tc>
        <w:tc>
          <w:tcPr>
            <w:tcW w:w="5803" w:type="dxa"/>
            <w:gridSpan w:val="8"/>
            <w:tcBorders>
              <w:top w:val="nil"/>
            </w:tcBorders>
          </w:tcPr>
          <w:p w14:paraId="174A350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38-415 of the </w:t>
            </w:r>
            <w:r>
              <w:rPr>
                <w:rFonts w:ascii="Arial" w:hAnsi="Arial" w:cs="Arial"/>
                <w:i/>
                <w:iCs/>
                <w:color w:val="000000"/>
                <w:sz w:val="16"/>
                <w:szCs w:val="16"/>
              </w:rPr>
              <w:t>A New Tax System (Goods and Services Tax) Act 1999</w:t>
            </w:r>
          </w:p>
        </w:tc>
      </w:tr>
    </w:tbl>
    <w:p w14:paraId="6E179BFA" w14:textId="77777777" w:rsidR="006E40C9" w:rsidRPr="00540040" w:rsidRDefault="006E40C9" w:rsidP="006E40C9">
      <w:pPr>
        <w:pStyle w:val="MeasureTableHeading"/>
      </w:pPr>
    </w:p>
    <w:p w14:paraId="1AC7B4DE" w14:textId="77777777" w:rsidR="006E40C9" w:rsidRDefault="006E40C9" w:rsidP="006E40C9">
      <w:r>
        <w:t>The benchmark tax treatment is that GST applies at the rate of 10 per cent to most goods imported into the Australian indirect tax zone. However, supplies made through an inwards duty free shop</w:t>
      </w:r>
      <w:r>
        <w:fldChar w:fldCharType="begin"/>
      </w:r>
      <w:r>
        <w:instrText xml:space="preserve"> XE "Duty free" </w:instrText>
      </w:r>
      <w:r>
        <w:fldChar w:fldCharType="end"/>
      </w:r>
      <w:r>
        <w:t xml:space="preserve"> to inbound international travellers are not subject to GST.</w:t>
      </w:r>
      <w:r w:rsidRPr="00F56332">
        <w:t xml:space="preserve"> </w:t>
      </w:r>
      <w:r>
        <w:fldChar w:fldCharType="begin"/>
      </w:r>
      <w:r>
        <w:instrText xml:space="preserve"> XE "Goods and Services Tax:Tourism" </w:instrText>
      </w:r>
      <w:r>
        <w:fldChar w:fldCharType="end"/>
      </w:r>
    </w:p>
    <w:p w14:paraId="7A72639D" w14:textId="77777777" w:rsidR="006E40C9" w:rsidRDefault="006E40C9" w:rsidP="00130689">
      <w:pPr>
        <w:pStyle w:val="Heading4"/>
      </w:pPr>
      <w:r>
        <w:t>H13</w:t>
      </w:r>
      <w:r>
        <w:tab/>
        <w:t>Tourism – travel agents arranging overseas travel</w:t>
      </w:r>
    </w:p>
    <w:p w14:paraId="11647C5E" w14:textId="2D8FA46F"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6C6042C" w14:textId="77777777">
        <w:trPr>
          <w:cantSplit/>
          <w:jc w:val="center"/>
        </w:trPr>
        <w:tc>
          <w:tcPr>
            <w:tcW w:w="967" w:type="dxa"/>
            <w:tcBorders>
              <w:top w:val="single" w:sz="2" w:space="0" w:color="auto"/>
              <w:bottom w:val="single" w:sz="2" w:space="0" w:color="auto"/>
            </w:tcBorders>
          </w:tcPr>
          <w:p w14:paraId="5703DF3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A971C3E"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2235981"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412D81A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9D4C58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42ABAE2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F44F8A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40389B1" w14:textId="77777777" w:rsidR="006E40C9" w:rsidRDefault="006E40C9">
            <w:pPr>
              <w:pStyle w:val="MeasureTableTextRightAligned"/>
            </w:pPr>
            <w:r>
              <w:t>2027-28</w:t>
            </w:r>
          </w:p>
        </w:tc>
      </w:tr>
      <w:tr w:rsidR="006E40C9" w14:paraId="5ED3FD66" w14:textId="77777777">
        <w:trPr>
          <w:cantSplit/>
          <w:jc w:val="center"/>
        </w:trPr>
        <w:tc>
          <w:tcPr>
            <w:tcW w:w="967" w:type="dxa"/>
            <w:tcBorders>
              <w:top w:val="single" w:sz="2" w:space="0" w:color="auto"/>
              <w:bottom w:val="single" w:sz="2" w:space="0" w:color="auto"/>
            </w:tcBorders>
          </w:tcPr>
          <w:p w14:paraId="659AE0A7" w14:textId="77777777" w:rsidR="006E40C9" w:rsidRDefault="006E40C9">
            <w:pPr>
              <w:pStyle w:val="MeasureTableTextRightAligned"/>
            </w:pPr>
            <w:r>
              <w:t>5</w:t>
            </w:r>
          </w:p>
        </w:tc>
        <w:tc>
          <w:tcPr>
            <w:tcW w:w="967" w:type="dxa"/>
            <w:tcBorders>
              <w:top w:val="single" w:sz="2" w:space="0" w:color="auto"/>
              <w:bottom w:val="single" w:sz="2" w:space="0" w:color="auto"/>
            </w:tcBorders>
          </w:tcPr>
          <w:p w14:paraId="01A94A40" w14:textId="77777777" w:rsidR="006E40C9" w:rsidRDefault="006E40C9">
            <w:pPr>
              <w:pStyle w:val="MeasureTableTextRightAligned"/>
            </w:pPr>
            <w:r>
              <w:t>25</w:t>
            </w:r>
          </w:p>
        </w:tc>
        <w:tc>
          <w:tcPr>
            <w:tcW w:w="967" w:type="dxa"/>
            <w:tcBorders>
              <w:top w:val="single" w:sz="2" w:space="0" w:color="auto"/>
              <w:bottom w:val="single" w:sz="2" w:space="0" w:color="auto"/>
            </w:tcBorders>
            <w:vAlign w:val="bottom"/>
          </w:tcPr>
          <w:p w14:paraId="56923C16" w14:textId="77777777" w:rsidR="006E40C9" w:rsidRDefault="006E40C9">
            <w:pPr>
              <w:pStyle w:val="MeasureTableTextRightAligned"/>
            </w:pPr>
            <w:r>
              <w:t>240</w:t>
            </w:r>
          </w:p>
        </w:tc>
        <w:tc>
          <w:tcPr>
            <w:tcW w:w="967" w:type="dxa"/>
            <w:tcBorders>
              <w:top w:val="single" w:sz="2" w:space="0" w:color="auto"/>
              <w:bottom w:val="single" w:sz="2" w:space="0" w:color="auto"/>
            </w:tcBorders>
            <w:vAlign w:val="bottom"/>
          </w:tcPr>
          <w:p w14:paraId="4317F2BB"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08C7D3F7" w14:textId="77777777" w:rsidR="006E40C9" w:rsidRDefault="006E40C9">
            <w:pPr>
              <w:pStyle w:val="MeasureTableTextRightAligned"/>
            </w:pPr>
            <w:r>
              <w:t>280</w:t>
            </w:r>
          </w:p>
        </w:tc>
        <w:tc>
          <w:tcPr>
            <w:tcW w:w="967" w:type="dxa"/>
            <w:gridSpan w:val="2"/>
            <w:tcBorders>
              <w:top w:val="single" w:sz="2" w:space="0" w:color="auto"/>
              <w:bottom w:val="single" w:sz="2" w:space="0" w:color="auto"/>
            </w:tcBorders>
            <w:vAlign w:val="bottom"/>
          </w:tcPr>
          <w:p w14:paraId="751B7103" w14:textId="77777777" w:rsidR="006E40C9" w:rsidRDefault="006E40C9">
            <w:pPr>
              <w:pStyle w:val="MeasureTableTextRightAligned"/>
            </w:pPr>
            <w:r>
              <w:t>290</w:t>
            </w:r>
          </w:p>
        </w:tc>
        <w:tc>
          <w:tcPr>
            <w:tcW w:w="967" w:type="dxa"/>
            <w:gridSpan w:val="2"/>
            <w:tcBorders>
              <w:top w:val="single" w:sz="2" w:space="0" w:color="auto"/>
              <w:bottom w:val="single" w:sz="2" w:space="0" w:color="auto"/>
            </w:tcBorders>
            <w:vAlign w:val="bottom"/>
          </w:tcPr>
          <w:p w14:paraId="38CB6877" w14:textId="77777777" w:rsidR="006E40C9" w:rsidRDefault="006E40C9">
            <w:pPr>
              <w:pStyle w:val="MeasureTableTextRightAligned"/>
            </w:pPr>
            <w:r>
              <w:t>300</w:t>
            </w:r>
          </w:p>
        </w:tc>
        <w:tc>
          <w:tcPr>
            <w:tcW w:w="968" w:type="dxa"/>
            <w:tcBorders>
              <w:top w:val="single" w:sz="2" w:space="0" w:color="auto"/>
              <w:bottom w:val="single" w:sz="2" w:space="0" w:color="auto"/>
            </w:tcBorders>
            <w:vAlign w:val="bottom"/>
          </w:tcPr>
          <w:p w14:paraId="6E73781E" w14:textId="77777777" w:rsidR="006E40C9" w:rsidRDefault="006E40C9">
            <w:pPr>
              <w:pStyle w:val="MeasureTableTextRightAligned"/>
            </w:pPr>
            <w:r>
              <w:t>310</w:t>
            </w:r>
          </w:p>
        </w:tc>
      </w:tr>
      <w:tr w:rsidR="006E40C9" w14:paraId="3554CB2B" w14:textId="77777777">
        <w:trPr>
          <w:cantSplit/>
          <w:jc w:val="center"/>
        </w:trPr>
        <w:tc>
          <w:tcPr>
            <w:tcW w:w="1934" w:type="dxa"/>
            <w:gridSpan w:val="2"/>
            <w:tcBorders>
              <w:top w:val="single" w:sz="2" w:space="0" w:color="auto"/>
              <w:bottom w:val="nil"/>
            </w:tcBorders>
          </w:tcPr>
          <w:p w14:paraId="05AD1E7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D7701CA" w14:textId="77777777" w:rsidR="006E40C9" w:rsidRDefault="006E40C9">
            <w:pPr>
              <w:pStyle w:val="MeasureTableTextLeftAligned"/>
            </w:pPr>
            <w:r>
              <w:t>Exemption</w:t>
            </w:r>
          </w:p>
        </w:tc>
        <w:tc>
          <w:tcPr>
            <w:tcW w:w="1500" w:type="dxa"/>
            <w:gridSpan w:val="2"/>
            <w:tcBorders>
              <w:top w:val="single" w:sz="2" w:space="0" w:color="auto"/>
              <w:bottom w:val="nil"/>
            </w:tcBorders>
          </w:tcPr>
          <w:p w14:paraId="398C898F" w14:textId="702C196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86115B" w14:textId="77777777" w:rsidR="006E40C9" w:rsidRDefault="006E40C9">
            <w:pPr>
              <w:pStyle w:val="MeasureTableTextLeftAligned"/>
            </w:pPr>
            <w:r>
              <w:t>H13</w:t>
            </w:r>
          </w:p>
        </w:tc>
      </w:tr>
      <w:tr w:rsidR="006E40C9" w14:paraId="5B323165" w14:textId="77777777">
        <w:trPr>
          <w:cantSplit/>
          <w:jc w:val="center"/>
        </w:trPr>
        <w:tc>
          <w:tcPr>
            <w:tcW w:w="1934" w:type="dxa"/>
            <w:gridSpan w:val="2"/>
            <w:tcBorders>
              <w:top w:val="nil"/>
              <w:bottom w:val="nil"/>
            </w:tcBorders>
          </w:tcPr>
          <w:p w14:paraId="1102F4CF"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97667EA" w14:textId="77777777" w:rsidR="006E40C9" w:rsidRPr="00584CA7" w:rsidRDefault="006E40C9">
            <w:pPr>
              <w:pStyle w:val="MeasureTableTextLeftAligned"/>
            </w:pPr>
            <w:r>
              <w:t>Medium</w:t>
            </w:r>
          </w:p>
        </w:tc>
        <w:tc>
          <w:tcPr>
            <w:tcW w:w="1500" w:type="dxa"/>
            <w:gridSpan w:val="2"/>
            <w:tcBorders>
              <w:top w:val="nil"/>
              <w:bottom w:val="nil"/>
            </w:tcBorders>
          </w:tcPr>
          <w:p w14:paraId="0E7D5720" w14:textId="77777777" w:rsidR="006E40C9" w:rsidRDefault="006E40C9">
            <w:pPr>
              <w:pStyle w:val="MeasureTableTextItalic"/>
            </w:pPr>
          </w:p>
        </w:tc>
        <w:tc>
          <w:tcPr>
            <w:tcW w:w="1124" w:type="dxa"/>
            <w:gridSpan w:val="2"/>
            <w:tcBorders>
              <w:top w:val="nil"/>
              <w:bottom w:val="nil"/>
            </w:tcBorders>
          </w:tcPr>
          <w:p w14:paraId="7984154D" w14:textId="77777777" w:rsidR="006E40C9" w:rsidRDefault="006E40C9">
            <w:pPr>
              <w:pStyle w:val="MeasureTableTextLeftAligned"/>
            </w:pPr>
          </w:p>
        </w:tc>
      </w:tr>
      <w:tr w:rsidR="006E40C9" w14:paraId="6E8259A3" w14:textId="77777777">
        <w:trPr>
          <w:cantSplit/>
          <w:jc w:val="center"/>
        </w:trPr>
        <w:tc>
          <w:tcPr>
            <w:tcW w:w="1934" w:type="dxa"/>
            <w:gridSpan w:val="2"/>
            <w:tcBorders>
              <w:top w:val="nil"/>
              <w:bottom w:val="nil"/>
            </w:tcBorders>
          </w:tcPr>
          <w:p w14:paraId="2F9DC470" w14:textId="77777777" w:rsidR="006E40C9" w:rsidRDefault="006E40C9">
            <w:pPr>
              <w:pStyle w:val="MeasureTableTextItalic"/>
            </w:pPr>
            <w:r>
              <w:t>Commencement date:</w:t>
            </w:r>
          </w:p>
        </w:tc>
        <w:tc>
          <w:tcPr>
            <w:tcW w:w="3179" w:type="dxa"/>
            <w:gridSpan w:val="4"/>
            <w:tcBorders>
              <w:top w:val="nil"/>
              <w:bottom w:val="nil"/>
            </w:tcBorders>
          </w:tcPr>
          <w:p w14:paraId="5285C0DF" w14:textId="77777777" w:rsidR="006E40C9" w:rsidRDefault="006E40C9">
            <w:pPr>
              <w:pStyle w:val="MeasureTableTextLeftAligned"/>
            </w:pPr>
            <w:r>
              <w:t>1 July 2000</w:t>
            </w:r>
          </w:p>
        </w:tc>
        <w:tc>
          <w:tcPr>
            <w:tcW w:w="1500" w:type="dxa"/>
            <w:gridSpan w:val="2"/>
            <w:tcBorders>
              <w:top w:val="nil"/>
              <w:bottom w:val="nil"/>
            </w:tcBorders>
          </w:tcPr>
          <w:p w14:paraId="70451016" w14:textId="77777777" w:rsidR="006E40C9" w:rsidRPr="00F32057" w:rsidRDefault="006E40C9">
            <w:pPr>
              <w:pStyle w:val="MeasureTableTextItalic"/>
            </w:pPr>
            <w:r>
              <w:t>Expiry date:</w:t>
            </w:r>
          </w:p>
        </w:tc>
        <w:tc>
          <w:tcPr>
            <w:tcW w:w="1124" w:type="dxa"/>
            <w:gridSpan w:val="2"/>
            <w:tcBorders>
              <w:top w:val="nil"/>
              <w:bottom w:val="nil"/>
            </w:tcBorders>
          </w:tcPr>
          <w:p w14:paraId="24871D78" w14:textId="77777777" w:rsidR="006E40C9" w:rsidRPr="00F32057" w:rsidRDefault="006E40C9">
            <w:pPr>
              <w:pStyle w:val="MeasureTableTextLeftAligned"/>
            </w:pPr>
          </w:p>
        </w:tc>
      </w:tr>
      <w:tr w:rsidR="006E40C9" w14:paraId="0EEE7E89" w14:textId="77777777">
        <w:trPr>
          <w:cantSplit/>
          <w:jc w:val="center"/>
        </w:trPr>
        <w:tc>
          <w:tcPr>
            <w:tcW w:w="1934" w:type="dxa"/>
            <w:gridSpan w:val="2"/>
            <w:tcBorders>
              <w:top w:val="nil"/>
            </w:tcBorders>
          </w:tcPr>
          <w:p w14:paraId="19B5A247" w14:textId="77777777" w:rsidR="006E40C9" w:rsidRDefault="006E40C9">
            <w:pPr>
              <w:pStyle w:val="MeasureTableTextItalic"/>
            </w:pPr>
            <w:r>
              <w:t>Legislative reference:</w:t>
            </w:r>
          </w:p>
        </w:tc>
        <w:tc>
          <w:tcPr>
            <w:tcW w:w="5803" w:type="dxa"/>
            <w:gridSpan w:val="8"/>
            <w:tcBorders>
              <w:top w:val="nil"/>
            </w:tcBorders>
          </w:tcPr>
          <w:p w14:paraId="681F2C2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38-360 of the </w:t>
            </w:r>
            <w:r>
              <w:rPr>
                <w:rFonts w:ascii="Arial" w:hAnsi="Arial" w:cs="Arial"/>
                <w:i/>
                <w:iCs/>
                <w:color w:val="000000"/>
                <w:sz w:val="16"/>
                <w:szCs w:val="16"/>
              </w:rPr>
              <w:t>A New Tax System (Goods and Services Tax) Act 1999</w:t>
            </w:r>
          </w:p>
        </w:tc>
      </w:tr>
    </w:tbl>
    <w:p w14:paraId="6E790C7B" w14:textId="77777777" w:rsidR="006E40C9" w:rsidRPr="00540040" w:rsidRDefault="006E40C9" w:rsidP="006E40C9">
      <w:pPr>
        <w:pStyle w:val="MeasureTableHeading"/>
      </w:pPr>
    </w:p>
    <w:p w14:paraId="34E0CC29" w14:textId="77777777" w:rsidR="006E40C9" w:rsidRDefault="006E40C9" w:rsidP="006E40C9">
      <w:r>
        <w:t>The benchmark tax treatment is that GST applies at the rate of 10 per cent to most supplies of goods and services. However, the arranging of overseas travel, accommodation and other services by travel agents in Australia in the course of their business is GST</w:t>
      </w:r>
      <w:r>
        <w:noBreakHyphen/>
        <w:t>free.</w:t>
      </w:r>
      <w:r w:rsidRPr="00F56332">
        <w:t xml:space="preserve"> </w:t>
      </w:r>
      <w:r>
        <w:fldChar w:fldCharType="begin"/>
      </w:r>
      <w:r>
        <w:instrText xml:space="preserve"> XE "Goods and Services Tax:Travel" </w:instrText>
      </w:r>
      <w:r>
        <w:fldChar w:fldCharType="end"/>
      </w:r>
      <w:r>
        <w:t xml:space="preserve"> The arranging service must relate to a holiday or supply that takes place or is used overseas.</w:t>
      </w:r>
    </w:p>
    <w:p w14:paraId="2F0515F1" w14:textId="77777777" w:rsidR="006E40C9" w:rsidRDefault="006E40C9" w:rsidP="00D9255A">
      <w:pPr>
        <w:pStyle w:val="Heading3"/>
      </w:pPr>
      <w:r>
        <w:t>Tax expenditures for education</w:t>
      </w:r>
    </w:p>
    <w:p w14:paraId="7127783E" w14:textId="77777777" w:rsidR="006E40C9" w:rsidRDefault="006E40C9" w:rsidP="00130689">
      <w:pPr>
        <w:pStyle w:val="Heading4"/>
      </w:pPr>
      <w:r>
        <w:t>H14</w:t>
      </w:r>
      <w:r>
        <w:tab/>
        <w:t>Education</w:t>
      </w:r>
    </w:p>
    <w:p w14:paraId="123CDD7C" w14:textId="77777777" w:rsidR="006E40C9" w:rsidRDefault="006E40C9" w:rsidP="006E40C9">
      <w:pPr>
        <w:pStyle w:val="MeasureTableHeading"/>
      </w:pPr>
      <w:r>
        <w:t>Education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A387604" w14:textId="77777777">
        <w:trPr>
          <w:cantSplit/>
          <w:jc w:val="center"/>
        </w:trPr>
        <w:tc>
          <w:tcPr>
            <w:tcW w:w="967" w:type="dxa"/>
            <w:tcBorders>
              <w:top w:val="single" w:sz="2" w:space="0" w:color="auto"/>
              <w:bottom w:val="single" w:sz="2" w:space="0" w:color="auto"/>
            </w:tcBorders>
          </w:tcPr>
          <w:p w14:paraId="4409945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8DCE70"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613574EE"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5AD3AAEC"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550FF1F"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F58048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EB1A434"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FF5227A" w14:textId="77777777" w:rsidR="006E40C9" w:rsidRDefault="006E40C9">
            <w:pPr>
              <w:pStyle w:val="MeasureTableTextRightAligned"/>
            </w:pPr>
            <w:r>
              <w:t>2027-28</w:t>
            </w:r>
          </w:p>
        </w:tc>
      </w:tr>
      <w:tr w:rsidR="006E40C9" w14:paraId="3E86D937" w14:textId="77777777">
        <w:trPr>
          <w:cantSplit/>
          <w:jc w:val="center"/>
        </w:trPr>
        <w:tc>
          <w:tcPr>
            <w:tcW w:w="967" w:type="dxa"/>
            <w:tcBorders>
              <w:top w:val="single" w:sz="2" w:space="0" w:color="auto"/>
              <w:bottom w:val="single" w:sz="2" w:space="0" w:color="auto"/>
            </w:tcBorders>
          </w:tcPr>
          <w:p w14:paraId="23144D2C" w14:textId="77777777" w:rsidR="006E40C9" w:rsidRDefault="006E40C9">
            <w:pPr>
              <w:pStyle w:val="MeasureTableTextRightAligned"/>
            </w:pPr>
            <w:r>
              <w:t>3,550</w:t>
            </w:r>
          </w:p>
        </w:tc>
        <w:tc>
          <w:tcPr>
            <w:tcW w:w="967" w:type="dxa"/>
            <w:tcBorders>
              <w:top w:val="single" w:sz="2" w:space="0" w:color="auto"/>
              <w:bottom w:val="single" w:sz="2" w:space="0" w:color="auto"/>
            </w:tcBorders>
          </w:tcPr>
          <w:p w14:paraId="5CE16308" w14:textId="77777777" w:rsidR="006E40C9" w:rsidRDefault="006E40C9">
            <w:pPr>
              <w:pStyle w:val="MeasureTableTextRightAligned"/>
            </w:pPr>
            <w:r>
              <w:t>3,600</w:t>
            </w:r>
          </w:p>
        </w:tc>
        <w:tc>
          <w:tcPr>
            <w:tcW w:w="967" w:type="dxa"/>
            <w:tcBorders>
              <w:top w:val="single" w:sz="2" w:space="0" w:color="auto"/>
              <w:bottom w:val="single" w:sz="2" w:space="0" w:color="auto"/>
            </w:tcBorders>
            <w:vAlign w:val="bottom"/>
          </w:tcPr>
          <w:p w14:paraId="4DA0FFC6" w14:textId="77777777" w:rsidR="006E40C9" w:rsidRDefault="006E40C9">
            <w:pPr>
              <w:pStyle w:val="MeasureTableTextRightAligned"/>
            </w:pPr>
            <w:r>
              <w:t>3,950</w:t>
            </w:r>
          </w:p>
        </w:tc>
        <w:tc>
          <w:tcPr>
            <w:tcW w:w="967" w:type="dxa"/>
            <w:tcBorders>
              <w:top w:val="single" w:sz="2" w:space="0" w:color="auto"/>
              <w:bottom w:val="single" w:sz="2" w:space="0" w:color="auto"/>
            </w:tcBorders>
            <w:vAlign w:val="bottom"/>
          </w:tcPr>
          <w:p w14:paraId="34812EEA" w14:textId="77777777" w:rsidR="006E40C9" w:rsidRDefault="006E40C9">
            <w:pPr>
              <w:pStyle w:val="MeasureTableTextRightAligned"/>
            </w:pPr>
            <w:r>
              <w:t>4,300</w:t>
            </w:r>
          </w:p>
        </w:tc>
        <w:tc>
          <w:tcPr>
            <w:tcW w:w="967" w:type="dxa"/>
            <w:tcBorders>
              <w:top w:val="single" w:sz="2" w:space="0" w:color="auto"/>
              <w:bottom w:val="single" w:sz="2" w:space="0" w:color="auto"/>
            </w:tcBorders>
            <w:vAlign w:val="bottom"/>
          </w:tcPr>
          <w:p w14:paraId="5AF194A2" w14:textId="77777777" w:rsidR="006E40C9" w:rsidRDefault="006E40C9">
            <w:pPr>
              <w:pStyle w:val="MeasureTableTextRightAligned"/>
            </w:pPr>
            <w:r>
              <w:t>4,550</w:t>
            </w:r>
          </w:p>
        </w:tc>
        <w:tc>
          <w:tcPr>
            <w:tcW w:w="967" w:type="dxa"/>
            <w:gridSpan w:val="2"/>
            <w:tcBorders>
              <w:top w:val="single" w:sz="2" w:space="0" w:color="auto"/>
              <w:bottom w:val="single" w:sz="2" w:space="0" w:color="auto"/>
            </w:tcBorders>
            <w:vAlign w:val="bottom"/>
          </w:tcPr>
          <w:p w14:paraId="00DFEB97" w14:textId="77777777" w:rsidR="006E40C9" w:rsidRDefault="006E40C9">
            <w:pPr>
              <w:pStyle w:val="MeasureTableTextRightAligned"/>
            </w:pPr>
            <w:r>
              <w:t>4,800</w:t>
            </w:r>
          </w:p>
        </w:tc>
        <w:tc>
          <w:tcPr>
            <w:tcW w:w="967" w:type="dxa"/>
            <w:gridSpan w:val="2"/>
            <w:tcBorders>
              <w:top w:val="single" w:sz="2" w:space="0" w:color="auto"/>
              <w:bottom w:val="single" w:sz="2" w:space="0" w:color="auto"/>
            </w:tcBorders>
            <w:vAlign w:val="bottom"/>
          </w:tcPr>
          <w:p w14:paraId="295DA014" w14:textId="77777777" w:rsidR="006E40C9" w:rsidRDefault="006E40C9">
            <w:pPr>
              <w:pStyle w:val="MeasureTableTextRightAligned"/>
            </w:pPr>
            <w:r>
              <w:t>5,000</w:t>
            </w:r>
          </w:p>
        </w:tc>
        <w:tc>
          <w:tcPr>
            <w:tcW w:w="968" w:type="dxa"/>
            <w:tcBorders>
              <w:top w:val="single" w:sz="2" w:space="0" w:color="auto"/>
              <w:bottom w:val="single" w:sz="2" w:space="0" w:color="auto"/>
            </w:tcBorders>
            <w:vAlign w:val="bottom"/>
          </w:tcPr>
          <w:p w14:paraId="07D2D6CB" w14:textId="77777777" w:rsidR="006E40C9" w:rsidRDefault="006E40C9">
            <w:pPr>
              <w:pStyle w:val="MeasureTableTextRightAligned"/>
            </w:pPr>
            <w:r>
              <w:t>5,300</w:t>
            </w:r>
          </w:p>
        </w:tc>
      </w:tr>
      <w:tr w:rsidR="006E40C9" w14:paraId="40B1CB88" w14:textId="77777777">
        <w:trPr>
          <w:cantSplit/>
          <w:jc w:val="center"/>
        </w:trPr>
        <w:tc>
          <w:tcPr>
            <w:tcW w:w="1934" w:type="dxa"/>
            <w:gridSpan w:val="2"/>
            <w:tcBorders>
              <w:top w:val="single" w:sz="2" w:space="0" w:color="auto"/>
              <w:bottom w:val="nil"/>
            </w:tcBorders>
          </w:tcPr>
          <w:p w14:paraId="5647DC4C"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DDB3284" w14:textId="77777777" w:rsidR="006E40C9" w:rsidRDefault="006E40C9">
            <w:pPr>
              <w:pStyle w:val="MeasureTableTextLeftAligned"/>
            </w:pPr>
            <w:r>
              <w:t>Exemption</w:t>
            </w:r>
          </w:p>
        </w:tc>
        <w:tc>
          <w:tcPr>
            <w:tcW w:w="1500" w:type="dxa"/>
            <w:gridSpan w:val="2"/>
            <w:tcBorders>
              <w:top w:val="single" w:sz="2" w:space="0" w:color="auto"/>
              <w:bottom w:val="nil"/>
            </w:tcBorders>
          </w:tcPr>
          <w:p w14:paraId="7D2DC2CC" w14:textId="794068E1"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F970BEF" w14:textId="77777777" w:rsidR="006E40C9" w:rsidRDefault="006E40C9">
            <w:pPr>
              <w:pStyle w:val="MeasureTableTextLeftAligned"/>
            </w:pPr>
            <w:r>
              <w:t>H14</w:t>
            </w:r>
          </w:p>
        </w:tc>
      </w:tr>
      <w:tr w:rsidR="006E40C9" w14:paraId="78CF6AFC" w14:textId="77777777">
        <w:trPr>
          <w:cantSplit/>
          <w:jc w:val="center"/>
        </w:trPr>
        <w:tc>
          <w:tcPr>
            <w:tcW w:w="1934" w:type="dxa"/>
            <w:gridSpan w:val="2"/>
            <w:tcBorders>
              <w:top w:val="nil"/>
              <w:bottom w:val="nil"/>
            </w:tcBorders>
          </w:tcPr>
          <w:p w14:paraId="7FD9F5F9"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BE3BEE" w14:textId="77777777" w:rsidR="006E40C9" w:rsidRPr="00584CA7" w:rsidRDefault="006E40C9">
            <w:pPr>
              <w:pStyle w:val="MeasureTableTextLeftAligned"/>
            </w:pPr>
            <w:r>
              <w:t>Medium</w:t>
            </w:r>
          </w:p>
        </w:tc>
        <w:tc>
          <w:tcPr>
            <w:tcW w:w="1500" w:type="dxa"/>
            <w:gridSpan w:val="2"/>
            <w:tcBorders>
              <w:top w:val="nil"/>
              <w:bottom w:val="nil"/>
            </w:tcBorders>
          </w:tcPr>
          <w:p w14:paraId="080DF7A6" w14:textId="77777777" w:rsidR="006E40C9" w:rsidRDefault="006E40C9">
            <w:pPr>
              <w:pStyle w:val="MeasureTableTextItalic"/>
            </w:pPr>
          </w:p>
        </w:tc>
        <w:tc>
          <w:tcPr>
            <w:tcW w:w="1124" w:type="dxa"/>
            <w:gridSpan w:val="2"/>
            <w:tcBorders>
              <w:top w:val="nil"/>
              <w:bottom w:val="nil"/>
            </w:tcBorders>
          </w:tcPr>
          <w:p w14:paraId="1AE25B25" w14:textId="77777777" w:rsidR="006E40C9" w:rsidRDefault="006E40C9">
            <w:pPr>
              <w:pStyle w:val="MeasureTableTextLeftAligned"/>
            </w:pPr>
          </w:p>
        </w:tc>
      </w:tr>
      <w:tr w:rsidR="006E40C9" w14:paraId="54CFB3AB" w14:textId="77777777">
        <w:trPr>
          <w:cantSplit/>
          <w:jc w:val="center"/>
        </w:trPr>
        <w:tc>
          <w:tcPr>
            <w:tcW w:w="1934" w:type="dxa"/>
            <w:gridSpan w:val="2"/>
            <w:tcBorders>
              <w:top w:val="nil"/>
              <w:bottom w:val="nil"/>
            </w:tcBorders>
          </w:tcPr>
          <w:p w14:paraId="48484FDD" w14:textId="77777777" w:rsidR="006E40C9" w:rsidRDefault="006E40C9">
            <w:pPr>
              <w:pStyle w:val="MeasureTableTextItalic"/>
            </w:pPr>
            <w:r>
              <w:t>Commencement date:</w:t>
            </w:r>
          </w:p>
        </w:tc>
        <w:tc>
          <w:tcPr>
            <w:tcW w:w="3179" w:type="dxa"/>
            <w:gridSpan w:val="4"/>
            <w:tcBorders>
              <w:top w:val="nil"/>
              <w:bottom w:val="nil"/>
            </w:tcBorders>
          </w:tcPr>
          <w:p w14:paraId="192CB71E" w14:textId="77777777" w:rsidR="006E40C9" w:rsidRDefault="006E40C9">
            <w:pPr>
              <w:pStyle w:val="MeasureTableTextLeftAligned"/>
            </w:pPr>
            <w:r>
              <w:t>1 July 2000</w:t>
            </w:r>
          </w:p>
        </w:tc>
        <w:tc>
          <w:tcPr>
            <w:tcW w:w="1500" w:type="dxa"/>
            <w:gridSpan w:val="2"/>
            <w:tcBorders>
              <w:top w:val="nil"/>
              <w:bottom w:val="nil"/>
            </w:tcBorders>
          </w:tcPr>
          <w:p w14:paraId="6379A79A" w14:textId="77777777" w:rsidR="006E40C9" w:rsidRPr="00F32057" w:rsidRDefault="006E40C9">
            <w:pPr>
              <w:pStyle w:val="MeasureTableTextItalic"/>
            </w:pPr>
            <w:r>
              <w:t>Expiry date:</w:t>
            </w:r>
          </w:p>
        </w:tc>
        <w:tc>
          <w:tcPr>
            <w:tcW w:w="1124" w:type="dxa"/>
            <w:gridSpan w:val="2"/>
            <w:tcBorders>
              <w:top w:val="nil"/>
              <w:bottom w:val="nil"/>
            </w:tcBorders>
          </w:tcPr>
          <w:p w14:paraId="4D1FB781" w14:textId="77777777" w:rsidR="006E40C9" w:rsidRPr="00F32057" w:rsidRDefault="006E40C9">
            <w:pPr>
              <w:pStyle w:val="MeasureTableTextLeftAligned"/>
            </w:pPr>
          </w:p>
        </w:tc>
      </w:tr>
      <w:tr w:rsidR="006E40C9" w14:paraId="40D1D715" w14:textId="77777777">
        <w:trPr>
          <w:cantSplit/>
          <w:jc w:val="center"/>
        </w:trPr>
        <w:tc>
          <w:tcPr>
            <w:tcW w:w="1934" w:type="dxa"/>
            <w:gridSpan w:val="2"/>
            <w:tcBorders>
              <w:top w:val="nil"/>
            </w:tcBorders>
          </w:tcPr>
          <w:p w14:paraId="3F2C7EDD" w14:textId="77777777" w:rsidR="006E40C9" w:rsidRDefault="006E40C9">
            <w:pPr>
              <w:pStyle w:val="MeasureTableTextItalic"/>
            </w:pPr>
            <w:r>
              <w:t>Legislative reference:</w:t>
            </w:r>
          </w:p>
        </w:tc>
        <w:tc>
          <w:tcPr>
            <w:tcW w:w="5803" w:type="dxa"/>
            <w:gridSpan w:val="8"/>
            <w:tcBorders>
              <w:top w:val="nil"/>
            </w:tcBorders>
          </w:tcPr>
          <w:p w14:paraId="290BB2A9"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38-C of the </w:t>
            </w:r>
            <w:r>
              <w:rPr>
                <w:rFonts w:ascii="Arial" w:hAnsi="Arial" w:cs="Arial"/>
                <w:i/>
                <w:iCs/>
                <w:color w:val="000000"/>
                <w:sz w:val="16"/>
                <w:szCs w:val="16"/>
              </w:rPr>
              <w:t>A New Tax System (Goods and Services Tax) Act 1999</w:t>
            </w:r>
          </w:p>
        </w:tc>
      </w:tr>
    </w:tbl>
    <w:p w14:paraId="4D352ABA" w14:textId="77777777" w:rsidR="006E40C9" w:rsidRPr="00540040" w:rsidRDefault="006E40C9" w:rsidP="006E40C9">
      <w:pPr>
        <w:pStyle w:val="MeasureTableHeading"/>
      </w:pPr>
    </w:p>
    <w:p w14:paraId="0BB50335" w14:textId="77777777" w:rsidR="006E40C9" w:rsidRDefault="006E40C9" w:rsidP="006E40C9">
      <w:r>
        <w:t>The benchmark tax treatment is that GST applies at the rate of 10 per cent to most supplies of goods and services. However, certain education supplies</w:t>
      </w:r>
      <w:r>
        <w:fldChar w:fldCharType="begin"/>
      </w:r>
      <w:r>
        <w:instrText xml:space="preserve"> XE "Education:Supplies" </w:instrText>
      </w:r>
      <w:r>
        <w:fldChar w:fldCharType="end"/>
      </w:r>
      <w:r>
        <w:t xml:space="preserve"> are GST</w:t>
      </w:r>
      <w:r>
        <w:noBreakHyphen/>
        <w:t>free. These include education courses, directly related administrative services provided by the same provider as the education course, sale of course materials or lease of curriculum</w:t>
      </w:r>
      <w:r>
        <w:noBreakHyphen/>
        <w:t>related goods to a student undertaking a pre</w:t>
      </w:r>
      <w:r>
        <w:noBreakHyphen/>
        <w:t xml:space="preserve">school or primary or secondary course by the same provider as the education course, student accommodation for students attending a primary, secondary or special education course provided by the same provider as the education course, excursions and field trips (excluding food and accommodation provided as part of a tertiary course, tertiary residential college course or professional or trade course) and supplies related to the recognition of prior learning. </w:t>
      </w:r>
      <w:r>
        <w:fldChar w:fldCharType="begin"/>
      </w:r>
      <w:r>
        <w:instrText xml:space="preserve"> XE "Goods and Services Tax:Education" </w:instrText>
      </w:r>
      <w:r>
        <w:fldChar w:fldCharType="end"/>
      </w:r>
    </w:p>
    <w:p w14:paraId="3A48AF5E" w14:textId="77777777" w:rsidR="006E40C9" w:rsidRDefault="006E40C9" w:rsidP="00D9255A">
      <w:pPr>
        <w:pStyle w:val="Heading3"/>
      </w:pPr>
      <w:r>
        <w:t>Tax expenditures for health</w:t>
      </w:r>
    </w:p>
    <w:p w14:paraId="117C7BF3" w14:textId="77777777" w:rsidR="006E40C9" w:rsidRDefault="006E40C9" w:rsidP="00130689">
      <w:pPr>
        <w:pStyle w:val="Heading4"/>
      </w:pPr>
      <w:r>
        <w:t>H15</w:t>
      </w:r>
      <w:r>
        <w:tab/>
        <w:t>Health – drugs and medicinal preparations</w:t>
      </w:r>
    </w:p>
    <w:p w14:paraId="6FABC1BC"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0782A07" w14:textId="77777777">
        <w:trPr>
          <w:cantSplit/>
          <w:jc w:val="center"/>
        </w:trPr>
        <w:tc>
          <w:tcPr>
            <w:tcW w:w="967" w:type="dxa"/>
            <w:tcBorders>
              <w:top w:val="single" w:sz="2" w:space="0" w:color="auto"/>
              <w:bottom w:val="single" w:sz="2" w:space="0" w:color="auto"/>
            </w:tcBorders>
          </w:tcPr>
          <w:p w14:paraId="2B344CCC"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1072FF8F"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6C2D56F"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B82DDE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68824A4"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FF257C2"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1D7F72"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9AF2DAE" w14:textId="77777777" w:rsidR="006E40C9" w:rsidRDefault="006E40C9">
            <w:pPr>
              <w:pStyle w:val="MeasureTableTextRightAligned"/>
            </w:pPr>
            <w:r>
              <w:t>2027-28</w:t>
            </w:r>
          </w:p>
        </w:tc>
      </w:tr>
      <w:tr w:rsidR="006E40C9" w14:paraId="20A28739" w14:textId="77777777">
        <w:trPr>
          <w:cantSplit/>
          <w:jc w:val="center"/>
        </w:trPr>
        <w:tc>
          <w:tcPr>
            <w:tcW w:w="967" w:type="dxa"/>
            <w:tcBorders>
              <w:top w:val="single" w:sz="2" w:space="0" w:color="auto"/>
              <w:bottom w:val="single" w:sz="2" w:space="0" w:color="auto"/>
            </w:tcBorders>
          </w:tcPr>
          <w:p w14:paraId="5CF122C3" w14:textId="77777777" w:rsidR="006E40C9" w:rsidRDefault="006E40C9">
            <w:pPr>
              <w:pStyle w:val="MeasureTableTextRightAligned"/>
            </w:pPr>
            <w:r>
              <w:t>250</w:t>
            </w:r>
          </w:p>
        </w:tc>
        <w:tc>
          <w:tcPr>
            <w:tcW w:w="967" w:type="dxa"/>
            <w:tcBorders>
              <w:top w:val="single" w:sz="2" w:space="0" w:color="auto"/>
              <w:bottom w:val="single" w:sz="2" w:space="0" w:color="auto"/>
            </w:tcBorders>
          </w:tcPr>
          <w:p w14:paraId="29CF72F9" w14:textId="77777777" w:rsidR="006E40C9" w:rsidRDefault="006E40C9">
            <w:pPr>
              <w:pStyle w:val="MeasureTableTextRightAligned"/>
            </w:pPr>
            <w:r>
              <w:t>670</w:t>
            </w:r>
          </w:p>
        </w:tc>
        <w:tc>
          <w:tcPr>
            <w:tcW w:w="967" w:type="dxa"/>
            <w:tcBorders>
              <w:top w:val="single" w:sz="2" w:space="0" w:color="auto"/>
              <w:bottom w:val="single" w:sz="2" w:space="0" w:color="auto"/>
            </w:tcBorders>
            <w:vAlign w:val="bottom"/>
          </w:tcPr>
          <w:p w14:paraId="167A9606" w14:textId="77777777" w:rsidR="006E40C9" w:rsidRDefault="006E40C9">
            <w:pPr>
              <w:pStyle w:val="MeasureTableTextRightAligned"/>
            </w:pPr>
            <w:r>
              <w:t>610</w:t>
            </w:r>
          </w:p>
        </w:tc>
        <w:tc>
          <w:tcPr>
            <w:tcW w:w="967" w:type="dxa"/>
            <w:tcBorders>
              <w:top w:val="single" w:sz="2" w:space="0" w:color="auto"/>
              <w:bottom w:val="single" w:sz="2" w:space="0" w:color="auto"/>
            </w:tcBorders>
            <w:vAlign w:val="bottom"/>
          </w:tcPr>
          <w:p w14:paraId="77DA164E" w14:textId="77777777" w:rsidR="006E40C9" w:rsidRDefault="006E40C9">
            <w:pPr>
              <w:pStyle w:val="MeasureTableTextRightAligned"/>
            </w:pPr>
            <w:r>
              <w:t>660</w:t>
            </w:r>
          </w:p>
        </w:tc>
        <w:tc>
          <w:tcPr>
            <w:tcW w:w="967" w:type="dxa"/>
            <w:tcBorders>
              <w:top w:val="single" w:sz="2" w:space="0" w:color="auto"/>
              <w:bottom w:val="single" w:sz="2" w:space="0" w:color="auto"/>
            </w:tcBorders>
            <w:vAlign w:val="bottom"/>
          </w:tcPr>
          <w:p w14:paraId="04969C09" w14:textId="77777777" w:rsidR="006E40C9" w:rsidRDefault="006E40C9">
            <w:pPr>
              <w:pStyle w:val="MeasureTableTextRightAligned"/>
            </w:pPr>
            <w:r>
              <w:t>700</w:t>
            </w:r>
          </w:p>
        </w:tc>
        <w:tc>
          <w:tcPr>
            <w:tcW w:w="967" w:type="dxa"/>
            <w:gridSpan w:val="2"/>
            <w:tcBorders>
              <w:top w:val="single" w:sz="2" w:space="0" w:color="auto"/>
              <w:bottom w:val="single" w:sz="2" w:space="0" w:color="auto"/>
            </w:tcBorders>
            <w:vAlign w:val="bottom"/>
          </w:tcPr>
          <w:p w14:paraId="20ECB5C0" w14:textId="77777777" w:rsidR="006E40C9" w:rsidRDefault="006E40C9">
            <w:pPr>
              <w:pStyle w:val="MeasureTableTextRightAligned"/>
            </w:pPr>
            <w:r>
              <w:t>750</w:t>
            </w:r>
          </w:p>
        </w:tc>
        <w:tc>
          <w:tcPr>
            <w:tcW w:w="967" w:type="dxa"/>
            <w:gridSpan w:val="2"/>
            <w:tcBorders>
              <w:top w:val="single" w:sz="2" w:space="0" w:color="auto"/>
              <w:bottom w:val="single" w:sz="2" w:space="0" w:color="auto"/>
            </w:tcBorders>
            <w:vAlign w:val="bottom"/>
          </w:tcPr>
          <w:p w14:paraId="34054E3C" w14:textId="77777777" w:rsidR="006E40C9" w:rsidRDefault="006E40C9">
            <w:pPr>
              <w:pStyle w:val="MeasureTableTextRightAligned"/>
            </w:pPr>
            <w:r>
              <w:t>800</w:t>
            </w:r>
          </w:p>
        </w:tc>
        <w:tc>
          <w:tcPr>
            <w:tcW w:w="968" w:type="dxa"/>
            <w:tcBorders>
              <w:top w:val="single" w:sz="2" w:space="0" w:color="auto"/>
              <w:bottom w:val="single" w:sz="2" w:space="0" w:color="auto"/>
            </w:tcBorders>
            <w:vAlign w:val="bottom"/>
          </w:tcPr>
          <w:p w14:paraId="4A971236" w14:textId="77777777" w:rsidR="006E40C9" w:rsidRDefault="006E40C9">
            <w:pPr>
              <w:pStyle w:val="MeasureTableTextRightAligned"/>
            </w:pPr>
            <w:r>
              <w:t>850</w:t>
            </w:r>
          </w:p>
        </w:tc>
      </w:tr>
      <w:tr w:rsidR="006E40C9" w14:paraId="6BB21480" w14:textId="77777777">
        <w:trPr>
          <w:cantSplit/>
          <w:jc w:val="center"/>
        </w:trPr>
        <w:tc>
          <w:tcPr>
            <w:tcW w:w="1934" w:type="dxa"/>
            <w:gridSpan w:val="2"/>
            <w:tcBorders>
              <w:top w:val="single" w:sz="2" w:space="0" w:color="auto"/>
              <w:bottom w:val="nil"/>
            </w:tcBorders>
          </w:tcPr>
          <w:p w14:paraId="162A54E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7106CD92" w14:textId="77777777" w:rsidR="006E40C9" w:rsidRDefault="006E40C9">
            <w:pPr>
              <w:pStyle w:val="MeasureTableTextLeftAligned"/>
            </w:pPr>
            <w:r>
              <w:t>Exemption</w:t>
            </w:r>
          </w:p>
        </w:tc>
        <w:tc>
          <w:tcPr>
            <w:tcW w:w="1500" w:type="dxa"/>
            <w:gridSpan w:val="2"/>
            <w:tcBorders>
              <w:top w:val="single" w:sz="2" w:space="0" w:color="auto"/>
              <w:bottom w:val="nil"/>
            </w:tcBorders>
          </w:tcPr>
          <w:p w14:paraId="2D093CB9" w14:textId="416840F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66B4139" w14:textId="77777777" w:rsidR="006E40C9" w:rsidRDefault="006E40C9">
            <w:pPr>
              <w:pStyle w:val="MeasureTableTextLeftAligned"/>
            </w:pPr>
            <w:r>
              <w:t>H15</w:t>
            </w:r>
          </w:p>
        </w:tc>
      </w:tr>
      <w:tr w:rsidR="006E40C9" w14:paraId="73CEA325" w14:textId="77777777">
        <w:trPr>
          <w:cantSplit/>
          <w:jc w:val="center"/>
        </w:trPr>
        <w:tc>
          <w:tcPr>
            <w:tcW w:w="1934" w:type="dxa"/>
            <w:gridSpan w:val="2"/>
            <w:tcBorders>
              <w:top w:val="nil"/>
              <w:bottom w:val="nil"/>
            </w:tcBorders>
          </w:tcPr>
          <w:p w14:paraId="29C968D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EC6C636" w14:textId="77777777" w:rsidR="006E40C9" w:rsidRPr="00584CA7" w:rsidRDefault="006E40C9">
            <w:pPr>
              <w:pStyle w:val="MeasureTableTextLeftAligned"/>
            </w:pPr>
            <w:r>
              <w:t>Medium</w:t>
            </w:r>
          </w:p>
        </w:tc>
        <w:tc>
          <w:tcPr>
            <w:tcW w:w="1500" w:type="dxa"/>
            <w:gridSpan w:val="2"/>
            <w:tcBorders>
              <w:top w:val="nil"/>
              <w:bottom w:val="nil"/>
            </w:tcBorders>
          </w:tcPr>
          <w:p w14:paraId="1AAEC682" w14:textId="77777777" w:rsidR="006E40C9" w:rsidRDefault="006E40C9">
            <w:pPr>
              <w:pStyle w:val="MeasureTableTextItalic"/>
            </w:pPr>
          </w:p>
        </w:tc>
        <w:tc>
          <w:tcPr>
            <w:tcW w:w="1124" w:type="dxa"/>
            <w:gridSpan w:val="2"/>
            <w:tcBorders>
              <w:top w:val="nil"/>
              <w:bottom w:val="nil"/>
            </w:tcBorders>
          </w:tcPr>
          <w:p w14:paraId="3E02283E" w14:textId="77777777" w:rsidR="006E40C9" w:rsidRDefault="006E40C9">
            <w:pPr>
              <w:pStyle w:val="MeasureTableTextLeftAligned"/>
            </w:pPr>
          </w:p>
        </w:tc>
      </w:tr>
      <w:tr w:rsidR="006E40C9" w14:paraId="58A5FDD0" w14:textId="77777777">
        <w:trPr>
          <w:cantSplit/>
          <w:jc w:val="center"/>
        </w:trPr>
        <w:tc>
          <w:tcPr>
            <w:tcW w:w="1934" w:type="dxa"/>
            <w:gridSpan w:val="2"/>
            <w:tcBorders>
              <w:top w:val="nil"/>
              <w:bottom w:val="nil"/>
            </w:tcBorders>
          </w:tcPr>
          <w:p w14:paraId="5955AD5D" w14:textId="77777777" w:rsidR="006E40C9" w:rsidRDefault="006E40C9">
            <w:pPr>
              <w:pStyle w:val="MeasureTableTextItalic"/>
            </w:pPr>
            <w:r>
              <w:t>Commencement date:</w:t>
            </w:r>
          </w:p>
        </w:tc>
        <w:tc>
          <w:tcPr>
            <w:tcW w:w="3179" w:type="dxa"/>
            <w:gridSpan w:val="4"/>
            <w:tcBorders>
              <w:top w:val="nil"/>
              <w:bottom w:val="nil"/>
            </w:tcBorders>
          </w:tcPr>
          <w:p w14:paraId="46E8AA6B" w14:textId="77777777" w:rsidR="006E40C9" w:rsidRDefault="006E40C9">
            <w:pPr>
              <w:pStyle w:val="MeasureTableTextLeftAligned"/>
            </w:pPr>
            <w:r>
              <w:t>1 July 2000</w:t>
            </w:r>
          </w:p>
        </w:tc>
        <w:tc>
          <w:tcPr>
            <w:tcW w:w="1500" w:type="dxa"/>
            <w:gridSpan w:val="2"/>
            <w:tcBorders>
              <w:top w:val="nil"/>
              <w:bottom w:val="nil"/>
            </w:tcBorders>
          </w:tcPr>
          <w:p w14:paraId="66DE9858" w14:textId="77777777" w:rsidR="006E40C9" w:rsidRPr="00F32057" w:rsidRDefault="006E40C9">
            <w:pPr>
              <w:pStyle w:val="MeasureTableTextItalic"/>
            </w:pPr>
            <w:r>
              <w:t>Expiry date:</w:t>
            </w:r>
          </w:p>
        </w:tc>
        <w:tc>
          <w:tcPr>
            <w:tcW w:w="1124" w:type="dxa"/>
            <w:gridSpan w:val="2"/>
            <w:tcBorders>
              <w:top w:val="nil"/>
              <w:bottom w:val="nil"/>
            </w:tcBorders>
          </w:tcPr>
          <w:p w14:paraId="04876122" w14:textId="77777777" w:rsidR="006E40C9" w:rsidRPr="00F32057" w:rsidRDefault="006E40C9">
            <w:pPr>
              <w:pStyle w:val="MeasureTableTextLeftAligned"/>
            </w:pPr>
          </w:p>
        </w:tc>
      </w:tr>
      <w:tr w:rsidR="006E40C9" w14:paraId="1A3AFA16" w14:textId="77777777">
        <w:trPr>
          <w:cantSplit/>
          <w:jc w:val="center"/>
        </w:trPr>
        <w:tc>
          <w:tcPr>
            <w:tcW w:w="1934" w:type="dxa"/>
            <w:gridSpan w:val="2"/>
            <w:tcBorders>
              <w:top w:val="nil"/>
            </w:tcBorders>
          </w:tcPr>
          <w:p w14:paraId="7306F1B2" w14:textId="77777777" w:rsidR="006E40C9" w:rsidRDefault="006E40C9">
            <w:pPr>
              <w:pStyle w:val="MeasureTableTextItalic"/>
            </w:pPr>
            <w:r>
              <w:t>Legislative reference:</w:t>
            </w:r>
          </w:p>
        </w:tc>
        <w:tc>
          <w:tcPr>
            <w:tcW w:w="5803" w:type="dxa"/>
            <w:gridSpan w:val="8"/>
            <w:tcBorders>
              <w:top w:val="nil"/>
            </w:tcBorders>
          </w:tcPr>
          <w:p w14:paraId="6C733166"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38-50 of the </w:t>
            </w:r>
            <w:r>
              <w:rPr>
                <w:rFonts w:ascii="Arial" w:hAnsi="Arial" w:cs="Arial"/>
                <w:i/>
                <w:iCs/>
                <w:color w:val="000000"/>
                <w:sz w:val="16"/>
                <w:szCs w:val="16"/>
              </w:rPr>
              <w:t>A New Tax System (Goods and Services Tax) Act 1999</w:t>
            </w:r>
          </w:p>
        </w:tc>
      </w:tr>
    </w:tbl>
    <w:p w14:paraId="6398E459" w14:textId="77777777" w:rsidR="006E40C9" w:rsidRPr="00540040" w:rsidRDefault="006E40C9" w:rsidP="006E40C9">
      <w:pPr>
        <w:pStyle w:val="MeasureTableHeading"/>
      </w:pPr>
    </w:p>
    <w:p w14:paraId="7B7D19AC" w14:textId="77777777" w:rsidR="006E40C9" w:rsidRDefault="006E40C9" w:rsidP="006E40C9">
      <w:r>
        <w:t>The benchmark tax treatment is that GST applies at the rate of 10 per cent to most supplies of goods and services. However, most medicines</w:t>
      </w:r>
      <w:r>
        <w:fldChar w:fldCharType="begin"/>
      </w:r>
      <w:r>
        <w:instrText xml:space="preserve"> XE "Medicines" </w:instrText>
      </w:r>
      <w:r>
        <w:fldChar w:fldCharType="end"/>
      </w:r>
      <w:r>
        <w:t xml:space="preserve"> for human use are GST</w:t>
      </w:r>
      <w:r>
        <w:noBreakHyphen/>
        <w:t>free. GST</w:t>
      </w:r>
      <w:r>
        <w:noBreakHyphen/>
        <w:t>free medicines include: medicines that can only be supplied on prescription; medicines supplied as a pharmaceutical benefit; non</w:t>
      </w:r>
      <w:r>
        <w:noBreakHyphen/>
        <w:t xml:space="preserve">prescription drugs that can only be supplied by a doctor, dentist, pharmacist or other prescribed person as described by relevant state or territory law; medicines supplied under the Special Access Scheme; and certain analgesics covered by a written determination by the Federal Health Minister. </w:t>
      </w:r>
    </w:p>
    <w:p w14:paraId="094ED88B" w14:textId="77777777" w:rsidR="006E40C9" w:rsidRDefault="006E40C9" w:rsidP="00130689">
      <w:pPr>
        <w:pStyle w:val="Heading4"/>
      </w:pPr>
      <w:r>
        <w:t>H16</w:t>
      </w:r>
      <w:r>
        <w:tab/>
        <w:t>Health – medical aids and appliances</w:t>
      </w:r>
    </w:p>
    <w:p w14:paraId="30D6061E"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E72A83D" w14:textId="77777777">
        <w:trPr>
          <w:cantSplit/>
          <w:jc w:val="center"/>
        </w:trPr>
        <w:tc>
          <w:tcPr>
            <w:tcW w:w="967" w:type="dxa"/>
            <w:tcBorders>
              <w:top w:val="single" w:sz="2" w:space="0" w:color="auto"/>
              <w:bottom w:val="single" w:sz="2" w:space="0" w:color="auto"/>
            </w:tcBorders>
          </w:tcPr>
          <w:p w14:paraId="1DB57A87"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62A4769"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F027417"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0C2C743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7438D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5B5E43B"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E01678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26ED7372" w14:textId="77777777" w:rsidR="006E40C9" w:rsidRDefault="006E40C9">
            <w:pPr>
              <w:pStyle w:val="MeasureTableTextRightAligned"/>
            </w:pPr>
            <w:r>
              <w:t>2027-28</w:t>
            </w:r>
          </w:p>
        </w:tc>
      </w:tr>
      <w:tr w:rsidR="006E40C9" w14:paraId="1684F1E5" w14:textId="77777777">
        <w:trPr>
          <w:cantSplit/>
          <w:jc w:val="center"/>
        </w:trPr>
        <w:tc>
          <w:tcPr>
            <w:tcW w:w="967" w:type="dxa"/>
            <w:tcBorders>
              <w:top w:val="single" w:sz="2" w:space="0" w:color="auto"/>
              <w:bottom w:val="single" w:sz="2" w:space="0" w:color="auto"/>
            </w:tcBorders>
          </w:tcPr>
          <w:p w14:paraId="0FAD2579" w14:textId="77777777" w:rsidR="006E40C9" w:rsidRDefault="006E40C9">
            <w:pPr>
              <w:pStyle w:val="MeasureTableTextRightAligned"/>
            </w:pPr>
            <w:r>
              <w:t>270</w:t>
            </w:r>
          </w:p>
        </w:tc>
        <w:tc>
          <w:tcPr>
            <w:tcW w:w="967" w:type="dxa"/>
            <w:tcBorders>
              <w:top w:val="single" w:sz="2" w:space="0" w:color="auto"/>
              <w:bottom w:val="single" w:sz="2" w:space="0" w:color="auto"/>
            </w:tcBorders>
          </w:tcPr>
          <w:p w14:paraId="0083496F" w14:textId="77777777" w:rsidR="006E40C9" w:rsidRDefault="006E40C9">
            <w:pPr>
              <w:pStyle w:val="MeasureTableTextRightAligned"/>
            </w:pPr>
            <w:r>
              <w:t>220</w:t>
            </w:r>
          </w:p>
        </w:tc>
        <w:tc>
          <w:tcPr>
            <w:tcW w:w="967" w:type="dxa"/>
            <w:tcBorders>
              <w:top w:val="single" w:sz="2" w:space="0" w:color="auto"/>
              <w:bottom w:val="single" w:sz="2" w:space="0" w:color="auto"/>
            </w:tcBorders>
            <w:vAlign w:val="bottom"/>
          </w:tcPr>
          <w:p w14:paraId="47A4DCD3" w14:textId="77777777" w:rsidR="006E40C9" w:rsidRDefault="006E40C9">
            <w:pPr>
              <w:pStyle w:val="MeasureTableTextRightAligned"/>
            </w:pPr>
            <w:r>
              <w:t>265</w:t>
            </w:r>
          </w:p>
        </w:tc>
        <w:tc>
          <w:tcPr>
            <w:tcW w:w="967" w:type="dxa"/>
            <w:tcBorders>
              <w:top w:val="single" w:sz="2" w:space="0" w:color="auto"/>
              <w:bottom w:val="single" w:sz="2" w:space="0" w:color="auto"/>
            </w:tcBorders>
            <w:vAlign w:val="bottom"/>
          </w:tcPr>
          <w:p w14:paraId="1AB858A8" w14:textId="77777777" w:rsidR="006E40C9" w:rsidRDefault="006E40C9">
            <w:pPr>
              <w:pStyle w:val="MeasureTableTextRightAligned"/>
            </w:pPr>
            <w:r>
              <w:t>290</w:t>
            </w:r>
          </w:p>
        </w:tc>
        <w:tc>
          <w:tcPr>
            <w:tcW w:w="967" w:type="dxa"/>
            <w:tcBorders>
              <w:top w:val="single" w:sz="2" w:space="0" w:color="auto"/>
              <w:bottom w:val="single" w:sz="2" w:space="0" w:color="auto"/>
            </w:tcBorders>
            <w:vAlign w:val="bottom"/>
          </w:tcPr>
          <w:p w14:paraId="2D2DE758" w14:textId="77777777" w:rsidR="006E40C9" w:rsidRDefault="006E40C9">
            <w:pPr>
              <w:pStyle w:val="MeasureTableTextRightAligned"/>
            </w:pPr>
            <w:r>
              <w:t>310</w:t>
            </w:r>
          </w:p>
        </w:tc>
        <w:tc>
          <w:tcPr>
            <w:tcW w:w="967" w:type="dxa"/>
            <w:gridSpan w:val="2"/>
            <w:tcBorders>
              <w:top w:val="single" w:sz="2" w:space="0" w:color="auto"/>
              <w:bottom w:val="single" w:sz="2" w:space="0" w:color="auto"/>
            </w:tcBorders>
            <w:vAlign w:val="bottom"/>
          </w:tcPr>
          <w:p w14:paraId="5510EB4A" w14:textId="77777777" w:rsidR="006E40C9" w:rsidRDefault="006E40C9">
            <w:pPr>
              <w:pStyle w:val="MeasureTableTextRightAligned"/>
            </w:pPr>
            <w:r>
              <w:t>330</w:t>
            </w:r>
          </w:p>
        </w:tc>
        <w:tc>
          <w:tcPr>
            <w:tcW w:w="967" w:type="dxa"/>
            <w:gridSpan w:val="2"/>
            <w:tcBorders>
              <w:top w:val="single" w:sz="2" w:space="0" w:color="auto"/>
              <w:bottom w:val="single" w:sz="2" w:space="0" w:color="auto"/>
            </w:tcBorders>
            <w:vAlign w:val="bottom"/>
          </w:tcPr>
          <w:p w14:paraId="051F6B4D" w14:textId="77777777" w:rsidR="006E40C9" w:rsidRDefault="006E40C9">
            <w:pPr>
              <w:pStyle w:val="MeasureTableTextRightAligned"/>
            </w:pPr>
            <w:r>
              <w:t>350</w:t>
            </w:r>
          </w:p>
        </w:tc>
        <w:tc>
          <w:tcPr>
            <w:tcW w:w="968" w:type="dxa"/>
            <w:tcBorders>
              <w:top w:val="single" w:sz="2" w:space="0" w:color="auto"/>
              <w:bottom w:val="single" w:sz="2" w:space="0" w:color="auto"/>
            </w:tcBorders>
            <w:vAlign w:val="bottom"/>
          </w:tcPr>
          <w:p w14:paraId="21640E4A" w14:textId="77777777" w:rsidR="006E40C9" w:rsidRDefault="006E40C9">
            <w:pPr>
              <w:pStyle w:val="MeasureTableTextRightAligned"/>
            </w:pPr>
            <w:r>
              <w:t>375</w:t>
            </w:r>
          </w:p>
        </w:tc>
      </w:tr>
      <w:tr w:rsidR="006E40C9" w14:paraId="53246248" w14:textId="77777777">
        <w:trPr>
          <w:cantSplit/>
          <w:jc w:val="center"/>
        </w:trPr>
        <w:tc>
          <w:tcPr>
            <w:tcW w:w="1934" w:type="dxa"/>
            <w:gridSpan w:val="2"/>
            <w:tcBorders>
              <w:top w:val="single" w:sz="2" w:space="0" w:color="auto"/>
              <w:bottom w:val="nil"/>
            </w:tcBorders>
          </w:tcPr>
          <w:p w14:paraId="05409CD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ACD6B87" w14:textId="77777777" w:rsidR="006E40C9" w:rsidRDefault="006E40C9">
            <w:pPr>
              <w:pStyle w:val="MeasureTableTextLeftAligned"/>
            </w:pPr>
            <w:r>
              <w:t>Exemption</w:t>
            </w:r>
          </w:p>
        </w:tc>
        <w:tc>
          <w:tcPr>
            <w:tcW w:w="1500" w:type="dxa"/>
            <w:gridSpan w:val="2"/>
            <w:tcBorders>
              <w:top w:val="single" w:sz="2" w:space="0" w:color="auto"/>
              <w:bottom w:val="nil"/>
            </w:tcBorders>
          </w:tcPr>
          <w:p w14:paraId="55A2CCD8" w14:textId="14B870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1995A27" w14:textId="77777777" w:rsidR="006E40C9" w:rsidRDefault="006E40C9">
            <w:pPr>
              <w:pStyle w:val="MeasureTableTextLeftAligned"/>
            </w:pPr>
            <w:r>
              <w:t>H16</w:t>
            </w:r>
          </w:p>
        </w:tc>
      </w:tr>
      <w:tr w:rsidR="006E40C9" w14:paraId="09AA0003" w14:textId="77777777">
        <w:trPr>
          <w:cantSplit/>
          <w:jc w:val="center"/>
        </w:trPr>
        <w:tc>
          <w:tcPr>
            <w:tcW w:w="1934" w:type="dxa"/>
            <w:gridSpan w:val="2"/>
            <w:tcBorders>
              <w:top w:val="nil"/>
              <w:bottom w:val="nil"/>
            </w:tcBorders>
          </w:tcPr>
          <w:p w14:paraId="35DB556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A6708F6" w14:textId="77777777" w:rsidR="006E40C9" w:rsidRPr="00584CA7" w:rsidRDefault="006E40C9">
            <w:pPr>
              <w:pStyle w:val="MeasureTableTextLeftAligned"/>
            </w:pPr>
            <w:r>
              <w:t>Low</w:t>
            </w:r>
          </w:p>
        </w:tc>
        <w:tc>
          <w:tcPr>
            <w:tcW w:w="1500" w:type="dxa"/>
            <w:gridSpan w:val="2"/>
            <w:tcBorders>
              <w:top w:val="nil"/>
              <w:bottom w:val="nil"/>
            </w:tcBorders>
          </w:tcPr>
          <w:p w14:paraId="1DCF8AFA" w14:textId="77777777" w:rsidR="006E40C9" w:rsidRDefault="006E40C9">
            <w:pPr>
              <w:pStyle w:val="MeasureTableTextItalic"/>
            </w:pPr>
          </w:p>
        </w:tc>
        <w:tc>
          <w:tcPr>
            <w:tcW w:w="1124" w:type="dxa"/>
            <w:gridSpan w:val="2"/>
            <w:tcBorders>
              <w:top w:val="nil"/>
              <w:bottom w:val="nil"/>
            </w:tcBorders>
          </w:tcPr>
          <w:p w14:paraId="3E1368D8" w14:textId="77777777" w:rsidR="006E40C9" w:rsidRDefault="006E40C9">
            <w:pPr>
              <w:pStyle w:val="MeasureTableTextLeftAligned"/>
            </w:pPr>
          </w:p>
        </w:tc>
      </w:tr>
      <w:tr w:rsidR="006E40C9" w14:paraId="4B113684" w14:textId="77777777">
        <w:trPr>
          <w:cantSplit/>
          <w:jc w:val="center"/>
        </w:trPr>
        <w:tc>
          <w:tcPr>
            <w:tcW w:w="1934" w:type="dxa"/>
            <w:gridSpan w:val="2"/>
            <w:tcBorders>
              <w:top w:val="nil"/>
              <w:bottom w:val="nil"/>
            </w:tcBorders>
          </w:tcPr>
          <w:p w14:paraId="59CF28E3" w14:textId="77777777" w:rsidR="006E40C9" w:rsidRDefault="006E40C9">
            <w:pPr>
              <w:pStyle w:val="MeasureTableTextItalic"/>
            </w:pPr>
            <w:r>
              <w:t>Commencement date:</w:t>
            </w:r>
          </w:p>
        </w:tc>
        <w:tc>
          <w:tcPr>
            <w:tcW w:w="3179" w:type="dxa"/>
            <w:gridSpan w:val="4"/>
            <w:tcBorders>
              <w:top w:val="nil"/>
              <w:bottom w:val="nil"/>
            </w:tcBorders>
          </w:tcPr>
          <w:p w14:paraId="7B607656" w14:textId="77777777" w:rsidR="006E40C9" w:rsidRDefault="006E40C9">
            <w:pPr>
              <w:pStyle w:val="MeasureTableTextLeftAligned"/>
            </w:pPr>
            <w:r>
              <w:t>1 July 2000</w:t>
            </w:r>
          </w:p>
        </w:tc>
        <w:tc>
          <w:tcPr>
            <w:tcW w:w="1500" w:type="dxa"/>
            <w:gridSpan w:val="2"/>
            <w:tcBorders>
              <w:top w:val="nil"/>
              <w:bottom w:val="nil"/>
            </w:tcBorders>
          </w:tcPr>
          <w:p w14:paraId="3EA8B455" w14:textId="77777777" w:rsidR="006E40C9" w:rsidRPr="00F32057" w:rsidRDefault="006E40C9">
            <w:pPr>
              <w:pStyle w:val="MeasureTableTextItalic"/>
            </w:pPr>
            <w:r>
              <w:t>Expiry date:</w:t>
            </w:r>
          </w:p>
        </w:tc>
        <w:tc>
          <w:tcPr>
            <w:tcW w:w="1124" w:type="dxa"/>
            <w:gridSpan w:val="2"/>
            <w:tcBorders>
              <w:top w:val="nil"/>
              <w:bottom w:val="nil"/>
            </w:tcBorders>
          </w:tcPr>
          <w:p w14:paraId="691AFAB7" w14:textId="77777777" w:rsidR="006E40C9" w:rsidRPr="00F32057" w:rsidRDefault="006E40C9">
            <w:pPr>
              <w:pStyle w:val="MeasureTableTextLeftAligned"/>
            </w:pPr>
          </w:p>
        </w:tc>
      </w:tr>
      <w:tr w:rsidR="006E40C9" w14:paraId="3D3B06EB" w14:textId="77777777">
        <w:trPr>
          <w:cantSplit/>
          <w:jc w:val="center"/>
        </w:trPr>
        <w:tc>
          <w:tcPr>
            <w:tcW w:w="1934" w:type="dxa"/>
            <w:gridSpan w:val="2"/>
            <w:tcBorders>
              <w:top w:val="nil"/>
            </w:tcBorders>
          </w:tcPr>
          <w:p w14:paraId="6E653F57" w14:textId="77777777" w:rsidR="006E40C9" w:rsidRDefault="006E40C9">
            <w:pPr>
              <w:pStyle w:val="MeasureTableTextItalic"/>
            </w:pPr>
            <w:r>
              <w:t>Legislative reference:</w:t>
            </w:r>
          </w:p>
        </w:tc>
        <w:tc>
          <w:tcPr>
            <w:tcW w:w="5803" w:type="dxa"/>
            <w:gridSpan w:val="8"/>
            <w:tcBorders>
              <w:top w:val="nil"/>
            </w:tcBorders>
          </w:tcPr>
          <w:p w14:paraId="3D3BE13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38-38, 38-45, 38-47 and Subdivision 38-P of the </w:t>
            </w:r>
            <w:r>
              <w:rPr>
                <w:rFonts w:ascii="Arial" w:hAnsi="Arial" w:cs="Arial"/>
                <w:i/>
                <w:iCs/>
                <w:color w:val="000000"/>
                <w:sz w:val="16"/>
                <w:szCs w:val="16"/>
              </w:rPr>
              <w:t>A New Tax System (Goods and Services Tax) Act 1999</w:t>
            </w:r>
          </w:p>
        </w:tc>
      </w:tr>
    </w:tbl>
    <w:p w14:paraId="1C85315A" w14:textId="77777777" w:rsidR="006E40C9" w:rsidRPr="00540040" w:rsidRDefault="006E40C9" w:rsidP="006E40C9">
      <w:pPr>
        <w:pStyle w:val="MeasureTableHeading"/>
      </w:pPr>
    </w:p>
    <w:p w14:paraId="3CC30437" w14:textId="77777777" w:rsidR="006E40C9" w:rsidRDefault="006E40C9" w:rsidP="006E40C9">
      <w:r>
        <w:t>The benchmark tax treatment is that GST applies at the rate of 10 per cent to most supplies of goods and services. However, a medical aid or appliance</w:t>
      </w:r>
      <w:r>
        <w:fldChar w:fldCharType="begin"/>
      </w:r>
      <w:r>
        <w:instrText xml:space="preserve"> XE "Medical aid or appliance" </w:instrText>
      </w:r>
      <w:r>
        <w:fldChar w:fldCharType="end"/>
      </w:r>
      <w:r>
        <w:t xml:space="preserve"> is GST</w:t>
      </w:r>
      <w:r>
        <w:noBreakHyphen/>
        <w:t xml:space="preserve">free if the medical aid or appliance is listed in Schedule 3 to the </w:t>
      </w:r>
      <w:r>
        <w:rPr>
          <w:i/>
        </w:rPr>
        <w:t>A New Tax System (Goods and Services Tax) Act 1999</w:t>
      </w:r>
      <w:r>
        <w:t>, or specified in the regulations and specifically designed for people with an illness or disability and not widely used by others.</w:t>
      </w:r>
    </w:p>
    <w:p w14:paraId="20858680" w14:textId="77777777" w:rsidR="006E40C9" w:rsidRDefault="006E40C9" w:rsidP="006E40C9">
      <w:r>
        <w:t>The supply of cars for use by disabled persons, spare parts for medical aids and appliances and the services related to the provision of the medical aid or appliance are GST</w:t>
      </w:r>
      <w:r>
        <w:noBreakHyphen/>
        <w:t>free. Goods that are the subject of a written determination by the Federal Health Minister are also GST</w:t>
      </w:r>
      <w:r>
        <w:noBreakHyphen/>
        <w:t xml:space="preserve">free, including certain disability support delivered under the </w:t>
      </w:r>
      <w:r>
        <w:rPr>
          <w:i/>
        </w:rPr>
        <w:t>National Disability Insurance Scheme Act 2013</w:t>
      </w:r>
      <w:r>
        <w:t>.</w:t>
      </w:r>
      <w:r>
        <w:fldChar w:fldCharType="begin"/>
      </w:r>
      <w:r>
        <w:instrText xml:space="preserve"> XE "Goods and Services Tax:Health" </w:instrText>
      </w:r>
      <w:r>
        <w:fldChar w:fldCharType="end"/>
      </w:r>
    </w:p>
    <w:p w14:paraId="3D85B225" w14:textId="77777777" w:rsidR="006E40C9" w:rsidRDefault="006E40C9" w:rsidP="00130689">
      <w:pPr>
        <w:pStyle w:val="Heading4"/>
      </w:pPr>
      <w:r>
        <w:t>H17</w:t>
      </w:r>
      <w:r>
        <w:tab/>
        <w:t>Health – medical and health services</w:t>
      </w:r>
    </w:p>
    <w:p w14:paraId="4D100085"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65FC312D" w14:textId="77777777">
        <w:trPr>
          <w:cantSplit/>
          <w:jc w:val="center"/>
        </w:trPr>
        <w:tc>
          <w:tcPr>
            <w:tcW w:w="967" w:type="dxa"/>
            <w:tcBorders>
              <w:top w:val="single" w:sz="2" w:space="0" w:color="auto"/>
              <w:bottom w:val="single" w:sz="2" w:space="0" w:color="auto"/>
            </w:tcBorders>
          </w:tcPr>
          <w:p w14:paraId="79F0C84D"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254137F2"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20C1010"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3D104C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4B17E17"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83F27D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9E8947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A944A89" w14:textId="77777777" w:rsidR="006E40C9" w:rsidRDefault="006E40C9">
            <w:pPr>
              <w:pStyle w:val="MeasureTableTextRightAligned"/>
            </w:pPr>
            <w:r>
              <w:t>2027-28</w:t>
            </w:r>
          </w:p>
        </w:tc>
      </w:tr>
      <w:tr w:rsidR="006E40C9" w14:paraId="25ED7AE6" w14:textId="77777777">
        <w:trPr>
          <w:cantSplit/>
          <w:jc w:val="center"/>
        </w:trPr>
        <w:tc>
          <w:tcPr>
            <w:tcW w:w="967" w:type="dxa"/>
            <w:tcBorders>
              <w:top w:val="single" w:sz="2" w:space="0" w:color="auto"/>
              <w:bottom w:val="single" w:sz="2" w:space="0" w:color="auto"/>
            </w:tcBorders>
          </w:tcPr>
          <w:p w14:paraId="16F76929" w14:textId="77777777" w:rsidR="006E40C9" w:rsidRDefault="006E40C9">
            <w:pPr>
              <w:pStyle w:val="MeasureTableTextRightAligned"/>
            </w:pPr>
            <w:r>
              <w:t>4,400</w:t>
            </w:r>
          </w:p>
        </w:tc>
        <w:tc>
          <w:tcPr>
            <w:tcW w:w="967" w:type="dxa"/>
            <w:tcBorders>
              <w:top w:val="single" w:sz="2" w:space="0" w:color="auto"/>
              <w:bottom w:val="single" w:sz="2" w:space="0" w:color="auto"/>
            </w:tcBorders>
          </w:tcPr>
          <w:p w14:paraId="2C8A0D42" w14:textId="77777777" w:rsidR="006E40C9" w:rsidRDefault="006E40C9">
            <w:pPr>
              <w:pStyle w:val="MeasureTableTextRightAligned"/>
            </w:pPr>
            <w:r>
              <w:t>4,550</w:t>
            </w:r>
          </w:p>
        </w:tc>
        <w:tc>
          <w:tcPr>
            <w:tcW w:w="967" w:type="dxa"/>
            <w:tcBorders>
              <w:top w:val="single" w:sz="2" w:space="0" w:color="auto"/>
              <w:bottom w:val="single" w:sz="2" w:space="0" w:color="auto"/>
            </w:tcBorders>
            <w:vAlign w:val="bottom"/>
          </w:tcPr>
          <w:p w14:paraId="472B5BC4" w14:textId="77777777" w:rsidR="006E40C9" w:rsidRDefault="006E40C9">
            <w:pPr>
              <w:pStyle w:val="MeasureTableTextRightAligned"/>
            </w:pPr>
            <w:r>
              <w:t>4,700</w:t>
            </w:r>
          </w:p>
        </w:tc>
        <w:tc>
          <w:tcPr>
            <w:tcW w:w="967" w:type="dxa"/>
            <w:tcBorders>
              <w:top w:val="single" w:sz="2" w:space="0" w:color="auto"/>
              <w:bottom w:val="single" w:sz="2" w:space="0" w:color="auto"/>
            </w:tcBorders>
            <w:vAlign w:val="bottom"/>
          </w:tcPr>
          <w:p w14:paraId="656C5048" w14:textId="77777777" w:rsidR="006E40C9" w:rsidRDefault="006E40C9">
            <w:pPr>
              <w:pStyle w:val="MeasureTableTextRightAligned"/>
            </w:pPr>
            <w:r>
              <w:t>5,100</w:t>
            </w:r>
          </w:p>
        </w:tc>
        <w:tc>
          <w:tcPr>
            <w:tcW w:w="967" w:type="dxa"/>
            <w:tcBorders>
              <w:top w:val="single" w:sz="2" w:space="0" w:color="auto"/>
              <w:bottom w:val="single" w:sz="2" w:space="0" w:color="auto"/>
            </w:tcBorders>
            <w:vAlign w:val="bottom"/>
          </w:tcPr>
          <w:p w14:paraId="0750D172" w14:textId="77777777" w:rsidR="006E40C9" w:rsidRDefault="006E40C9">
            <w:pPr>
              <w:pStyle w:val="MeasureTableTextRightAligned"/>
            </w:pPr>
            <w:r>
              <w:t>5,400</w:t>
            </w:r>
          </w:p>
        </w:tc>
        <w:tc>
          <w:tcPr>
            <w:tcW w:w="967" w:type="dxa"/>
            <w:gridSpan w:val="2"/>
            <w:tcBorders>
              <w:top w:val="single" w:sz="2" w:space="0" w:color="auto"/>
              <w:bottom w:val="single" w:sz="2" w:space="0" w:color="auto"/>
            </w:tcBorders>
            <w:vAlign w:val="bottom"/>
          </w:tcPr>
          <w:p w14:paraId="427FBC7C" w14:textId="77777777" w:rsidR="006E40C9" w:rsidRDefault="006E40C9">
            <w:pPr>
              <w:pStyle w:val="MeasureTableTextRightAligned"/>
            </w:pPr>
            <w:r>
              <w:t>5,750</w:t>
            </w:r>
          </w:p>
        </w:tc>
        <w:tc>
          <w:tcPr>
            <w:tcW w:w="967" w:type="dxa"/>
            <w:gridSpan w:val="2"/>
            <w:tcBorders>
              <w:top w:val="single" w:sz="2" w:space="0" w:color="auto"/>
              <w:bottom w:val="single" w:sz="2" w:space="0" w:color="auto"/>
            </w:tcBorders>
            <w:vAlign w:val="bottom"/>
          </w:tcPr>
          <w:p w14:paraId="396EB21F" w14:textId="77777777" w:rsidR="006E40C9" w:rsidRDefault="006E40C9">
            <w:pPr>
              <w:pStyle w:val="MeasureTableTextRightAligned"/>
            </w:pPr>
            <w:r>
              <w:t>6,150</w:t>
            </w:r>
          </w:p>
        </w:tc>
        <w:tc>
          <w:tcPr>
            <w:tcW w:w="968" w:type="dxa"/>
            <w:tcBorders>
              <w:top w:val="single" w:sz="2" w:space="0" w:color="auto"/>
              <w:bottom w:val="single" w:sz="2" w:space="0" w:color="auto"/>
            </w:tcBorders>
            <w:vAlign w:val="bottom"/>
          </w:tcPr>
          <w:p w14:paraId="66B41744" w14:textId="77777777" w:rsidR="006E40C9" w:rsidRDefault="006E40C9">
            <w:pPr>
              <w:pStyle w:val="MeasureTableTextRightAligned"/>
            </w:pPr>
            <w:r>
              <w:t>6,550</w:t>
            </w:r>
          </w:p>
        </w:tc>
      </w:tr>
      <w:tr w:rsidR="006E40C9" w14:paraId="3A078706" w14:textId="77777777">
        <w:trPr>
          <w:cantSplit/>
          <w:jc w:val="center"/>
        </w:trPr>
        <w:tc>
          <w:tcPr>
            <w:tcW w:w="1934" w:type="dxa"/>
            <w:gridSpan w:val="2"/>
            <w:tcBorders>
              <w:top w:val="single" w:sz="2" w:space="0" w:color="auto"/>
              <w:bottom w:val="nil"/>
            </w:tcBorders>
          </w:tcPr>
          <w:p w14:paraId="22909250"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F49C8DA" w14:textId="77777777" w:rsidR="006E40C9" w:rsidRDefault="006E40C9">
            <w:pPr>
              <w:pStyle w:val="MeasureTableTextLeftAligned"/>
            </w:pPr>
            <w:r>
              <w:t>Exemption</w:t>
            </w:r>
          </w:p>
        </w:tc>
        <w:tc>
          <w:tcPr>
            <w:tcW w:w="1500" w:type="dxa"/>
            <w:gridSpan w:val="2"/>
            <w:tcBorders>
              <w:top w:val="single" w:sz="2" w:space="0" w:color="auto"/>
              <w:bottom w:val="nil"/>
            </w:tcBorders>
          </w:tcPr>
          <w:p w14:paraId="6CAB191A" w14:textId="5967896D"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AEEE657" w14:textId="77777777" w:rsidR="006E40C9" w:rsidRDefault="006E40C9">
            <w:pPr>
              <w:pStyle w:val="MeasureTableTextLeftAligned"/>
            </w:pPr>
            <w:r>
              <w:t>H17</w:t>
            </w:r>
          </w:p>
        </w:tc>
      </w:tr>
      <w:tr w:rsidR="006E40C9" w14:paraId="14B7CFF8" w14:textId="77777777">
        <w:trPr>
          <w:cantSplit/>
          <w:jc w:val="center"/>
        </w:trPr>
        <w:tc>
          <w:tcPr>
            <w:tcW w:w="1934" w:type="dxa"/>
            <w:gridSpan w:val="2"/>
            <w:tcBorders>
              <w:top w:val="nil"/>
              <w:bottom w:val="nil"/>
            </w:tcBorders>
          </w:tcPr>
          <w:p w14:paraId="4DD3CEE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1B5C9C3" w14:textId="77777777" w:rsidR="006E40C9" w:rsidRPr="00584CA7" w:rsidRDefault="006E40C9">
            <w:pPr>
              <w:pStyle w:val="MeasureTableTextLeftAligned"/>
            </w:pPr>
            <w:r>
              <w:t>Medium</w:t>
            </w:r>
          </w:p>
        </w:tc>
        <w:tc>
          <w:tcPr>
            <w:tcW w:w="1500" w:type="dxa"/>
            <w:gridSpan w:val="2"/>
            <w:tcBorders>
              <w:top w:val="nil"/>
              <w:bottom w:val="nil"/>
            </w:tcBorders>
          </w:tcPr>
          <w:p w14:paraId="460A271D" w14:textId="77777777" w:rsidR="006E40C9" w:rsidRDefault="006E40C9">
            <w:pPr>
              <w:pStyle w:val="MeasureTableTextItalic"/>
            </w:pPr>
          </w:p>
        </w:tc>
        <w:tc>
          <w:tcPr>
            <w:tcW w:w="1124" w:type="dxa"/>
            <w:gridSpan w:val="2"/>
            <w:tcBorders>
              <w:top w:val="nil"/>
              <w:bottom w:val="nil"/>
            </w:tcBorders>
          </w:tcPr>
          <w:p w14:paraId="0E8B653F" w14:textId="77777777" w:rsidR="006E40C9" w:rsidRDefault="006E40C9">
            <w:pPr>
              <w:pStyle w:val="MeasureTableTextLeftAligned"/>
            </w:pPr>
          </w:p>
        </w:tc>
      </w:tr>
      <w:tr w:rsidR="006E40C9" w14:paraId="51AFF6D6" w14:textId="77777777">
        <w:trPr>
          <w:cantSplit/>
          <w:jc w:val="center"/>
        </w:trPr>
        <w:tc>
          <w:tcPr>
            <w:tcW w:w="1934" w:type="dxa"/>
            <w:gridSpan w:val="2"/>
            <w:tcBorders>
              <w:top w:val="nil"/>
              <w:bottom w:val="nil"/>
            </w:tcBorders>
          </w:tcPr>
          <w:p w14:paraId="6AB22BC4" w14:textId="77777777" w:rsidR="006E40C9" w:rsidRDefault="006E40C9">
            <w:pPr>
              <w:pStyle w:val="MeasureTableTextItalic"/>
            </w:pPr>
            <w:r>
              <w:t>Commencement date:</w:t>
            </w:r>
          </w:p>
        </w:tc>
        <w:tc>
          <w:tcPr>
            <w:tcW w:w="3179" w:type="dxa"/>
            <w:gridSpan w:val="4"/>
            <w:tcBorders>
              <w:top w:val="nil"/>
              <w:bottom w:val="nil"/>
            </w:tcBorders>
          </w:tcPr>
          <w:p w14:paraId="5045F3C4" w14:textId="77777777" w:rsidR="006E40C9" w:rsidRDefault="006E40C9">
            <w:pPr>
              <w:pStyle w:val="MeasureTableTextLeftAligned"/>
            </w:pPr>
            <w:r>
              <w:t>1 July 2000</w:t>
            </w:r>
          </w:p>
        </w:tc>
        <w:tc>
          <w:tcPr>
            <w:tcW w:w="1500" w:type="dxa"/>
            <w:gridSpan w:val="2"/>
            <w:tcBorders>
              <w:top w:val="nil"/>
              <w:bottom w:val="nil"/>
            </w:tcBorders>
          </w:tcPr>
          <w:p w14:paraId="26A57FD2" w14:textId="77777777" w:rsidR="006E40C9" w:rsidRPr="00F32057" w:rsidRDefault="006E40C9">
            <w:pPr>
              <w:pStyle w:val="MeasureTableTextItalic"/>
            </w:pPr>
            <w:r>
              <w:t>Expiry date:</w:t>
            </w:r>
          </w:p>
        </w:tc>
        <w:tc>
          <w:tcPr>
            <w:tcW w:w="1124" w:type="dxa"/>
            <w:gridSpan w:val="2"/>
            <w:tcBorders>
              <w:top w:val="nil"/>
              <w:bottom w:val="nil"/>
            </w:tcBorders>
          </w:tcPr>
          <w:p w14:paraId="3625580F" w14:textId="77777777" w:rsidR="006E40C9" w:rsidRPr="00F32057" w:rsidRDefault="006E40C9">
            <w:pPr>
              <w:pStyle w:val="MeasureTableTextLeftAligned"/>
            </w:pPr>
          </w:p>
        </w:tc>
      </w:tr>
      <w:tr w:rsidR="006E40C9" w14:paraId="27E2CA78" w14:textId="77777777">
        <w:trPr>
          <w:cantSplit/>
          <w:jc w:val="center"/>
        </w:trPr>
        <w:tc>
          <w:tcPr>
            <w:tcW w:w="1934" w:type="dxa"/>
            <w:gridSpan w:val="2"/>
            <w:tcBorders>
              <w:top w:val="nil"/>
            </w:tcBorders>
          </w:tcPr>
          <w:p w14:paraId="669D6334" w14:textId="77777777" w:rsidR="006E40C9" w:rsidRDefault="006E40C9">
            <w:pPr>
              <w:pStyle w:val="MeasureTableTextItalic"/>
            </w:pPr>
            <w:r>
              <w:t>Legislative reference:</w:t>
            </w:r>
          </w:p>
        </w:tc>
        <w:tc>
          <w:tcPr>
            <w:tcW w:w="5803" w:type="dxa"/>
            <w:gridSpan w:val="8"/>
            <w:tcBorders>
              <w:top w:val="nil"/>
            </w:tcBorders>
          </w:tcPr>
          <w:p w14:paraId="3EF3BE92"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38-7, 38-10, 38-15, 38-20 of the </w:t>
            </w:r>
            <w:r>
              <w:rPr>
                <w:rFonts w:ascii="Arial" w:hAnsi="Arial" w:cs="Arial"/>
                <w:i/>
                <w:iCs/>
                <w:color w:val="000000"/>
                <w:sz w:val="16"/>
                <w:szCs w:val="16"/>
              </w:rPr>
              <w:t>A New Tax System (Goods and Services Tax) Act 1999</w:t>
            </w:r>
            <w:r>
              <w:rPr>
                <w:rFonts w:ascii="Arial" w:hAnsi="Arial" w:cs="Arial"/>
                <w:color w:val="000000"/>
                <w:sz w:val="16"/>
                <w:szCs w:val="16"/>
              </w:rPr>
              <w:tab/>
            </w:r>
          </w:p>
        </w:tc>
      </w:tr>
    </w:tbl>
    <w:p w14:paraId="427E38DB" w14:textId="77777777" w:rsidR="006E40C9" w:rsidRPr="00540040" w:rsidRDefault="006E40C9" w:rsidP="006E40C9">
      <w:pPr>
        <w:pStyle w:val="MeasureTableHeading"/>
      </w:pPr>
    </w:p>
    <w:p w14:paraId="7F580C89" w14:textId="77777777" w:rsidR="006E40C9" w:rsidRDefault="006E40C9" w:rsidP="006E40C9">
      <w:r>
        <w:t>The benchmark tax treatment is that GST applies at the rate of 10 per cent to most supplies of goods and services. However, certain medical and health services</w:t>
      </w:r>
      <w:r>
        <w:fldChar w:fldCharType="begin"/>
      </w:r>
      <w:r>
        <w:instrText xml:space="preserve"> XE "Medical services" </w:instrText>
      </w:r>
      <w:r>
        <w:fldChar w:fldCharType="end"/>
      </w:r>
      <w:r>
        <w:t xml:space="preserve"> are GST</w:t>
      </w:r>
      <w:r>
        <w:noBreakHyphen/>
        <w:t xml:space="preserve">free. </w:t>
      </w:r>
    </w:p>
    <w:p w14:paraId="6FE5E1F2" w14:textId="77777777" w:rsidR="006E40C9" w:rsidRDefault="006E40C9" w:rsidP="006E40C9">
      <w:r>
        <w:t xml:space="preserve">For instance, the supply of a service for which a Medicare benefit is payable under the </w:t>
      </w:r>
      <w:r>
        <w:rPr>
          <w:i/>
        </w:rPr>
        <w:t>Health Insurance Act 1973</w:t>
      </w:r>
      <w:r>
        <w:t>, or any other service supplied by or on behalf of a medical practitioner or approved pathology practitioner that is generally accepted in the medical profession as being necessary for the appropriate treatment of the recipient of the supply, will be GST</w:t>
      </w:r>
      <w:r>
        <w:noBreakHyphen/>
        <w:t>free.</w:t>
      </w:r>
    </w:p>
    <w:p w14:paraId="6119FC9E" w14:textId="77777777" w:rsidR="006E40C9" w:rsidRDefault="006E40C9" w:rsidP="006E40C9">
      <w:r>
        <w:t>Further, the supply of a prescribed ‘other health service’ will be GST</w:t>
      </w:r>
      <w:r>
        <w:noBreakHyphen/>
        <w:t>free if it is supplied by a recognised professional, and the supply is generally accepted in the relevant profession as being necessary for the appropriate treatment of the recipient of the supply. The supply of hospital treatments and certain other government funded health services are also GST</w:t>
      </w:r>
      <w:r>
        <w:noBreakHyphen/>
        <w:t>free.</w:t>
      </w:r>
    </w:p>
    <w:p w14:paraId="3CFD3568" w14:textId="77777777" w:rsidR="006E40C9" w:rsidRDefault="006E40C9" w:rsidP="00130689">
      <w:pPr>
        <w:pStyle w:val="Heading4"/>
      </w:pPr>
      <w:r>
        <w:t>H18</w:t>
      </w:r>
      <w:r>
        <w:tab/>
        <w:t>Health – residential care, community care and other care services</w:t>
      </w:r>
    </w:p>
    <w:p w14:paraId="58F6A1DC"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461A0A7" w14:textId="77777777">
        <w:trPr>
          <w:cantSplit/>
          <w:jc w:val="center"/>
        </w:trPr>
        <w:tc>
          <w:tcPr>
            <w:tcW w:w="967" w:type="dxa"/>
            <w:tcBorders>
              <w:top w:val="single" w:sz="2" w:space="0" w:color="auto"/>
              <w:bottom w:val="single" w:sz="2" w:space="0" w:color="auto"/>
            </w:tcBorders>
          </w:tcPr>
          <w:p w14:paraId="08AC4EE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55C2041"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A4E2EC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464BDD1"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7D2BFA3"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0B0E9959"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4A1DA99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6F002A3F" w14:textId="77777777" w:rsidR="006E40C9" w:rsidRDefault="006E40C9">
            <w:pPr>
              <w:pStyle w:val="MeasureTableTextRightAligned"/>
            </w:pPr>
            <w:r>
              <w:t>2027-28</w:t>
            </w:r>
          </w:p>
        </w:tc>
      </w:tr>
      <w:tr w:rsidR="006E40C9" w14:paraId="149B84AE" w14:textId="77777777">
        <w:trPr>
          <w:cantSplit/>
          <w:jc w:val="center"/>
        </w:trPr>
        <w:tc>
          <w:tcPr>
            <w:tcW w:w="967" w:type="dxa"/>
            <w:tcBorders>
              <w:top w:val="single" w:sz="2" w:space="0" w:color="auto"/>
              <w:bottom w:val="single" w:sz="2" w:space="0" w:color="auto"/>
            </w:tcBorders>
          </w:tcPr>
          <w:p w14:paraId="605D2AEA" w14:textId="77777777" w:rsidR="006E40C9" w:rsidRDefault="006E40C9">
            <w:pPr>
              <w:pStyle w:val="MeasureTableTextRightAligned"/>
            </w:pPr>
            <w:r>
              <w:t>1,330</w:t>
            </w:r>
          </w:p>
        </w:tc>
        <w:tc>
          <w:tcPr>
            <w:tcW w:w="967" w:type="dxa"/>
            <w:tcBorders>
              <w:top w:val="single" w:sz="2" w:space="0" w:color="auto"/>
              <w:bottom w:val="single" w:sz="2" w:space="0" w:color="auto"/>
            </w:tcBorders>
          </w:tcPr>
          <w:p w14:paraId="714443C6" w14:textId="77777777" w:rsidR="006E40C9" w:rsidRDefault="006E40C9">
            <w:pPr>
              <w:pStyle w:val="MeasureTableTextRightAligned"/>
            </w:pPr>
            <w:r>
              <w:t>1,370</w:t>
            </w:r>
          </w:p>
        </w:tc>
        <w:tc>
          <w:tcPr>
            <w:tcW w:w="967" w:type="dxa"/>
            <w:tcBorders>
              <w:top w:val="single" w:sz="2" w:space="0" w:color="auto"/>
              <w:bottom w:val="single" w:sz="2" w:space="0" w:color="auto"/>
            </w:tcBorders>
            <w:vAlign w:val="bottom"/>
          </w:tcPr>
          <w:p w14:paraId="62E8EAEE" w14:textId="77777777" w:rsidR="006E40C9" w:rsidRDefault="006E40C9">
            <w:pPr>
              <w:pStyle w:val="MeasureTableTextRightAligned"/>
            </w:pPr>
            <w:r>
              <w:t>1,380</w:t>
            </w:r>
          </w:p>
        </w:tc>
        <w:tc>
          <w:tcPr>
            <w:tcW w:w="967" w:type="dxa"/>
            <w:tcBorders>
              <w:top w:val="single" w:sz="2" w:space="0" w:color="auto"/>
              <w:bottom w:val="single" w:sz="2" w:space="0" w:color="auto"/>
            </w:tcBorders>
            <w:vAlign w:val="bottom"/>
          </w:tcPr>
          <w:p w14:paraId="1C898ACC" w14:textId="77777777" w:rsidR="006E40C9" w:rsidRDefault="006E40C9">
            <w:pPr>
              <w:pStyle w:val="MeasureTableTextRightAligned"/>
            </w:pPr>
            <w:r>
              <w:t>1,500</w:t>
            </w:r>
          </w:p>
        </w:tc>
        <w:tc>
          <w:tcPr>
            <w:tcW w:w="967" w:type="dxa"/>
            <w:tcBorders>
              <w:top w:val="single" w:sz="2" w:space="0" w:color="auto"/>
              <w:bottom w:val="single" w:sz="2" w:space="0" w:color="auto"/>
            </w:tcBorders>
            <w:vAlign w:val="bottom"/>
          </w:tcPr>
          <w:p w14:paraId="639E81E2" w14:textId="77777777" w:rsidR="006E40C9" w:rsidRDefault="006E40C9">
            <w:pPr>
              <w:pStyle w:val="MeasureTableTextRightAligned"/>
            </w:pPr>
            <w:r>
              <w:t>1,600</w:t>
            </w:r>
          </w:p>
        </w:tc>
        <w:tc>
          <w:tcPr>
            <w:tcW w:w="967" w:type="dxa"/>
            <w:gridSpan w:val="2"/>
            <w:tcBorders>
              <w:top w:val="single" w:sz="2" w:space="0" w:color="auto"/>
              <w:bottom w:val="single" w:sz="2" w:space="0" w:color="auto"/>
            </w:tcBorders>
            <w:vAlign w:val="bottom"/>
          </w:tcPr>
          <w:p w14:paraId="52E9A9C5" w14:textId="77777777" w:rsidR="006E40C9" w:rsidRDefault="006E40C9">
            <w:pPr>
              <w:pStyle w:val="MeasureTableTextRightAligned"/>
            </w:pPr>
            <w:r>
              <w:t>1,700</w:t>
            </w:r>
          </w:p>
        </w:tc>
        <w:tc>
          <w:tcPr>
            <w:tcW w:w="967" w:type="dxa"/>
            <w:gridSpan w:val="2"/>
            <w:tcBorders>
              <w:top w:val="single" w:sz="2" w:space="0" w:color="auto"/>
              <w:bottom w:val="single" w:sz="2" w:space="0" w:color="auto"/>
            </w:tcBorders>
            <w:vAlign w:val="bottom"/>
          </w:tcPr>
          <w:p w14:paraId="6922CF45" w14:textId="77777777" w:rsidR="006E40C9" w:rsidRDefault="006E40C9">
            <w:pPr>
              <w:pStyle w:val="MeasureTableTextRightAligned"/>
            </w:pPr>
            <w:r>
              <w:t>1,810</w:t>
            </w:r>
          </w:p>
        </w:tc>
        <w:tc>
          <w:tcPr>
            <w:tcW w:w="968" w:type="dxa"/>
            <w:tcBorders>
              <w:top w:val="single" w:sz="2" w:space="0" w:color="auto"/>
              <w:bottom w:val="single" w:sz="2" w:space="0" w:color="auto"/>
            </w:tcBorders>
            <w:vAlign w:val="bottom"/>
          </w:tcPr>
          <w:p w14:paraId="777668B3" w14:textId="77777777" w:rsidR="006E40C9" w:rsidRDefault="006E40C9">
            <w:pPr>
              <w:pStyle w:val="MeasureTableTextRightAligned"/>
            </w:pPr>
            <w:r>
              <w:t>1,940</w:t>
            </w:r>
          </w:p>
        </w:tc>
      </w:tr>
      <w:tr w:rsidR="006E40C9" w14:paraId="21890287" w14:textId="77777777">
        <w:trPr>
          <w:cantSplit/>
          <w:jc w:val="center"/>
        </w:trPr>
        <w:tc>
          <w:tcPr>
            <w:tcW w:w="1934" w:type="dxa"/>
            <w:gridSpan w:val="2"/>
            <w:tcBorders>
              <w:top w:val="single" w:sz="2" w:space="0" w:color="auto"/>
              <w:bottom w:val="nil"/>
            </w:tcBorders>
          </w:tcPr>
          <w:p w14:paraId="2D3DBF2F"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4DC3BDA" w14:textId="77777777" w:rsidR="006E40C9" w:rsidRDefault="006E40C9">
            <w:pPr>
              <w:pStyle w:val="MeasureTableTextLeftAligned"/>
            </w:pPr>
            <w:r>
              <w:t>Exemption</w:t>
            </w:r>
          </w:p>
        </w:tc>
        <w:tc>
          <w:tcPr>
            <w:tcW w:w="1500" w:type="dxa"/>
            <w:gridSpan w:val="2"/>
            <w:tcBorders>
              <w:top w:val="single" w:sz="2" w:space="0" w:color="auto"/>
              <w:bottom w:val="nil"/>
            </w:tcBorders>
          </w:tcPr>
          <w:p w14:paraId="7FF0E27F" w14:textId="26884E2E"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72E2D34" w14:textId="77777777" w:rsidR="006E40C9" w:rsidRDefault="006E40C9">
            <w:pPr>
              <w:pStyle w:val="MeasureTableTextLeftAligned"/>
            </w:pPr>
            <w:r>
              <w:t>H18</w:t>
            </w:r>
          </w:p>
        </w:tc>
      </w:tr>
      <w:tr w:rsidR="006E40C9" w14:paraId="0D2EE924" w14:textId="77777777">
        <w:trPr>
          <w:cantSplit/>
          <w:jc w:val="center"/>
        </w:trPr>
        <w:tc>
          <w:tcPr>
            <w:tcW w:w="1934" w:type="dxa"/>
            <w:gridSpan w:val="2"/>
            <w:tcBorders>
              <w:top w:val="nil"/>
              <w:bottom w:val="nil"/>
            </w:tcBorders>
          </w:tcPr>
          <w:p w14:paraId="2032B85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54D64CB3" w14:textId="77777777" w:rsidR="006E40C9" w:rsidRPr="00584CA7" w:rsidRDefault="006E40C9">
            <w:pPr>
              <w:pStyle w:val="MeasureTableTextLeftAligned"/>
            </w:pPr>
            <w:r>
              <w:t>Medium</w:t>
            </w:r>
          </w:p>
        </w:tc>
        <w:tc>
          <w:tcPr>
            <w:tcW w:w="1500" w:type="dxa"/>
            <w:gridSpan w:val="2"/>
            <w:tcBorders>
              <w:top w:val="nil"/>
              <w:bottom w:val="nil"/>
            </w:tcBorders>
          </w:tcPr>
          <w:p w14:paraId="3C49553B" w14:textId="77777777" w:rsidR="006E40C9" w:rsidRDefault="006E40C9">
            <w:pPr>
              <w:pStyle w:val="MeasureTableTextItalic"/>
            </w:pPr>
          </w:p>
        </w:tc>
        <w:tc>
          <w:tcPr>
            <w:tcW w:w="1124" w:type="dxa"/>
            <w:gridSpan w:val="2"/>
            <w:tcBorders>
              <w:top w:val="nil"/>
              <w:bottom w:val="nil"/>
            </w:tcBorders>
          </w:tcPr>
          <w:p w14:paraId="645788FB" w14:textId="77777777" w:rsidR="006E40C9" w:rsidRDefault="006E40C9">
            <w:pPr>
              <w:pStyle w:val="MeasureTableTextLeftAligned"/>
            </w:pPr>
          </w:p>
        </w:tc>
      </w:tr>
      <w:tr w:rsidR="006E40C9" w14:paraId="478CFDCD" w14:textId="77777777">
        <w:trPr>
          <w:cantSplit/>
          <w:jc w:val="center"/>
        </w:trPr>
        <w:tc>
          <w:tcPr>
            <w:tcW w:w="1934" w:type="dxa"/>
            <w:gridSpan w:val="2"/>
            <w:tcBorders>
              <w:top w:val="nil"/>
              <w:bottom w:val="nil"/>
            </w:tcBorders>
          </w:tcPr>
          <w:p w14:paraId="5BB2C964" w14:textId="77777777" w:rsidR="006E40C9" w:rsidRDefault="006E40C9">
            <w:pPr>
              <w:pStyle w:val="MeasureTableTextItalic"/>
            </w:pPr>
            <w:r>
              <w:t>Commencement date:</w:t>
            </w:r>
          </w:p>
        </w:tc>
        <w:tc>
          <w:tcPr>
            <w:tcW w:w="3179" w:type="dxa"/>
            <w:gridSpan w:val="4"/>
            <w:tcBorders>
              <w:top w:val="nil"/>
              <w:bottom w:val="nil"/>
            </w:tcBorders>
          </w:tcPr>
          <w:p w14:paraId="74E4EDD2" w14:textId="77777777" w:rsidR="006E40C9" w:rsidRDefault="006E40C9">
            <w:pPr>
              <w:pStyle w:val="MeasureTableTextLeftAligned"/>
            </w:pPr>
            <w:r>
              <w:t>1 July 2000</w:t>
            </w:r>
          </w:p>
        </w:tc>
        <w:tc>
          <w:tcPr>
            <w:tcW w:w="1500" w:type="dxa"/>
            <w:gridSpan w:val="2"/>
            <w:tcBorders>
              <w:top w:val="nil"/>
              <w:bottom w:val="nil"/>
            </w:tcBorders>
          </w:tcPr>
          <w:p w14:paraId="0D849218" w14:textId="77777777" w:rsidR="006E40C9" w:rsidRPr="00F32057" w:rsidRDefault="006E40C9">
            <w:pPr>
              <w:pStyle w:val="MeasureTableTextItalic"/>
            </w:pPr>
            <w:r>
              <w:t>Expiry date:</w:t>
            </w:r>
          </w:p>
        </w:tc>
        <w:tc>
          <w:tcPr>
            <w:tcW w:w="1124" w:type="dxa"/>
            <w:gridSpan w:val="2"/>
            <w:tcBorders>
              <w:top w:val="nil"/>
              <w:bottom w:val="nil"/>
            </w:tcBorders>
          </w:tcPr>
          <w:p w14:paraId="31E55F7D" w14:textId="77777777" w:rsidR="006E40C9" w:rsidRPr="00F32057" w:rsidRDefault="006E40C9">
            <w:pPr>
              <w:pStyle w:val="MeasureTableTextLeftAligned"/>
            </w:pPr>
          </w:p>
        </w:tc>
      </w:tr>
      <w:tr w:rsidR="006E40C9" w14:paraId="67661D46" w14:textId="77777777">
        <w:trPr>
          <w:cantSplit/>
          <w:jc w:val="center"/>
        </w:trPr>
        <w:tc>
          <w:tcPr>
            <w:tcW w:w="1934" w:type="dxa"/>
            <w:gridSpan w:val="2"/>
            <w:tcBorders>
              <w:top w:val="nil"/>
            </w:tcBorders>
          </w:tcPr>
          <w:p w14:paraId="06F16E94" w14:textId="77777777" w:rsidR="006E40C9" w:rsidRDefault="006E40C9">
            <w:pPr>
              <w:pStyle w:val="MeasureTableTextItalic"/>
            </w:pPr>
            <w:r>
              <w:t>Legislative reference:</w:t>
            </w:r>
          </w:p>
        </w:tc>
        <w:tc>
          <w:tcPr>
            <w:tcW w:w="5803" w:type="dxa"/>
            <w:gridSpan w:val="8"/>
            <w:tcBorders>
              <w:top w:val="nil"/>
            </w:tcBorders>
          </w:tcPr>
          <w:p w14:paraId="772BD3B7"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Sections 38-25, 38-30, 38-35, 38-38 of the </w:t>
            </w:r>
            <w:r>
              <w:rPr>
                <w:rFonts w:ascii="Arial" w:hAnsi="Arial" w:cs="Arial"/>
                <w:i/>
                <w:iCs/>
                <w:color w:val="000000"/>
                <w:sz w:val="16"/>
                <w:szCs w:val="16"/>
              </w:rPr>
              <w:t>A New Tax System (Goods and Services Tax) Act 1999</w:t>
            </w:r>
          </w:p>
        </w:tc>
      </w:tr>
    </w:tbl>
    <w:p w14:paraId="537DE1C4" w14:textId="77777777" w:rsidR="006E40C9" w:rsidRPr="00540040" w:rsidRDefault="006E40C9" w:rsidP="006E40C9">
      <w:pPr>
        <w:pStyle w:val="MeasureTableHeading"/>
      </w:pPr>
    </w:p>
    <w:p w14:paraId="1F4B0627" w14:textId="77777777" w:rsidR="006E40C9" w:rsidRDefault="006E40C9" w:rsidP="006E40C9">
      <w:r>
        <w:t>The benchmark tax treatment is that GST applies at the rate of 10 per cent to most supplies of goods and services. However, some services provided by care and specialist disability providers</w:t>
      </w:r>
      <w:r>
        <w:fldChar w:fldCharType="begin"/>
      </w:r>
      <w:r>
        <w:instrText xml:space="preserve"> XE "Care and specialist disability providers" </w:instrText>
      </w:r>
      <w:r>
        <w:fldChar w:fldCharType="end"/>
      </w:r>
      <w:r>
        <w:t xml:space="preserve"> are GST</w:t>
      </w:r>
      <w:r>
        <w:noBreakHyphen/>
        <w:t xml:space="preserve">free. The quality of care principles set out in the </w:t>
      </w:r>
      <w:r>
        <w:rPr>
          <w:i/>
        </w:rPr>
        <w:t>Aged Care Act 1997</w:t>
      </w:r>
      <w:r>
        <w:t xml:space="preserve"> apply in determining the tax status of specific care services. In general, publicly funded aged or disability care services are GST</w:t>
      </w:r>
      <w:r>
        <w:noBreakHyphen/>
        <w:t xml:space="preserve">free, as are privately funded aged care services which meet the quality of care principles set out in the </w:t>
      </w:r>
      <w:r>
        <w:rPr>
          <w:i/>
        </w:rPr>
        <w:t>Aged Care Act 1997</w:t>
      </w:r>
      <w:r>
        <w:t xml:space="preserve"> and are provided to those needing daily living activities assistance or nursing services. Certain disability supports delivered under the </w:t>
      </w:r>
      <w:r>
        <w:rPr>
          <w:i/>
        </w:rPr>
        <w:t>National Disability Insurance Scheme Act 2013</w:t>
      </w:r>
      <w:r>
        <w:t xml:space="preserve"> are also GST</w:t>
      </w:r>
      <w:r>
        <w:noBreakHyphen/>
        <w:t xml:space="preserve">free. </w:t>
      </w:r>
      <w:r>
        <w:fldChar w:fldCharType="begin"/>
      </w:r>
      <w:r>
        <w:instrText xml:space="preserve"> XE "Goods and Services Tax:Health" </w:instrText>
      </w:r>
      <w:r>
        <w:fldChar w:fldCharType="end"/>
      </w:r>
      <w:r>
        <w:fldChar w:fldCharType="begin"/>
      </w:r>
      <w:r>
        <w:instrText xml:space="preserve"> XE "National Disability Insurance Scheme" </w:instrText>
      </w:r>
      <w:r>
        <w:fldChar w:fldCharType="end"/>
      </w:r>
      <w:r>
        <w:fldChar w:fldCharType="begin"/>
      </w:r>
      <w:r>
        <w:instrText xml:space="preserve"> XE "Aged Care services" </w:instrText>
      </w:r>
      <w:r>
        <w:fldChar w:fldCharType="end"/>
      </w:r>
    </w:p>
    <w:p w14:paraId="1C37D9DE" w14:textId="77777777" w:rsidR="006E40C9" w:rsidRDefault="006E40C9" w:rsidP="00130689">
      <w:pPr>
        <w:pStyle w:val="Heading4"/>
      </w:pPr>
      <w:r>
        <w:t>H19</w:t>
      </w:r>
      <w:r>
        <w:tab/>
        <w:t>Private health insurance</w:t>
      </w:r>
    </w:p>
    <w:p w14:paraId="25ADC901" w14:textId="77777777" w:rsidR="006E40C9" w:rsidRDefault="006E40C9" w:rsidP="006E40C9">
      <w:pPr>
        <w:pStyle w:val="MeasureTableHeading"/>
      </w:pPr>
      <w:r>
        <w:t>Health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9ED8F27" w14:textId="77777777">
        <w:trPr>
          <w:cantSplit/>
          <w:jc w:val="center"/>
        </w:trPr>
        <w:tc>
          <w:tcPr>
            <w:tcW w:w="967" w:type="dxa"/>
            <w:tcBorders>
              <w:top w:val="single" w:sz="2" w:space="0" w:color="auto"/>
              <w:bottom w:val="single" w:sz="2" w:space="0" w:color="auto"/>
            </w:tcBorders>
          </w:tcPr>
          <w:p w14:paraId="1704FD6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57A7B0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6CE0213"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8326088"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5FADFBC6"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0A0C7E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320BA43"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99666AB" w14:textId="77777777" w:rsidR="006E40C9" w:rsidRDefault="006E40C9">
            <w:pPr>
              <w:pStyle w:val="MeasureTableTextRightAligned"/>
            </w:pPr>
            <w:r>
              <w:t>2027-28</w:t>
            </w:r>
          </w:p>
        </w:tc>
      </w:tr>
      <w:tr w:rsidR="006E40C9" w14:paraId="2EF34CCE" w14:textId="77777777">
        <w:trPr>
          <w:cantSplit/>
          <w:jc w:val="center"/>
        </w:trPr>
        <w:tc>
          <w:tcPr>
            <w:tcW w:w="967" w:type="dxa"/>
            <w:tcBorders>
              <w:top w:val="single" w:sz="2" w:space="0" w:color="auto"/>
              <w:bottom w:val="single" w:sz="2" w:space="0" w:color="auto"/>
            </w:tcBorders>
          </w:tcPr>
          <w:p w14:paraId="0999ADA1" w14:textId="77777777" w:rsidR="006E40C9" w:rsidRDefault="006E40C9">
            <w:pPr>
              <w:pStyle w:val="MeasureTableTextRightAligned"/>
            </w:pPr>
            <w:r>
              <w:t>400</w:t>
            </w:r>
          </w:p>
        </w:tc>
        <w:tc>
          <w:tcPr>
            <w:tcW w:w="967" w:type="dxa"/>
            <w:tcBorders>
              <w:top w:val="single" w:sz="2" w:space="0" w:color="auto"/>
              <w:bottom w:val="single" w:sz="2" w:space="0" w:color="auto"/>
            </w:tcBorders>
          </w:tcPr>
          <w:p w14:paraId="67A6A086" w14:textId="77777777" w:rsidR="006E40C9" w:rsidRDefault="006E40C9">
            <w:pPr>
              <w:pStyle w:val="MeasureTableTextRightAligned"/>
            </w:pPr>
            <w:r>
              <w:t>470</w:t>
            </w:r>
          </w:p>
        </w:tc>
        <w:tc>
          <w:tcPr>
            <w:tcW w:w="967" w:type="dxa"/>
            <w:tcBorders>
              <w:top w:val="single" w:sz="2" w:space="0" w:color="auto"/>
              <w:bottom w:val="single" w:sz="2" w:space="0" w:color="auto"/>
            </w:tcBorders>
            <w:vAlign w:val="bottom"/>
          </w:tcPr>
          <w:p w14:paraId="7E6926DE" w14:textId="77777777" w:rsidR="006E40C9" w:rsidRDefault="006E40C9">
            <w:pPr>
              <w:pStyle w:val="MeasureTableTextRightAligned"/>
            </w:pPr>
            <w:r>
              <w:t>510</w:t>
            </w:r>
          </w:p>
        </w:tc>
        <w:tc>
          <w:tcPr>
            <w:tcW w:w="967" w:type="dxa"/>
            <w:tcBorders>
              <w:top w:val="single" w:sz="2" w:space="0" w:color="auto"/>
              <w:bottom w:val="single" w:sz="2" w:space="0" w:color="auto"/>
            </w:tcBorders>
            <w:vAlign w:val="bottom"/>
          </w:tcPr>
          <w:p w14:paraId="23050BF6" w14:textId="77777777" w:rsidR="006E40C9" w:rsidRDefault="006E40C9">
            <w:pPr>
              <w:pStyle w:val="MeasureTableTextRightAligned"/>
            </w:pPr>
            <w:r>
              <w:t>490</w:t>
            </w:r>
          </w:p>
        </w:tc>
        <w:tc>
          <w:tcPr>
            <w:tcW w:w="967" w:type="dxa"/>
            <w:tcBorders>
              <w:top w:val="single" w:sz="2" w:space="0" w:color="auto"/>
              <w:bottom w:val="single" w:sz="2" w:space="0" w:color="auto"/>
            </w:tcBorders>
            <w:vAlign w:val="bottom"/>
          </w:tcPr>
          <w:p w14:paraId="13A892D8" w14:textId="77777777" w:rsidR="006E40C9" w:rsidRDefault="006E40C9">
            <w:pPr>
              <w:pStyle w:val="MeasureTableTextRightAligned"/>
            </w:pPr>
            <w:r>
              <w:t>500</w:t>
            </w:r>
          </w:p>
        </w:tc>
        <w:tc>
          <w:tcPr>
            <w:tcW w:w="967" w:type="dxa"/>
            <w:gridSpan w:val="2"/>
            <w:tcBorders>
              <w:top w:val="single" w:sz="2" w:space="0" w:color="auto"/>
              <w:bottom w:val="single" w:sz="2" w:space="0" w:color="auto"/>
            </w:tcBorders>
            <w:vAlign w:val="bottom"/>
          </w:tcPr>
          <w:p w14:paraId="45161DF8" w14:textId="77777777" w:rsidR="006E40C9" w:rsidRDefault="006E40C9">
            <w:pPr>
              <w:pStyle w:val="MeasureTableTextRightAligned"/>
            </w:pPr>
            <w:r>
              <w:t>510</w:t>
            </w:r>
          </w:p>
        </w:tc>
        <w:tc>
          <w:tcPr>
            <w:tcW w:w="967" w:type="dxa"/>
            <w:gridSpan w:val="2"/>
            <w:tcBorders>
              <w:top w:val="single" w:sz="2" w:space="0" w:color="auto"/>
              <w:bottom w:val="single" w:sz="2" w:space="0" w:color="auto"/>
            </w:tcBorders>
            <w:vAlign w:val="bottom"/>
          </w:tcPr>
          <w:p w14:paraId="7C888117" w14:textId="77777777" w:rsidR="006E40C9" w:rsidRDefault="006E40C9">
            <w:pPr>
              <w:pStyle w:val="MeasureTableTextRightAligned"/>
            </w:pPr>
            <w:r>
              <w:t>520</w:t>
            </w:r>
          </w:p>
        </w:tc>
        <w:tc>
          <w:tcPr>
            <w:tcW w:w="968" w:type="dxa"/>
            <w:tcBorders>
              <w:top w:val="single" w:sz="2" w:space="0" w:color="auto"/>
              <w:bottom w:val="single" w:sz="2" w:space="0" w:color="auto"/>
            </w:tcBorders>
            <w:vAlign w:val="bottom"/>
          </w:tcPr>
          <w:p w14:paraId="1BCD52EF" w14:textId="77777777" w:rsidR="006E40C9" w:rsidRDefault="006E40C9">
            <w:pPr>
              <w:pStyle w:val="MeasureTableTextRightAligned"/>
            </w:pPr>
            <w:r>
              <w:t>530</w:t>
            </w:r>
          </w:p>
        </w:tc>
      </w:tr>
      <w:tr w:rsidR="006E40C9" w14:paraId="1F74C42A" w14:textId="77777777">
        <w:trPr>
          <w:cantSplit/>
          <w:jc w:val="center"/>
        </w:trPr>
        <w:tc>
          <w:tcPr>
            <w:tcW w:w="1934" w:type="dxa"/>
            <w:gridSpan w:val="2"/>
            <w:tcBorders>
              <w:top w:val="single" w:sz="2" w:space="0" w:color="auto"/>
              <w:bottom w:val="nil"/>
            </w:tcBorders>
          </w:tcPr>
          <w:p w14:paraId="46D6343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29E9A85" w14:textId="77777777" w:rsidR="006E40C9" w:rsidRDefault="006E40C9">
            <w:pPr>
              <w:pStyle w:val="MeasureTableTextLeftAligned"/>
            </w:pPr>
            <w:r>
              <w:t>Exemption</w:t>
            </w:r>
          </w:p>
        </w:tc>
        <w:tc>
          <w:tcPr>
            <w:tcW w:w="1500" w:type="dxa"/>
            <w:gridSpan w:val="2"/>
            <w:tcBorders>
              <w:top w:val="single" w:sz="2" w:space="0" w:color="auto"/>
              <w:bottom w:val="nil"/>
            </w:tcBorders>
          </w:tcPr>
          <w:p w14:paraId="399AA70D" w14:textId="6F886BA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D07632E" w14:textId="77777777" w:rsidR="006E40C9" w:rsidRDefault="006E40C9">
            <w:pPr>
              <w:pStyle w:val="MeasureTableTextLeftAligned"/>
            </w:pPr>
            <w:r>
              <w:t>H19</w:t>
            </w:r>
          </w:p>
        </w:tc>
      </w:tr>
      <w:tr w:rsidR="006E40C9" w14:paraId="17B83A09" w14:textId="77777777">
        <w:trPr>
          <w:cantSplit/>
          <w:jc w:val="center"/>
        </w:trPr>
        <w:tc>
          <w:tcPr>
            <w:tcW w:w="1934" w:type="dxa"/>
            <w:gridSpan w:val="2"/>
            <w:tcBorders>
              <w:top w:val="nil"/>
              <w:bottom w:val="nil"/>
            </w:tcBorders>
          </w:tcPr>
          <w:p w14:paraId="5D963AD3"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675B9A00" w14:textId="77777777" w:rsidR="006E40C9" w:rsidRPr="00584CA7" w:rsidRDefault="006E40C9">
            <w:pPr>
              <w:pStyle w:val="MeasureTableTextLeftAligned"/>
            </w:pPr>
            <w:r>
              <w:t>Medium</w:t>
            </w:r>
          </w:p>
        </w:tc>
        <w:tc>
          <w:tcPr>
            <w:tcW w:w="1500" w:type="dxa"/>
            <w:gridSpan w:val="2"/>
            <w:tcBorders>
              <w:top w:val="nil"/>
              <w:bottom w:val="nil"/>
            </w:tcBorders>
          </w:tcPr>
          <w:p w14:paraId="402FDAAD" w14:textId="77777777" w:rsidR="006E40C9" w:rsidRDefault="006E40C9">
            <w:pPr>
              <w:pStyle w:val="MeasureTableTextItalic"/>
            </w:pPr>
          </w:p>
        </w:tc>
        <w:tc>
          <w:tcPr>
            <w:tcW w:w="1124" w:type="dxa"/>
            <w:gridSpan w:val="2"/>
            <w:tcBorders>
              <w:top w:val="nil"/>
              <w:bottom w:val="nil"/>
            </w:tcBorders>
          </w:tcPr>
          <w:p w14:paraId="06E4EF2D" w14:textId="77777777" w:rsidR="006E40C9" w:rsidRDefault="006E40C9">
            <w:pPr>
              <w:pStyle w:val="MeasureTableTextLeftAligned"/>
            </w:pPr>
          </w:p>
        </w:tc>
      </w:tr>
      <w:tr w:rsidR="006E40C9" w14:paraId="4662FDD1" w14:textId="77777777">
        <w:trPr>
          <w:cantSplit/>
          <w:jc w:val="center"/>
        </w:trPr>
        <w:tc>
          <w:tcPr>
            <w:tcW w:w="1934" w:type="dxa"/>
            <w:gridSpan w:val="2"/>
            <w:tcBorders>
              <w:top w:val="nil"/>
              <w:bottom w:val="nil"/>
            </w:tcBorders>
          </w:tcPr>
          <w:p w14:paraId="119736F3" w14:textId="77777777" w:rsidR="006E40C9" w:rsidRDefault="006E40C9">
            <w:pPr>
              <w:pStyle w:val="MeasureTableTextItalic"/>
            </w:pPr>
            <w:r>
              <w:t>Commencement date:</w:t>
            </w:r>
          </w:p>
        </w:tc>
        <w:tc>
          <w:tcPr>
            <w:tcW w:w="3179" w:type="dxa"/>
            <w:gridSpan w:val="4"/>
            <w:tcBorders>
              <w:top w:val="nil"/>
              <w:bottom w:val="nil"/>
            </w:tcBorders>
          </w:tcPr>
          <w:p w14:paraId="7123CD49" w14:textId="77777777" w:rsidR="006E40C9" w:rsidRDefault="006E40C9">
            <w:pPr>
              <w:pStyle w:val="MeasureTableTextLeftAligned"/>
            </w:pPr>
            <w:r>
              <w:t>1 July 2000</w:t>
            </w:r>
          </w:p>
        </w:tc>
        <w:tc>
          <w:tcPr>
            <w:tcW w:w="1500" w:type="dxa"/>
            <w:gridSpan w:val="2"/>
            <w:tcBorders>
              <w:top w:val="nil"/>
              <w:bottom w:val="nil"/>
            </w:tcBorders>
          </w:tcPr>
          <w:p w14:paraId="05874E87" w14:textId="77777777" w:rsidR="006E40C9" w:rsidRPr="00F32057" w:rsidRDefault="006E40C9">
            <w:pPr>
              <w:pStyle w:val="MeasureTableTextItalic"/>
            </w:pPr>
            <w:r>
              <w:t>Expiry date:</w:t>
            </w:r>
          </w:p>
        </w:tc>
        <w:tc>
          <w:tcPr>
            <w:tcW w:w="1124" w:type="dxa"/>
            <w:gridSpan w:val="2"/>
            <w:tcBorders>
              <w:top w:val="nil"/>
              <w:bottom w:val="nil"/>
            </w:tcBorders>
          </w:tcPr>
          <w:p w14:paraId="32DC3ED3" w14:textId="77777777" w:rsidR="006E40C9" w:rsidRPr="00F32057" w:rsidRDefault="006E40C9">
            <w:pPr>
              <w:pStyle w:val="MeasureTableTextLeftAligned"/>
            </w:pPr>
          </w:p>
        </w:tc>
      </w:tr>
      <w:tr w:rsidR="006E40C9" w14:paraId="1919D23D" w14:textId="77777777">
        <w:trPr>
          <w:cantSplit/>
          <w:jc w:val="center"/>
        </w:trPr>
        <w:tc>
          <w:tcPr>
            <w:tcW w:w="1934" w:type="dxa"/>
            <w:gridSpan w:val="2"/>
            <w:tcBorders>
              <w:top w:val="nil"/>
            </w:tcBorders>
          </w:tcPr>
          <w:p w14:paraId="5EB01A9C" w14:textId="77777777" w:rsidR="006E40C9" w:rsidRDefault="006E40C9">
            <w:pPr>
              <w:pStyle w:val="MeasureTableTextItalic"/>
            </w:pPr>
            <w:r>
              <w:t>Legislative reference:</w:t>
            </w:r>
          </w:p>
        </w:tc>
        <w:tc>
          <w:tcPr>
            <w:tcW w:w="5803" w:type="dxa"/>
            <w:gridSpan w:val="8"/>
            <w:tcBorders>
              <w:top w:val="nil"/>
            </w:tcBorders>
          </w:tcPr>
          <w:p w14:paraId="24F9AACA"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38-55 of the </w:t>
            </w:r>
            <w:r>
              <w:rPr>
                <w:rFonts w:ascii="Arial" w:hAnsi="Arial" w:cs="Arial"/>
                <w:i/>
                <w:iCs/>
                <w:color w:val="000000"/>
                <w:sz w:val="16"/>
                <w:szCs w:val="16"/>
              </w:rPr>
              <w:t>A New Tax System (Goods and Services Tax) Act 1999</w:t>
            </w:r>
          </w:p>
        </w:tc>
      </w:tr>
    </w:tbl>
    <w:p w14:paraId="0EA3333F" w14:textId="77777777" w:rsidR="006E40C9" w:rsidRPr="00540040" w:rsidRDefault="006E40C9" w:rsidP="006E40C9">
      <w:pPr>
        <w:pStyle w:val="MeasureTableHeading"/>
      </w:pPr>
    </w:p>
    <w:p w14:paraId="25F1BD7F" w14:textId="77777777" w:rsidR="006E40C9" w:rsidRDefault="006E40C9" w:rsidP="006E40C9">
      <w:r>
        <w:t>The benchmark tax treatment is that GST applies at the rate of 10 per cent to most supplies of goods and services. However, a supply of private health insurance</w:t>
      </w:r>
      <w:r>
        <w:fldChar w:fldCharType="begin"/>
      </w:r>
      <w:r>
        <w:instrText xml:space="preserve"> XE "Private health insurance" </w:instrText>
      </w:r>
      <w:r>
        <w:fldChar w:fldCharType="end"/>
      </w:r>
      <w:r>
        <w:t xml:space="preserve"> by a private health insurer (within the meaning of the </w:t>
      </w:r>
      <w:r>
        <w:rPr>
          <w:i/>
        </w:rPr>
        <w:t>Private Health Insurance Act 2007</w:t>
      </w:r>
      <w:r>
        <w:t>) is GST</w:t>
      </w:r>
      <w:r>
        <w:noBreakHyphen/>
        <w:t xml:space="preserve">free. </w:t>
      </w:r>
      <w:r>
        <w:fldChar w:fldCharType="begin"/>
      </w:r>
      <w:r>
        <w:instrText xml:space="preserve"> XE "Goods and Services Tax:Health" </w:instrText>
      </w:r>
      <w:r>
        <w:fldChar w:fldCharType="end"/>
      </w:r>
    </w:p>
    <w:p w14:paraId="45FF8129" w14:textId="77777777" w:rsidR="006E40C9" w:rsidRDefault="006E40C9" w:rsidP="00D9255A">
      <w:pPr>
        <w:pStyle w:val="Heading3"/>
      </w:pPr>
      <w:r>
        <w:t>Tax concessions for certain taxpayers</w:t>
      </w:r>
    </w:p>
    <w:p w14:paraId="760ADB6E" w14:textId="77777777" w:rsidR="006E40C9" w:rsidRDefault="006E40C9" w:rsidP="00130689">
      <w:pPr>
        <w:pStyle w:val="Heading4"/>
      </w:pPr>
      <w:r>
        <w:t>H20</w:t>
      </w:r>
      <w:r>
        <w:tab/>
        <w:t>Religious services</w:t>
      </w:r>
    </w:p>
    <w:p w14:paraId="19910D7D" w14:textId="77777777" w:rsidR="006E40C9" w:rsidRDefault="006E40C9" w:rsidP="006E40C9">
      <w:pPr>
        <w:pStyle w:val="MeasureTableHeading"/>
      </w:pPr>
      <w:r>
        <w:t>Recreation and culture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320D73A0" w14:textId="77777777">
        <w:trPr>
          <w:cantSplit/>
          <w:jc w:val="center"/>
        </w:trPr>
        <w:tc>
          <w:tcPr>
            <w:tcW w:w="967" w:type="dxa"/>
            <w:tcBorders>
              <w:top w:val="single" w:sz="2" w:space="0" w:color="auto"/>
              <w:bottom w:val="single" w:sz="2" w:space="0" w:color="auto"/>
            </w:tcBorders>
          </w:tcPr>
          <w:p w14:paraId="6CBF3811"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7ED6E533"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1523CDA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994C6A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7B959F6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3610143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21E57DCB"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7C17A477" w14:textId="77777777" w:rsidR="006E40C9" w:rsidRDefault="006E40C9">
            <w:pPr>
              <w:pStyle w:val="MeasureTableTextRightAligned"/>
            </w:pPr>
            <w:r>
              <w:t>2027-28</w:t>
            </w:r>
          </w:p>
        </w:tc>
      </w:tr>
      <w:tr w:rsidR="006E40C9" w14:paraId="54D1814F" w14:textId="77777777">
        <w:trPr>
          <w:cantSplit/>
          <w:jc w:val="center"/>
        </w:trPr>
        <w:tc>
          <w:tcPr>
            <w:tcW w:w="967" w:type="dxa"/>
            <w:tcBorders>
              <w:top w:val="single" w:sz="2" w:space="0" w:color="auto"/>
              <w:bottom w:val="single" w:sz="2" w:space="0" w:color="auto"/>
            </w:tcBorders>
          </w:tcPr>
          <w:p w14:paraId="4919877C" w14:textId="77777777" w:rsidR="006E40C9" w:rsidRDefault="006E40C9">
            <w:pPr>
              <w:pStyle w:val="MeasureTableTextRightAligned"/>
            </w:pPr>
            <w:r>
              <w:t>20</w:t>
            </w:r>
          </w:p>
        </w:tc>
        <w:tc>
          <w:tcPr>
            <w:tcW w:w="967" w:type="dxa"/>
            <w:tcBorders>
              <w:top w:val="single" w:sz="2" w:space="0" w:color="auto"/>
              <w:bottom w:val="single" w:sz="2" w:space="0" w:color="auto"/>
            </w:tcBorders>
          </w:tcPr>
          <w:p w14:paraId="736F6906"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141D083D"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38D1C5C8" w14:textId="77777777" w:rsidR="006E40C9" w:rsidRDefault="006E40C9">
            <w:pPr>
              <w:pStyle w:val="MeasureTableTextRightAligned"/>
            </w:pPr>
            <w:r>
              <w:t>20</w:t>
            </w:r>
          </w:p>
        </w:tc>
        <w:tc>
          <w:tcPr>
            <w:tcW w:w="967" w:type="dxa"/>
            <w:tcBorders>
              <w:top w:val="single" w:sz="2" w:space="0" w:color="auto"/>
              <w:bottom w:val="single" w:sz="2" w:space="0" w:color="auto"/>
            </w:tcBorders>
            <w:vAlign w:val="bottom"/>
          </w:tcPr>
          <w:p w14:paraId="629D5748"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492A45E3" w14:textId="77777777" w:rsidR="006E40C9" w:rsidRDefault="006E40C9">
            <w:pPr>
              <w:pStyle w:val="MeasureTableTextRightAligned"/>
            </w:pPr>
            <w:r>
              <w:t>20</w:t>
            </w:r>
          </w:p>
        </w:tc>
        <w:tc>
          <w:tcPr>
            <w:tcW w:w="967" w:type="dxa"/>
            <w:gridSpan w:val="2"/>
            <w:tcBorders>
              <w:top w:val="single" w:sz="2" w:space="0" w:color="auto"/>
              <w:bottom w:val="single" w:sz="2" w:space="0" w:color="auto"/>
            </w:tcBorders>
            <w:vAlign w:val="bottom"/>
          </w:tcPr>
          <w:p w14:paraId="75C80268" w14:textId="77777777" w:rsidR="006E40C9" w:rsidRDefault="006E40C9">
            <w:pPr>
              <w:pStyle w:val="MeasureTableTextRightAligned"/>
            </w:pPr>
            <w:r>
              <w:t>20</w:t>
            </w:r>
          </w:p>
        </w:tc>
        <w:tc>
          <w:tcPr>
            <w:tcW w:w="968" w:type="dxa"/>
            <w:tcBorders>
              <w:top w:val="single" w:sz="2" w:space="0" w:color="auto"/>
              <w:bottom w:val="single" w:sz="2" w:space="0" w:color="auto"/>
            </w:tcBorders>
            <w:vAlign w:val="bottom"/>
          </w:tcPr>
          <w:p w14:paraId="15115408" w14:textId="77777777" w:rsidR="006E40C9" w:rsidRDefault="006E40C9">
            <w:pPr>
              <w:pStyle w:val="MeasureTableTextRightAligned"/>
            </w:pPr>
            <w:r>
              <w:t>20</w:t>
            </w:r>
          </w:p>
        </w:tc>
      </w:tr>
      <w:tr w:rsidR="006E40C9" w14:paraId="6833631A" w14:textId="77777777">
        <w:trPr>
          <w:cantSplit/>
          <w:jc w:val="center"/>
        </w:trPr>
        <w:tc>
          <w:tcPr>
            <w:tcW w:w="1934" w:type="dxa"/>
            <w:gridSpan w:val="2"/>
            <w:tcBorders>
              <w:top w:val="single" w:sz="2" w:space="0" w:color="auto"/>
              <w:bottom w:val="nil"/>
            </w:tcBorders>
          </w:tcPr>
          <w:p w14:paraId="045A9BB4"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2314005D" w14:textId="77777777" w:rsidR="006E40C9" w:rsidRDefault="006E40C9">
            <w:pPr>
              <w:pStyle w:val="MeasureTableTextLeftAligned"/>
            </w:pPr>
            <w:r>
              <w:t>Exemption</w:t>
            </w:r>
          </w:p>
        </w:tc>
        <w:tc>
          <w:tcPr>
            <w:tcW w:w="1500" w:type="dxa"/>
            <w:gridSpan w:val="2"/>
            <w:tcBorders>
              <w:top w:val="single" w:sz="2" w:space="0" w:color="auto"/>
              <w:bottom w:val="nil"/>
            </w:tcBorders>
          </w:tcPr>
          <w:p w14:paraId="515EBD8F" w14:textId="3FAEF7B3"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3A9B059E" w14:textId="77777777" w:rsidR="006E40C9" w:rsidRDefault="006E40C9">
            <w:pPr>
              <w:pStyle w:val="MeasureTableTextLeftAligned"/>
            </w:pPr>
            <w:r>
              <w:t>H20</w:t>
            </w:r>
          </w:p>
        </w:tc>
      </w:tr>
      <w:tr w:rsidR="006E40C9" w14:paraId="021356EA" w14:textId="77777777">
        <w:trPr>
          <w:cantSplit/>
          <w:jc w:val="center"/>
        </w:trPr>
        <w:tc>
          <w:tcPr>
            <w:tcW w:w="1934" w:type="dxa"/>
            <w:gridSpan w:val="2"/>
            <w:tcBorders>
              <w:top w:val="nil"/>
              <w:bottom w:val="nil"/>
            </w:tcBorders>
          </w:tcPr>
          <w:p w14:paraId="166DBB15"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0AAED7EB" w14:textId="77777777" w:rsidR="006E40C9" w:rsidRPr="00584CA7" w:rsidRDefault="006E40C9">
            <w:pPr>
              <w:pStyle w:val="MeasureTableTextLeftAligned"/>
            </w:pPr>
            <w:r>
              <w:t>Low</w:t>
            </w:r>
          </w:p>
        </w:tc>
        <w:tc>
          <w:tcPr>
            <w:tcW w:w="1500" w:type="dxa"/>
            <w:gridSpan w:val="2"/>
            <w:tcBorders>
              <w:top w:val="nil"/>
              <w:bottom w:val="nil"/>
            </w:tcBorders>
          </w:tcPr>
          <w:p w14:paraId="709E0A31" w14:textId="77777777" w:rsidR="006E40C9" w:rsidRDefault="006E40C9">
            <w:pPr>
              <w:pStyle w:val="MeasureTableTextItalic"/>
            </w:pPr>
          </w:p>
        </w:tc>
        <w:tc>
          <w:tcPr>
            <w:tcW w:w="1124" w:type="dxa"/>
            <w:gridSpan w:val="2"/>
            <w:tcBorders>
              <w:top w:val="nil"/>
              <w:bottom w:val="nil"/>
            </w:tcBorders>
          </w:tcPr>
          <w:p w14:paraId="79F9E000" w14:textId="77777777" w:rsidR="006E40C9" w:rsidRDefault="006E40C9">
            <w:pPr>
              <w:pStyle w:val="MeasureTableTextLeftAligned"/>
            </w:pPr>
          </w:p>
        </w:tc>
      </w:tr>
      <w:tr w:rsidR="006E40C9" w14:paraId="4ED3A08C" w14:textId="77777777">
        <w:trPr>
          <w:cantSplit/>
          <w:jc w:val="center"/>
        </w:trPr>
        <w:tc>
          <w:tcPr>
            <w:tcW w:w="1934" w:type="dxa"/>
            <w:gridSpan w:val="2"/>
            <w:tcBorders>
              <w:top w:val="nil"/>
              <w:bottom w:val="nil"/>
            </w:tcBorders>
          </w:tcPr>
          <w:p w14:paraId="3AFA0CAD" w14:textId="77777777" w:rsidR="006E40C9" w:rsidRDefault="006E40C9">
            <w:pPr>
              <w:pStyle w:val="MeasureTableTextItalic"/>
            </w:pPr>
            <w:r>
              <w:t>Commencement date:</w:t>
            </w:r>
          </w:p>
        </w:tc>
        <w:tc>
          <w:tcPr>
            <w:tcW w:w="3179" w:type="dxa"/>
            <w:gridSpan w:val="4"/>
            <w:tcBorders>
              <w:top w:val="nil"/>
              <w:bottom w:val="nil"/>
            </w:tcBorders>
          </w:tcPr>
          <w:p w14:paraId="25C50F22" w14:textId="77777777" w:rsidR="006E40C9" w:rsidRDefault="006E40C9">
            <w:pPr>
              <w:pStyle w:val="MeasureTableTextLeftAligned"/>
            </w:pPr>
            <w:r>
              <w:t>1 July 2000</w:t>
            </w:r>
          </w:p>
        </w:tc>
        <w:tc>
          <w:tcPr>
            <w:tcW w:w="1500" w:type="dxa"/>
            <w:gridSpan w:val="2"/>
            <w:tcBorders>
              <w:top w:val="nil"/>
              <w:bottom w:val="nil"/>
            </w:tcBorders>
          </w:tcPr>
          <w:p w14:paraId="13E2645F" w14:textId="77777777" w:rsidR="006E40C9" w:rsidRPr="00F32057" w:rsidRDefault="006E40C9">
            <w:pPr>
              <w:pStyle w:val="MeasureTableTextItalic"/>
            </w:pPr>
            <w:r>
              <w:t>Expiry date:</w:t>
            </w:r>
          </w:p>
        </w:tc>
        <w:tc>
          <w:tcPr>
            <w:tcW w:w="1124" w:type="dxa"/>
            <w:gridSpan w:val="2"/>
            <w:tcBorders>
              <w:top w:val="nil"/>
              <w:bottom w:val="nil"/>
            </w:tcBorders>
          </w:tcPr>
          <w:p w14:paraId="6F313BE5" w14:textId="77777777" w:rsidR="006E40C9" w:rsidRPr="00F32057" w:rsidRDefault="006E40C9">
            <w:pPr>
              <w:pStyle w:val="MeasureTableTextLeftAligned"/>
            </w:pPr>
          </w:p>
        </w:tc>
      </w:tr>
      <w:tr w:rsidR="006E40C9" w14:paraId="00B9932F" w14:textId="77777777">
        <w:trPr>
          <w:cantSplit/>
          <w:jc w:val="center"/>
        </w:trPr>
        <w:tc>
          <w:tcPr>
            <w:tcW w:w="1934" w:type="dxa"/>
            <w:gridSpan w:val="2"/>
            <w:tcBorders>
              <w:top w:val="nil"/>
            </w:tcBorders>
          </w:tcPr>
          <w:p w14:paraId="27C30B7A" w14:textId="77777777" w:rsidR="006E40C9" w:rsidRDefault="006E40C9">
            <w:pPr>
              <w:pStyle w:val="MeasureTableTextItalic"/>
            </w:pPr>
            <w:r>
              <w:t>Legislative reference:</w:t>
            </w:r>
          </w:p>
        </w:tc>
        <w:tc>
          <w:tcPr>
            <w:tcW w:w="5803" w:type="dxa"/>
            <w:gridSpan w:val="8"/>
            <w:tcBorders>
              <w:top w:val="nil"/>
            </w:tcBorders>
          </w:tcPr>
          <w:p w14:paraId="009C2163"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Section 38-220 of the </w:t>
            </w:r>
            <w:r>
              <w:rPr>
                <w:rFonts w:ascii="Arial" w:hAnsi="Arial" w:cs="Arial"/>
                <w:i/>
                <w:iCs/>
                <w:color w:val="000000"/>
                <w:sz w:val="16"/>
                <w:szCs w:val="16"/>
              </w:rPr>
              <w:t>A New Tax System (Goods and Services Tax) Act 1999</w:t>
            </w:r>
          </w:p>
        </w:tc>
      </w:tr>
    </w:tbl>
    <w:p w14:paraId="6A5018BC" w14:textId="77777777" w:rsidR="006E40C9" w:rsidRPr="00540040" w:rsidRDefault="006E40C9" w:rsidP="006E40C9">
      <w:pPr>
        <w:pStyle w:val="MeasureTableHeading"/>
      </w:pPr>
    </w:p>
    <w:p w14:paraId="1DD1E583" w14:textId="77777777" w:rsidR="006E40C9" w:rsidRDefault="006E40C9" w:rsidP="006E40C9">
      <w:r>
        <w:t>The benchmark tax treatment is that GST applies at the rate of 10 per cent to most supplies of goods and services. However, supplies of religious services</w:t>
      </w:r>
      <w:r>
        <w:fldChar w:fldCharType="begin"/>
      </w:r>
      <w:r>
        <w:instrText xml:space="preserve"> XE "Religious services" </w:instrText>
      </w:r>
      <w:r>
        <w:fldChar w:fldCharType="end"/>
      </w:r>
      <w:r>
        <w:t xml:space="preserve"> are GST</w:t>
      </w:r>
      <w:r>
        <w:noBreakHyphen/>
        <w:t>free if supplied by an Australian Charities Not-for-profits Commission registered religious institution and the supplied service is integral to the practice of that religion.</w:t>
      </w:r>
    </w:p>
    <w:p w14:paraId="185E8B77" w14:textId="77777777" w:rsidR="006E40C9" w:rsidRDefault="006E40C9" w:rsidP="00130689">
      <w:pPr>
        <w:pStyle w:val="Heading4"/>
      </w:pPr>
      <w:r>
        <w:t>H21</w:t>
      </w:r>
      <w:r>
        <w:tab/>
        <w:t>Supplies of farm land</w:t>
      </w:r>
    </w:p>
    <w:p w14:paraId="7E190288" w14:textId="77777777" w:rsidR="006E40C9" w:rsidRDefault="006E40C9" w:rsidP="006E40C9">
      <w:pPr>
        <w:pStyle w:val="MeasureTableHeading"/>
      </w:pPr>
      <w: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2743202D" w14:textId="77777777">
        <w:trPr>
          <w:cantSplit/>
          <w:jc w:val="center"/>
        </w:trPr>
        <w:tc>
          <w:tcPr>
            <w:tcW w:w="967" w:type="dxa"/>
            <w:tcBorders>
              <w:top w:val="single" w:sz="2" w:space="0" w:color="auto"/>
              <w:bottom w:val="single" w:sz="2" w:space="0" w:color="auto"/>
            </w:tcBorders>
          </w:tcPr>
          <w:p w14:paraId="2083255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623CB09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4D500C0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2E9C9E6"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DF34B3B"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6999E5A1"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00B5177"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5D41255C" w14:textId="77777777" w:rsidR="006E40C9" w:rsidRDefault="006E40C9">
            <w:pPr>
              <w:pStyle w:val="MeasureTableTextRightAligned"/>
            </w:pPr>
            <w:r>
              <w:t>2027-28</w:t>
            </w:r>
          </w:p>
        </w:tc>
      </w:tr>
      <w:tr w:rsidR="006E40C9" w14:paraId="6F8C00FA" w14:textId="77777777">
        <w:trPr>
          <w:cantSplit/>
          <w:jc w:val="center"/>
        </w:trPr>
        <w:tc>
          <w:tcPr>
            <w:tcW w:w="967" w:type="dxa"/>
            <w:tcBorders>
              <w:top w:val="single" w:sz="2" w:space="0" w:color="auto"/>
              <w:bottom w:val="single" w:sz="2" w:space="0" w:color="auto"/>
            </w:tcBorders>
          </w:tcPr>
          <w:p w14:paraId="55362B73" w14:textId="77777777" w:rsidR="006E40C9" w:rsidRDefault="006E40C9">
            <w:pPr>
              <w:pStyle w:val="MeasureTableTextRightAligned"/>
            </w:pPr>
            <w:r>
              <w:t>*</w:t>
            </w:r>
          </w:p>
        </w:tc>
        <w:tc>
          <w:tcPr>
            <w:tcW w:w="967" w:type="dxa"/>
            <w:tcBorders>
              <w:top w:val="single" w:sz="2" w:space="0" w:color="auto"/>
              <w:bottom w:val="single" w:sz="2" w:space="0" w:color="auto"/>
            </w:tcBorders>
          </w:tcPr>
          <w:p w14:paraId="1A2DB119"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5EFC926"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B049211"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3964792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5E88CB58"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0EDEAAD"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250C46B" w14:textId="77777777" w:rsidR="006E40C9" w:rsidRDefault="006E40C9">
            <w:pPr>
              <w:pStyle w:val="MeasureTableTextRightAligned"/>
            </w:pPr>
            <w:r>
              <w:t>-</w:t>
            </w:r>
          </w:p>
        </w:tc>
      </w:tr>
      <w:tr w:rsidR="006E40C9" w14:paraId="1C6D16E6" w14:textId="77777777">
        <w:trPr>
          <w:cantSplit/>
          <w:jc w:val="center"/>
        </w:trPr>
        <w:tc>
          <w:tcPr>
            <w:tcW w:w="1934" w:type="dxa"/>
            <w:gridSpan w:val="2"/>
            <w:tcBorders>
              <w:top w:val="single" w:sz="2" w:space="0" w:color="auto"/>
              <w:bottom w:val="nil"/>
            </w:tcBorders>
          </w:tcPr>
          <w:p w14:paraId="690E7B4B"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6B9CE28E" w14:textId="77777777" w:rsidR="006E40C9" w:rsidRDefault="006E40C9">
            <w:pPr>
              <w:pStyle w:val="MeasureTableTextLeftAligned"/>
            </w:pPr>
            <w:r>
              <w:t>Exemption</w:t>
            </w:r>
          </w:p>
        </w:tc>
        <w:tc>
          <w:tcPr>
            <w:tcW w:w="1500" w:type="dxa"/>
            <w:gridSpan w:val="2"/>
            <w:tcBorders>
              <w:top w:val="single" w:sz="2" w:space="0" w:color="auto"/>
              <w:bottom w:val="nil"/>
            </w:tcBorders>
          </w:tcPr>
          <w:p w14:paraId="7CAC5A84" w14:textId="53644F9A"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7B1980BF" w14:textId="77777777" w:rsidR="006E40C9" w:rsidRDefault="006E40C9">
            <w:pPr>
              <w:pStyle w:val="MeasureTableTextLeftAligned"/>
            </w:pPr>
            <w:r>
              <w:t>H21</w:t>
            </w:r>
          </w:p>
        </w:tc>
      </w:tr>
      <w:tr w:rsidR="006E40C9" w14:paraId="59819E05" w14:textId="77777777">
        <w:trPr>
          <w:cantSplit/>
          <w:jc w:val="center"/>
        </w:trPr>
        <w:tc>
          <w:tcPr>
            <w:tcW w:w="1934" w:type="dxa"/>
            <w:gridSpan w:val="2"/>
            <w:tcBorders>
              <w:top w:val="nil"/>
              <w:bottom w:val="nil"/>
            </w:tcBorders>
          </w:tcPr>
          <w:p w14:paraId="2014449B"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4498B9FC" w14:textId="77777777" w:rsidR="006E40C9" w:rsidRPr="00584CA7" w:rsidRDefault="006E40C9">
            <w:pPr>
              <w:pStyle w:val="MeasureTableTextLeftAligned"/>
            </w:pPr>
            <w:r>
              <w:t>Not Applicable</w:t>
            </w:r>
          </w:p>
        </w:tc>
        <w:tc>
          <w:tcPr>
            <w:tcW w:w="1500" w:type="dxa"/>
            <w:gridSpan w:val="2"/>
            <w:tcBorders>
              <w:top w:val="nil"/>
              <w:bottom w:val="nil"/>
            </w:tcBorders>
          </w:tcPr>
          <w:p w14:paraId="3223E3EC" w14:textId="77777777" w:rsidR="006E40C9" w:rsidRDefault="006E40C9">
            <w:pPr>
              <w:pStyle w:val="MeasureTableTextItalic"/>
            </w:pPr>
            <w:r>
              <w:t>* Category</w:t>
            </w:r>
          </w:p>
        </w:tc>
        <w:tc>
          <w:tcPr>
            <w:tcW w:w="1124" w:type="dxa"/>
            <w:gridSpan w:val="2"/>
            <w:tcBorders>
              <w:top w:val="nil"/>
              <w:bottom w:val="nil"/>
            </w:tcBorders>
          </w:tcPr>
          <w:p w14:paraId="25EB9360" w14:textId="77777777" w:rsidR="006E40C9" w:rsidRDefault="006E40C9">
            <w:pPr>
              <w:pStyle w:val="MeasureTableTextLeftAligned"/>
            </w:pPr>
            <w:r>
              <w:t>3+</w:t>
            </w:r>
          </w:p>
        </w:tc>
      </w:tr>
      <w:tr w:rsidR="006E40C9" w14:paraId="2DA10C89" w14:textId="77777777">
        <w:trPr>
          <w:cantSplit/>
          <w:jc w:val="center"/>
        </w:trPr>
        <w:tc>
          <w:tcPr>
            <w:tcW w:w="1934" w:type="dxa"/>
            <w:gridSpan w:val="2"/>
            <w:tcBorders>
              <w:top w:val="nil"/>
              <w:bottom w:val="nil"/>
            </w:tcBorders>
          </w:tcPr>
          <w:p w14:paraId="5C97FEFB" w14:textId="77777777" w:rsidR="006E40C9" w:rsidRDefault="006E40C9">
            <w:pPr>
              <w:pStyle w:val="MeasureTableTextItalic"/>
            </w:pPr>
            <w:r>
              <w:t>Commencement date:</w:t>
            </w:r>
          </w:p>
        </w:tc>
        <w:tc>
          <w:tcPr>
            <w:tcW w:w="3179" w:type="dxa"/>
            <w:gridSpan w:val="4"/>
            <w:tcBorders>
              <w:top w:val="nil"/>
              <w:bottom w:val="nil"/>
            </w:tcBorders>
          </w:tcPr>
          <w:p w14:paraId="4E1DC2DE" w14:textId="77777777" w:rsidR="006E40C9" w:rsidRDefault="006E40C9">
            <w:pPr>
              <w:pStyle w:val="MeasureTableTextLeftAligned"/>
            </w:pPr>
            <w:r>
              <w:t>1 July 2000</w:t>
            </w:r>
          </w:p>
        </w:tc>
        <w:tc>
          <w:tcPr>
            <w:tcW w:w="1500" w:type="dxa"/>
            <w:gridSpan w:val="2"/>
            <w:tcBorders>
              <w:top w:val="nil"/>
              <w:bottom w:val="nil"/>
            </w:tcBorders>
          </w:tcPr>
          <w:p w14:paraId="66C996C3" w14:textId="77777777" w:rsidR="006E40C9" w:rsidRPr="00F32057" w:rsidRDefault="006E40C9">
            <w:pPr>
              <w:pStyle w:val="MeasureTableTextItalic"/>
            </w:pPr>
            <w:r>
              <w:t>Expiry date:</w:t>
            </w:r>
          </w:p>
        </w:tc>
        <w:tc>
          <w:tcPr>
            <w:tcW w:w="1124" w:type="dxa"/>
            <w:gridSpan w:val="2"/>
            <w:tcBorders>
              <w:top w:val="nil"/>
              <w:bottom w:val="nil"/>
            </w:tcBorders>
          </w:tcPr>
          <w:p w14:paraId="5EA9A80E" w14:textId="77777777" w:rsidR="006E40C9" w:rsidRPr="00F32057" w:rsidRDefault="006E40C9">
            <w:pPr>
              <w:pStyle w:val="MeasureTableTextLeftAligned"/>
            </w:pPr>
          </w:p>
        </w:tc>
      </w:tr>
      <w:tr w:rsidR="006E40C9" w14:paraId="72BFE9E0" w14:textId="77777777">
        <w:trPr>
          <w:cantSplit/>
          <w:jc w:val="center"/>
        </w:trPr>
        <w:tc>
          <w:tcPr>
            <w:tcW w:w="1934" w:type="dxa"/>
            <w:gridSpan w:val="2"/>
            <w:tcBorders>
              <w:top w:val="nil"/>
            </w:tcBorders>
          </w:tcPr>
          <w:p w14:paraId="166AA961" w14:textId="77777777" w:rsidR="006E40C9" w:rsidRDefault="006E40C9">
            <w:pPr>
              <w:pStyle w:val="MeasureTableTextItalic"/>
            </w:pPr>
            <w:r>
              <w:t>Legislative reference:</w:t>
            </w:r>
          </w:p>
        </w:tc>
        <w:tc>
          <w:tcPr>
            <w:tcW w:w="5803" w:type="dxa"/>
            <w:gridSpan w:val="8"/>
            <w:tcBorders>
              <w:top w:val="nil"/>
            </w:tcBorders>
          </w:tcPr>
          <w:p w14:paraId="14F0BE44"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38-O of the </w:t>
            </w:r>
            <w:r>
              <w:rPr>
                <w:rFonts w:ascii="Arial" w:hAnsi="Arial" w:cs="Arial"/>
                <w:i/>
                <w:iCs/>
                <w:color w:val="000000"/>
                <w:sz w:val="16"/>
                <w:szCs w:val="16"/>
              </w:rPr>
              <w:t>A New Tax System (Goods and Services Tax) Act 1999</w:t>
            </w:r>
          </w:p>
        </w:tc>
      </w:tr>
    </w:tbl>
    <w:p w14:paraId="477C38E6" w14:textId="77777777" w:rsidR="006E40C9" w:rsidRPr="00540040" w:rsidRDefault="006E40C9" w:rsidP="006E40C9">
      <w:pPr>
        <w:pStyle w:val="MeasureTableHeading"/>
      </w:pPr>
    </w:p>
    <w:p w14:paraId="039FB995" w14:textId="064870FF" w:rsidR="006E40C9" w:rsidRDefault="006E40C9" w:rsidP="006E40C9">
      <w:r>
        <w:t>The benchmark tax treatment is that GST applies at the rate of 10 per cent to most supplies of goods and services. However, specific supplies of farm land</w:t>
      </w:r>
      <w:r>
        <w:fldChar w:fldCharType="begin"/>
      </w:r>
      <w:r>
        <w:instrText xml:space="preserve"> XE "Supplies of farm land" </w:instrText>
      </w:r>
      <w:r>
        <w:fldChar w:fldCharType="end"/>
      </w:r>
      <w:r>
        <w:t xml:space="preserve"> are GST</w:t>
      </w:r>
      <w:r>
        <w:noBreakHyphen/>
        <w:t>free. This includes: farm land supplied for farming on which a farming business has been carried on for at least 5 years and upon which a farming business is intended to continue to be carried on; and subdivided farm land that is potential residential land when supplied to associates for nil or inadequate consideration</w:t>
      </w:r>
      <w:r>
        <w:fldChar w:fldCharType="begin"/>
      </w:r>
      <w:r>
        <w:instrText xml:space="preserve"> XE "Goods and Services Tax:Farm land" </w:instrText>
      </w:r>
      <w:r>
        <w:fldChar w:fldCharType="end"/>
      </w:r>
      <w:r>
        <w:t>.</w:t>
      </w:r>
    </w:p>
    <w:p w14:paraId="219F3D6E" w14:textId="77777777" w:rsidR="006E40C9" w:rsidRDefault="006E40C9" w:rsidP="00130689">
      <w:pPr>
        <w:pStyle w:val="Heading4"/>
      </w:pPr>
      <w:r>
        <w:t>H22</w:t>
      </w:r>
      <w:r>
        <w:tab/>
        <w:t>Registration thresholds</w:t>
      </w:r>
    </w:p>
    <w:p w14:paraId="7504768E" w14:textId="00696B53"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45B71A7A" w14:textId="77777777">
        <w:trPr>
          <w:cantSplit/>
          <w:jc w:val="center"/>
        </w:trPr>
        <w:tc>
          <w:tcPr>
            <w:tcW w:w="967" w:type="dxa"/>
            <w:tcBorders>
              <w:top w:val="single" w:sz="2" w:space="0" w:color="auto"/>
              <w:bottom w:val="single" w:sz="2" w:space="0" w:color="auto"/>
            </w:tcBorders>
          </w:tcPr>
          <w:p w14:paraId="47451E5F"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41AAF4D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5680674C"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707C47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200925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9E06947"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513389AE"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4135BD97" w14:textId="77777777" w:rsidR="006E40C9" w:rsidRDefault="006E40C9">
            <w:pPr>
              <w:pStyle w:val="MeasureTableTextRightAligned"/>
            </w:pPr>
            <w:r>
              <w:t>2027-28</w:t>
            </w:r>
          </w:p>
        </w:tc>
      </w:tr>
      <w:tr w:rsidR="006E40C9" w14:paraId="2B47341E" w14:textId="77777777">
        <w:trPr>
          <w:cantSplit/>
          <w:jc w:val="center"/>
        </w:trPr>
        <w:tc>
          <w:tcPr>
            <w:tcW w:w="967" w:type="dxa"/>
            <w:tcBorders>
              <w:top w:val="single" w:sz="2" w:space="0" w:color="auto"/>
              <w:bottom w:val="single" w:sz="2" w:space="0" w:color="auto"/>
            </w:tcBorders>
          </w:tcPr>
          <w:p w14:paraId="1C7FA53F" w14:textId="77777777" w:rsidR="006E40C9" w:rsidRDefault="006E40C9">
            <w:pPr>
              <w:pStyle w:val="MeasureTableTextRightAligned"/>
            </w:pPr>
            <w:r>
              <w:t>*</w:t>
            </w:r>
          </w:p>
        </w:tc>
        <w:tc>
          <w:tcPr>
            <w:tcW w:w="967" w:type="dxa"/>
            <w:tcBorders>
              <w:top w:val="single" w:sz="2" w:space="0" w:color="auto"/>
              <w:bottom w:val="single" w:sz="2" w:space="0" w:color="auto"/>
            </w:tcBorders>
          </w:tcPr>
          <w:p w14:paraId="67F31D14"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4AF752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0A2D96A3"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1F8934E"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0837D1A2"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6071F377"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0E95FE3D" w14:textId="77777777" w:rsidR="006E40C9" w:rsidRDefault="006E40C9">
            <w:pPr>
              <w:pStyle w:val="MeasureTableTextRightAligned"/>
            </w:pPr>
            <w:r>
              <w:t>*</w:t>
            </w:r>
          </w:p>
        </w:tc>
      </w:tr>
      <w:tr w:rsidR="006E40C9" w14:paraId="079680D8" w14:textId="77777777">
        <w:trPr>
          <w:cantSplit/>
          <w:jc w:val="center"/>
        </w:trPr>
        <w:tc>
          <w:tcPr>
            <w:tcW w:w="1934" w:type="dxa"/>
            <w:gridSpan w:val="2"/>
            <w:tcBorders>
              <w:top w:val="single" w:sz="2" w:space="0" w:color="auto"/>
              <w:bottom w:val="nil"/>
            </w:tcBorders>
          </w:tcPr>
          <w:p w14:paraId="65A7211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57AD400D" w14:textId="77777777" w:rsidR="006E40C9" w:rsidRDefault="006E40C9">
            <w:pPr>
              <w:pStyle w:val="MeasureTableTextLeftAligned"/>
            </w:pPr>
            <w:r>
              <w:t>Exemption</w:t>
            </w:r>
          </w:p>
        </w:tc>
        <w:tc>
          <w:tcPr>
            <w:tcW w:w="1500" w:type="dxa"/>
            <w:gridSpan w:val="2"/>
            <w:tcBorders>
              <w:top w:val="single" w:sz="2" w:space="0" w:color="auto"/>
              <w:bottom w:val="nil"/>
            </w:tcBorders>
          </w:tcPr>
          <w:p w14:paraId="2C7F249D" w14:textId="470A9EB7"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24AC7879" w14:textId="77777777" w:rsidR="006E40C9" w:rsidRDefault="006E40C9">
            <w:pPr>
              <w:pStyle w:val="MeasureTableTextLeftAligned"/>
            </w:pPr>
            <w:r>
              <w:t>H22</w:t>
            </w:r>
          </w:p>
        </w:tc>
      </w:tr>
      <w:tr w:rsidR="006E40C9" w14:paraId="2BE47989" w14:textId="77777777">
        <w:trPr>
          <w:cantSplit/>
          <w:jc w:val="center"/>
        </w:trPr>
        <w:tc>
          <w:tcPr>
            <w:tcW w:w="1934" w:type="dxa"/>
            <w:gridSpan w:val="2"/>
            <w:tcBorders>
              <w:top w:val="nil"/>
              <w:bottom w:val="nil"/>
            </w:tcBorders>
          </w:tcPr>
          <w:p w14:paraId="33D98B80"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3BC98DB5" w14:textId="77777777" w:rsidR="006E40C9" w:rsidRPr="00584CA7" w:rsidRDefault="006E40C9">
            <w:pPr>
              <w:pStyle w:val="MeasureTableTextLeftAligned"/>
            </w:pPr>
            <w:r>
              <w:t>Not Applicable</w:t>
            </w:r>
          </w:p>
        </w:tc>
        <w:tc>
          <w:tcPr>
            <w:tcW w:w="1500" w:type="dxa"/>
            <w:gridSpan w:val="2"/>
            <w:tcBorders>
              <w:top w:val="nil"/>
              <w:bottom w:val="nil"/>
            </w:tcBorders>
          </w:tcPr>
          <w:p w14:paraId="3E4E3B49" w14:textId="77777777" w:rsidR="006E40C9" w:rsidRDefault="006E40C9">
            <w:pPr>
              <w:pStyle w:val="MeasureTableTextItalic"/>
            </w:pPr>
            <w:r>
              <w:t>* Category</w:t>
            </w:r>
          </w:p>
        </w:tc>
        <w:tc>
          <w:tcPr>
            <w:tcW w:w="1124" w:type="dxa"/>
            <w:gridSpan w:val="2"/>
            <w:tcBorders>
              <w:top w:val="nil"/>
              <w:bottom w:val="nil"/>
            </w:tcBorders>
          </w:tcPr>
          <w:p w14:paraId="5A4533E3" w14:textId="77777777" w:rsidR="006E40C9" w:rsidRDefault="006E40C9">
            <w:pPr>
              <w:pStyle w:val="MeasureTableTextLeftAligned"/>
            </w:pPr>
            <w:r>
              <w:t>3+</w:t>
            </w:r>
          </w:p>
        </w:tc>
      </w:tr>
      <w:tr w:rsidR="006E40C9" w14:paraId="2D5800D9" w14:textId="77777777">
        <w:trPr>
          <w:cantSplit/>
          <w:jc w:val="center"/>
        </w:trPr>
        <w:tc>
          <w:tcPr>
            <w:tcW w:w="1934" w:type="dxa"/>
            <w:gridSpan w:val="2"/>
            <w:tcBorders>
              <w:top w:val="nil"/>
              <w:bottom w:val="nil"/>
            </w:tcBorders>
          </w:tcPr>
          <w:p w14:paraId="77175016" w14:textId="77777777" w:rsidR="006E40C9" w:rsidRDefault="006E40C9">
            <w:pPr>
              <w:pStyle w:val="MeasureTableTextItalic"/>
            </w:pPr>
            <w:r>
              <w:t>Commencement date:</w:t>
            </w:r>
          </w:p>
        </w:tc>
        <w:tc>
          <w:tcPr>
            <w:tcW w:w="3179" w:type="dxa"/>
            <w:gridSpan w:val="4"/>
            <w:tcBorders>
              <w:top w:val="nil"/>
              <w:bottom w:val="nil"/>
            </w:tcBorders>
          </w:tcPr>
          <w:p w14:paraId="54685B98" w14:textId="77777777" w:rsidR="006E40C9" w:rsidRDefault="006E40C9">
            <w:pPr>
              <w:pStyle w:val="MeasureTableTextLeftAligned"/>
            </w:pPr>
            <w:r>
              <w:t>1 July 2000</w:t>
            </w:r>
          </w:p>
        </w:tc>
        <w:tc>
          <w:tcPr>
            <w:tcW w:w="1500" w:type="dxa"/>
            <w:gridSpan w:val="2"/>
            <w:tcBorders>
              <w:top w:val="nil"/>
              <w:bottom w:val="nil"/>
            </w:tcBorders>
          </w:tcPr>
          <w:p w14:paraId="428EBCF2" w14:textId="77777777" w:rsidR="006E40C9" w:rsidRPr="00F32057" w:rsidRDefault="006E40C9">
            <w:pPr>
              <w:pStyle w:val="MeasureTableTextItalic"/>
            </w:pPr>
            <w:r>
              <w:t>Expiry date:</w:t>
            </w:r>
          </w:p>
        </w:tc>
        <w:tc>
          <w:tcPr>
            <w:tcW w:w="1124" w:type="dxa"/>
            <w:gridSpan w:val="2"/>
            <w:tcBorders>
              <w:top w:val="nil"/>
              <w:bottom w:val="nil"/>
            </w:tcBorders>
          </w:tcPr>
          <w:p w14:paraId="78F36AE0" w14:textId="77777777" w:rsidR="006E40C9" w:rsidRPr="00F32057" w:rsidRDefault="006E40C9">
            <w:pPr>
              <w:pStyle w:val="MeasureTableTextLeftAligned"/>
            </w:pPr>
          </w:p>
        </w:tc>
      </w:tr>
      <w:tr w:rsidR="006E40C9" w14:paraId="3BD6D47B" w14:textId="77777777">
        <w:trPr>
          <w:cantSplit/>
          <w:jc w:val="center"/>
        </w:trPr>
        <w:tc>
          <w:tcPr>
            <w:tcW w:w="1934" w:type="dxa"/>
            <w:gridSpan w:val="2"/>
            <w:tcBorders>
              <w:top w:val="nil"/>
            </w:tcBorders>
          </w:tcPr>
          <w:p w14:paraId="242546D9" w14:textId="77777777" w:rsidR="006E40C9" w:rsidRDefault="006E40C9">
            <w:pPr>
              <w:pStyle w:val="MeasureTableTextItalic"/>
            </w:pPr>
            <w:r>
              <w:t>Legislative reference:</w:t>
            </w:r>
          </w:p>
        </w:tc>
        <w:tc>
          <w:tcPr>
            <w:tcW w:w="5803" w:type="dxa"/>
            <w:gridSpan w:val="8"/>
            <w:tcBorders>
              <w:top w:val="nil"/>
            </w:tcBorders>
          </w:tcPr>
          <w:p w14:paraId="451BA748" w14:textId="77777777" w:rsidR="006E40C9" w:rsidRDefault="006E40C9">
            <w:pPr>
              <w:widowControl w:val="0"/>
              <w:autoSpaceDE w:val="0"/>
              <w:autoSpaceDN w:val="0"/>
              <w:adjustRightInd w:val="0"/>
              <w:spacing w:after="0" w:line="240" w:lineRule="auto"/>
              <w:rPr>
                <w:rFonts w:ascii="Arial" w:hAnsi="Arial" w:cs="Arial"/>
                <w:i/>
                <w:iCs/>
                <w:color w:val="000000"/>
                <w:sz w:val="16"/>
                <w:szCs w:val="16"/>
              </w:rPr>
            </w:pPr>
            <w:r>
              <w:rPr>
                <w:rFonts w:ascii="Arial" w:hAnsi="Arial" w:cs="Arial"/>
                <w:color w:val="000000"/>
                <w:sz w:val="16"/>
                <w:szCs w:val="16"/>
              </w:rPr>
              <w:t xml:space="preserve">Section 23-15 and Part 4-5 of the </w:t>
            </w:r>
            <w:r>
              <w:rPr>
                <w:rFonts w:ascii="Arial" w:hAnsi="Arial" w:cs="Arial"/>
                <w:i/>
                <w:iCs/>
                <w:color w:val="000000"/>
                <w:sz w:val="16"/>
                <w:szCs w:val="16"/>
              </w:rPr>
              <w:t>A New Tax System (Goods and Services Tax) Act 1999</w:t>
            </w:r>
          </w:p>
          <w:p w14:paraId="50ED54B0"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Regulations 23-15.01 and 23-15.02 of the</w:t>
            </w:r>
            <w:r>
              <w:rPr>
                <w:rFonts w:ascii="Arial" w:hAnsi="Arial" w:cs="Arial"/>
                <w:i/>
                <w:iCs/>
                <w:color w:val="000000"/>
                <w:sz w:val="16"/>
                <w:szCs w:val="16"/>
              </w:rPr>
              <w:t xml:space="preserve"> A New Tax System (Goods and Services Tax) Regulation 2019</w:t>
            </w:r>
          </w:p>
        </w:tc>
      </w:tr>
    </w:tbl>
    <w:p w14:paraId="3BA245C8" w14:textId="77777777" w:rsidR="006E40C9" w:rsidRPr="00540040" w:rsidRDefault="006E40C9" w:rsidP="006E40C9">
      <w:pPr>
        <w:pStyle w:val="MeasureTableHeading"/>
      </w:pPr>
    </w:p>
    <w:p w14:paraId="5B5BCDFD" w14:textId="77777777" w:rsidR="006E40C9" w:rsidRDefault="006E40C9" w:rsidP="006E40C9">
      <w:r>
        <w:t>The benchmark tax treatment is that GST applies at the rate of 10 per cent to most supplies of goods and services. Entities (other than taxi operators) with a GST turnover of less than $75,000, or $150,000 for non</w:t>
      </w:r>
      <w:r>
        <w:noBreakHyphen/>
        <w:t>profit entities, are not required to register for GST. Supplies made by unregistered entities are not subject to GST.</w:t>
      </w:r>
      <w:r>
        <w:fldChar w:fldCharType="begin"/>
      </w:r>
      <w:r>
        <w:instrText xml:space="preserve"> XE "Goods and Services Tax:Registration threshold" </w:instrText>
      </w:r>
      <w:r>
        <w:fldChar w:fldCharType="end"/>
      </w:r>
    </w:p>
    <w:p w14:paraId="6BFA55EC" w14:textId="77777777" w:rsidR="006E40C9" w:rsidRDefault="006E40C9" w:rsidP="00130689">
      <w:pPr>
        <w:pStyle w:val="Heading4"/>
      </w:pPr>
      <w:r>
        <w:t>H23</w:t>
      </w:r>
      <w:r>
        <w:tab/>
        <w:t>Simplified accounting methods</w:t>
      </w:r>
    </w:p>
    <w:p w14:paraId="7DBF37F7" w14:textId="2B959CA5"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75BF97AF" w14:textId="77777777">
        <w:trPr>
          <w:cantSplit/>
          <w:jc w:val="center"/>
        </w:trPr>
        <w:tc>
          <w:tcPr>
            <w:tcW w:w="967" w:type="dxa"/>
            <w:tcBorders>
              <w:top w:val="single" w:sz="2" w:space="0" w:color="auto"/>
              <w:bottom w:val="single" w:sz="2" w:space="0" w:color="auto"/>
            </w:tcBorders>
          </w:tcPr>
          <w:p w14:paraId="2BD2FB0A"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57F56F4B"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7DBB8714"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E3A0D9E"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342929E9"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2A399C5F"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7F30C25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C9CC85F" w14:textId="77777777" w:rsidR="006E40C9" w:rsidRDefault="006E40C9">
            <w:pPr>
              <w:pStyle w:val="MeasureTableTextRightAligned"/>
            </w:pPr>
            <w:r>
              <w:t>2027-28</w:t>
            </w:r>
          </w:p>
        </w:tc>
      </w:tr>
      <w:tr w:rsidR="006E40C9" w14:paraId="53AB0778" w14:textId="77777777">
        <w:trPr>
          <w:cantSplit/>
          <w:jc w:val="center"/>
        </w:trPr>
        <w:tc>
          <w:tcPr>
            <w:tcW w:w="967" w:type="dxa"/>
            <w:tcBorders>
              <w:top w:val="single" w:sz="2" w:space="0" w:color="auto"/>
              <w:bottom w:val="single" w:sz="2" w:space="0" w:color="auto"/>
            </w:tcBorders>
          </w:tcPr>
          <w:p w14:paraId="522B1719" w14:textId="77777777" w:rsidR="006E40C9" w:rsidRDefault="006E40C9">
            <w:pPr>
              <w:pStyle w:val="MeasureTableTextRightAligned"/>
            </w:pPr>
            <w:r>
              <w:t>14</w:t>
            </w:r>
          </w:p>
        </w:tc>
        <w:tc>
          <w:tcPr>
            <w:tcW w:w="967" w:type="dxa"/>
            <w:tcBorders>
              <w:top w:val="single" w:sz="2" w:space="0" w:color="auto"/>
              <w:bottom w:val="single" w:sz="2" w:space="0" w:color="auto"/>
            </w:tcBorders>
          </w:tcPr>
          <w:p w14:paraId="5A22041B"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66045A78"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500FA58E" w14:textId="77777777" w:rsidR="006E40C9" w:rsidRDefault="006E40C9">
            <w:pPr>
              <w:pStyle w:val="MeasureTableTextRightAligned"/>
            </w:pPr>
            <w:r>
              <w:t>16</w:t>
            </w:r>
          </w:p>
        </w:tc>
        <w:tc>
          <w:tcPr>
            <w:tcW w:w="967" w:type="dxa"/>
            <w:tcBorders>
              <w:top w:val="single" w:sz="2" w:space="0" w:color="auto"/>
              <w:bottom w:val="single" w:sz="2" w:space="0" w:color="auto"/>
            </w:tcBorders>
            <w:vAlign w:val="bottom"/>
          </w:tcPr>
          <w:p w14:paraId="034F0B03"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0A661E14" w14:textId="77777777" w:rsidR="006E40C9" w:rsidRDefault="006E40C9">
            <w:pPr>
              <w:pStyle w:val="MeasureTableTextRightAligned"/>
            </w:pPr>
            <w:r>
              <w:t>16</w:t>
            </w:r>
          </w:p>
        </w:tc>
        <w:tc>
          <w:tcPr>
            <w:tcW w:w="967" w:type="dxa"/>
            <w:gridSpan w:val="2"/>
            <w:tcBorders>
              <w:top w:val="single" w:sz="2" w:space="0" w:color="auto"/>
              <w:bottom w:val="single" w:sz="2" w:space="0" w:color="auto"/>
            </w:tcBorders>
            <w:vAlign w:val="bottom"/>
          </w:tcPr>
          <w:p w14:paraId="0A9C8A49" w14:textId="77777777" w:rsidR="006E40C9" w:rsidRDefault="006E40C9">
            <w:pPr>
              <w:pStyle w:val="MeasureTableTextRightAligned"/>
            </w:pPr>
            <w:r>
              <w:t>16</w:t>
            </w:r>
          </w:p>
        </w:tc>
        <w:tc>
          <w:tcPr>
            <w:tcW w:w="968" w:type="dxa"/>
            <w:tcBorders>
              <w:top w:val="single" w:sz="2" w:space="0" w:color="auto"/>
              <w:bottom w:val="single" w:sz="2" w:space="0" w:color="auto"/>
            </w:tcBorders>
            <w:vAlign w:val="bottom"/>
          </w:tcPr>
          <w:p w14:paraId="3271D2A6" w14:textId="77777777" w:rsidR="006E40C9" w:rsidRDefault="006E40C9">
            <w:pPr>
              <w:pStyle w:val="MeasureTableTextRightAligned"/>
            </w:pPr>
            <w:r>
              <w:t>16</w:t>
            </w:r>
          </w:p>
        </w:tc>
      </w:tr>
      <w:tr w:rsidR="006E40C9" w14:paraId="6D6DEB27" w14:textId="77777777">
        <w:trPr>
          <w:cantSplit/>
          <w:jc w:val="center"/>
        </w:trPr>
        <w:tc>
          <w:tcPr>
            <w:tcW w:w="1934" w:type="dxa"/>
            <w:gridSpan w:val="2"/>
            <w:tcBorders>
              <w:top w:val="single" w:sz="2" w:space="0" w:color="auto"/>
              <w:bottom w:val="nil"/>
            </w:tcBorders>
          </w:tcPr>
          <w:p w14:paraId="634A5F62"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373A15CF" w14:textId="77777777" w:rsidR="006E40C9" w:rsidRDefault="006E40C9">
            <w:pPr>
              <w:pStyle w:val="MeasureTableTextLeftAligned"/>
            </w:pPr>
            <w:r>
              <w:t>Concessional rate</w:t>
            </w:r>
          </w:p>
        </w:tc>
        <w:tc>
          <w:tcPr>
            <w:tcW w:w="1500" w:type="dxa"/>
            <w:gridSpan w:val="2"/>
            <w:tcBorders>
              <w:top w:val="single" w:sz="2" w:space="0" w:color="auto"/>
              <w:bottom w:val="nil"/>
            </w:tcBorders>
          </w:tcPr>
          <w:p w14:paraId="4A636C8E" w14:textId="736DF3B5"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634872ED" w14:textId="77777777" w:rsidR="006E40C9" w:rsidRDefault="006E40C9">
            <w:pPr>
              <w:pStyle w:val="MeasureTableTextLeftAligned"/>
            </w:pPr>
            <w:r>
              <w:t>H23</w:t>
            </w:r>
          </w:p>
        </w:tc>
      </w:tr>
      <w:tr w:rsidR="006E40C9" w14:paraId="0BB12439" w14:textId="77777777">
        <w:trPr>
          <w:cantSplit/>
          <w:jc w:val="center"/>
        </w:trPr>
        <w:tc>
          <w:tcPr>
            <w:tcW w:w="1934" w:type="dxa"/>
            <w:gridSpan w:val="2"/>
            <w:tcBorders>
              <w:top w:val="nil"/>
              <w:bottom w:val="nil"/>
            </w:tcBorders>
          </w:tcPr>
          <w:p w14:paraId="2CE31714"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1EF920ED" w14:textId="77777777" w:rsidR="006E40C9" w:rsidRPr="00584CA7" w:rsidRDefault="006E40C9">
            <w:pPr>
              <w:pStyle w:val="MeasureTableTextLeftAligned"/>
            </w:pPr>
            <w:r>
              <w:t>Medium</w:t>
            </w:r>
          </w:p>
        </w:tc>
        <w:tc>
          <w:tcPr>
            <w:tcW w:w="1500" w:type="dxa"/>
            <w:gridSpan w:val="2"/>
            <w:tcBorders>
              <w:top w:val="nil"/>
              <w:bottom w:val="nil"/>
            </w:tcBorders>
          </w:tcPr>
          <w:p w14:paraId="5670E296" w14:textId="77777777" w:rsidR="006E40C9" w:rsidRDefault="006E40C9">
            <w:pPr>
              <w:pStyle w:val="MeasureTableTextItalic"/>
            </w:pPr>
          </w:p>
        </w:tc>
        <w:tc>
          <w:tcPr>
            <w:tcW w:w="1124" w:type="dxa"/>
            <w:gridSpan w:val="2"/>
            <w:tcBorders>
              <w:top w:val="nil"/>
              <w:bottom w:val="nil"/>
            </w:tcBorders>
          </w:tcPr>
          <w:p w14:paraId="43B18110" w14:textId="77777777" w:rsidR="006E40C9" w:rsidRDefault="006E40C9">
            <w:pPr>
              <w:pStyle w:val="MeasureTableTextLeftAligned"/>
            </w:pPr>
          </w:p>
        </w:tc>
      </w:tr>
      <w:tr w:rsidR="006E40C9" w14:paraId="323B6508" w14:textId="77777777">
        <w:trPr>
          <w:cantSplit/>
          <w:jc w:val="center"/>
        </w:trPr>
        <w:tc>
          <w:tcPr>
            <w:tcW w:w="1934" w:type="dxa"/>
            <w:gridSpan w:val="2"/>
            <w:tcBorders>
              <w:top w:val="nil"/>
              <w:bottom w:val="nil"/>
            </w:tcBorders>
          </w:tcPr>
          <w:p w14:paraId="25C75748" w14:textId="77777777" w:rsidR="006E40C9" w:rsidRDefault="006E40C9">
            <w:pPr>
              <w:pStyle w:val="MeasureTableTextItalic"/>
            </w:pPr>
            <w:r>
              <w:t>Commencement date:</w:t>
            </w:r>
          </w:p>
        </w:tc>
        <w:tc>
          <w:tcPr>
            <w:tcW w:w="3179" w:type="dxa"/>
            <w:gridSpan w:val="4"/>
            <w:tcBorders>
              <w:top w:val="nil"/>
              <w:bottom w:val="nil"/>
            </w:tcBorders>
          </w:tcPr>
          <w:p w14:paraId="6B6C1DF3" w14:textId="77777777" w:rsidR="006E40C9" w:rsidRDefault="006E40C9">
            <w:pPr>
              <w:pStyle w:val="MeasureTableTextLeftAligned"/>
            </w:pPr>
            <w:r>
              <w:t>1 July 2000</w:t>
            </w:r>
          </w:p>
        </w:tc>
        <w:tc>
          <w:tcPr>
            <w:tcW w:w="1500" w:type="dxa"/>
            <w:gridSpan w:val="2"/>
            <w:tcBorders>
              <w:top w:val="nil"/>
              <w:bottom w:val="nil"/>
            </w:tcBorders>
          </w:tcPr>
          <w:p w14:paraId="2DC5E758" w14:textId="77777777" w:rsidR="006E40C9" w:rsidRPr="00F32057" w:rsidRDefault="006E40C9">
            <w:pPr>
              <w:pStyle w:val="MeasureTableTextItalic"/>
            </w:pPr>
            <w:r>
              <w:t>Expiry date:</w:t>
            </w:r>
          </w:p>
        </w:tc>
        <w:tc>
          <w:tcPr>
            <w:tcW w:w="1124" w:type="dxa"/>
            <w:gridSpan w:val="2"/>
            <w:tcBorders>
              <w:top w:val="nil"/>
              <w:bottom w:val="nil"/>
            </w:tcBorders>
          </w:tcPr>
          <w:p w14:paraId="1C48DC62" w14:textId="77777777" w:rsidR="006E40C9" w:rsidRPr="00F32057" w:rsidRDefault="006E40C9">
            <w:pPr>
              <w:pStyle w:val="MeasureTableTextLeftAligned"/>
            </w:pPr>
          </w:p>
        </w:tc>
      </w:tr>
      <w:tr w:rsidR="006E40C9" w14:paraId="0AF13268" w14:textId="77777777">
        <w:trPr>
          <w:cantSplit/>
          <w:jc w:val="center"/>
        </w:trPr>
        <w:tc>
          <w:tcPr>
            <w:tcW w:w="1934" w:type="dxa"/>
            <w:gridSpan w:val="2"/>
            <w:tcBorders>
              <w:top w:val="nil"/>
            </w:tcBorders>
          </w:tcPr>
          <w:p w14:paraId="2B9FBE0C" w14:textId="77777777" w:rsidR="006E40C9" w:rsidRDefault="006E40C9">
            <w:pPr>
              <w:pStyle w:val="MeasureTableTextItalic"/>
            </w:pPr>
            <w:r>
              <w:t>Legislative reference:</w:t>
            </w:r>
          </w:p>
        </w:tc>
        <w:tc>
          <w:tcPr>
            <w:tcW w:w="5803" w:type="dxa"/>
            <w:gridSpan w:val="8"/>
            <w:tcBorders>
              <w:top w:val="nil"/>
            </w:tcBorders>
          </w:tcPr>
          <w:p w14:paraId="2A4A998B"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Division 123 of the </w:t>
            </w:r>
            <w:r>
              <w:rPr>
                <w:rFonts w:ascii="Arial" w:hAnsi="Arial" w:cs="Arial"/>
                <w:i/>
                <w:iCs/>
                <w:color w:val="000000"/>
                <w:sz w:val="16"/>
                <w:szCs w:val="16"/>
              </w:rPr>
              <w:t>A New Tax System (Goods and Services Tax) Act 1999</w:t>
            </w:r>
          </w:p>
        </w:tc>
      </w:tr>
    </w:tbl>
    <w:p w14:paraId="62276924" w14:textId="77777777" w:rsidR="006E40C9" w:rsidRPr="00540040" w:rsidRDefault="006E40C9" w:rsidP="006E40C9">
      <w:pPr>
        <w:pStyle w:val="MeasureTableHeading"/>
      </w:pPr>
    </w:p>
    <w:p w14:paraId="1CF96E1C" w14:textId="77777777" w:rsidR="006E40C9" w:rsidRDefault="006E40C9" w:rsidP="006E40C9">
      <w:r>
        <w:t>The benchmark tax treatment is that GST applies at the rate of 10 per cent to most supplies of goods and services. The Commissioner of Taxation can create simplified accounting methods (SAMs)</w:t>
      </w:r>
      <w:r>
        <w:fldChar w:fldCharType="begin"/>
      </w:r>
      <w:r>
        <w:instrText xml:space="preserve"> XE "Goods and Services Tax:Simplified accounting methods" </w:instrText>
      </w:r>
      <w:r>
        <w:fldChar w:fldCharType="end"/>
      </w:r>
      <w:r>
        <w:t xml:space="preserve"> that some small businesses</w:t>
      </w:r>
      <w:r>
        <w:rPr>
          <w:rFonts w:ascii="Arial" w:hAnsi="Arial" w:cs="Arial"/>
          <w:b/>
          <w:bCs/>
        </w:rPr>
        <w:t xml:space="preserve"> </w:t>
      </w:r>
      <w:r>
        <w:t>can choose to apply to reduce their GST compliance costs. SAMs allow taxpayers to apply simple ratios to calculate their GST liabilities (or components of them) rather than accounting for each supply to determine if it is taxable or non</w:t>
      </w:r>
      <w:r>
        <w:noBreakHyphen/>
        <w:t>taxable. Being ratios, SAMs will benefit some taxpayers by reducing their GST liabilities while increasing the GST liabilities of others, relative to the amounts calculated using a full GST calculation.</w:t>
      </w:r>
    </w:p>
    <w:p w14:paraId="2801EE75" w14:textId="77777777" w:rsidR="006E40C9" w:rsidRDefault="006E40C9" w:rsidP="006E40C9">
      <w:r>
        <w:t xml:space="preserve">While SAMs are designed to reduce compliance costs rather than provide a tax concession, entities that expect to receive a tax benefit from applying SAMs are more likely to adopt this methodology than those that do not. This is expected to result in a positive tax expenditure. </w:t>
      </w:r>
    </w:p>
    <w:p w14:paraId="6D25C083" w14:textId="77777777" w:rsidR="006E40C9" w:rsidRDefault="006E40C9" w:rsidP="00D9255A">
      <w:pPr>
        <w:pStyle w:val="Heading3"/>
      </w:pPr>
      <w:r>
        <w:t>Tax expenditures for manufacturing and mining</w:t>
      </w:r>
    </w:p>
    <w:p w14:paraId="5C5762C4" w14:textId="77777777" w:rsidR="006E40C9" w:rsidRDefault="006E40C9" w:rsidP="00130689">
      <w:pPr>
        <w:pStyle w:val="Heading4"/>
      </w:pPr>
      <w:r>
        <w:t>H24</w:t>
      </w:r>
      <w:r>
        <w:tab/>
        <w:t>Precious metal</w:t>
      </w:r>
    </w:p>
    <w:p w14:paraId="1F74D8BD" w14:textId="77777777" w:rsidR="006E40C9" w:rsidRDefault="006E40C9" w:rsidP="006E40C9">
      <w:pPr>
        <w:pStyle w:val="MeasureTableHeading"/>
      </w:pPr>
      <w: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5CE41579" w14:textId="77777777">
        <w:trPr>
          <w:cantSplit/>
          <w:jc w:val="center"/>
        </w:trPr>
        <w:tc>
          <w:tcPr>
            <w:tcW w:w="967" w:type="dxa"/>
            <w:tcBorders>
              <w:top w:val="single" w:sz="2" w:space="0" w:color="auto"/>
              <w:bottom w:val="single" w:sz="2" w:space="0" w:color="auto"/>
            </w:tcBorders>
          </w:tcPr>
          <w:p w14:paraId="60AB94D6"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179CF34"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290EC23A"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363DF7B9"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02554715"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1C94A010"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0CCD3878"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37FC15FB" w14:textId="77777777" w:rsidR="006E40C9" w:rsidRDefault="006E40C9">
            <w:pPr>
              <w:pStyle w:val="MeasureTableTextRightAligned"/>
            </w:pPr>
            <w:r>
              <w:t>2027-28</w:t>
            </w:r>
          </w:p>
        </w:tc>
      </w:tr>
      <w:tr w:rsidR="006E40C9" w14:paraId="213F9F04" w14:textId="77777777">
        <w:trPr>
          <w:cantSplit/>
          <w:jc w:val="center"/>
        </w:trPr>
        <w:tc>
          <w:tcPr>
            <w:tcW w:w="967" w:type="dxa"/>
            <w:tcBorders>
              <w:top w:val="single" w:sz="2" w:space="0" w:color="auto"/>
              <w:bottom w:val="single" w:sz="2" w:space="0" w:color="auto"/>
            </w:tcBorders>
          </w:tcPr>
          <w:p w14:paraId="3518B440" w14:textId="77777777" w:rsidR="006E40C9" w:rsidRDefault="006E40C9">
            <w:pPr>
              <w:pStyle w:val="MeasureTableTextRightAligned"/>
            </w:pPr>
            <w:r>
              <w:t>*</w:t>
            </w:r>
          </w:p>
        </w:tc>
        <w:tc>
          <w:tcPr>
            <w:tcW w:w="967" w:type="dxa"/>
            <w:tcBorders>
              <w:top w:val="single" w:sz="2" w:space="0" w:color="auto"/>
              <w:bottom w:val="single" w:sz="2" w:space="0" w:color="auto"/>
            </w:tcBorders>
          </w:tcPr>
          <w:p w14:paraId="0FC7C74E"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7E35BCD2"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6E99BB0C" w14:textId="77777777" w:rsidR="006E40C9" w:rsidRDefault="006E40C9">
            <w:pPr>
              <w:pStyle w:val="MeasureTableTextRightAligned"/>
            </w:pPr>
            <w:r>
              <w:t>*</w:t>
            </w:r>
          </w:p>
        </w:tc>
        <w:tc>
          <w:tcPr>
            <w:tcW w:w="967" w:type="dxa"/>
            <w:tcBorders>
              <w:top w:val="single" w:sz="2" w:space="0" w:color="auto"/>
              <w:bottom w:val="single" w:sz="2" w:space="0" w:color="auto"/>
            </w:tcBorders>
            <w:vAlign w:val="bottom"/>
          </w:tcPr>
          <w:p w14:paraId="1AA9B7D1"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7BFD9B86" w14:textId="77777777" w:rsidR="006E40C9" w:rsidRDefault="006E40C9">
            <w:pPr>
              <w:pStyle w:val="MeasureTableTextRightAligned"/>
            </w:pPr>
            <w:r>
              <w:t>*</w:t>
            </w:r>
          </w:p>
        </w:tc>
        <w:tc>
          <w:tcPr>
            <w:tcW w:w="967" w:type="dxa"/>
            <w:gridSpan w:val="2"/>
            <w:tcBorders>
              <w:top w:val="single" w:sz="2" w:space="0" w:color="auto"/>
              <w:bottom w:val="single" w:sz="2" w:space="0" w:color="auto"/>
            </w:tcBorders>
            <w:vAlign w:val="bottom"/>
          </w:tcPr>
          <w:p w14:paraId="4B445246" w14:textId="77777777" w:rsidR="006E40C9" w:rsidRDefault="006E40C9">
            <w:pPr>
              <w:pStyle w:val="MeasureTableTextRightAligned"/>
            </w:pPr>
            <w:r>
              <w:t>*</w:t>
            </w:r>
          </w:p>
        </w:tc>
        <w:tc>
          <w:tcPr>
            <w:tcW w:w="968" w:type="dxa"/>
            <w:tcBorders>
              <w:top w:val="single" w:sz="2" w:space="0" w:color="auto"/>
              <w:bottom w:val="single" w:sz="2" w:space="0" w:color="auto"/>
            </w:tcBorders>
            <w:vAlign w:val="bottom"/>
          </w:tcPr>
          <w:p w14:paraId="1715252B" w14:textId="77777777" w:rsidR="006E40C9" w:rsidRDefault="006E40C9">
            <w:pPr>
              <w:pStyle w:val="MeasureTableTextRightAligned"/>
            </w:pPr>
            <w:r>
              <w:t>*</w:t>
            </w:r>
          </w:p>
        </w:tc>
      </w:tr>
      <w:tr w:rsidR="006E40C9" w14:paraId="5CFB6004" w14:textId="77777777">
        <w:trPr>
          <w:cantSplit/>
          <w:jc w:val="center"/>
        </w:trPr>
        <w:tc>
          <w:tcPr>
            <w:tcW w:w="1934" w:type="dxa"/>
            <w:gridSpan w:val="2"/>
            <w:tcBorders>
              <w:top w:val="single" w:sz="2" w:space="0" w:color="auto"/>
              <w:bottom w:val="nil"/>
            </w:tcBorders>
          </w:tcPr>
          <w:p w14:paraId="20C41F5E"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1EF4147E" w14:textId="77777777" w:rsidR="006E40C9" w:rsidRDefault="006E40C9">
            <w:pPr>
              <w:pStyle w:val="MeasureTableTextLeftAligned"/>
            </w:pPr>
            <w:r>
              <w:t>Exemption</w:t>
            </w:r>
          </w:p>
        </w:tc>
        <w:tc>
          <w:tcPr>
            <w:tcW w:w="1500" w:type="dxa"/>
            <w:gridSpan w:val="2"/>
            <w:tcBorders>
              <w:top w:val="single" w:sz="2" w:space="0" w:color="auto"/>
              <w:bottom w:val="nil"/>
            </w:tcBorders>
          </w:tcPr>
          <w:p w14:paraId="14C2FA38" w14:textId="07619F08"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17060505" w14:textId="77777777" w:rsidR="006E40C9" w:rsidRDefault="006E40C9">
            <w:pPr>
              <w:pStyle w:val="MeasureTableTextLeftAligned"/>
            </w:pPr>
            <w:r>
              <w:t>H24</w:t>
            </w:r>
          </w:p>
        </w:tc>
      </w:tr>
      <w:tr w:rsidR="006E40C9" w14:paraId="11E7F5D3" w14:textId="77777777">
        <w:trPr>
          <w:cantSplit/>
          <w:jc w:val="center"/>
        </w:trPr>
        <w:tc>
          <w:tcPr>
            <w:tcW w:w="1934" w:type="dxa"/>
            <w:gridSpan w:val="2"/>
            <w:tcBorders>
              <w:top w:val="nil"/>
              <w:bottom w:val="nil"/>
            </w:tcBorders>
          </w:tcPr>
          <w:p w14:paraId="329F5312"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2542964F" w14:textId="77777777" w:rsidR="006E40C9" w:rsidRPr="00584CA7" w:rsidRDefault="006E40C9">
            <w:pPr>
              <w:pStyle w:val="MeasureTableTextLeftAligned"/>
            </w:pPr>
            <w:r>
              <w:t>Not Applicable</w:t>
            </w:r>
          </w:p>
        </w:tc>
        <w:tc>
          <w:tcPr>
            <w:tcW w:w="1500" w:type="dxa"/>
            <w:gridSpan w:val="2"/>
            <w:tcBorders>
              <w:top w:val="nil"/>
              <w:bottom w:val="nil"/>
            </w:tcBorders>
          </w:tcPr>
          <w:p w14:paraId="068D1418" w14:textId="77777777" w:rsidR="006E40C9" w:rsidRDefault="006E40C9">
            <w:pPr>
              <w:pStyle w:val="MeasureTableTextItalic"/>
            </w:pPr>
            <w:r>
              <w:t>* Category</w:t>
            </w:r>
          </w:p>
        </w:tc>
        <w:tc>
          <w:tcPr>
            <w:tcW w:w="1124" w:type="dxa"/>
            <w:gridSpan w:val="2"/>
            <w:tcBorders>
              <w:top w:val="nil"/>
              <w:bottom w:val="nil"/>
            </w:tcBorders>
          </w:tcPr>
          <w:p w14:paraId="6D488374" w14:textId="77777777" w:rsidR="006E40C9" w:rsidRDefault="006E40C9">
            <w:pPr>
              <w:pStyle w:val="MeasureTableTextLeftAligned"/>
            </w:pPr>
            <w:r>
              <w:t>NA</w:t>
            </w:r>
          </w:p>
        </w:tc>
      </w:tr>
      <w:tr w:rsidR="006E40C9" w14:paraId="534422DF" w14:textId="77777777">
        <w:trPr>
          <w:cantSplit/>
          <w:jc w:val="center"/>
        </w:trPr>
        <w:tc>
          <w:tcPr>
            <w:tcW w:w="1934" w:type="dxa"/>
            <w:gridSpan w:val="2"/>
            <w:tcBorders>
              <w:top w:val="nil"/>
              <w:bottom w:val="nil"/>
            </w:tcBorders>
          </w:tcPr>
          <w:p w14:paraId="0ACE5CB9" w14:textId="77777777" w:rsidR="006E40C9" w:rsidRDefault="006E40C9">
            <w:pPr>
              <w:pStyle w:val="MeasureTableTextItalic"/>
            </w:pPr>
            <w:r>
              <w:t>Commencement date:</w:t>
            </w:r>
          </w:p>
        </w:tc>
        <w:tc>
          <w:tcPr>
            <w:tcW w:w="3179" w:type="dxa"/>
            <w:gridSpan w:val="4"/>
            <w:tcBorders>
              <w:top w:val="nil"/>
              <w:bottom w:val="nil"/>
            </w:tcBorders>
          </w:tcPr>
          <w:p w14:paraId="29C7DA1C" w14:textId="77777777" w:rsidR="006E40C9" w:rsidRDefault="006E40C9">
            <w:pPr>
              <w:pStyle w:val="MeasureTableTextLeftAligned"/>
            </w:pPr>
            <w:r>
              <w:t>1 July 2000</w:t>
            </w:r>
          </w:p>
        </w:tc>
        <w:tc>
          <w:tcPr>
            <w:tcW w:w="1500" w:type="dxa"/>
            <w:gridSpan w:val="2"/>
            <w:tcBorders>
              <w:top w:val="nil"/>
              <w:bottom w:val="nil"/>
            </w:tcBorders>
          </w:tcPr>
          <w:p w14:paraId="730720C9" w14:textId="77777777" w:rsidR="006E40C9" w:rsidRPr="00F32057" w:rsidRDefault="006E40C9">
            <w:pPr>
              <w:pStyle w:val="MeasureTableTextItalic"/>
            </w:pPr>
            <w:r>
              <w:t>Expiry date:</w:t>
            </w:r>
          </w:p>
        </w:tc>
        <w:tc>
          <w:tcPr>
            <w:tcW w:w="1124" w:type="dxa"/>
            <w:gridSpan w:val="2"/>
            <w:tcBorders>
              <w:top w:val="nil"/>
              <w:bottom w:val="nil"/>
            </w:tcBorders>
          </w:tcPr>
          <w:p w14:paraId="7381BD32" w14:textId="77777777" w:rsidR="006E40C9" w:rsidRPr="00F32057" w:rsidRDefault="006E40C9">
            <w:pPr>
              <w:pStyle w:val="MeasureTableTextLeftAligned"/>
            </w:pPr>
          </w:p>
        </w:tc>
      </w:tr>
      <w:tr w:rsidR="006E40C9" w14:paraId="38210E50" w14:textId="77777777">
        <w:trPr>
          <w:cantSplit/>
          <w:jc w:val="center"/>
        </w:trPr>
        <w:tc>
          <w:tcPr>
            <w:tcW w:w="1934" w:type="dxa"/>
            <w:gridSpan w:val="2"/>
            <w:tcBorders>
              <w:top w:val="nil"/>
            </w:tcBorders>
          </w:tcPr>
          <w:p w14:paraId="77FA9AA7" w14:textId="77777777" w:rsidR="006E40C9" w:rsidRDefault="006E40C9">
            <w:pPr>
              <w:pStyle w:val="MeasureTableTextItalic"/>
            </w:pPr>
            <w:r>
              <w:t>Legislative reference:</w:t>
            </w:r>
          </w:p>
        </w:tc>
        <w:tc>
          <w:tcPr>
            <w:tcW w:w="5803" w:type="dxa"/>
            <w:gridSpan w:val="8"/>
            <w:tcBorders>
              <w:top w:val="nil"/>
            </w:tcBorders>
          </w:tcPr>
          <w:p w14:paraId="640BEA1C" w14:textId="77777777"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38-L of the </w:t>
            </w:r>
            <w:r>
              <w:rPr>
                <w:rFonts w:ascii="Arial" w:hAnsi="Arial" w:cs="Arial"/>
                <w:i/>
                <w:iCs/>
                <w:color w:val="000000"/>
                <w:sz w:val="16"/>
                <w:szCs w:val="16"/>
              </w:rPr>
              <w:t>A New Tax System (Goods and Services Tax) Act 1999</w:t>
            </w:r>
          </w:p>
        </w:tc>
      </w:tr>
    </w:tbl>
    <w:p w14:paraId="672EDA3E" w14:textId="77777777" w:rsidR="006E40C9" w:rsidRPr="00540040" w:rsidRDefault="006E40C9" w:rsidP="006E40C9">
      <w:pPr>
        <w:pStyle w:val="MeasureTableHeading"/>
      </w:pPr>
    </w:p>
    <w:p w14:paraId="0B776BCC" w14:textId="77777777" w:rsidR="006E40C9" w:rsidRDefault="006E40C9" w:rsidP="006E40C9">
      <w:r>
        <w:t>The benchmark tax treatment is that GST applies at the rate of 10 per cent to most supplies of goods and services. However, the first supply of precious metal</w:t>
      </w:r>
      <w:r>
        <w:fldChar w:fldCharType="begin"/>
      </w:r>
      <w:r>
        <w:instrText xml:space="preserve"> XE "Supply of a precious metal" </w:instrText>
      </w:r>
      <w:r>
        <w:fldChar w:fldCharType="end"/>
      </w:r>
      <w:r>
        <w:t xml:space="preserve"> (after its refining by or on behalf of the supplier) to a precious metal dealer is GST</w:t>
      </w:r>
      <w:r>
        <w:noBreakHyphen/>
        <w:t>free. Any other supply of precious metal is input taxed. The GST</w:t>
      </w:r>
      <w:r>
        <w:noBreakHyphen/>
        <w:t>free treatment of precious metals recognises that precious metal prices are internationally fixed, and dealers cannot pass on the GST on sales they make. Making the initial supply after refining GST</w:t>
      </w:r>
      <w:r>
        <w:noBreakHyphen/>
        <w:t>free is intended to ensure that there is no GST embedded in the price of that sale.</w:t>
      </w:r>
    </w:p>
    <w:p w14:paraId="7F6F1A77" w14:textId="77777777" w:rsidR="006E40C9" w:rsidRDefault="006E40C9" w:rsidP="00D9255A">
      <w:pPr>
        <w:pStyle w:val="Heading3"/>
      </w:pPr>
      <w:r>
        <w:t>Tax expenditures for other economic affairs</w:t>
      </w:r>
    </w:p>
    <w:p w14:paraId="6457519F" w14:textId="77777777" w:rsidR="006E40C9" w:rsidRDefault="006E40C9" w:rsidP="00130689">
      <w:pPr>
        <w:pStyle w:val="Heading4"/>
      </w:pPr>
      <w:r>
        <w:t>H25</w:t>
      </w:r>
      <w:r>
        <w:tab/>
        <w:t>Food</w:t>
      </w:r>
    </w:p>
    <w:p w14:paraId="04E32D7D" w14:textId="193E9040" w:rsidR="006E40C9" w:rsidRDefault="006E40C9" w:rsidP="006E40C9">
      <w:pPr>
        <w:pStyle w:val="MeasureTableHeading"/>
      </w:pPr>
      <w:r>
        <w:t>Other economic affairs</w:t>
      </w:r>
      <w:r w:rsidR="009F5E3D">
        <w:t xml:space="preserve"> – </w:t>
      </w:r>
      <w:r>
        <w:t>Other economic affairs, nec ($m)</w:t>
      </w:r>
    </w:p>
    <w:tbl>
      <w:tblPr>
        <w:tblW w:w="0" w:type="auto"/>
        <w:jc w:val="center"/>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967"/>
        <w:gridCol w:w="967"/>
        <w:gridCol w:w="967"/>
        <w:gridCol w:w="967"/>
        <w:gridCol w:w="967"/>
        <w:gridCol w:w="278"/>
        <w:gridCol w:w="689"/>
        <w:gridCol w:w="811"/>
        <w:gridCol w:w="156"/>
        <w:gridCol w:w="968"/>
      </w:tblGrid>
      <w:tr w:rsidR="006E40C9" w14:paraId="174909AD" w14:textId="77777777">
        <w:trPr>
          <w:cantSplit/>
          <w:jc w:val="center"/>
        </w:trPr>
        <w:tc>
          <w:tcPr>
            <w:tcW w:w="967" w:type="dxa"/>
            <w:tcBorders>
              <w:top w:val="single" w:sz="2" w:space="0" w:color="auto"/>
              <w:bottom w:val="single" w:sz="2" w:space="0" w:color="auto"/>
            </w:tcBorders>
          </w:tcPr>
          <w:p w14:paraId="1A54B708" w14:textId="77777777" w:rsidR="006E40C9" w:rsidRDefault="006E40C9">
            <w:pPr>
              <w:pStyle w:val="MeasureTableTextRightAligned"/>
            </w:pPr>
            <w:r>
              <w:t>2020-21</w:t>
            </w:r>
          </w:p>
        </w:tc>
        <w:tc>
          <w:tcPr>
            <w:tcW w:w="967" w:type="dxa"/>
            <w:tcBorders>
              <w:top w:val="single" w:sz="2" w:space="0" w:color="auto"/>
              <w:bottom w:val="single" w:sz="2" w:space="0" w:color="auto"/>
            </w:tcBorders>
          </w:tcPr>
          <w:p w14:paraId="3EFE5E3C" w14:textId="77777777" w:rsidR="006E40C9" w:rsidRDefault="006E40C9">
            <w:pPr>
              <w:pStyle w:val="MeasureTableTextRightAligned"/>
            </w:pPr>
            <w:r>
              <w:t>2021-22</w:t>
            </w:r>
          </w:p>
        </w:tc>
        <w:tc>
          <w:tcPr>
            <w:tcW w:w="967" w:type="dxa"/>
            <w:tcBorders>
              <w:top w:val="single" w:sz="2" w:space="0" w:color="auto"/>
              <w:bottom w:val="single" w:sz="2" w:space="0" w:color="auto"/>
            </w:tcBorders>
          </w:tcPr>
          <w:p w14:paraId="3F7203B5" w14:textId="77777777" w:rsidR="006E40C9" w:rsidRDefault="006E40C9">
            <w:pPr>
              <w:pStyle w:val="MeasureTableTextRightAligned"/>
            </w:pPr>
            <w:r>
              <w:t>2022-23</w:t>
            </w:r>
          </w:p>
        </w:tc>
        <w:tc>
          <w:tcPr>
            <w:tcW w:w="967" w:type="dxa"/>
            <w:tcBorders>
              <w:top w:val="single" w:sz="2" w:space="0" w:color="auto"/>
              <w:bottom w:val="single" w:sz="2" w:space="0" w:color="auto"/>
            </w:tcBorders>
          </w:tcPr>
          <w:p w14:paraId="1404FD6A" w14:textId="77777777" w:rsidR="006E40C9" w:rsidRDefault="006E40C9">
            <w:pPr>
              <w:pStyle w:val="MeasureTableTextRightAligned"/>
            </w:pPr>
            <w:r>
              <w:t>2023-24</w:t>
            </w:r>
          </w:p>
        </w:tc>
        <w:tc>
          <w:tcPr>
            <w:tcW w:w="967" w:type="dxa"/>
            <w:tcBorders>
              <w:top w:val="single" w:sz="2" w:space="0" w:color="auto"/>
              <w:bottom w:val="single" w:sz="2" w:space="0" w:color="auto"/>
            </w:tcBorders>
          </w:tcPr>
          <w:p w14:paraId="1E7A8A00" w14:textId="77777777" w:rsidR="006E40C9" w:rsidRDefault="006E40C9">
            <w:pPr>
              <w:pStyle w:val="MeasureTableTextRightAligned"/>
            </w:pPr>
            <w:r>
              <w:t>2024-25</w:t>
            </w:r>
          </w:p>
        </w:tc>
        <w:tc>
          <w:tcPr>
            <w:tcW w:w="967" w:type="dxa"/>
            <w:gridSpan w:val="2"/>
            <w:tcBorders>
              <w:top w:val="single" w:sz="2" w:space="0" w:color="auto"/>
              <w:bottom w:val="single" w:sz="2" w:space="0" w:color="auto"/>
            </w:tcBorders>
          </w:tcPr>
          <w:p w14:paraId="5E0CE835" w14:textId="77777777" w:rsidR="006E40C9" w:rsidRDefault="006E40C9">
            <w:pPr>
              <w:pStyle w:val="MeasureTableTextRightAligned"/>
            </w:pPr>
            <w:r>
              <w:t>2025-26</w:t>
            </w:r>
          </w:p>
        </w:tc>
        <w:tc>
          <w:tcPr>
            <w:tcW w:w="967" w:type="dxa"/>
            <w:gridSpan w:val="2"/>
            <w:tcBorders>
              <w:top w:val="single" w:sz="2" w:space="0" w:color="auto"/>
              <w:bottom w:val="single" w:sz="2" w:space="0" w:color="auto"/>
            </w:tcBorders>
          </w:tcPr>
          <w:p w14:paraId="30351AA9" w14:textId="77777777" w:rsidR="006E40C9" w:rsidRDefault="006E40C9">
            <w:pPr>
              <w:pStyle w:val="MeasureTableTextRightAligned"/>
            </w:pPr>
            <w:r>
              <w:t>2026-27</w:t>
            </w:r>
          </w:p>
        </w:tc>
        <w:tc>
          <w:tcPr>
            <w:tcW w:w="968" w:type="dxa"/>
            <w:tcBorders>
              <w:top w:val="single" w:sz="2" w:space="0" w:color="auto"/>
              <w:bottom w:val="single" w:sz="2" w:space="0" w:color="auto"/>
            </w:tcBorders>
          </w:tcPr>
          <w:p w14:paraId="004CA455" w14:textId="77777777" w:rsidR="006E40C9" w:rsidRDefault="006E40C9">
            <w:pPr>
              <w:pStyle w:val="MeasureTableTextRightAligned"/>
            </w:pPr>
            <w:r>
              <w:t>2027-28</w:t>
            </w:r>
          </w:p>
        </w:tc>
      </w:tr>
      <w:tr w:rsidR="006E40C9" w14:paraId="083D28E9" w14:textId="77777777">
        <w:trPr>
          <w:cantSplit/>
          <w:jc w:val="center"/>
        </w:trPr>
        <w:tc>
          <w:tcPr>
            <w:tcW w:w="967" w:type="dxa"/>
            <w:tcBorders>
              <w:top w:val="single" w:sz="2" w:space="0" w:color="auto"/>
              <w:bottom w:val="single" w:sz="2" w:space="0" w:color="auto"/>
            </w:tcBorders>
          </w:tcPr>
          <w:p w14:paraId="6804FF8C" w14:textId="77777777" w:rsidR="006E40C9" w:rsidRDefault="006E40C9">
            <w:pPr>
              <w:pStyle w:val="MeasureTableTextRightAligned"/>
            </w:pPr>
            <w:r>
              <w:t>7,700</w:t>
            </w:r>
          </w:p>
        </w:tc>
        <w:tc>
          <w:tcPr>
            <w:tcW w:w="967" w:type="dxa"/>
            <w:tcBorders>
              <w:top w:val="single" w:sz="2" w:space="0" w:color="auto"/>
              <w:bottom w:val="single" w:sz="2" w:space="0" w:color="auto"/>
            </w:tcBorders>
          </w:tcPr>
          <w:p w14:paraId="22CC93EE" w14:textId="77777777" w:rsidR="006E40C9" w:rsidRDefault="006E40C9">
            <w:pPr>
              <w:pStyle w:val="MeasureTableTextRightAligned"/>
            </w:pPr>
            <w:r>
              <w:t>8,200</w:t>
            </w:r>
          </w:p>
        </w:tc>
        <w:tc>
          <w:tcPr>
            <w:tcW w:w="967" w:type="dxa"/>
            <w:tcBorders>
              <w:top w:val="single" w:sz="2" w:space="0" w:color="auto"/>
              <w:bottom w:val="single" w:sz="2" w:space="0" w:color="auto"/>
            </w:tcBorders>
            <w:vAlign w:val="bottom"/>
          </w:tcPr>
          <w:p w14:paraId="1D53D6FF" w14:textId="77777777" w:rsidR="006E40C9" w:rsidRDefault="006E40C9">
            <w:pPr>
              <w:pStyle w:val="MeasureTableTextRightAligned"/>
            </w:pPr>
            <w:r>
              <w:t>8,900</w:t>
            </w:r>
          </w:p>
        </w:tc>
        <w:tc>
          <w:tcPr>
            <w:tcW w:w="967" w:type="dxa"/>
            <w:tcBorders>
              <w:top w:val="single" w:sz="2" w:space="0" w:color="auto"/>
              <w:bottom w:val="single" w:sz="2" w:space="0" w:color="auto"/>
            </w:tcBorders>
            <w:vAlign w:val="bottom"/>
          </w:tcPr>
          <w:p w14:paraId="346BBDB1" w14:textId="77777777" w:rsidR="006E40C9" w:rsidRDefault="006E40C9">
            <w:pPr>
              <w:pStyle w:val="MeasureTableTextRightAligned"/>
            </w:pPr>
            <w:r>
              <w:t>9,200</w:t>
            </w:r>
          </w:p>
        </w:tc>
        <w:tc>
          <w:tcPr>
            <w:tcW w:w="967" w:type="dxa"/>
            <w:tcBorders>
              <w:top w:val="single" w:sz="2" w:space="0" w:color="auto"/>
              <w:bottom w:val="single" w:sz="2" w:space="0" w:color="auto"/>
            </w:tcBorders>
            <w:vAlign w:val="bottom"/>
          </w:tcPr>
          <w:p w14:paraId="24590CF7" w14:textId="77777777" w:rsidR="006E40C9" w:rsidRDefault="006E40C9">
            <w:pPr>
              <w:pStyle w:val="MeasureTableTextRightAligned"/>
            </w:pPr>
            <w:r>
              <w:t>9,500</w:t>
            </w:r>
          </w:p>
        </w:tc>
        <w:tc>
          <w:tcPr>
            <w:tcW w:w="967" w:type="dxa"/>
            <w:gridSpan w:val="2"/>
            <w:tcBorders>
              <w:top w:val="single" w:sz="2" w:space="0" w:color="auto"/>
              <w:bottom w:val="single" w:sz="2" w:space="0" w:color="auto"/>
            </w:tcBorders>
            <w:vAlign w:val="bottom"/>
          </w:tcPr>
          <w:p w14:paraId="07531528" w14:textId="77777777" w:rsidR="006E40C9" w:rsidRDefault="006E40C9">
            <w:pPr>
              <w:pStyle w:val="MeasureTableTextRightAligned"/>
            </w:pPr>
            <w:r>
              <w:t>9,900</w:t>
            </w:r>
          </w:p>
        </w:tc>
        <w:tc>
          <w:tcPr>
            <w:tcW w:w="967" w:type="dxa"/>
            <w:gridSpan w:val="2"/>
            <w:tcBorders>
              <w:top w:val="single" w:sz="2" w:space="0" w:color="auto"/>
              <w:bottom w:val="single" w:sz="2" w:space="0" w:color="auto"/>
            </w:tcBorders>
            <w:vAlign w:val="bottom"/>
          </w:tcPr>
          <w:p w14:paraId="195F6691" w14:textId="77777777" w:rsidR="006E40C9" w:rsidRDefault="006E40C9">
            <w:pPr>
              <w:pStyle w:val="MeasureTableTextRightAligned"/>
            </w:pPr>
            <w:r>
              <w:t>10,200</w:t>
            </w:r>
          </w:p>
        </w:tc>
        <w:tc>
          <w:tcPr>
            <w:tcW w:w="968" w:type="dxa"/>
            <w:tcBorders>
              <w:top w:val="single" w:sz="2" w:space="0" w:color="auto"/>
              <w:bottom w:val="single" w:sz="2" w:space="0" w:color="auto"/>
            </w:tcBorders>
            <w:vAlign w:val="bottom"/>
          </w:tcPr>
          <w:p w14:paraId="7BEE83A4" w14:textId="77777777" w:rsidR="006E40C9" w:rsidRDefault="006E40C9">
            <w:pPr>
              <w:pStyle w:val="MeasureTableTextRightAligned"/>
            </w:pPr>
            <w:r>
              <w:t>10,600</w:t>
            </w:r>
          </w:p>
        </w:tc>
      </w:tr>
      <w:tr w:rsidR="006E40C9" w14:paraId="409C963D" w14:textId="77777777">
        <w:trPr>
          <w:cantSplit/>
          <w:jc w:val="center"/>
        </w:trPr>
        <w:tc>
          <w:tcPr>
            <w:tcW w:w="1934" w:type="dxa"/>
            <w:gridSpan w:val="2"/>
            <w:tcBorders>
              <w:top w:val="single" w:sz="2" w:space="0" w:color="auto"/>
              <w:bottom w:val="nil"/>
            </w:tcBorders>
          </w:tcPr>
          <w:p w14:paraId="2D572FB6" w14:textId="77777777" w:rsidR="006E40C9" w:rsidRDefault="006E40C9">
            <w:pPr>
              <w:pStyle w:val="MeasureTableTextItalic"/>
            </w:pPr>
            <w:r>
              <w:t>Tax expenditure type:</w:t>
            </w:r>
          </w:p>
        </w:tc>
        <w:tc>
          <w:tcPr>
            <w:tcW w:w="3179" w:type="dxa"/>
            <w:gridSpan w:val="4"/>
            <w:tcBorders>
              <w:top w:val="single" w:sz="2" w:space="0" w:color="auto"/>
              <w:bottom w:val="nil"/>
            </w:tcBorders>
          </w:tcPr>
          <w:p w14:paraId="04CE3462" w14:textId="77777777" w:rsidR="006E40C9" w:rsidRDefault="006E40C9">
            <w:pPr>
              <w:pStyle w:val="MeasureTableTextLeftAligned"/>
            </w:pPr>
            <w:r>
              <w:t>Exemption</w:t>
            </w:r>
          </w:p>
        </w:tc>
        <w:tc>
          <w:tcPr>
            <w:tcW w:w="1500" w:type="dxa"/>
            <w:gridSpan w:val="2"/>
            <w:tcBorders>
              <w:top w:val="single" w:sz="2" w:space="0" w:color="auto"/>
              <w:bottom w:val="nil"/>
            </w:tcBorders>
          </w:tcPr>
          <w:p w14:paraId="75BC5037" w14:textId="7E97034C" w:rsidR="006E40C9" w:rsidRDefault="00A43AF4">
            <w:pPr>
              <w:pStyle w:val="MeasureTableTextItalic"/>
            </w:pPr>
            <w:r>
              <w:t>2023-24</w:t>
            </w:r>
            <w:r w:rsidR="006E40C9">
              <w:t xml:space="preserve"> code:</w:t>
            </w:r>
          </w:p>
        </w:tc>
        <w:tc>
          <w:tcPr>
            <w:tcW w:w="1124" w:type="dxa"/>
            <w:gridSpan w:val="2"/>
            <w:tcBorders>
              <w:top w:val="single" w:sz="2" w:space="0" w:color="auto"/>
              <w:bottom w:val="nil"/>
            </w:tcBorders>
          </w:tcPr>
          <w:p w14:paraId="545E4C29" w14:textId="77777777" w:rsidR="006E40C9" w:rsidRDefault="006E40C9">
            <w:pPr>
              <w:pStyle w:val="MeasureTableTextLeftAligned"/>
            </w:pPr>
            <w:r>
              <w:t>H25</w:t>
            </w:r>
          </w:p>
        </w:tc>
      </w:tr>
      <w:tr w:rsidR="006E40C9" w14:paraId="1FC996AB" w14:textId="77777777">
        <w:trPr>
          <w:cantSplit/>
          <w:jc w:val="center"/>
        </w:trPr>
        <w:tc>
          <w:tcPr>
            <w:tcW w:w="1934" w:type="dxa"/>
            <w:gridSpan w:val="2"/>
            <w:tcBorders>
              <w:top w:val="nil"/>
              <w:bottom w:val="nil"/>
            </w:tcBorders>
          </w:tcPr>
          <w:p w14:paraId="523C77BA" w14:textId="77777777" w:rsidR="006E40C9" w:rsidRPr="00584CA7" w:rsidRDefault="006E40C9">
            <w:pPr>
              <w:pStyle w:val="MeasureTableTextItalic"/>
            </w:pPr>
            <w:r>
              <w:t xml:space="preserve">Estimate </w:t>
            </w:r>
            <w:r w:rsidRPr="00584CA7">
              <w:t>Reliabilit</w:t>
            </w:r>
            <w:r>
              <w:t>y:</w:t>
            </w:r>
          </w:p>
        </w:tc>
        <w:tc>
          <w:tcPr>
            <w:tcW w:w="3179" w:type="dxa"/>
            <w:gridSpan w:val="4"/>
            <w:tcBorders>
              <w:top w:val="nil"/>
              <w:bottom w:val="nil"/>
            </w:tcBorders>
          </w:tcPr>
          <w:p w14:paraId="74CA050A" w14:textId="77777777" w:rsidR="006E40C9" w:rsidRPr="00584CA7" w:rsidRDefault="006E40C9">
            <w:pPr>
              <w:pStyle w:val="MeasureTableTextLeftAligned"/>
            </w:pPr>
            <w:r>
              <w:t>Medium</w:t>
            </w:r>
          </w:p>
        </w:tc>
        <w:tc>
          <w:tcPr>
            <w:tcW w:w="1500" w:type="dxa"/>
            <w:gridSpan w:val="2"/>
            <w:tcBorders>
              <w:top w:val="nil"/>
              <w:bottom w:val="nil"/>
            </w:tcBorders>
          </w:tcPr>
          <w:p w14:paraId="0530551C" w14:textId="77777777" w:rsidR="006E40C9" w:rsidRDefault="006E40C9">
            <w:pPr>
              <w:pStyle w:val="MeasureTableTextItalic"/>
            </w:pPr>
          </w:p>
        </w:tc>
        <w:tc>
          <w:tcPr>
            <w:tcW w:w="1124" w:type="dxa"/>
            <w:gridSpan w:val="2"/>
            <w:tcBorders>
              <w:top w:val="nil"/>
              <w:bottom w:val="nil"/>
            </w:tcBorders>
          </w:tcPr>
          <w:p w14:paraId="2A3DCC0B" w14:textId="77777777" w:rsidR="006E40C9" w:rsidRDefault="006E40C9">
            <w:pPr>
              <w:pStyle w:val="MeasureTableTextLeftAligned"/>
            </w:pPr>
          </w:p>
        </w:tc>
      </w:tr>
      <w:tr w:rsidR="006E40C9" w14:paraId="17565995" w14:textId="77777777">
        <w:trPr>
          <w:cantSplit/>
          <w:jc w:val="center"/>
        </w:trPr>
        <w:tc>
          <w:tcPr>
            <w:tcW w:w="1934" w:type="dxa"/>
            <w:gridSpan w:val="2"/>
            <w:tcBorders>
              <w:top w:val="nil"/>
              <w:bottom w:val="nil"/>
            </w:tcBorders>
          </w:tcPr>
          <w:p w14:paraId="13A5DB57" w14:textId="77777777" w:rsidR="006E40C9" w:rsidRDefault="006E40C9">
            <w:pPr>
              <w:pStyle w:val="MeasureTableTextItalic"/>
            </w:pPr>
            <w:r>
              <w:t>Commencement date:</w:t>
            </w:r>
          </w:p>
        </w:tc>
        <w:tc>
          <w:tcPr>
            <w:tcW w:w="3179" w:type="dxa"/>
            <w:gridSpan w:val="4"/>
            <w:tcBorders>
              <w:top w:val="nil"/>
              <w:bottom w:val="nil"/>
            </w:tcBorders>
          </w:tcPr>
          <w:p w14:paraId="5CDC5B71" w14:textId="77777777" w:rsidR="006E40C9" w:rsidRDefault="006E40C9">
            <w:pPr>
              <w:pStyle w:val="MeasureTableTextLeftAligned"/>
            </w:pPr>
            <w:r>
              <w:t>1 July 2000</w:t>
            </w:r>
          </w:p>
        </w:tc>
        <w:tc>
          <w:tcPr>
            <w:tcW w:w="1500" w:type="dxa"/>
            <w:gridSpan w:val="2"/>
            <w:tcBorders>
              <w:top w:val="nil"/>
              <w:bottom w:val="nil"/>
            </w:tcBorders>
          </w:tcPr>
          <w:p w14:paraId="0CACD8CB" w14:textId="77777777" w:rsidR="006E40C9" w:rsidRPr="00F32057" w:rsidRDefault="006E40C9">
            <w:pPr>
              <w:pStyle w:val="MeasureTableTextItalic"/>
            </w:pPr>
            <w:r>
              <w:t>Expiry date:</w:t>
            </w:r>
          </w:p>
        </w:tc>
        <w:tc>
          <w:tcPr>
            <w:tcW w:w="1124" w:type="dxa"/>
            <w:gridSpan w:val="2"/>
            <w:tcBorders>
              <w:top w:val="nil"/>
              <w:bottom w:val="nil"/>
            </w:tcBorders>
          </w:tcPr>
          <w:p w14:paraId="5E0595F2" w14:textId="77777777" w:rsidR="006E40C9" w:rsidRPr="00F32057" w:rsidRDefault="006E40C9">
            <w:pPr>
              <w:pStyle w:val="MeasureTableTextLeftAligned"/>
            </w:pPr>
          </w:p>
        </w:tc>
      </w:tr>
      <w:tr w:rsidR="006E40C9" w14:paraId="0DAE65F7" w14:textId="77777777">
        <w:trPr>
          <w:cantSplit/>
          <w:jc w:val="center"/>
        </w:trPr>
        <w:tc>
          <w:tcPr>
            <w:tcW w:w="1934" w:type="dxa"/>
            <w:gridSpan w:val="2"/>
            <w:tcBorders>
              <w:top w:val="nil"/>
            </w:tcBorders>
          </w:tcPr>
          <w:p w14:paraId="66B7557C" w14:textId="77777777" w:rsidR="006E40C9" w:rsidRDefault="006E40C9">
            <w:pPr>
              <w:pStyle w:val="MeasureTableTextItalic"/>
            </w:pPr>
            <w:r>
              <w:t>Legislative reference:</w:t>
            </w:r>
          </w:p>
        </w:tc>
        <w:tc>
          <w:tcPr>
            <w:tcW w:w="5803" w:type="dxa"/>
            <w:gridSpan w:val="8"/>
            <w:tcBorders>
              <w:top w:val="nil"/>
            </w:tcBorders>
          </w:tcPr>
          <w:p w14:paraId="22576445" w14:textId="5FAF5183" w:rsidR="006E40C9" w:rsidRPr="00F32057" w:rsidRDefault="006E40C9">
            <w:pPr>
              <w:widowControl w:val="0"/>
              <w:autoSpaceDE w:val="0"/>
              <w:autoSpaceDN w:val="0"/>
              <w:adjustRightInd w:val="0"/>
              <w:spacing w:after="0" w:line="240" w:lineRule="auto"/>
            </w:pPr>
            <w:r>
              <w:rPr>
                <w:rFonts w:ascii="Arial" w:hAnsi="Arial" w:cs="Arial"/>
                <w:color w:val="000000"/>
                <w:sz w:val="16"/>
                <w:szCs w:val="16"/>
              </w:rPr>
              <w:t xml:space="preserve">Subdivision 38-A of the </w:t>
            </w:r>
            <w:r>
              <w:rPr>
                <w:rFonts w:ascii="Arial" w:hAnsi="Arial" w:cs="Arial"/>
                <w:i/>
                <w:iCs/>
                <w:color w:val="000000"/>
                <w:sz w:val="16"/>
                <w:szCs w:val="16"/>
              </w:rPr>
              <w:t>A New Tax System (Goods and Services Tax) Act 1999</w:t>
            </w:r>
          </w:p>
        </w:tc>
      </w:tr>
    </w:tbl>
    <w:p w14:paraId="768A5F5D" w14:textId="77777777" w:rsidR="006E40C9" w:rsidRPr="00540040" w:rsidRDefault="006E40C9" w:rsidP="006E40C9">
      <w:pPr>
        <w:pStyle w:val="MeasureTableHeading"/>
      </w:pPr>
    </w:p>
    <w:p w14:paraId="35795A30" w14:textId="77777777" w:rsidR="006E40C9" w:rsidRDefault="006E40C9" w:rsidP="006E40C9">
      <w:r>
        <w:t>The benchmark tax treatment is that GST applies at the rate of 10 per cent to most supplies of goods and services. Most staples and basic foods</w:t>
      </w:r>
      <w:r>
        <w:fldChar w:fldCharType="begin"/>
      </w:r>
      <w:r>
        <w:instrText xml:space="preserve"> XE "Food" </w:instrText>
      </w:r>
      <w:r>
        <w:fldChar w:fldCharType="end"/>
      </w:r>
      <w:r>
        <w:t xml:space="preserve"> are GST</w:t>
      </w:r>
      <w:r>
        <w:noBreakHyphen/>
        <w:t>free. Examples of GST</w:t>
      </w:r>
      <w:r>
        <w:noBreakHyphen/>
        <w:t>free food include fresh fruit and vegetables, fish, dairy products, bread and meat. Examples of GST</w:t>
      </w:r>
      <w:r>
        <w:noBreakHyphen/>
        <w:t>free beverages include unflavoured milk products, tea, coffee, water and fruit juices. Food and beverages subject to GST include: restaurant and takeaway meals, confectionary, savoury snacks, ice cream, biscuits and soft drinks.</w:t>
      </w:r>
      <w:r>
        <w:fldChar w:fldCharType="begin"/>
      </w:r>
      <w:r>
        <w:instrText xml:space="preserve"> XE "Goods and Services Tax:Food" </w:instrText>
      </w:r>
      <w:r>
        <w:fldChar w:fldCharType="end"/>
      </w:r>
    </w:p>
    <w:p w14:paraId="1946EE67" w14:textId="17C1DA62" w:rsidR="006E40C9" w:rsidRPr="00224433" w:rsidRDefault="00E14231" w:rsidP="00301F8A">
      <w:pPr>
        <w:spacing w:after="0" w:line="240" w:lineRule="auto"/>
        <w:jc w:val="left"/>
      </w:pPr>
      <w:r>
        <w:br w:type="page"/>
      </w:r>
    </w:p>
    <w:p w14:paraId="12A01893" w14:textId="58672F00" w:rsidR="002B5795" w:rsidRPr="00273AA1" w:rsidRDefault="002B5795" w:rsidP="002B5795">
      <w:pPr>
        <w:pStyle w:val="Heading2-notnumbered"/>
      </w:pPr>
      <w:bookmarkStart w:id="97" w:name="_Toc184287666"/>
      <w:r w:rsidRPr="00273AA1">
        <w:t>A.2</w:t>
      </w:r>
      <w:r w:rsidRPr="00273AA1">
        <w:tab/>
        <w:t>Benchmarks</w:t>
      </w:r>
      <w:bookmarkEnd w:id="74"/>
      <w:bookmarkEnd w:id="97"/>
    </w:p>
    <w:p w14:paraId="22DB7068" w14:textId="31FBDB14" w:rsidR="002B5795" w:rsidRPr="00273AA1" w:rsidRDefault="002B5795" w:rsidP="002B5795">
      <w:r w:rsidRPr="00273AA1">
        <w:t>Benchmarks represent a standard taxation treatment that applies to similar taxpayers or types of activity. Benchmarks may also incorporate structural elements of the tax system</w:t>
      </w:r>
      <w:r w:rsidR="00B91A46">
        <w:t>,</w:t>
      </w:r>
      <w:r w:rsidRPr="00273AA1">
        <w:t xml:space="preserve"> for example, the progressive income tax rate scale for individual taxpayers.</w:t>
      </w:r>
    </w:p>
    <w:p w14:paraId="577417AD" w14:textId="77777777" w:rsidR="002B5795" w:rsidRPr="00273AA1" w:rsidRDefault="002B5795" w:rsidP="002B5795">
      <w:r w:rsidRPr="00273AA1">
        <w:t xml:space="preserve">Determining benchmarks involves judgment. Consequently, the choice of benchmark may be contentious and benchmarks may vary over time. The choice of benchmark should not be interpreted as indicating a view on how an activity or taxpayer ought to be taxed. </w:t>
      </w:r>
    </w:p>
    <w:p w14:paraId="1BBD3625" w14:textId="77777777" w:rsidR="002B5795" w:rsidRPr="00273AA1" w:rsidRDefault="002B5795" w:rsidP="002B5795">
      <w:r w:rsidRPr="00273AA1">
        <w:t>Broadly, benchmarks comprise the following elements:</w:t>
      </w:r>
    </w:p>
    <w:p w14:paraId="44D2EB4E" w14:textId="77777777" w:rsidR="002B5795" w:rsidRPr="00273AA1" w:rsidRDefault="002B5795" w:rsidP="002B5795">
      <w:pPr>
        <w:pStyle w:val="Bullet"/>
      </w:pPr>
      <w:r w:rsidRPr="00273AA1">
        <w:t>the tax base – the activities or transactions subject to the tax</w:t>
      </w:r>
    </w:p>
    <w:p w14:paraId="6A99DC36" w14:textId="77777777" w:rsidR="002B5795" w:rsidRPr="00273AA1" w:rsidRDefault="002B5795" w:rsidP="002B5795">
      <w:pPr>
        <w:pStyle w:val="Bullet"/>
      </w:pPr>
      <w:r w:rsidRPr="00273AA1">
        <w:t>the tax rate – the rate of tax that applies to the base</w:t>
      </w:r>
    </w:p>
    <w:p w14:paraId="2BA1EB65" w14:textId="77777777" w:rsidR="002B5795" w:rsidRPr="00273AA1" w:rsidRDefault="002B5795" w:rsidP="002B5795">
      <w:pPr>
        <w:pStyle w:val="Bullet"/>
      </w:pPr>
      <w:r w:rsidRPr="00273AA1">
        <w:t>the tax unit – the entity liable to pay the tax</w:t>
      </w:r>
    </w:p>
    <w:p w14:paraId="7DD04B1E" w14:textId="77777777" w:rsidR="002B5795" w:rsidRPr="00273AA1" w:rsidRDefault="002B5795" w:rsidP="002B5795">
      <w:pPr>
        <w:pStyle w:val="Bullet"/>
      </w:pPr>
      <w:r w:rsidRPr="00273AA1">
        <w:t>the tax period – the period in which the activities or transactions are undertaken.</w:t>
      </w:r>
    </w:p>
    <w:p w14:paraId="3ADEBE67" w14:textId="6122E8E8" w:rsidR="002B5795" w:rsidRPr="00273AA1" w:rsidRDefault="002B5795" w:rsidP="00D9255A">
      <w:pPr>
        <w:pStyle w:val="Heading3"/>
      </w:pPr>
      <w:bookmarkStart w:id="98" w:name="_Toc126935245"/>
      <w:bookmarkStart w:id="99" w:name="_Toc126937426"/>
      <w:bookmarkStart w:id="100" w:name="_Toc127197673"/>
      <w:bookmarkStart w:id="101" w:name="_Toc127454005"/>
      <w:bookmarkStart w:id="102" w:name="_Toc127819487"/>
      <w:bookmarkStart w:id="103" w:name="_Toc127902487"/>
      <w:bookmarkStart w:id="104" w:name="_Toc155788980"/>
      <w:bookmarkStart w:id="105" w:name="_Toc155803445"/>
      <w:bookmarkStart w:id="106" w:name="_Toc156384995"/>
      <w:bookmarkStart w:id="107" w:name="_Toc156386280"/>
      <w:bookmarkStart w:id="108" w:name="_Toc183078461"/>
      <w:bookmarkStart w:id="109" w:name="_Toc183710300"/>
      <w:bookmarkStart w:id="110" w:name="_Toc679124107"/>
      <w:bookmarkStart w:id="111" w:name="_Toc1333360488"/>
      <w:bookmarkStart w:id="112" w:name="_Toc1609039751"/>
      <w:r w:rsidRPr="00273AA1">
        <w:t>Income tax benchmark</w:t>
      </w:r>
      <w:bookmarkEnd w:id="98"/>
      <w:bookmarkEnd w:id="99"/>
      <w:bookmarkEnd w:id="100"/>
      <w:bookmarkEnd w:id="101"/>
      <w:bookmarkEnd w:id="102"/>
      <w:bookmarkEnd w:id="103"/>
      <w:bookmarkEnd w:id="104"/>
      <w:bookmarkEnd w:id="105"/>
      <w:bookmarkEnd w:id="106"/>
      <w:bookmarkEnd w:id="107"/>
      <w:bookmarkEnd w:id="108"/>
      <w:bookmarkEnd w:id="109"/>
      <w:r w:rsidRPr="00273AA1">
        <w:t xml:space="preserve"> </w:t>
      </w:r>
      <w:bookmarkEnd w:id="110"/>
      <w:bookmarkEnd w:id="111"/>
      <w:bookmarkEnd w:id="112"/>
    </w:p>
    <w:p w14:paraId="0E3B3CAE" w14:textId="51235770" w:rsidR="002B5795" w:rsidRPr="00CF6E19" w:rsidRDefault="002B5795" w:rsidP="00CF6E19">
      <w:pPr>
        <w:spacing w:before="120" w:after="120" w:line="240" w:lineRule="auto"/>
      </w:pPr>
      <w:r w:rsidRPr="00CF6E19">
        <w:t>The starting point for defining the income tax benchmark is the Schanz</w:t>
      </w:r>
      <w:r w:rsidRPr="00CF6E19">
        <w:noBreakHyphen/>
        <w:t>Haig</w:t>
      </w:r>
      <w:r w:rsidRPr="00CF6E19">
        <w:noBreakHyphen/>
        <w:t xml:space="preserve">Simons (SHS) definition of income. Under this definition, income is equal to the increase in an entity’s economic wealth (stock of assets) between </w:t>
      </w:r>
      <w:r w:rsidR="00067F81" w:rsidRPr="00CF6E19">
        <w:t xml:space="preserve">2 </w:t>
      </w:r>
      <w:r w:rsidRPr="00CF6E19">
        <w:t>points in time plus the entity’s consumption in that period. Consumption includes all expenditures except those incurred in earning or producing income.</w:t>
      </w:r>
    </w:p>
    <w:p w14:paraId="119388B9" w14:textId="77777777" w:rsidR="002B5795" w:rsidRPr="00CF6E19" w:rsidRDefault="002B5795" w:rsidP="00CF6E19">
      <w:pPr>
        <w:spacing w:before="120" w:after="120" w:line="240" w:lineRule="auto"/>
      </w:pPr>
      <w:r w:rsidRPr="00CF6E19">
        <w:t>However, the income tax benchmark departs from the SHS definition of income in places – for example, it does not include unrealised capital gains. The benchmark also incorporates features of the tax system not addressed by the SHS definition – for example, the progressive personal tax rate scale, which is included in the benchmark as it is considered to be a structural feature of the tax system.</w:t>
      </w:r>
    </w:p>
    <w:p w14:paraId="63F0ECCF" w14:textId="7013BB13" w:rsidR="002B5795" w:rsidRPr="00273AA1" w:rsidRDefault="002B5795" w:rsidP="00D9255A">
      <w:pPr>
        <w:pStyle w:val="Heading4"/>
      </w:pPr>
      <w:r w:rsidRPr="00273AA1">
        <w:t>Tax base</w:t>
      </w:r>
    </w:p>
    <w:p w14:paraId="2CB9A59B" w14:textId="77777777" w:rsidR="002B5795" w:rsidRPr="00CF6E19" w:rsidRDefault="002B5795" w:rsidP="00CF6E19">
      <w:pPr>
        <w:spacing w:before="120" w:after="120" w:line="240" w:lineRule="auto"/>
      </w:pPr>
      <w:r w:rsidRPr="00CF6E19">
        <w:t>Under the income tax benchmark, income includes:</w:t>
      </w:r>
    </w:p>
    <w:p w14:paraId="6912EE11" w14:textId="77777777" w:rsidR="002B5795" w:rsidRPr="00273AA1" w:rsidRDefault="002B5795" w:rsidP="002B5795">
      <w:pPr>
        <w:pStyle w:val="Bullet"/>
      </w:pPr>
      <w:r w:rsidRPr="00273AA1">
        <w:t>wages and salaries</w:t>
      </w:r>
    </w:p>
    <w:p w14:paraId="1643FC50" w14:textId="77777777" w:rsidR="002B5795" w:rsidRPr="00273AA1" w:rsidRDefault="002B5795" w:rsidP="002B5795">
      <w:pPr>
        <w:pStyle w:val="Bullet"/>
      </w:pPr>
      <w:r w:rsidRPr="00273AA1">
        <w:t>allowances</w:t>
      </w:r>
    </w:p>
    <w:p w14:paraId="49333F63" w14:textId="77777777" w:rsidR="002B5795" w:rsidRPr="00273AA1" w:rsidRDefault="002B5795" w:rsidP="002B5795">
      <w:pPr>
        <w:pStyle w:val="Bullet"/>
      </w:pPr>
      <w:r w:rsidRPr="00273AA1">
        <w:t>business receipts</w:t>
      </w:r>
    </w:p>
    <w:p w14:paraId="4E1386E4" w14:textId="77777777" w:rsidR="002B5795" w:rsidRPr="00273AA1" w:rsidRDefault="002B5795" w:rsidP="002B5795">
      <w:pPr>
        <w:pStyle w:val="Bullet"/>
      </w:pPr>
      <w:r w:rsidRPr="00273AA1">
        <w:t>realised capital gains (except where they form part of the normal trading activities of a business)</w:t>
      </w:r>
    </w:p>
    <w:p w14:paraId="5E2AAF12" w14:textId="77777777" w:rsidR="002B5795" w:rsidRPr="00273AA1" w:rsidRDefault="002B5795" w:rsidP="002B5795">
      <w:pPr>
        <w:pStyle w:val="Bullet"/>
      </w:pPr>
      <w:r w:rsidRPr="00273AA1">
        <w:t>interest, royalties and dividends</w:t>
      </w:r>
    </w:p>
    <w:p w14:paraId="268B2201" w14:textId="77777777" w:rsidR="002B5795" w:rsidRPr="00273AA1" w:rsidRDefault="002B5795" w:rsidP="002B5795">
      <w:pPr>
        <w:pStyle w:val="Bullet"/>
      </w:pPr>
      <w:r w:rsidRPr="00273AA1">
        <w:t>partnership income</w:t>
      </w:r>
    </w:p>
    <w:p w14:paraId="42A43962" w14:textId="77777777" w:rsidR="002B5795" w:rsidRPr="00273AA1" w:rsidRDefault="002B5795" w:rsidP="002B5795">
      <w:pPr>
        <w:pStyle w:val="Bullet"/>
      </w:pPr>
      <w:r w:rsidRPr="00273AA1">
        <w:t>government cash transfers</w:t>
      </w:r>
    </w:p>
    <w:p w14:paraId="313A4735" w14:textId="77777777" w:rsidR="002B5795" w:rsidRPr="00273AA1" w:rsidRDefault="002B5795" w:rsidP="002B5795">
      <w:pPr>
        <w:pStyle w:val="Bullet"/>
      </w:pPr>
      <w:r w:rsidRPr="00273AA1">
        <w:t>distributions from trusts.</w:t>
      </w:r>
    </w:p>
    <w:p w14:paraId="23CA9798" w14:textId="77777777" w:rsidR="002B5795" w:rsidRPr="00CF6E19" w:rsidRDefault="002B5795" w:rsidP="00CF6E19">
      <w:pPr>
        <w:spacing w:before="120" w:after="120" w:line="240" w:lineRule="auto"/>
      </w:pPr>
      <w:r w:rsidRPr="00CF6E19">
        <w:t>Expenses incurred in earning assessable income are deductible. Where an expense is incurred for both income producing and private purposes, deductions are limited to the portion of expenses relating to income production.</w:t>
      </w:r>
    </w:p>
    <w:p w14:paraId="2E2665CE" w14:textId="77777777" w:rsidR="002B5795" w:rsidRPr="00CF6E19" w:rsidRDefault="002B5795" w:rsidP="00CF6E19">
      <w:pPr>
        <w:spacing w:before="120" w:after="120" w:line="240" w:lineRule="auto"/>
      </w:pPr>
      <w:r w:rsidRPr="00CF6E19">
        <w:t>The income tax benchmark incorporates a range of features of the tax system.</w:t>
      </w:r>
    </w:p>
    <w:p w14:paraId="121C6389" w14:textId="77777777" w:rsidR="002B5795" w:rsidRPr="00273AA1" w:rsidRDefault="002B5795" w:rsidP="002B5795">
      <w:pPr>
        <w:pStyle w:val="Bullet"/>
      </w:pPr>
      <w:r w:rsidRPr="00273AA1">
        <w:t>Assessment applies to nominal rather than real income. Expenses incurred in earning income are deductible at the nominal cost that applied in the year they were incurred.</w:t>
      </w:r>
    </w:p>
    <w:p w14:paraId="66232E1F" w14:textId="77777777" w:rsidR="002B5795" w:rsidRPr="00273AA1" w:rsidRDefault="002B5795" w:rsidP="002B5795">
      <w:pPr>
        <w:pStyle w:val="Bullet"/>
      </w:pPr>
      <w:r w:rsidRPr="00273AA1">
        <w:t>The taxable income of some taxpayers (typically individuals) is assessed on a cash basis – that is, as it is actually received by the taxpayer. The taxable income of other taxpayers (typically businesses) is assessed on an accruals basis – that is, when the right to the income arises (even if it has not yet been received).</w:t>
      </w:r>
    </w:p>
    <w:p w14:paraId="0A6FC35B" w14:textId="77777777" w:rsidR="002B5795" w:rsidRPr="00273AA1" w:rsidRDefault="002B5795" w:rsidP="002B5795">
      <w:pPr>
        <w:pStyle w:val="Bullet"/>
      </w:pPr>
      <w:r w:rsidRPr="00273AA1">
        <w:t>Imputed rent from owner</w:t>
      </w:r>
      <w:r w:rsidRPr="00273AA1">
        <w:noBreakHyphen/>
        <w:t>occupied housing is not included in income. Expenditure incurred in earning imputed rent is not deductible. The impact of including imputed rent in the benchmark tax treatment was discussed in Chapter 2 of the 2018 Statement.</w:t>
      </w:r>
    </w:p>
    <w:p w14:paraId="7CA633D3" w14:textId="77777777" w:rsidR="002B5795" w:rsidRPr="00273AA1" w:rsidRDefault="002B5795" w:rsidP="002B5795">
      <w:pPr>
        <w:pStyle w:val="Bullet"/>
      </w:pPr>
      <w:r w:rsidRPr="00273AA1">
        <w:t>Certain gains, such as gains received by way of compensation for damage or any wrong or injury suffered by a taxpayer, or gains or winnings from gambling (where taxpayers are not considered to be carrying on a business of gambling), are not included in income.</w:t>
      </w:r>
    </w:p>
    <w:p w14:paraId="0F1F2795" w14:textId="77777777" w:rsidR="002B5795" w:rsidRPr="00273AA1" w:rsidRDefault="002B5795" w:rsidP="002B5795">
      <w:pPr>
        <w:pStyle w:val="Bullet"/>
      </w:pPr>
      <w:r w:rsidRPr="00273AA1">
        <w:t>Losses are deductible against assessable income for a later income year. Losses generally cannot be transferred to other taxpayers, and some losses may only be claimed against certain types of future income.</w:t>
      </w:r>
    </w:p>
    <w:p w14:paraId="393E3168" w14:textId="77777777" w:rsidR="002B5795" w:rsidRPr="00273AA1" w:rsidRDefault="002B5795" w:rsidP="002B5795">
      <w:pPr>
        <w:pStyle w:val="Dash"/>
        <w:tabs>
          <w:tab w:val="clear" w:pos="567"/>
          <w:tab w:val="left" w:pos="851"/>
        </w:tabs>
        <w:spacing w:after="210"/>
        <w:ind w:left="850" w:hanging="425"/>
      </w:pPr>
      <w:r w:rsidRPr="00273AA1">
        <w:t>Non</w:t>
      </w:r>
      <w:r w:rsidRPr="00273AA1">
        <w:noBreakHyphen/>
        <w:t>commercial loss rules prevent individuals carrying on unprofitable business activities from claiming deductions for losses arising from such activities against their other income. The denial of losses from non</w:t>
      </w:r>
      <w:r w:rsidRPr="00273AA1">
        <w:noBreakHyphen/>
        <w:t>commercial activities is part of the benchmark.</w:t>
      </w:r>
    </w:p>
    <w:p w14:paraId="21FA380D" w14:textId="77777777" w:rsidR="002B5795" w:rsidRPr="00273AA1" w:rsidDel="00984AF0" w:rsidRDefault="002B5795" w:rsidP="002B5795">
      <w:pPr>
        <w:pStyle w:val="Bullet"/>
      </w:pPr>
      <w:r w:rsidRPr="00273AA1" w:rsidDel="00984AF0">
        <w:t>Depreciation deductions are made over the effective life of the asset</w:t>
      </w:r>
      <w:r w:rsidRPr="00273AA1">
        <w:t>, and balancing adjustments on disposal reconcile differences between the outstanding tax and economic values of the asset</w:t>
      </w:r>
      <w:r w:rsidRPr="00273AA1" w:rsidDel="00984AF0">
        <w:t>.</w:t>
      </w:r>
    </w:p>
    <w:p w14:paraId="17451953" w14:textId="53DE3A3B" w:rsidR="002B5795" w:rsidRPr="00273AA1" w:rsidDel="00754C77" w:rsidRDefault="002B5795" w:rsidP="002B5795">
      <w:pPr>
        <w:pStyle w:val="Bullet"/>
      </w:pPr>
      <w:r w:rsidRPr="00273AA1" w:rsidDel="00754C77">
        <w:t xml:space="preserve">Business capital expenditures not elsewhere recognised within the taxation laws are deductible over </w:t>
      </w:r>
      <w:r w:rsidR="00BE1DBA">
        <w:t>5</w:t>
      </w:r>
      <w:r w:rsidR="00BE1DBA" w:rsidRPr="00273AA1" w:rsidDel="00754C77">
        <w:t xml:space="preserve"> </w:t>
      </w:r>
      <w:r w:rsidRPr="00273AA1" w:rsidDel="00754C77">
        <w:t>years.</w:t>
      </w:r>
    </w:p>
    <w:p w14:paraId="50E94D62" w14:textId="77777777" w:rsidR="002B5795" w:rsidRPr="00273AA1" w:rsidRDefault="002B5795" w:rsidP="002B5795">
      <w:pPr>
        <w:pStyle w:val="Bullet"/>
      </w:pPr>
      <w:r w:rsidRPr="00273AA1">
        <w:t>The mutuality principle excludes income from dealings with oneself or members of mutual associations and societies. For instance, goods produced by taxpayers for their own consumption, or services performed by taxpayers for their own benefit are generally not included in the tax base.</w:t>
      </w:r>
    </w:p>
    <w:p w14:paraId="214A8657" w14:textId="77777777" w:rsidR="002B5795" w:rsidRPr="00273AA1" w:rsidRDefault="002B5795" w:rsidP="002B5795">
      <w:pPr>
        <w:pStyle w:val="Bullet"/>
      </w:pPr>
      <w:r w:rsidRPr="00273AA1">
        <w:t>The benchmark incorporates arrangements to reduce or eliminate double taxation, for example, the imputation system, which eliminates the double taxation of company profits distributed to resident shareholders.</w:t>
      </w:r>
    </w:p>
    <w:p w14:paraId="431073FF" w14:textId="77777777" w:rsidR="002B5795" w:rsidRPr="00273AA1" w:rsidRDefault="002B5795" w:rsidP="002B5795">
      <w:pPr>
        <w:pStyle w:val="Bullet"/>
      </w:pPr>
      <w:r w:rsidRPr="00273AA1">
        <w:t>The superannuation guarantee charge is not tax</w:t>
      </w:r>
      <w:r w:rsidRPr="00273AA1">
        <w:noBreakHyphen/>
        <w:t>deductible under the benchmark.</w:t>
      </w:r>
    </w:p>
    <w:p w14:paraId="693EE6E9" w14:textId="77777777" w:rsidR="002B5795" w:rsidRPr="00CF6E19" w:rsidRDefault="002B5795" w:rsidP="00CF6E19">
      <w:pPr>
        <w:spacing w:before="120" w:after="120" w:line="240" w:lineRule="auto"/>
      </w:pPr>
      <w:r w:rsidRPr="00CF6E19">
        <w:t>Under the income tax benchmark, Australian residents are taxed on their Australian source and foreign source income. The benchmark also incorporates international tax arrangements.</w:t>
      </w:r>
    </w:p>
    <w:p w14:paraId="2D2D5A5A" w14:textId="77777777" w:rsidR="002B5795" w:rsidRPr="00273AA1" w:rsidRDefault="002B5795" w:rsidP="002B5795">
      <w:pPr>
        <w:pStyle w:val="Bullet"/>
      </w:pPr>
      <w:r w:rsidRPr="00273AA1">
        <w:t>Resident taxpayers are allowed to claim foreign income tax offsets up to the amount of Australian tax payable on their foreign income. These arrangements ensure foreign source income is not excessively taxed.</w:t>
      </w:r>
    </w:p>
    <w:p w14:paraId="3FF00324" w14:textId="77777777" w:rsidR="002B5795" w:rsidRPr="00273AA1" w:rsidRDefault="002B5795" w:rsidP="002B5795">
      <w:pPr>
        <w:pStyle w:val="Bullet"/>
      </w:pPr>
      <w:r w:rsidRPr="00273AA1">
        <w:t>The controlled foreign company and trust rules ensure Australian residents cannot escape or defer taxation of certain income (often passive in nature) by interposing a foreign resident legal entity.</w:t>
      </w:r>
    </w:p>
    <w:p w14:paraId="3F04F847" w14:textId="6C64D5ED" w:rsidR="00C438B9" w:rsidRPr="00273AA1" w:rsidRDefault="00C438B9" w:rsidP="00C438B9">
      <w:pPr>
        <w:pStyle w:val="Bullet"/>
      </w:pPr>
      <w:r w:rsidRPr="00273AA1">
        <w:t>Transfer pricing and thin capitalisation rules, targeted anti</w:t>
      </w:r>
      <w:r w:rsidRPr="00273AA1">
        <w:noBreakHyphen/>
        <w:t>avoidance rules, and interest, dividend, royalty and capital gains withholding taxes aim to tax appropriately Australian sourced income and prevent profit</w:t>
      </w:r>
      <w:r w:rsidRPr="00273AA1">
        <w:noBreakHyphen/>
        <w:t>shifting, and are included in the benchmark.</w:t>
      </w:r>
    </w:p>
    <w:p w14:paraId="47019D50" w14:textId="77777777" w:rsidR="002B5795" w:rsidRPr="00273AA1" w:rsidRDefault="002B5795" w:rsidP="002B5795">
      <w:pPr>
        <w:pStyle w:val="Bullet"/>
      </w:pPr>
      <w:r w:rsidRPr="00273AA1">
        <w:t>Foreign residents are taxed on their Australian source income only. As part of this benchmark, where foreign income (or foreign capital gains) earned by an Australian entity is subsequently distributed to a foreign resident, the distribution attracts no Australian tax.</w:t>
      </w:r>
    </w:p>
    <w:p w14:paraId="23FCDFC1" w14:textId="77777777" w:rsidR="002B5795" w:rsidRPr="00273AA1" w:rsidRDefault="002B5795" w:rsidP="002B5795">
      <w:pPr>
        <w:pStyle w:val="Bullet"/>
      </w:pPr>
      <w:r w:rsidRPr="00273AA1">
        <w:t>The benchmark for Australian residents includes their worldwide capital gains. For foreign residents, the benchmark includes the limitation of domestic and treaty capital gains tax rules to the direct or indirect disposal of interests in Australian land (and similar interests such as mining rights) and branch office assets (from 12 December 2006).</w:t>
      </w:r>
    </w:p>
    <w:p w14:paraId="3E82CDA9" w14:textId="77777777" w:rsidR="00C438B9" w:rsidRPr="00273AA1" w:rsidRDefault="00C438B9" w:rsidP="00C438B9">
      <w:pPr>
        <w:pStyle w:val="Bullet"/>
      </w:pPr>
      <w:bookmarkStart w:id="113" w:name="_Toc127902489"/>
      <w:r w:rsidRPr="00273AA1">
        <w:t>Taxation treaties primarily operate to allocate taxing rights over income between the source country of income and the taxpayer’s country of residence. However, some articles (by incorporation into Australia’s domestic law) have the effect of imposing taxation or determining source. The benchmark is consistent with the tax base defined by Australia’s tax treaties.</w:t>
      </w:r>
    </w:p>
    <w:p w14:paraId="7CF4AA22" w14:textId="77777777" w:rsidR="00CC0C45" w:rsidRDefault="00CC0C45">
      <w:pPr>
        <w:spacing w:after="0" w:line="240" w:lineRule="auto"/>
        <w:jc w:val="left"/>
        <w:rPr>
          <w:rFonts w:ascii="Arial" w:hAnsi="Arial"/>
          <w:b/>
          <w:color w:val="000000"/>
        </w:rPr>
      </w:pPr>
      <w:r>
        <w:br w:type="page"/>
      </w:r>
    </w:p>
    <w:p w14:paraId="3B18B093" w14:textId="0626C837" w:rsidR="00C438B9" w:rsidRPr="00273AA1" w:rsidRDefault="00C438B9" w:rsidP="00D9255A">
      <w:pPr>
        <w:pStyle w:val="Heading4"/>
      </w:pPr>
      <w:r w:rsidRPr="00273AA1">
        <w:t>Tax rates</w:t>
      </w:r>
    </w:p>
    <w:p w14:paraId="3D3ACB9F" w14:textId="77777777" w:rsidR="00C438B9" w:rsidRPr="00CF6E19" w:rsidRDefault="00C438B9" w:rsidP="00CF6E19">
      <w:pPr>
        <w:spacing w:before="120" w:after="120" w:line="240" w:lineRule="auto"/>
      </w:pPr>
      <w:r w:rsidRPr="00CF6E19">
        <w:t>The income tax benchmark includes:</w:t>
      </w:r>
    </w:p>
    <w:p w14:paraId="13A272E6" w14:textId="0F6CBB69" w:rsidR="00C438B9" w:rsidRPr="00273AA1" w:rsidRDefault="00C438B9" w:rsidP="00C438B9">
      <w:pPr>
        <w:pStyle w:val="Bullet"/>
      </w:pPr>
      <w:r w:rsidRPr="00273AA1">
        <w:t xml:space="preserve">for resident individuals: the tax-free threshold, the progressive personal income tax rate scale, </w:t>
      </w:r>
      <w:r w:rsidR="00014A63">
        <w:t>low-income</w:t>
      </w:r>
      <w:r w:rsidRPr="00273AA1">
        <w:t xml:space="preserve"> tax offset, low and middle income tax offset (from 2018–19 to 2021–22), and the Medicare levy</w:t>
      </w:r>
    </w:p>
    <w:p w14:paraId="5A1E96C1" w14:textId="595E53AE" w:rsidR="00C438B9" w:rsidRPr="00273AA1" w:rsidRDefault="00C438B9" w:rsidP="00C438B9">
      <w:pPr>
        <w:pStyle w:val="Bullet"/>
      </w:pPr>
      <w:r w:rsidRPr="00273AA1">
        <w:t>for non</w:t>
      </w:r>
      <w:r w:rsidRPr="00273AA1">
        <w:noBreakHyphen/>
        <w:t>resident individuals: the foreign resident income tax scale, non</w:t>
      </w:r>
      <w:r w:rsidRPr="00273AA1">
        <w:noBreakHyphen/>
        <w:t xml:space="preserve">eligibility for the </w:t>
      </w:r>
      <w:r w:rsidR="00014A63">
        <w:t>low-income</w:t>
      </w:r>
      <w:r w:rsidRPr="00273AA1">
        <w:t xml:space="preserve"> tax offset and low and middle income tax offset and non-liability for the Medicare levy</w:t>
      </w:r>
    </w:p>
    <w:p w14:paraId="628A429A" w14:textId="3807A50E" w:rsidR="00C438B9" w:rsidRPr="00273AA1" w:rsidRDefault="00C438B9" w:rsidP="00C438B9">
      <w:pPr>
        <w:pStyle w:val="Bullet"/>
      </w:pPr>
      <w:r w:rsidRPr="00273AA1">
        <w:t>for companies: the relevant company tax rate</w:t>
      </w:r>
    </w:p>
    <w:p w14:paraId="6D29FBA3" w14:textId="1853CA14" w:rsidR="00C438B9" w:rsidRPr="00273AA1" w:rsidRDefault="00C438B9" w:rsidP="00C438B9">
      <w:pPr>
        <w:pStyle w:val="Bullet"/>
      </w:pPr>
      <w:r w:rsidRPr="00273AA1">
        <w:t>for residents of Australia’s tax treaty partners receiving distributions of Australian source income:  the basic rates of Australian tax (typically imposed as withholding tax) prescribed in these treaties in respect of specified classes of income, such as interest, dividend and royalty income, are included in the benchmark as the applicable tax rates.</w:t>
      </w:r>
    </w:p>
    <w:p w14:paraId="7EA7996B" w14:textId="617C1963" w:rsidR="00C438B9" w:rsidRPr="00273AA1" w:rsidRDefault="00C438B9" w:rsidP="00C438B9">
      <w:pPr>
        <w:pStyle w:val="Dash"/>
        <w:tabs>
          <w:tab w:val="clear" w:pos="567"/>
          <w:tab w:val="left" w:pos="851"/>
        </w:tabs>
        <w:ind w:left="850" w:hanging="425"/>
      </w:pPr>
      <w:r w:rsidRPr="00273AA1">
        <w:t>Under this approach, the benchmark rate of interest, dividend and royalty withholding taxes will vary depending on whether the country in question has a tax treaty with Australia.</w:t>
      </w:r>
    </w:p>
    <w:p w14:paraId="7EB58BCA" w14:textId="77777777" w:rsidR="00C438B9" w:rsidRPr="00273AA1" w:rsidRDefault="00C438B9" w:rsidP="00C438B9">
      <w:pPr>
        <w:pStyle w:val="Dash"/>
        <w:tabs>
          <w:tab w:val="clear" w:pos="567"/>
          <w:tab w:val="left" w:pos="851"/>
        </w:tabs>
        <w:ind w:left="850" w:hanging="425"/>
      </w:pPr>
      <w:r w:rsidRPr="00273AA1">
        <w:t>If a tax treaty exists, the benchmark rates of withholding tax for a class of income will be the ‘basic rate’, where the basic rate is the highest rate specified in the treaty for each withholding tax.</w:t>
      </w:r>
    </w:p>
    <w:p w14:paraId="15C0B035" w14:textId="77777777" w:rsidR="00C438B9" w:rsidRPr="00273AA1" w:rsidRDefault="00C438B9" w:rsidP="00C438B9">
      <w:pPr>
        <w:pStyle w:val="Dash"/>
        <w:tabs>
          <w:tab w:val="clear" w:pos="567"/>
          <w:tab w:val="left" w:pos="851"/>
        </w:tabs>
        <w:ind w:left="850" w:hanging="425"/>
      </w:pPr>
      <w:r w:rsidRPr="00273AA1">
        <w:t>Exemptions or reductions relative to the basic rates prescribed in a particular tax treaty will give rise to tax expenditures.</w:t>
      </w:r>
    </w:p>
    <w:p w14:paraId="17A833CA" w14:textId="6C22D8D4" w:rsidR="00C438B9" w:rsidRPr="00273AA1" w:rsidRDefault="00C438B9" w:rsidP="00BD5502">
      <w:pPr>
        <w:pStyle w:val="Dash"/>
        <w:tabs>
          <w:tab w:val="clear" w:pos="567"/>
          <w:tab w:val="left" w:pos="851"/>
        </w:tabs>
        <w:ind w:left="850" w:hanging="425"/>
      </w:pPr>
      <w:r w:rsidRPr="00273AA1">
        <w:t>If a tax treaty does not apply, any exemptions or reductions from the standard domestic statutory rates will give rise to tax expenditures.</w:t>
      </w:r>
    </w:p>
    <w:p w14:paraId="2AD79CC8" w14:textId="77777777" w:rsidR="00C438B9" w:rsidRPr="00273AA1" w:rsidRDefault="00C438B9" w:rsidP="00D9255A">
      <w:pPr>
        <w:pStyle w:val="Heading4"/>
      </w:pPr>
      <w:r w:rsidRPr="00273AA1">
        <w:t>Tax unit</w:t>
      </w:r>
    </w:p>
    <w:p w14:paraId="2CA67AAD" w14:textId="77777777" w:rsidR="00C438B9" w:rsidRPr="00CF6E19" w:rsidRDefault="00C438B9" w:rsidP="00CF6E19">
      <w:pPr>
        <w:spacing w:before="120" w:after="120" w:line="240" w:lineRule="auto"/>
      </w:pPr>
      <w:r w:rsidRPr="00CF6E19">
        <w:t>For the personal income tax system in Australia, the benchmark unit is the individual.</w:t>
      </w:r>
    </w:p>
    <w:p w14:paraId="09BD0668" w14:textId="77777777" w:rsidR="00C438B9" w:rsidRPr="00CF6E19" w:rsidRDefault="00C438B9" w:rsidP="00CF6E19">
      <w:pPr>
        <w:spacing w:before="120" w:after="120" w:line="240" w:lineRule="auto"/>
      </w:pPr>
      <w:r w:rsidRPr="00CF6E19">
        <w:t>For companies, the benchmark tax unit is the company (including the head entity of a consolidated group or a multiple entry consolidated group).</w:t>
      </w:r>
    </w:p>
    <w:p w14:paraId="33AB892A" w14:textId="77777777" w:rsidR="00C438B9" w:rsidRPr="00CF6E19" w:rsidRDefault="00C438B9" w:rsidP="00CF6E19">
      <w:pPr>
        <w:spacing w:before="120" w:after="120" w:line="240" w:lineRule="auto"/>
      </w:pPr>
      <w:r w:rsidRPr="00CF6E19">
        <w:t>Sole traders, partnerships and trusts are not separate tax units. Income earned by these entities is taxable in the hands of the recipient.</w:t>
      </w:r>
    </w:p>
    <w:p w14:paraId="56B9F1BD" w14:textId="77777777" w:rsidR="00C438B9" w:rsidRPr="00273AA1" w:rsidRDefault="00C438B9" w:rsidP="00D9255A">
      <w:pPr>
        <w:pStyle w:val="Heading4"/>
      </w:pPr>
      <w:r w:rsidRPr="00273AA1">
        <w:t>Tax period</w:t>
      </w:r>
    </w:p>
    <w:p w14:paraId="367BC590" w14:textId="5E5079F0" w:rsidR="00D9255A" w:rsidRDefault="00C438B9" w:rsidP="00CF6E19">
      <w:pPr>
        <w:spacing w:before="120" w:after="120" w:line="240" w:lineRule="auto"/>
      </w:pPr>
      <w:r w:rsidRPr="00CF6E19">
        <w:t>Generally, the tax period under the income tax benchmark is the financial year (1 July to 30 June). However, the benchmark also includes arrangements for entities whose accounting period differs from the standard financial year (for example, companies with a substituted accounting period).</w:t>
      </w:r>
    </w:p>
    <w:p w14:paraId="4557005A" w14:textId="1A3211C0" w:rsidR="00C438B9" w:rsidRPr="00273AA1" w:rsidRDefault="00C438B9" w:rsidP="00440061">
      <w:pPr>
        <w:pStyle w:val="Heading4"/>
      </w:pPr>
      <w:bookmarkStart w:id="114" w:name="_Ref441063401"/>
      <w:r w:rsidRPr="00273AA1">
        <w:t>Superannuation</w:t>
      </w:r>
      <w:bookmarkEnd w:id="114"/>
    </w:p>
    <w:p w14:paraId="35B54AC6" w14:textId="12BD1E51" w:rsidR="00C438B9" w:rsidRPr="00CF6E19" w:rsidRDefault="00C438B9" w:rsidP="00CF6E19">
      <w:pPr>
        <w:spacing w:before="120" w:after="120" w:line="240" w:lineRule="auto"/>
      </w:pPr>
      <w:r w:rsidRPr="00CF6E19">
        <w:t xml:space="preserve">Superannuation may be taxed at </w:t>
      </w:r>
      <w:r w:rsidR="00D52977" w:rsidRPr="00CF6E19">
        <w:t xml:space="preserve">3 </w:t>
      </w:r>
      <w:r w:rsidRPr="00CF6E19">
        <w:t>stages:</w:t>
      </w:r>
    </w:p>
    <w:p w14:paraId="07024BC0" w14:textId="77777777" w:rsidR="00C438B9" w:rsidRPr="00273AA1" w:rsidRDefault="00C438B9" w:rsidP="00C438B9">
      <w:pPr>
        <w:pStyle w:val="Bullet"/>
      </w:pPr>
      <w:r w:rsidRPr="00273AA1">
        <w:t>when contributions are made to a superannuation fund</w:t>
      </w:r>
    </w:p>
    <w:p w14:paraId="7E20B29A" w14:textId="77777777" w:rsidR="00C438B9" w:rsidRPr="00273AA1" w:rsidRDefault="00C438B9" w:rsidP="00C438B9">
      <w:pPr>
        <w:pStyle w:val="Bullet"/>
      </w:pPr>
      <w:r w:rsidRPr="00273AA1">
        <w:t>when investments in superannuation funds earn income</w:t>
      </w:r>
    </w:p>
    <w:p w14:paraId="4770C471" w14:textId="77777777" w:rsidR="00C438B9" w:rsidRPr="00273AA1" w:rsidRDefault="00C438B9" w:rsidP="00C438B9">
      <w:pPr>
        <w:pStyle w:val="Bullet"/>
      </w:pPr>
      <w:r w:rsidRPr="00273AA1">
        <w:t>when superannuation benefits are paid out.</w:t>
      </w:r>
    </w:p>
    <w:p w14:paraId="4C2CFEB0" w14:textId="77777777" w:rsidR="00C438B9" w:rsidRPr="00CF6E19" w:rsidRDefault="00C438B9" w:rsidP="00CF6E19">
      <w:pPr>
        <w:spacing w:before="120" w:after="120" w:line="240" w:lineRule="auto"/>
      </w:pPr>
      <w:r w:rsidRPr="00CF6E19">
        <w:t>The income tax benchmark treatment of superannuation is that contributions are made from after</w:t>
      </w:r>
      <w:r w:rsidRPr="00CF6E19">
        <w:noBreakHyphen/>
        <w:t>tax income, earnings are taxed at marginal rates and benefits from superannuation are untaxed. Any costs associated with superannuation investments are deductible under the benchmark.</w:t>
      </w:r>
    </w:p>
    <w:p w14:paraId="75338565" w14:textId="0DDFA6D4" w:rsidR="00C438B9" w:rsidRPr="00273AA1" w:rsidRDefault="00C438B9" w:rsidP="00440061">
      <w:pPr>
        <w:pStyle w:val="Heading4"/>
      </w:pPr>
      <w:r w:rsidRPr="00273AA1">
        <w:t>Fringe benefits</w:t>
      </w:r>
    </w:p>
    <w:p w14:paraId="54915D44" w14:textId="77777777" w:rsidR="00C438B9" w:rsidRPr="00CF6E19" w:rsidRDefault="00C438B9" w:rsidP="00CF6E19">
      <w:pPr>
        <w:spacing w:before="120" w:after="120" w:line="240" w:lineRule="auto"/>
      </w:pPr>
      <w:r w:rsidRPr="00CF6E19">
        <w:t>Under the income tax benchmark:</w:t>
      </w:r>
    </w:p>
    <w:p w14:paraId="67B3D0FE" w14:textId="77777777" w:rsidR="00C438B9" w:rsidRPr="00273AA1" w:rsidRDefault="00C438B9" w:rsidP="00C438B9">
      <w:pPr>
        <w:pStyle w:val="Bullet"/>
      </w:pPr>
      <w:r w:rsidRPr="00273AA1">
        <w:t>fringe benefits are classified as individual employee income</w:t>
      </w:r>
    </w:p>
    <w:p w14:paraId="78659190" w14:textId="77777777" w:rsidR="00C438B9" w:rsidRPr="00273AA1" w:rsidRDefault="00C438B9" w:rsidP="00C438B9">
      <w:pPr>
        <w:pStyle w:val="Bullet"/>
      </w:pPr>
      <w:r w:rsidRPr="00273AA1">
        <w:t>the tax base includes property rights, privileges or services. However, payments of salary or wages, eligible termination payments, contributions to complying superannuation funds and certain benefits arising from employee share schemes are excluded</w:t>
      </w:r>
    </w:p>
    <w:p w14:paraId="6B8E33BA" w14:textId="1AD2B798" w:rsidR="00C438B9" w:rsidRPr="00273AA1" w:rsidRDefault="00C438B9" w:rsidP="00C438B9">
      <w:pPr>
        <w:pStyle w:val="Bullet"/>
      </w:pPr>
      <w:r w:rsidRPr="00273AA1">
        <w:t>the benchmark value of a fringe benefit to an employee is taken to be its market value less any contribution that the employee pays from after-tax income</w:t>
      </w:r>
    </w:p>
    <w:p w14:paraId="49634E7F" w14:textId="77777777" w:rsidR="00C438B9" w:rsidRPr="00273AA1" w:rsidRDefault="00C438B9" w:rsidP="00C438B9">
      <w:pPr>
        <w:pStyle w:val="Bullet"/>
      </w:pPr>
      <w:r w:rsidRPr="00273AA1">
        <w:t>the tax rate is the employee’s marginal income tax rate</w:t>
      </w:r>
    </w:p>
    <w:p w14:paraId="01C73595" w14:textId="7BB77CB1" w:rsidR="00C438B9" w:rsidRPr="00273AA1" w:rsidRDefault="00C438B9" w:rsidP="00C438B9">
      <w:pPr>
        <w:pStyle w:val="Bullet"/>
      </w:pPr>
      <w:r w:rsidRPr="00273AA1">
        <w:t>fringe benefits tax is calculated on the grossed</w:t>
      </w:r>
      <w:r w:rsidRPr="00273AA1">
        <w:noBreakHyphen/>
        <w:t>up taxable value (that is, the pre-tax equivalent value) of the fringe benefit. In some cases, discount valuation methods are available to calculate the taxable value of a fringe benefit. Such methods are reported as tax expenditures</w:t>
      </w:r>
    </w:p>
    <w:p w14:paraId="525F47A1" w14:textId="77777777" w:rsidR="00C438B9" w:rsidRPr="00273AA1" w:rsidRDefault="00C438B9" w:rsidP="00C438B9">
      <w:pPr>
        <w:pStyle w:val="Bullet"/>
      </w:pPr>
      <w:r w:rsidRPr="00273AA1">
        <w:t>the unit liable to pay fringe benefits tax is the employer, however, for consistency with the benchmark treatment, the relevant unit to the benchmark is the individual employee</w:t>
      </w:r>
    </w:p>
    <w:p w14:paraId="2C4BD5AA" w14:textId="77777777" w:rsidR="00C438B9" w:rsidRPr="00273AA1" w:rsidRDefault="00C438B9" w:rsidP="00C438B9">
      <w:pPr>
        <w:pStyle w:val="Bullet"/>
      </w:pPr>
      <w:r w:rsidRPr="00273AA1">
        <w:t>generally, employers may claim the cost of providing fringe benefits and the amount of fringe benefits tax paid as income tax deductions</w:t>
      </w:r>
    </w:p>
    <w:p w14:paraId="7450B3FF" w14:textId="194540D3" w:rsidR="00D9255A" w:rsidRDefault="00C438B9" w:rsidP="00C438B9">
      <w:pPr>
        <w:pStyle w:val="Bullet"/>
      </w:pPr>
      <w:r w:rsidRPr="00273AA1">
        <w:t>the tax period is the fringe benefits tax year (1 April to 31 March).</w:t>
      </w:r>
    </w:p>
    <w:p w14:paraId="10D498F3" w14:textId="77777777" w:rsidR="00D9255A" w:rsidRDefault="00D9255A">
      <w:pPr>
        <w:spacing w:after="0" w:line="240" w:lineRule="auto"/>
        <w:jc w:val="left"/>
      </w:pPr>
      <w:r>
        <w:br w:type="page"/>
      </w:r>
    </w:p>
    <w:p w14:paraId="5716244A" w14:textId="77777777" w:rsidR="00C438B9" w:rsidRPr="00273AA1" w:rsidRDefault="00C438B9" w:rsidP="00D9255A">
      <w:pPr>
        <w:pStyle w:val="Heading3"/>
      </w:pPr>
      <w:bookmarkStart w:id="115" w:name="_Toc441066996"/>
      <w:bookmarkStart w:id="116" w:name="_Toc613128294"/>
      <w:bookmarkStart w:id="117" w:name="_Toc1849837155"/>
      <w:bookmarkStart w:id="118" w:name="_Toc1313182607"/>
      <w:bookmarkStart w:id="119" w:name="_Toc126935246"/>
      <w:bookmarkStart w:id="120" w:name="_Toc126937427"/>
      <w:bookmarkStart w:id="121" w:name="_Toc127197674"/>
      <w:bookmarkStart w:id="122" w:name="_Toc127454006"/>
      <w:bookmarkStart w:id="123" w:name="_Toc127819488"/>
      <w:bookmarkStart w:id="124" w:name="_Toc127902488"/>
      <w:bookmarkStart w:id="125" w:name="_Toc155788981"/>
      <w:bookmarkStart w:id="126" w:name="_Toc155803446"/>
      <w:bookmarkStart w:id="127" w:name="_Toc156384996"/>
      <w:bookmarkStart w:id="128" w:name="_Toc156386281"/>
      <w:bookmarkStart w:id="129" w:name="_Toc183078462"/>
      <w:bookmarkStart w:id="130" w:name="_Toc183710301"/>
      <w:r w:rsidRPr="00273AA1">
        <w:t>Indirect tax benchmarks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77AFF08" w14:textId="77777777" w:rsidR="00C438B9" w:rsidRPr="00CF6E19" w:rsidRDefault="00C438B9" w:rsidP="00CF6E19">
      <w:pPr>
        <w:spacing w:before="120" w:after="120" w:line="240" w:lineRule="auto"/>
      </w:pPr>
      <w:r w:rsidRPr="00CF6E19">
        <w:t>The main indirect taxes are:</w:t>
      </w:r>
    </w:p>
    <w:p w14:paraId="149688B6" w14:textId="77777777" w:rsidR="00C438B9" w:rsidRPr="00273AA1" w:rsidRDefault="00C438B9" w:rsidP="00C438B9">
      <w:pPr>
        <w:pStyle w:val="Bullet"/>
      </w:pPr>
      <w:r w:rsidRPr="00273AA1">
        <w:t>the goods and services tax</w:t>
      </w:r>
    </w:p>
    <w:p w14:paraId="6E07676F" w14:textId="77777777" w:rsidR="00C438B9" w:rsidRPr="00273AA1" w:rsidRDefault="00C438B9" w:rsidP="00C438B9">
      <w:pPr>
        <w:pStyle w:val="Bullet"/>
      </w:pPr>
      <w:r w:rsidRPr="00273AA1">
        <w:t>taxes on commodities such as fuel, tobacco, alcoholic beverages and motor vehicles</w:t>
      </w:r>
    </w:p>
    <w:p w14:paraId="2D180BCE" w14:textId="77777777" w:rsidR="00C438B9" w:rsidRPr="00273AA1" w:rsidRDefault="00C438B9" w:rsidP="00C438B9">
      <w:pPr>
        <w:pStyle w:val="Bullet"/>
      </w:pPr>
      <w:r w:rsidRPr="00273AA1">
        <w:t>crude oil excise and the petroleum resource rent tax</w:t>
      </w:r>
    </w:p>
    <w:p w14:paraId="0E89A8B1" w14:textId="77777777" w:rsidR="00C438B9" w:rsidRPr="00273AA1" w:rsidRDefault="00C438B9" w:rsidP="00C438B9">
      <w:pPr>
        <w:pStyle w:val="Bullet"/>
      </w:pPr>
      <w:r w:rsidRPr="00273AA1">
        <w:t>miscellaneous taxes including agricultural levies and the passenger movement charge.</w:t>
      </w:r>
    </w:p>
    <w:p w14:paraId="52195362" w14:textId="77777777" w:rsidR="00C438B9" w:rsidRPr="00CF6E19" w:rsidRDefault="00C438B9" w:rsidP="00CF6E19">
      <w:pPr>
        <w:spacing w:before="120" w:after="120" w:line="240" w:lineRule="auto"/>
      </w:pPr>
      <w:r w:rsidRPr="00CF6E19">
        <w:t>Unlike the income tax benchmark, there is no starting point such as the Schanz</w:t>
      </w:r>
      <w:r w:rsidRPr="00CF6E19">
        <w:noBreakHyphen/>
        <w:t>Haig</w:t>
      </w:r>
      <w:r w:rsidRPr="00CF6E19">
        <w:noBreakHyphen/>
        <w:t>Simons definition of income for determining the benchmarks for indirect taxes. Each indirect tax therefore has its own benchmark that reflects the standard features of the tax in question. Identifying the standard features of a tax unavoidably involves judgment.</w:t>
      </w:r>
    </w:p>
    <w:p w14:paraId="30A0C293" w14:textId="77777777" w:rsidR="00C438B9" w:rsidRPr="00CF6E19" w:rsidRDefault="00C438B9" w:rsidP="00CF6E19">
      <w:pPr>
        <w:spacing w:before="120" w:after="120" w:line="240" w:lineRule="auto"/>
      </w:pPr>
      <w:r w:rsidRPr="00CF6E19">
        <w:t>Generally, for each tax, the tax unit under the benchmark is the entity that has the legal obligation to pay the tax.</w:t>
      </w:r>
    </w:p>
    <w:p w14:paraId="2255516E" w14:textId="64B8E3C3" w:rsidR="00C438B9" w:rsidRPr="00273AA1" w:rsidRDefault="00C438B9" w:rsidP="00C438B9">
      <w:pPr>
        <w:pStyle w:val="Heading4"/>
      </w:pPr>
      <w:r w:rsidRPr="00273AA1">
        <w:t>Goods and services tax</w:t>
      </w:r>
    </w:p>
    <w:p w14:paraId="3E219C23" w14:textId="77777777" w:rsidR="00C438B9" w:rsidRPr="00CF6E19" w:rsidRDefault="00C438B9" w:rsidP="00CF6E19">
      <w:pPr>
        <w:spacing w:before="120" w:after="120" w:line="240" w:lineRule="auto"/>
      </w:pPr>
      <w:r w:rsidRPr="00CF6E19" w:rsidDel="00C83766">
        <w:t xml:space="preserve">Broadly, the tax base for the </w:t>
      </w:r>
      <w:r w:rsidRPr="00CF6E19">
        <w:t>goods and services tax (</w:t>
      </w:r>
      <w:r w:rsidRPr="00CF6E19" w:rsidDel="00C83766">
        <w:t>GST</w:t>
      </w:r>
      <w:r w:rsidRPr="00CF6E19">
        <w:t>)</w:t>
      </w:r>
      <w:r w:rsidRPr="00CF6E19" w:rsidDel="00C83766">
        <w:t xml:space="preserve"> benchmark is the supply of all goods and services </w:t>
      </w:r>
      <w:r w:rsidRPr="00CF6E19">
        <w:t xml:space="preserve">to households </w:t>
      </w:r>
      <w:r w:rsidRPr="00CF6E19" w:rsidDel="00C83766">
        <w:t xml:space="preserve">in Australia. The definition of </w:t>
      </w:r>
      <w:r w:rsidRPr="00CF6E19">
        <w:t>‘</w:t>
      </w:r>
      <w:r w:rsidRPr="00CF6E19" w:rsidDel="00C83766">
        <w:t>goods and services</w:t>
      </w:r>
      <w:r w:rsidRPr="00CF6E19">
        <w:t>’</w:t>
      </w:r>
      <w:r w:rsidRPr="00CF6E19" w:rsidDel="00C83766">
        <w:t xml:space="preserve"> is broad and includes, for example, commercial property.</w:t>
      </w:r>
    </w:p>
    <w:p w14:paraId="2A6FC6E1" w14:textId="77777777" w:rsidR="00C438B9" w:rsidRPr="00CF6E19" w:rsidRDefault="00C438B9" w:rsidP="00CF6E19">
      <w:pPr>
        <w:spacing w:before="120" w:after="120" w:line="240" w:lineRule="auto"/>
      </w:pPr>
      <w:r w:rsidRPr="00CF6E19">
        <w:t>The supply of some goods and services, however, is either:</w:t>
      </w:r>
    </w:p>
    <w:p w14:paraId="1D2D6940" w14:textId="77777777" w:rsidR="00C438B9" w:rsidRPr="00273AA1" w:rsidRDefault="00C438B9" w:rsidP="00C438B9">
      <w:pPr>
        <w:pStyle w:val="Bullet"/>
      </w:pPr>
      <w:r w:rsidRPr="00273AA1">
        <w:t>exempt from GST – that is, where no GST is payable on the supply and the supplier is entitled to claim input tax credits (ITCs)</w:t>
      </w:r>
    </w:p>
    <w:p w14:paraId="722B88F9" w14:textId="77777777" w:rsidR="00C438B9" w:rsidRPr="00273AA1" w:rsidRDefault="00C438B9" w:rsidP="00C438B9">
      <w:pPr>
        <w:pStyle w:val="Bullet"/>
      </w:pPr>
      <w:r w:rsidRPr="00273AA1">
        <w:t>input</w:t>
      </w:r>
      <w:r w:rsidRPr="00273AA1">
        <w:noBreakHyphen/>
        <w:t>taxed – that is, where no GST is payable on the supply but the supplier cannot claim ITCs (or can only claim reduced credits).</w:t>
      </w:r>
    </w:p>
    <w:p w14:paraId="0B32B8AA" w14:textId="7C40D6AC" w:rsidR="00C438B9" w:rsidRPr="00CF6E19" w:rsidRDefault="00C438B9" w:rsidP="00CF6E19">
      <w:pPr>
        <w:spacing w:before="120" w:after="120" w:line="240" w:lineRule="auto"/>
      </w:pPr>
      <w:r w:rsidRPr="00CF6E19">
        <w:t>ITCs do not constitute tax expenditures as they are an integral part of the GST system, ensuring that tax does</w:t>
      </w:r>
      <w:r w:rsidR="00390C54" w:rsidRPr="00CF6E19">
        <w:t xml:space="preserve"> </w:t>
      </w:r>
      <w:r w:rsidRPr="00CF6E19">
        <w:t>n</w:t>
      </w:r>
      <w:r w:rsidR="00390C54" w:rsidRPr="00CF6E19">
        <w:t>o</w:t>
      </w:r>
      <w:r w:rsidRPr="00CF6E19">
        <w:t>t distort production processes.</w:t>
      </w:r>
    </w:p>
    <w:p w14:paraId="33E2FD24" w14:textId="77777777" w:rsidR="00C438B9" w:rsidRPr="00273AA1" w:rsidDel="00C83766" w:rsidRDefault="00C438B9" w:rsidP="00C438B9">
      <w:pPr>
        <w:spacing w:after="200"/>
      </w:pPr>
      <w:r w:rsidRPr="00273AA1">
        <w:t>F</w:t>
      </w:r>
      <w:r w:rsidRPr="00273AA1" w:rsidDel="00C83766">
        <w:t>eatures of the benchmark tax base include:</w:t>
      </w:r>
    </w:p>
    <w:p w14:paraId="26162E70" w14:textId="77777777" w:rsidR="00C438B9" w:rsidRPr="00273AA1" w:rsidRDefault="00C438B9" w:rsidP="00C438B9">
      <w:pPr>
        <w:pStyle w:val="Bullet"/>
      </w:pPr>
      <w:r w:rsidRPr="00273AA1">
        <w:t>exports are exempt from GST</w:t>
      </w:r>
    </w:p>
    <w:p w14:paraId="3C0048CB" w14:textId="5ED43436" w:rsidR="00C438B9" w:rsidRPr="00273AA1" w:rsidRDefault="00C438B9" w:rsidP="00C438B9">
      <w:pPr>
        <w:pStyle w:val="Bullet"/>
      </w:pPr>
      <w:r w:rsidRPr="00273AA1">
        <w:t>non-commercial activities of governments are exempt from GST</w:t>
      </w:r>
    </w:p>
    <w:p w14:paraId="71F55FDF" w14:textId="77777777" w:rsidR="00C438B9" w:rsidRPr="00273AA1" w:rsidRDefault="00C438B9" w:rsidP="00C438B9">
      <w:pPr>
        <w:pStyle w:val="Bullet"/>
      </w:pPr>
      <w:r w:rsidRPr="00273AA1">
        <w:t>the supply of private residential accommodation</w:t>
      </w:r>
      <w:r w:rsidRPr="003454F6">
        <w:rPr>
          <w:rStyle w:val="FootnoteReference"/>
        </w:rPr>
        <w:footnoteReference w:id="17"/>
      </w:r>
      <w:r w:rsidR="003F0A9F">
        <w:rPr>
          <w:vertAlign w:val="superscript"/>
        </w:rPr>
        <w:t xml:space="preserve"> </w:t>
      </w:r>
      <w:r w:rsidRPr="00273AA1">
        <w:t>is input</w:t>
      </w:r>
      <w:r w:rsidRPr="00273AA1">
        <w:noBreakHyphen/>
        <w:t>taxed (meaning rent is not subject to GST)</w:t>
      </w:r>
    </w:p>
    <w:p w14:paraId="6D6BDCD4" w14:textId="18C5F664" w:rsidR="00C438B9" w:rsidRPr="00273AA1" w:rsidRDefault="00C438B9" w:rsidP="00C438B9">
      <w:pPr>
        <w:pStyle w:val="Bullet"/>
      </w:pPr>
      <w:r w:rsidRPr="00273AA1">
        <w:t>the sale of pre</w:t>
      </w:r>
      <w:r w:rsidRPr="00273AA1">
        <w:noBreakHyphen/>
        <w:t>existing residential premises is input-taxed</w:t>
      </w:r>
    </w:p>
    <w:p w14:paraId="5E03A3BB" w14:textId="77777777" w:rsidR="00C438B9" w:rsidRPr="00273AA1" w:rsidRDefault="00C438B9" w:rsidP="00C438B9">
      <w:pPr>
        <w:pStyle w:val="Bullet"/>
      </w:pPr>
      <w:r w:rsidRPr="00273AA1">
        <w:t>the sale of new residential premises and the supply of alterations, additions and improvements to residential premises are subject to GST</w:t>
      </w:r>
    </w:p>
    <w:p w14:paraId="4CAD1A5E" w14:textId="77777777" w:rsidR="00C438B9" w:rsidRPr="00273AA1" w:rsidRDefault="00C438B9" w:rsidP="00C438B9">
      <w:pPr>
        <w:pStyle w:val="Bullet"/>
      </w:pPr>
      <w:r w:rsidRPr="00273AA1">
        <w:t>goods and services supplied to oneself are not subject to GST</w:t>
      </w:r>
    </w:p>
    <w:p w14:paraId="27D97565" w14:textId="77777777" w:rsidR="00C438B9" w:rsidRPr="00273AA1" w:rsidRDefault="00C438B9" w:rsidP="00C438B9">
      <w:pPr>
        <w:pStyle w:val="Bullet"/>
      </w:pPr>
      <w:r w:rsidRPr="00273AA1">
        <w:t>The tax rate for the GST benchmark is 10 per cent.</w:t>
      </w:r>
    </w:p>
    <w:p w14:paraId="5C797716" w14:textId="3FFCA8A3" w:rsidR="00C438B9" w:rsidRPr="00273AA1" w:rsidRDefault="00C438B9" w:rsidP="00037E0B">
      <w:pPr>
        <w:pStyle w:val="Heading4"/>
      </w:pPr>
      <w:r w:rsidRPr="00273AA1">
        <w:t>Fuel</w:t>
      </w:r>
    </w:p>
    <w:p w14:paraId="3ADA6733" w14:textId="77777777" w:rsidR="00C438B9" w:rsidRPr="00E90B9A" w:rsidRDefault="00C438B9" w:rsidP="00E90B9A">
      <w:pPr>
        <w:spacing w:before="120" w:after="120" w:line="240" w:lineRule="auto"/>
      </w:pPr>
      <w:r w:rsidRPr="00273AA1">
        <w:t>The Australian Government imposes a volumetric tax on the consumption of fuel (that is, tax is charge</w:t>
      </w:r>
      <w:r w:rsidRPr="00E90B9A">
        <w:t>d as a fixed proportion of the quantity sold).</w:t>
      </w:r>
    </w:p>
    <w:p w14:paraId="67B5F20E" w14:textId="5E788F1A" w:rsidR="00C438B9" w:rsidRPr="00E90B9A" w:rsidRDefault="00C438B9" w:rsidP="00E90B9A">
      <w:pPr>
        <w:spacing w:before="120" w:after="120" w:line="240" w:lineRule="auto"/>
      </w:pPr>
      <w:r w:rsidRPr="00E90B9A">
        <w:t xml:space="preserve">The tax base for the consumption of all fuel (or energy) is split into </w:t>
      </w:r>
      <w:r w:rsidR="00067F81" w:rsidRPr="00E90B9A">
        <w:t xml:space="preserve">2 </w:t>
      </w:r>
      <w:r w:rsidRPr="00E90B9A">
        <w:t>activities:</w:t>
      </w:r>
    </w:p>
    <w:p w14:paraId="4A13FDD1" w14:textId="77777777" w:rsidR="00C438B9" w:rsidRPr="00273AA1" w:rsidRDefault="00C438B9" w:rsidP="00C438B9">
      <w:pPr>
        <w:pStyle w:val="Bullet"/>
      </w:pPr>
      <w:r w:rsidRPr="00273AA1">
        <w:t>fuels consumed in an internal combustion engine (that is, primarily for transport use)</w:t>
      </w:r>
    </w:p>
    <w:p w14:paraId="7BFD28FE" w14:textId="77777777" w:rsidR="00C438B9" w:rsidRPr="00273AA1" w:rsidRDefault="00C438B9" w:rsidP="00C438B9">
      <w:pPr>
        <w:pStyle w:val="Bullet"/>
      </w:pPr>
      <w:r w:rsidRPr="00273AA1">
        <w:t>fuels consumed for a purpose other than in an internal combustion engine (for example, a product that can be used as a fuel in an internal combustion engine but is used in a solvent application or for heating).</w:t>
      </w:r>
    </w:p>
    <w:p w14:paraId="3A1A91F5" w14:textId="77777777" w:rsidR="00C438B9" w:rsidRPr="00E90B9A" w:rsidRDefault="00C438B9" w:rsidP="00E90B9A">
      <w:pPr>
        <w:spacing w:before="120" w:after="120" w:line="240" w:lineRule="auto"/>
      </w:pPr>
      <w:r w:rsidRPr="00E90B9A">
        <w:t>The taxation of these activities reflects longstanding and integral features of the tax system whereby excise rates are dependent on whether the fuel is used in an internal combustion engine.</w:t>
      </w:r>
    </w:p>
    <w:p w14:paraId="285E3D3F" w14:textId="77777777" w:rsidR="00C438B9" w:rsidRPr="00E90B9A" w:rsidRDefault="00C438B9" w:rsidP="00E90B9A">
      <w:pPr>
        <w:spacing w:before="120" w:after="120" w:line="240" w:lineRule="auto"/>
      </w:pPr>
      <w:r w:rsidRPr="00E90B9A">
        <w:t>The benchmark excise rates for fuels consumed in an internal combustion engine are the full energy content</w:t>
      </w:r>
      <w:r w:rsidRPr="00E90B9A">
        <w:noBreakHyphen/>
        <w:t>based rates established using an energy band system and in reference to the rate applying high energy content fuels. The bands used are:</w:t>
      </w:r>
    </w:p>
    <w:p w14:paraId="42605A2D" w14:textId="77777777" w:rsidR="00C438B9" w:rsidRPr="00273AA1" w:rsidRDefault="00C438B9" w:rsidP="00C438B9">
      <w:pPr>
        <w:pStyle w:val="Bullet"/>
      </w:pPr>
      <w:r w:rsidRPr="00273AA1">
        <w:t>high energy content fuels, with an energy content of more than 30 megajoules per litre (such as petrol, diesel, biodiesel and aviation fuel)</w:t>
      </w:r>
    </w:p>
    <w:p w14:paraId="05704459" w14:textId="5216B3C8" w:rsidR="00C438B9" w:rsidRPr="00273AA1" w:rsidRDefault="00C438B9" w:rsidP="00C438B9">
      <w:pPr>
        <w:pStyle w:val="Bullet"/>
      </w:pPr>
      <w:r w:rsidRPr="00273AA1">
        <w:t>medium energy content fuels, with an energy content between 20 and 30 megajoules per litre (such as liquefied petroleum gas (LPG) and fuel ethanol), and an excise rate approximately two</w:t>
      </w:r>
      <w:r w:rsidR="00B10A95">
        <w:t>-</w:t>
      </w:r>
      <w:r w:rsidRPr="00273AA1">
        <w:t>thirds of that applying to high energy content fuels</w:t>
      </w:r>
    </w:p>
    <w:p w14:paraId="3EFAAF32" w14:textId="77777777" w:rsidR="00C438B9" w:rsidRPr="00273AA1" w:rsidRDefault="00C438B9" w:rsidP="00C438B9">
      <w:pPr>
        <w:pStyle w:val="Bullet"/>
      </w:pPr>
      <w:r w:rsidRPr="00273AA1">
        <w:t>low energy content fuels, with an energy content of less than 20 megajoules per litre (such as methanol), and an excise rate approximately 45 per cent of that applying to high energy content fuels</w:t>
      </w:r>
    </w:p>
    <w:p w14:paraId="321FF917" w14:textId="77777777" w:rsidR="00C438B9" w:rsidRPr="00273AA1" w:rsidRDefault="00C438B9" w:rsidP="00C438B9">
      <w:pPr>
        <w:pStyle w:val="Bullet"/>
      </w:pPr>
      <w:r w:rsidRPr="00273AA1">
        <w:t xml:space="preserve">liquefied natural gas (LNG) and compressed natural gas (CNG) fuels, which are taxed on a mass basis using a conversion rate of approximately 1.37 litres per kilogram. </w:t>
      </w:r>
    </w:p>
    <w:p w14:paraId="0FA3BEBA" w14:textId="77777777" w:rsidR="00C438B9" w:rsidRPr="00E90B9A" w:rsidRDefault="00C438B9" w:rsidP="00E90B9A">
      <w:pPr>
        <w:spacing w:before="120" w:after="120" w:line="240" w:lineRule="auto"/>
      </w:pPr>
      <w:r w:rsidRPr="00E90B9A">
        <w:t>Fuels consumed other than in an internal combustion engine are exempt from excise under the benchmark.</w:t>
      </w:r>
    </w:p>
    <w:p w14:paraId="17D8911B" w14:textId="5ADE3BDF" w:rsidR="00C438B9" w:rsidRPr="00273AA1" w:rsidRDefault="00C438B9" w:rsidP="00037E0B">
      <w:pPr>
        <w:pStyle w:val="Heading4"/>
      </w:pPr>
      <w:r w:rsidRPr="00273AA1">
        <w:t>Tobacco</w:t>
      </w:r>
    </w:p>
    <w:p w14:paraId="6A4380BD" w14:textId="77777777" w:rsidR="00C438B9" w:rsidRPr="00E90B9A" w:rsidRDefault="00C438B9" w:rsidP="00E90B9A">
      <w:pPr>
        <w:spacing w:before="120" w:after="120" w:line="240" w:lineRule="auto"/>
      </w:pPr>
      <w:r w:rsidRPr="00E90B9A">
        <w:t>The Australian Government imposes a volumetric tax on the consumption of tobacco (that is, tax is charged as a fixed proportion of the quantity sold).</w:t>
      </w:r>
    </w:p>
    <w:p w14:paraId="3AAEBAE3" w14:textId="77777777" w:rsidR="00C438B9" w:rsidRPr="00273AA1" w:rsidRDefault="00C438B9" w:rsidP="00C438B9">
      <w:r w:rsidRPr="00273AA1">
        <w:t>The benchmark for the consumption of tobacco and tobacco products is the excise rate that applies to tobacco by weight of tobacco content.</w:t>
      </w:r>
    </w:p>
    <w:p w14:paraId="5C446357" w14:textId="1AABBEDE" w:rsidR="00C438B9" w:rsidRPr="00273AA1" w:rsidRDefault="00C438B9" w:rsidP="00037E0B">
      <w:pPr>
        <w:pStyle w:val="Heading4"/>
      </w:pPr>
      <w:r w:rsidRPr="00273AA1">
        <w:t>Alcoholic beverages</w:t>
      </w:r>
    </w:p>
    <w:p w14:paraId="46A3E862" w14:textId="77777777" w:rsidR="00C438B9" w:rsidRPr="00273AA1" w:rsidRDefault="00C438B9" w:rsidP="00C438B9">
      <w:r w:rsidRPr="00273AA1">
        <w:t>The Australian Government imposes volumetric taxes on the consumption of beer and spirits (that is, tax is charged as a fixed proportion of the quantity sold) and an ad valorem tax on the consumption of wine (that is, tax is charged as a fixed proportion of the value of the commodity sold).</w:t>
      </w:r>
    </w:p>
    <w:p w14:paraId="1916C109" w14:textId="4BFBE99B" w:rsidR="00C438B9" w:rsidRPr="00273AA1" w:rsidRDefault="00C438B9" w:rsidP="00C438B9">
      <w:r w:rsidRPr="00273AA1">
        <w:t xml:space="preserve">The tax base for the consumption of alcoholic beverages is separated into </w:t>
      </w:r>
      <w:r w:rsidR="00B10A95">
        <w:t>3</w:t>
      </w:r>
      <w:r w:rsidR="00B10A95" w:rsidRPr="00273AA1">
        <w:t> </w:t>
      </w:r>
      <w:r w:rsidRPr="00273AA1">
        <w:t>components based on the types of beverage:</w:t>
      </w:r>
    </w:p>
    <w:p w14:paraId="18F82A0C" w14:textId="77777777" w:rsidR="00C438B9" w:rsidRPr="00273AA1" w:rsidRDefault="00C438B9" w:rsidP="00C438B9">
      <w:pPr>
        <w:pStyle w:val="Bullet"/>
      </w:pPr>
      <w:r w:rsidRPr="00273AA1">
        <w:t>the consumption of lower alcohol content beverages such as beer</w:t>
      </w:r>
    </w:p>
    <w:p w14:paraId="0371D58C" w14:textId="77777777" w:rsidR="00C438B9" w:rsidRPr="00273AA1" w:rsidRDefault="00C438B9" w:rsidP="00C438B9">
      <w:pPr>
        <w:pStyle w:val="Bullet"/>
      </w:pPr>
      <w:r w:rsidRPr="00273AA1">
        <w:t>the consumption of higher alcohol content beverages (beverages with greater than 10 per cent alcohol content) such as brandy and other spirits (including spirits mixed in ready to drink beverages)</w:t>
      </w:r>
    </w:p>
    <w:p w14:paraId="4119FE67" w14:textId="77777777" w:rsidR="00C438B9" w:rsidRPr="00273AA1" w:rsidRDefault="00C438B9" w:rsidP="00C438B9">
      <w:pPr>
        <w:pStyle w:val="Bullet"/>
      </w:pPr>
      <w:r w:rsidRPr="00273AA1">
        <w:t>the consumption of wine and alcoholic cider.</w:t>
      </w:r>
    </w:p>
    <w:p w14:paraId="1D418525" w14:textId="77777777" w:rsidR="00C438B9" w:rsidRPr="00273AA1" w:rsidRDefault="00C438B9" w:rsidP="00C438B9">
      <w:r w:rsidRPr="00273AA1">
        <w:t>The taxation of these activities reflects a longstanding feature of the tax system whereby different tax rates apply to beer, spirits and wine.</w:t>
      </w:r>
    </w:p>
    <w:p w14:paraId="759D9A1B" w14:textId="6B34252E" w:rsidR="00C438B9" w:rsidRPr="00273AA1" w:rsidRDefault="00C438B9" w:rsidP="00C438B9">
      <w:pPr>
        <w:pStyle w:val="Bullet"/>
      </w:pPr>
      <w:r w:rsidRPr="00273AA1">
        <w:t>The benchmark excise rate for lower alcohol content beverages (for example, beer) is the volumetric excise rate that applies to full strength packaged beer (including the excise-free threshold of the first 1.15 per cent of alcohol)</w:t>
      </w:r>
    </w:p>
    <w:p w14:paraId="3A2DEA75" w14:textId="77777777" w:rsidR="00C438B9" w:rsidRPr="00273AA1" w:rsidRDefault="00C438B9" w:rsidP="00C438B9">
      <w:pPr>
        <w:pStyle w:val="Bullet"/>
      </w:pPr>
      <w:r w:rsidRPr="00273AA1">
        <w:t>The benchmark excise rate for higher alcohol content beverages (for example, spirits) is the volumetric excise rate on spirits other than brandy</w:t>
      </w:r>
    </w:p>
    <w:p w14:paraId="0E884CAB" w14:textId="77777777" w:rsidR="00C438B9" w:rsidRPr="00273AA1" w:rsidRDefault="00C438B9" w:rsidP="00C438B9">
      <w:pPr>
        <w:pStyle w:val="Bullet"/>
      </w:pPr>
      <w:r w:rsidRPr="00273AA1">
        <w:t>The benchmark rate for wine and alcoholic cider is the ad valorem wine equalisation tax rate.</w:t>
      </w:r>
    </w:p>
    <w:p w14:paraId="1DF1FE83" w14:textId="49C610DB" w:rsidR="00C438B9" w:rsidRPr="00273AA1" w:rsidRDefault="00C438B9" w:rsidP="00037E0B">
      <w:pPr>
        <w:pStyle w:val="Heading4"/>
      </w:pPr>
      <w:r w:rsidRPr="00273AA1">
        <w:t>Motor vehicles</w:t>
      </w:r>
    </w:p>
    <w:p w14:paraId="67BD9884" w14:textId="77777777" w:rsidR="00C438B9" w:rsidRPr="00273AA1" w:rsidRDefault="00C438B9" w:rsidP="00C438B9">
      <w:pPr>
        <w:rPr>
          <w:rFonts w:ascii="Arial" w:hAnsi="Arial"/>
          <w:b/>
          <w:color w:val="000000"/>
        </w:rPr>
      </w:pPr>
      <w:r w:rsidRPr="00273AA1">
        <w:t>Generally, motor vehicle purchases are only subject to goods and services tax. Consequently, the luxury car tax is a negative tax expenditure.</w:t>
      </w:r>
    </w:p>
    <w:p w14:paraId="6F90F13E" w14:textId="4E8182F7" w:rsidR="00C438B9" w:rsidRPr="00273AA1" w:rsidRDefault="00C438B9" w:rsidP="00037E0B">
      <w:pPr>
        <w:pStyle w:val="Heading4"/>
      </w:pPr>
      <w:r w:rsidRPr="00273AA1">
        <w:t>Customs duties</w:t>
      </w:r>
    </w:p>
    <w:p w14:paraId="2683C9F1" w14:textId="77777777" w:rsidR="00C438B9" w:rsidRPr="00273AA1" w:rsidRDefault="00C438B9" w:rsidP="00C438B9">
      <w:pPr>
        <w:spacing w:after="220"/>
      </w:pPr>
      <w:r w:rsidRPr="00273AA1">
        <w:t>The customs duty benchmark treats goods imported into Australia as being subject to the same taxes as domestically produced goods, the main taxes being goods and services tax and excises on tobacco, alcohol and fuel. Customs duty (other than on excise</w:t>
      </w:r>
      <w:r w:rsidRPr="00273AA1">
        <w:noBreakHyphen/>
        <w:t>equivalent goods) therefore constitutes a negative tax expenditure.</w:t>
      </w:r>
    </w:p>
    <w:p w14:paraId="28E6E41D" w14:textId="598A1CAA" w:rsidR="00C438B9" w:rsidRPr="00273AA1" w:rsidRDefault="00C438B9" w:rsidP="00037E0B">
      <w:pPr>
        <w:pStyle w:val="Heading4"/>
      </w:pPr>
      <w:r w:rsidRPr="00273AA1">
        <w:t>Natural resources</w:t>
      </w:r>
    </w:p>
    <w:p w14:paraId="3CCA03E7" w14:textId="77777777" w:rsidR="00C438B9" w:rsidRPr="00273AA1" w:rsidRDefault="00C438B9" w:rsidP="00C438B9">
      <w:pPr>
        <w:spacing w:after="220"/>
      </w:pPr>
      <w:r w:rsidRPr="00273AA1">
        <w:t>The natural resources benchmark applies to the offshore extraction of petroleum products (crude oil, natural gas, LPG and condensate) subject to the petroleum resource rent tax (PRRT). The benchmark does not apply to the extraction of other natural resources.</w:t>
      </w:r>
    </w:p>
    <w:p w14:paraId="2D0486D1" w14:textId="77777777" w:rsidR="00C438B9" w:rsidRPr="00273AA1" w:rsidRDefault="00C438B9" w:rsidP="00C438B9">
      <w:pPr>
        <w:spacing w:after="220"/>
      </w:pPr>
      <w:r w:rsidRPr="00273AA1">
        <w:t>The benchmark is a 40 per cent tax rate on the economic rents earned on the extraction of these resources. There is a full tax</w:t>
      </w:r>
      <w:r w:rsidRPr="00273AA1">
        <w:noBreakHyphen/>
        <w:t>loss offset which can be utilised by transferring tax losses among commonly owned projects that are subject to the same tax rate. The tax unit is the project interest.</w:t>
      </w:r>
    </w:p>
    <w:p w14:paraId="21B4C7DC" w14:textId="77777777" w:rsidR="00C438B9" w:rsidRPr="00273AA1" w:rsidRDefault="00C438B9" w:rsidP="00C438B9">
      <w:r w:rsidRPr="00273AA1">
        <w:t>The benchmark also includes immediate expensing of project expenditures. To the extent that losses are carried forward because they cannot be utilised immediately, they are uplifted at the long</w:t>
      </w:r>
      <w:r w:rsidRPr="00273AA1">
        <w:noBreakHyphen/>
        <w:t>term government bond rate (a proxy for the risk</w:t>
      </w:r>
      <w:r w:rsidRPr="00273AA1">
        <w:noBreakHyphen/>
        <w:t>free rate). The uplift rate compensates investors for the delay in the recognition of the tax credit and preserves the value of the tax credit over time. A refund of unutilised tax credits is available when the project closes down.</w:t>
      </w:r>
    </w:p>
    <w:p w14:paraId="2F6404C9" w14:textId="77777777" w:rsidR="00C438B9" w:rsidRPr="00273AA1" w:rsidRDefault="00C438B9" w:rsidP="00C438B9">
      <w:r w:rsidRPr="00273AA1">
        <w:t>Crude oil excise is payable in respect of certain petroleum production, and is creditable against the project’s PRRT liabilities. Where this occurs, the crude oil excise paid in a period is treated as a prepayment of the PRRT liability for that period. To the extent that the tax prepayment exceeds the PRRT liability in a year, a negative tax expenditure arises for the year, while credits for overpayments recouped in subsequent years would count as positive tax expenditure in those years.</w:t>
      </w:r>
    </w:p>
    <w:p w14:paraId="2B185FE6" w14:textId="227A84EB" w:rsidR="00C438B9" w:rsidRPr="00273AA1" w:rsidRDefault="00C438B9" w:rsidP="00037E0B">
      <w:pPr>
        <w:pStyle w:val="Heading4"/>
      </w:pPr>
      <w:r w:rsidRPr="00273AA1">
        <w:t>Passenger movement charge</w:t>
      </w:r>
    </w:p>
    <w:p w14:paraId="6123BBF7" w14:textId="77777777" w:rsidR="00C438B9" w:rsidRPr="00273AA1" w:rsidRDefault="00C438B9" w:rsidP="00C438B9">
      <w:r w:rsidRPr="00273AA1">
        <w:t>The passenger movement charge is a flat rate imposed on all persons upon their departure from Australia. Exemptions from the charge create a tax expenditure.</w:t>
      </w:r>
    </w:p>
    <w:p w14:paraId="32EEE286" w14:textId="5149F912" w:rsidR="00C438B9" w:rsidRPr="00273AA1" w:rsidRDefault="00C438B9" w:rsidP="00037E0B">
      <w:pPr>
        <w:pStyle w:val="Heading4"/>
      </w:pPr>
      <w:r w:rsidRPr="00273AA1">
        <w:t>Visa application charges</w:t>
      </w:r>
    </w:p>
    <w:p w14:paraId="117508D2" w14:textId="77777777" w:rsidR="00C438B9" w:rsidRPr="00273AA1" w:rsidRDefault="00C438B9" w:rsidP="00C438B9">
      <w:r w:rsidRPr="00273AA1">
        <w:t>Visa application charges are set such that all visa applicants with similar characteristics, applying for the same visa, pay the same charge. The benchmark tax treatment is equivalent to the current charges levied.</w:t>
      </w:r>
    </w:p>
    <w:p w14:paraId="51E02778" w14:textId="1DE50F3E" w:rsidR="00C438B9" w:rsidRPr="00273AA1" w:rsidRDefault="00C438B9" w:rsidP="00037E0B">
      <w:pPr>
        <w:pStyle w:val="Heading4"/>
      </w:pPr>
      <w:r w:rsidRPr="00273AA1">
        <w:t>Primary industry levies</w:t>
      </w:r>
    </w:p>
    <w:p w14:paraId="1F5715DD" w14:textId="77777777" w:rsidR="00C438B9" w:rsidRPr="00273AA1" w:rsidRDefault="00C438B9" w:rsidP="00C438B9">
      <w:r w:rsidRPr="00273AA1">
        <w:t>Primary industry levies provide collective industry funding for activities such as research and development, promotion and marketing, residue testing and plant and animal health programs. The levies are levied on the volume or value of the relevant type of produce. Exemptions from levies create tax expenditures (except exemptions for products which are unfit for human consumption or exemptions for products used by the producer for domestic purposes).</w:t>
      </w:r>
    </w:p>
    <w:p w14:paraId="6AEE8F02" w14:textId="77867FFB" w:rsidR="00C438B9" w:rsidRPr="00273AA1" w:rsidRDefault="00C438B9" w:rsidP="00037E0B">
      <w:pPr>
        <w:pStyle w:val="Heading4"/>
      </w:pPr>
      <w:r w:rsidRPr="00273AA1">
        <w:t>Major bank levy</w:t>
      </w:r>
    </w:p>
    <w:p w14:paraId="5CF123C1" w14:textId="77777777" w:rsidR="00C438B9" w:rsidRPr="00273AA1" w:rsidRDefault="00C438B9" w:rsidP="00C438B9">
      <w:r w:rsidRPr="00273AA1">
        <w:t xml:space="preserve">The benchmark for the major bank levy has been taken to be equivalent to the levy as outlined in the </w:t>
      </w:r>
      <w:r w:rsidRPr="00273AA1">
        <w:rPr>
          <w:i/>
        </w:rPr>
        <w:t>Major Bank Levy Act 2017</w:t>
      </w:r>
      <w:r w:rsidRPr="00273AA1">
        <w:t>.</w:t>
      </w:r>
    </w:p>
    <w:p w14:paraId="29F58FD6" w14:textId="037D7C0C" w:rsidR="00C438B9" w:rsidRPr="00273AA1" w:rsidRDefault="00C438B9" w:rsidP="00037E0B">
      <w:pPr>
        <w:pStyle w:val="Heading4"/>
      </w:pPr>
      <w:r w:rsidRPr="00273AA1">
        <w:t xml:space="preserve">Other </w:t>
      </w:r>
      <w:r w:rsidR="003C5E8B">
        <w:t>m</w:t>
      </w:r>
      <w:r w:rsidRPr="00273AA1">
        <w:t xml:space="preserve">iscellaneous </w:t>
      </w:r>
      <w:r w:rsidR="003C5E8B">
        <w:t>t</w:t>
      </w:r>
      <w:r w:rsidRPr="00273AA1">
        <w:t>axes</w:t>
      </w:r>
    </w:p>
    <w:p w14:paraId="4C9BCDB9" w14:textId="77777777" w:rsidR="00C438B9" w:rsidRPr="00273AA1" w:rsidRDefault="00C438B9" w:rsidP="00C438B9">
      <w:r w:rsidRPr="00273AA1">
        <w:t xml:space="preserve">There are a range of minor miscellaneous indirect taxes, including but not limited to, radiocommunications taxes and taxes on regulated entities for the purpose of providing regulatory activities. </w:t>
      </w:r>
    </w:p>
    <w:p w14:paraId="103008E7" w14:textId="77777777" w:rsidR="00C438B9" w:rsidRPr="00273AA1" w:rsidRDefault="00C438B9" w:rsidP="00C438B9">
      <w:r w:rsidRPr="00273AA1">
        <w:t>Generally, the benchmark for these taxes is taken to be the tax rate stated in applicable legislation. Any exemptions or concessions from these taxes would create a tax expenditure.</w:t>
      </w:r>
    </w:p>
    <w:p w14:paraId="1DD23F77" w14:textId="77777777" w:rsidR="00C438B9" w:rsidRPr="00273AA1" w:rsidRDefault="00C438B9" w:rsidP="00C438B9">
      <w:pPr>
        <w:spacing w:after="0" w:line="240" w:lineRule="auto"/>
        <w:jc w:val="left"/>
        <w:rPr>
          <w:rFonts w:ascii="Arial Bold" w:hAnsi="Arial Bold"/>
          <w:b/>
          <w:color w:val="000000"/>
          <w:spacing w:val="-6"/>
          <w:sz w:val="27"/>
        </w:rPr>
      </w:pPr>
      <w:r w:rsidRPr="00273AA1">
        <w:br w:type="page"/>
      </w:r>
    </w:p>
    <w:p w14:paraId="7F28086A" w14:textId="08E1E2BB" w:rsidR="00324AEC" w:rsidRDefault="00B77280" w:rsidP="00301F8A">
      <w:pPr>
        <w:pStyle w:val="Heading2-notnumbered"/>
      </w:pPr>
      <w:bookmarkStart w:id="131" w:name="_Toc184287667"/>
      <w:r>
        <w:t>A</w:t>
      </w:r>
      <w:r w:rsidR="00656859">
        <w:t>.</w:t>
      </w:r>
      <w:r>
        <w:t>3</w:t>
      </w:r>
      <w:r w:rsidRPr="00273AA1">
        <w:tab/>
      </w:r>
      <w:r w:rsidR="00E501C5" w:rsidRPr="00B77280">
        <w:t>Major updates</w:t>
      </w:r>
      <w:r w:rsidR="002C5CE3">
        <w:t xml:space="preserve"> to estimates</w:t>
      </w:r>
      <w:r w:rsidR="00E501C5" w:rsidRPr="00B77280">
        <w:t xml:space="preserve"> from the 2023</w:t>
      </w:r>
      <w:r w:rsidR="00B76C90">
        <w:t>–</w:t>
      </w:r>
      <w:r w:rsidR="00E501C5" w:rsidRPr="00B77280">
        <w:t>24 TEIS</w:t>
      </w:r>
      <w:bookmarkEnd w:id="131"/>
    </w:p>
    <w:p w14:paraId="5B51644B" w14:textId="03515F38" w:rsidR="00892A4A" w:rsidRDefault="002C5CE3" w:rsidP="00B76C90">
      <w:r>
        <w:t xml:space="preserve">Tax expenditure estimates </w:t>
      </w:r>
      <w:r w:rsidR="00EA2062">
        <w:t xml:space="preserve">have been </w:t>
      </w:r>
      <w:r>
        <w:t>revised to reflect changes in the operation of the tax system</w:t>
      </w:r>
      <w:r w:rsidR="00EA2062">
        <w:t xml:space="preserve"> and economic conditions</w:t>
      </w:r>
      <w:r w:rsidR="00C910F8">
        <w:t xml:space="preserve">, including </w:t>
      </w:r>
      <w:r w:rsidR="006E6FB0">
        <w:t>periodically review</w:t>
      </w:r>
      <w:r w:rsidR="00C910F8">
        <w:t>ing</w:t>
      </w:r>
      <w:r w:rsidR="006E6FB0">
        <w:t xml:space="preserve"> the data and methodology used to estimate tax expenditures. </w:t>
      </w:r>
    </w:p>
    <w:p w14:paraId="40D3D2B8" w14:textId="77777777" w:rsidR="00B76C90" w:rsidRDefault="00324AEC" w:rsidP="00B76C90">
      <w:r w:rsidRPr="00EC33C4">
        <w:t xml:space="preserve">Updated economic </w:t>
      </w:r>
      <w:r w:rsidR="008F002E">
        <w:t xml:space="preserve">and tax </w:t>
      </w:r>
      <w:r w:rsidRPr="00EC33C4">
        <w:t>forecasts since the previous TEIS drive several estimate revisions:</w:t>
      </w:r>
    </w:p>
    <w:p w14:paraId="13953645" w14:textId="57F72F06" w:rsidR="00324AEC" w:rsidRPr="00B76C90" w:rsidRDefault="00C34B13" w:rsidP="00B76C90">
      <w:pPr>
        <w:pStyle w:val="Bullet"/>
      </w:pPr>
      <w:r w:rsidRPr="00B76C90">
        <w:t>Higher forecasts for e</w:t>
      </w:r>
      <w:r w:rsidR="00F5773D" w:rsidRPr="00B76C90">
        <w:t>mployee earnings</w:t>
      </w:r>
      <w:r w:rsidR="00324AEC" w:rsidRPr="00B76C90">
        <w:t xml:space="preserve"> over the forward estimates drive stronger </w:t>
      </w:r>
      <w:r w:rsidR="007B7834" w:rsidRPr="00B76C90">
        <w:t xml:space="preserve">superannuation </w:t>
      </w:r>
      <w:r w:rsidR="00324AEC" w:rsidRPr="00B76C90">
        <w:t>contributions, leading to an upward revision to C2 Concessional taxation of employer superannuation contributions.</w:t>
      </w:r>
      <w:r w:rsidR="004C5A4A" w:rsidRPr="00B76C90">
        <w:t xml:space="preserve"> These stronger earnings forecasts flow through to higher personal contributions, driving an additional upgrade to </w:t>
      </w:r>
      <w:r w:rsidR="007E7304" w:rsidRPr="00B76C90">
        <w:t>C3 Concessional taxation of personal superannuation contributions.</w:t>
      </w:r>
    </w:p>
    <w:p w14:paraId="5E4FBEB8" w14:textId="659B8A9F" w:rsidR="00324AEC" w:rsidRPr="006A174B" w:rsidRDefault="00685E23" w:rsidP="004760A5">
      <w:pPr>
        <w:pStyle w:val="Bullet"/>
        <w:rPr>
          <w:rFonts w:ascii="Times New Roman" w:hAnsi="Times New Roman"/>
          <w:sz w:val="24"/>
        </w:rPr>
      </w:pPr>
      <w:r>
        <w:t xml:space="preserve">Revisions to the </w:t>
      </w:r>
      <w:r w:rsidR="00324AEC" w:rsidRPr="006A174B">
        <w:t xml:space="preserve">capital gains </w:t>
      </w:r>
      <w:r>
        <w:t xml:space="preserve">outlook </w:t>
      </w:r>
      <w:r w:rsidR="00324AEC" w:rsidRPr="006A174B">
        <w:t xml:space="preserve">drive large revisions to several </w:t>
      </w:r>
      <w:r w:rsidR="00324AEC">
        <w:t xml:space="preserve">capital gains </w:t>
      </w:r>
      <w:r w:rsidR="00324AEC" w:rsidRPr="006A174B">
        <w:t xml:space="preserve">tax expenditures, including E15 Discount for </w:t>
      </w:r>
      <w:r w:rsidR="00D20FCB">
        <w:t>i</w:t>
      </w:r>
      <w:r w:rsidR="00324AEC" w:rsidRPr="006A174B">
        <w:t xml:space="preserve">ndividuals and </w:t>
      </w:r>
      <w:r w:rsidR="00D20FCB">
        <w:t>t</w:t>
      </w:r>
      <w:r w:rsidR="00324AEC" w:rsidRPr="006A174B">
        <w:t>rusts, C4</w:t>
      </w:r>
      <w:r w:rsidR="00E1686D">
        <w:t> </w:t>
      </w:r>
      <w:r w:rsidR="00324AEC" w:rsidRPr="006A174B">
        <w:t>Concessional taxation of superannuation earnings</w:t>
      </w:r>
      <w:r w:rsidR="00324AEC">
        <w:t xml:space="preserve">, E7 Main residence </w:t>
      </w:r>
      <w:r w:rsidR="002D7E61">
        <w:t>e</w:t>
      </w:r>
      <w:r w:rsidR="00324AEC">
        <w:t>xemption and E8 Main residence exemption – discount component.</w:t>
      </w:r>
    </w:p>
    <w:p w14:paraId="29EDF0A6" w14:textId="703CFBA7" w:rsidR="00324AEC" w:rsidRDefault="003D59D5" w:rsidP="00324AEC">
      <w:pPr>
        <w:rPr>
          <w:szCs w:val="16"/>
        </w:rPr>
      </w:pPr>
      <w:r>
        <w:rPr>
          <w:szCs w:val="16"/>
        </w:rPr>
        <w:t>Reasons for other major updates include:</w:t>
      </w:r>
    </w:p>
    <w:p w14:paraId="63E401D5" w14:textId="5663C51A" w:rsidR="007D44EB" w:rsidRPr="00301F8A" w:rsidRDefault="007D44EB" w:rsidP="004760A5">
      <w:pPr>
        <w:pStyle w:val="Bullet"/>
      </w:pPr>
      <w:r w:rsidRPr="0018310C">
        <w:t>Growth in</w:t>
      </w:r>
      <w:r>
        <w:t xml:space="preserve"> payments under the </w:t>
      </w:r>
      <w:r w:rsidRPr="006A174B">
        <w:rPr>
          <w:i/>
          <w:iCs/>
        </w:rPr>
        <w:t>Military Rehabilitation and Compensation Act</w:t>
      </w:r>
      <w:r w:rsidR="00D108A6">
        <w:rPr>
          <w:i/>
          <w:iCs/>
        </w:rPr>
        <w:t xml:space="preserve"> 2004</w:t>
      </w:r>
      <w:r>
        <w:t xml:space="preserve"> results in a higher estimate for </w:t>
      </w:r>
      <w:r w:rsidRPr="00DF659A">
        <w:t>A40</w:t>
      </w:r>
      <w:r>
        <w:t xml:space="preserve"> </w:t>
      </w:r>
      <w:r w:rsidRPr="00DF659A">
        <w:t>Exemptions of certain veterans’ pensions, allowances or benefits, compensation, and particular World War II-related payments for persecution</w:t>
      </w:r>
      <w:r>
        <w:t>.</w:t>
      </w:r>
    </w:p>
    <w:p w14:paraId="749E455B" w14:textId="15858C4D" w:rsidR="003D59D5" w:rsidRPr="006A174B" w:rsidRDefault="003D59D5" w:rsidP="004760A5">
      <w:pPr>
        <w:pStyle w:val="Bullet"/>
      </w:pPr>
      <w:r w:rsidRPr="003D59D5">
        <w:t xml:space="preserve">Changes to F21 Customs </w:t>
      </w:r>
      <w:r w:rsidR="00DC2C17">
        <w:t>d</w:t>
      </w:r>
      <w:r w:rsidRPr="003D59D5">
        <w:t>uty reflect updates to the timing of the provision for the EU-FTA</w:t>
      </w:r>
      <w:r>
        <w:t>.</w:t>
      </w:r>
    </w:p>
    <w:p w14:paraId="506B5D12" w14:textId="610D6094" w:rsidR="003D59D5" w:rsidRPr="003D59D5" w:rsidRDefault="002B5795" w:rsidP="004760A5">
      <w:pPr>
        <w:pStyle w:val="Bullet"/>
      </w:pPr>
      <w:r w:rsidRPr="00273AA1">
        <w:tab/>
      </w:r>
      <w:r w:rsidR="00324AEC" w:rsidRPr="006A174B">
        <w:t>Revised estimates of the take-up of the loss carry</w:t>
      </w:r>
      <w:r w:rsidR="002D4BC6">
        <w:t>-</w:t>
      </w:r>
      <w:r w:rsidR="00324AEC" w:rsidRPr="006A174B">
        <w:t>back provision have informed updates to B2</w:t>
      </w:r>
      <w:r w:rsidR="007365DF">
        <w:t>5</w:t>
      </w:r>
      <w:r w:rsidR="00324AEC" w:rsidRPr="006A174B">
        <w:t xml:space="preserve"> Temporary loss carry-back for certain incorporated entities. Final outcomes of the measure </w:t>
      </w:r>
      <w:r w:rsidR="00324AEC">
        <w:t xml:space="preserve">are </w:t>
      </w:r>
      <w:r w:rsidR="00324AEC" w:rsidRPr="006A174B">
        <w:t>to be published in 2025 as part of Taxation Statistics 2022-23.</w:t>
      </w:r>
    </w:p>
    <w:p w14:paraId="16EBA485" w14:textId="618566AF" w:rsidR="00324AEC" w:rsidRPr="00EE2643" w:rsidRDefault="00324AEC" w:rsidP="004760A5">
      <w:pPr>
        <w:pStyle w:val="Bullet"/>
      </w:pPr>
      <w:r w:rsidRPr="00EE2643">
        <w:t>Lower than expected outcomes for GST exempt consumption drive revision</w:t>
      </w:r>
      <w:r w:rsidR="00EE73FA">
        <w:t>s</w:t>
      </w:r>
      <w:r w:rsidRPr="00EE2643">
        <w:t xml:space="preserve"> to GST expenditures, including H2 Financial supplies – input taxed treatment and H3 Financial </w:t>
      </w:r>
      <w:r w:rsidR="00C77D68">
        <w:t>s</w:t>
      </w:r>
      <w:r w:rsidRPr="00EE2643">
        <w:t>upplies – reduced input tax credits.</w:t>
      </w:r>
    </w:p>
    <w:p w14:paraId="4D71C7A8" w14:textId="262BE389" w:rsidR="003836BD" w:rsidRPr="00EE2643" w:rsidRDefault="003F441E" w:rsidP="004760A5">
      <w:pPr>
        <w:pStyle w:val="Bullet"/>
      </w:pPr>
      <w:r>
        <w:t xml:space="preserve">Estimates for D33 </w:t>
      </w:r>
      <w:r w:rsidR="00850262">
        <w:t>Exemption for e</w:t>
      </w:r>
      <w:r w:rsidR="002C3D0B">
        <w:t xml:space="preserve">lectric </w:t>
      </w:r>
      <w:r w:rsidR="00850262">
        <w:t>v</w:t>
      </w:r>
      <w:r w:rsidR="002C3D0B">
        <w:t>ehicle</w:t>
      </w:r>
      <w:r w:rsidR="00850262">
        <w:t>s</w:t>
      </w:r>
      <w:r w:rsidR="002C3D0B">
        <w:t xml:space="preserve"> </w:t>
      </w:r>
      <w:r>
        <w:t xml:space="preserve">have been revised down reflecting </w:t>
      </w:r>
      <w:r w:rsidR="00902066">
        <w:t xml:space="preserve">updated data on vehicle sales </w:t>
      </w:r>
      <w:r w:rsidR="00786173">
        <w:t xml:space="preserve">and prices and </w:t>
      </w:r>
      <w:r w:rsidR="00080391">
        <w:t xml:space="preserve">minor </w:t>
      </w:r>
      <w:r w:rsidR="00786173">
        <w:t>methodological improvements</w:t>
      </w:r>
      <w:r w:rsidR="00080391">
        <w:t>.</w:t>
      </w:r>
      <w:r w:rsidR="003C76FE">
        <w:t xml:space="preserve"> </w:t>
      </w:r>
    </w:p>
    <w:p w14:paraId="77EBE36C" w14:textId="77777777" w:rsidR="00324AEC" w:rsidRDefault="00324AEC">
      <w:pPr>
        <w:spacing w:after="0" w:line="240" w:lineRule="auto"/>
        <w:jc w:val="left"/>
        <w:rPr>
          <w:b/>
          <w:color w:val="000000"/>
          <w:spacing w:val="-6"/>
          <w:sz w:val="27"/>
        </w:rPr>
      </w:pPr>
      <w:r>
        <w:br w:type="page"/>
      </w:r>
    </w:p>
    <w:p w14:paraId="71AB3759" w14:textId="24467E34" w:rsidR="002B5795" w:rsidRPr="00273AA1" w:rsidRDefault="002B5795" w:rsidP="002B5795">
      <w:pPr>
        <w:pStyle w:val="Heading2-notnumbered"/>
      </w:pPr>
      <w:bookmarkStart w:id="132" w:name="_Toc184287668"/>
      <w:r w:rsidRPr="00273AA1">
        <w:t>A.</w:t>
      </w:r>
      <w:r w:rsidR="00324AEC">
        <w:t>4</w:t>
      </w:r>
      <w:r w:rsidRPr="00273AA1">
        <w:tab/>
        <w:t>Data and methodology for distributional analysis</w:t>
      </w:r>
      <w:bookmarkEnd w:id="113"/>
      <w:bookmarkEnd w:id="132"/>
    </w:p>
    <w:p w14:paraId="4856EBEB" w14:textId="125F5C3D" w:rsidR="00655739" w:rsidRPr="00273AA1" w:rsidRDefault="00655739" w:rsidP="00C438B9">
      <w:r w:rsidRPr="00655739">
        <w:t>Analysis of tax expenditures relating to individuals is based on tax data for around 1</w:t>
      </w:r>
      <w:r w:rsidR="0073226A">
        <w:t>6</w:t>
      </w:r>
      <w:r w:rsidR="008670FC">
        <w:t> </w:t>
      </w:r>
      <w:r w:rsidRPr="00655739">
        <w:t xml:space="preserve">million personal tax filers in 2021–22, which is the most recent year where the ATO’s comprehensive Taxation Statistics (TaxStats) is available. </w:t>
      </w:r>
    </w:p>
    <w:p w14:paraId="05AB3301" w14:textId="77777777" w:rsidR="004231D0" w:rsidRPr="00FC3EE3" w:rsidRDefault="002B5795" w:rsidP="004231D0">
      <w:r w:rsidRPr="00273AA1">
        <w:t xml:space="preserve">Distributional analysis of tax expenditures has been produced using Treasury’s microsimulation models, and reflects estimates of final tax liabilities, including tax paid by expected late lodgers. This may differ from estimates published in TaxStats. </w:t>
      </w:r>
    </w:p>
    <w:p w14:paraId="065DC6C2" w14:textId="2473A353" w:rsidR="00DD67DC" w:rsidRPr="00FC3EE3" w:rsidRDefault="00DD67DC" w:rsidP="00DD67DC">
      <w:r w:rsidRPr="00FC3EE3">
        <w:t>Analysis by taxable income decile uses the deciles from personal income tax data, which only captures people who lodge a tax return (Table A</w:t>
      </w:r>
      <w:r w:rsidR="00A044AA">
        <w:t>4</w:t>
      </w:r>
      <w:r w:rsidRPr="00FC3EE3">
        <w:t>.1). Tables A</w:t>
      </w:r>
      <w:r w:rsidR="00A044AA">
        <w:t>4</w:t>
      </w:r>
      <w:r w:rsidRPr="00FC3EE3">
        <w:t>.2 and A</w:t>
      </w:r>
      <w:r w:rsidR="00A044AA">
        <w:t>4</w:t>
      </w:r>
      <w:r w:rsidRPr="00FC3EE3">
        <w:t>.3 show summary statistics for tax filers by age and gender.</w:t>
      </w:r>
      <w:r>
        <w:rPr>
          <w:rStyle w:val="FootnoteReference"/>
        </w:rPr>
        <w:footnoteReference w:id="18"/>
      </w:r>
    </w:p>
    <w:p w14:paraId="7860D21A" w14:textId="22F333A6" w:rsidR="002B5795" w:rsidRPr="00273AA1" w:rsidRDefault="000A1B36" w:rsidP="002B5795">
      <w:pPr>
        <w:pStyle w:val="TableHeading"/>
        <w:rPr>
          <w:color w:val="auto"/>
        </w:rPr>
      </w:pPr>
      <w:r w:rsidRPr="000A1B36">
        <w:rPr>
          <w:color w:val="auto"/>
        </w:rPr>
        <w:t>Table A</w:t>
      </w:r>
      <w:r w:rsidR="00512700">
        <w:rPr>
          <w:color w:val="auto"/>
        </w:rPr>
        <w:t>4</w:t>
      </w:r>
      <w:r w:rsidRPr="000A1B36">
        <w:rPr>
          <w:color w:val="auto"/>
        </w:rPr>
        <w:t>.1 Income ranges for personal income tax filers, 2021–22</w:t>
      </w:r>
    </w:p>
    <w:tbl>
      <w:tblPr>
        <w:tblW w:w="5000" w:type="pct"/>
        <w:tblLook w:val="04A0" w:firstRow="1" w:lastRow="0" w:firstColumn="1" w:lastColumn="0" w:noHBand="0" w:noVBand="1"/>
      </w:tblPr>
      <w:tblGrid>
        <w:gridCol w:w="2956"/>
        <w:gridCol w:w="4755"/>
      </w:tblGrid>
      <w:tr w:rsidR="002B5795" w:rsidRPr="00D71995" w14:paraId="18B3C2C2" w14:textId="77777777">
        <w:trPr>
          <w:trHeight w:val="227"/>
        </w:trPr>
        <w:tc>
          <w:tcPr>
            <w:tcW w:w="2956" w:type="dxa"/>
            <w:tcBorders>
              <w:top w:val="single" w:sz="4" w:space="0" w:color="auto"/>
              <w:bottom w:val="single" w:sz="4" w:space="0" w:color="auto"/>
            </w:tcBorders>
          </w:tcPr>
          <w:p w14:paraId="35693A10" w14:textId="77777777" w:rsidR="002B5795" w:rsidRPr="00273AA1" w:rsidRDefault="002B5795">
            <w:pPr>
              <w:pStyle w:val="TableTextLeft"/>
            </w:pPr>
          </w:p>
        </w:tc>
        <w:tc>
          <w:tcPr>
            <w:tcW w:w="4755" w:type="dxa"/>
            <w:tcBorders>
              <w:top w:val="single" w:sz="4" w:space="0" w:color="auto"/>
              <w:bottom w:val="single" w:sz="4" w:space="0" w:color="auto"/>
            </w:tcBorders>
          </w:tcPr>
          <w:p w14:paraId="20E55327" w14:textId="77777777" w:rsidR="002B5795" w:rsidRPr="00AE12EB" w:rsidRDefault="002B5795">
            <w:pPr>
              <w:pStyle w:val="TableTextLeft"/>
              <w:jc w:val="right"/>
              <w:rPr>
                <w:b/>
              </w:rPr>
            </w:pPr>
            <w:r w:rsidRPr="00AE12EB">
              <w:rPr>
                <w:b/>
              </w:rPr>
              <w:t>Range of taxable income for individuals</w:t>
            </w:r>
          </w:p>
        </w:tc>
      </w:tr>
      <w:tr w:rsidR="002B5795" w:rsidRPr="00D71995" w14:paraId="7456FC6A" w14:textId="77777777">
        <w:trPr>
          <w:trHeight w:val="262"/>
        </w:trPr>
        <w:tc>
          <w:tcPr>
            <w:tcW w:w="2956" w:type="dxa"/>
            <w:tcBorders>
              <w:top w:val="single" w:sz="4" w:space="0" w:color="auto"/>
            </w:tcBorders>
          </w:tcPr>
          <w:p w14:paraId="434339CF" w14:textId="16DCC227" w:rsidR="002B5795" w:rsidRPr="00AE12EB" w:rsidRDefault="00FA4C85">
            <w:pPr>
              <w:pStyle w:val="TableTextLeft"/>
            </w:pPr>
            <w:r w:rsidRPr="008624E7">
              <w:t xml:space="preserve">Lowest </w:t>
            </w:r>
          </w:p>
        </w:tc>
        <w:tc>
          <w:tcPr>
            <w:tcW w:w="4755" w:type="dxa"/>
            <w:tcBorders>
              <w:top w:val="single" w:sz="4" w:space="0" w:color="auto"/>
            </w:tcBorders>
          </w:tcPr>
          <w:p w14:paraId="050D8FEC" w14:textId="2A2691CC" w:rsidR="002B5795" w:rsidRPr="00AE12EB" w:rsidRDefault="00FA4C85">
            <w:pPr>
              <w:pStyle w:val="TableTextLeft"/>
              <w:jc w:val="right"/>
            </w:pPr>
            <w:r w:rsidRPr="008624E7">
              <w:t>$</w:t>
            </w:r>
            <w:r w:rsidR="0059221E">
              <w:t>9</w:t>
            </w:r>
            <w:r w:rsidRPr="008624E7">
              <w:t>,</w:t>
            </w:r>
            <w:r w:rsidR="0059221E">
              <w:t>9</w:t>
            </w:r>
            <w:r w:rsidRPr="008624E7">
              <w:t>00 or less</w:t>
            </w:r>
          </w:p>
        </w:tc>
      </w:tr>
      <w:tr w:rsidR="002B5795" w:rsidRPr="00D71995" w14:paraId="40B1AB4F" w14:textId="77777777">
        <w:trPr>
          <w:trHeight w:val="247"/>
        </w:trPr>
        <w:tc>
          <w:tcPr>
            <w:tcW w:w="2956" w:type="dxa"/>
          </w:tcPr>
          <w:p w14:paraId="481E6ABD" w14:textId="3246BB12" w:rsidR="002B5795" w:rsidRPr="00AE12EB" w:rsidRDefault="00FA4C85">
            <w:pPr>
              <w:pStyle w:val="TableTextLeft"/>
            </w:pPr>
            <w:r w:rsidRPr="008624E7">
              <w:t>Second</w:t>
            </w:r>
          </w:p>
        </w:tc>
        <w:tc>
          <w:tcPr>
            <w:tcW w:w="4755" w:type="dxa"/>
          </w:tcPr>
          <w:p w14:paraId="51F1B4CB" w14:textId="2EF56AED" w:rsidR="002B5795" w:rsidRPr="00AE12EB" w:rsidRDefault="0046640D">
            <w:pPr>
              <w:pStyle w:val="TableTextLeft"/>
              <w:jc w:val="right"/>
            </w:pPr>
            <w:r w:rsidRPr="003B0AA9">
              <w:t>$9,90</w:t>
            </w:r>
            <w:r>
              <w:t>1</w:t>
            </w:r>
            <w:r w:rsidRPr="003B0AA9">
              <w:t>-$21,700</w:t>
            </w:r>
          </w:p>
        </w:tc>
      </w:tr>
      <w:tr w:rsidR="002B5795" w:rsidRPr="00D71995" w14:paraId="009FF033" w14:textId="77777777">
        <w:trPr>
          <w:trHeight w:val="262"/>
        </w:trPr>
        <w:tc>
          <w:tcPr>
            <w:tcW w:w="2956" w:type="dxa"/>
          </w:tcPr>
          <w:p w14:paraId="7B05CE30" w14:textId="48684730" w:rsidR="002B5795" w:rsidRPr="00AE12EB" w:rsidRDefault="002B5795">
            <w:pPr>
              <w:pStyle w:val="TableTextLeft"/>
            </w:pPr>
            <w:r w:rsidRPr="008624E7">
              <w:t>Third</w:t>
            </w:r>
          </w:p>
        </w:tc>
        <w:tc>
          <w:tcPr>
            <w:tcW w:w="4755" w:type="dxa"/>
          </w:tcPr>
          <w:p w14:paraId="28C3F522" w14:textId="36E43BAB" w:rsidR="002B5795" w:rsidRPr="00AE12EB" w:rsidRDefault="0046640D">
            <w:pPr>
              <w:pStyle w:val="TableTextLeft"/>
              <w:jc w:val="right"/>
            </w:pPr>
            <w:r w:rsidRPr="003B0AA9">
              <w:t>$21,70</w:t>
            </w:r>
            <w:r>
              <w:t>1</w:t>
            </w:r>
            <w:r w:rsidRPr="003B0AA9">
              <w:t>-$31,500</w:t>
            </w:r>
          </w:p>
        </w:tc>
      </w:tr>
      <w:tr w:rsidR="002B5795" w:rsidRPr="00D71995" w14:paraId="08C1C6F4" w14:textId="77777777">
        <w:trPr>
          <w:trHeight w:val="247"/>
        </w:trPr>
        <w:tc>
          <w:tcPr>
            <w:tcW w:w="2956" w:type="dxa"/>
          </w:tcPr>
          <w:p w14:paraId="12CE75A6" w14:textId="68C769F1" w:rsidR="002B5795" w:rsidRPr="00AE12EB" w:rsidRDefault="002B5795">
            <w:pPr>
              <w:pStyle w:val="TableTextLeft"/>
            </w:pPr>
            <w:r w:rsidRPr="008624E7">
              <w:t>Fourth</w:t>
            </w:r>
          </w:p>
        </w:tc>
        <w:tc>
          <w:tcPr>
            <w:tcW w:w="4755" w:type="dxa"/>
          </w:tcPr>
          <w:p w14:paraId="15841FB9" w14:textId="0DA59354" w:rsidR="002B5795" w:rsidRPr="00AE12EB" w:rsidRDefault="0046640D">
            <w:pPr>
              <w:pStyle w:val="TableTextLeft"/>
              <w:jc w:val="right"/>
            </w:pPr>
            <w:r w:rsidRPr="003B0AA9">
              <w:t>$31,50</w:t>
            </w:r>
            <w:r>
              <w:t>1</w:t>
            </w:r>
            <w:r w:rsidRPr="003B0AA9">
              <w:t>-$42,500</w:t>
            </w:r>
          </w:p>
        </w:tc>
      </w:tr>
      <w:tr w:rsidR="002B5795" w:rsidRPr="00D71995" w14:paraId="1482A8FB" w14:textId="77777777">
        <w:trPr>
          <w:trHeight w:val="262"/>
        </w:trPr>
        <w:tc>
          <w:tcPr>
            <w:tcW w:w="2956" w:type="dxa"/>
          </w:tcPr>
          <w:p w14:paraId="0CFA2618" w14:textId="31D26DAD" w:rsidR="002B5795" w:rsidRPr="00AE12EB" w:rsidRDefault="00FA4C85">
            <w:pPr>
              <w:pStyle w:val="TableTextLeft"/>
            </w:pPr>
            <w:r w:rsidRPr="008624E7">
              <w:t>Fifth</w:t>
            </w:r>
          </w:p>
        </w:tc>
        <w:tc>
          <w:tcPr>
            <w:tcW w:w="4755" w:type="dxa"/>
          </w:tcPr>
          <w:p w14:paraId="73941F53" w14:textId="0B7F9134" w:rsidR="002B5795" w:rsidRPr="00AE12EB" w:rsidRDefault="0046640D">
            <w:pPr>
              <w:pStyle w:val="TableTextLeft"/>
              <w:jc w:val="right"/>
            </w:pPr>
            <w:r w:rsidRPr="003B0AA9">
              <w:t>$42,50</w:t>
            </w:r>
            <w:r>
              <w:t>1</w:t>
            </w:r>
            <w:r w:rsidRPr="003B0AA9">
              <w:t>-$53,000</w:t>
            </w:r>
          </w:p>
        </w:tc>
      </w:tr>
      <w:tr w:rsidR="002B5795" w:rsidRPr="00D71995" w14:paraId="0D7B0F49" w14:textId="77777777">
        <w:trPr>
          <w:trHeight w:val="262"/>
        </w:trPr>
        <w:tc>
          <w:tcPr>
            <w:tcW w:w="2956" w:type="dxa"/>
          </w:tcPr>
          <w:p w14:paraId="73995DC0" w14:textId="4668AFDA" w:rsidR="002B5795" w:rsidRPr="00AE12EB" w:rsidRDefault="002B5795">
            <w:pPr>
              <w:pStyle w:val="TableTextLeft"/>
            </w:pPr>
            <w:r w:rsidRPr="008624E7">
              <w:t xml:space="preserve">Sixth </w:t>
            </w:r>
          </w:p>
        </w:tc>
        <w:tc>
          <w:tcPr>
            <w:tcW w:w="4755" w:type="dxa"/>
          </w:tcPr>
          <w:p w14:paraId="5DAE9445" w14:textId="2A597885" w:rsidR="002B5795" w:rsidRPr="00AE12EB" w:rsidRDefault="0046640D">
            <w:pPr>
              <w:pStyle w:val="TableTextLeft"/>
              <w:jc w:val="right"/>
            </w:pPr>
            <w:r w:rsidRPr="003B0AA9">
              <w:t>$53,00</w:t>
            </w:r>
            <w:r>
              <w:t>1</w:t>
            </w:r>
            <w:r w:rsidRPr="003B0AA9">
              <w:t>-$64,900</w:t>
            </w:r>
          </w:p>
        </w:tc>
      </w:tr>
      <w:tr w:rsidR="002B5795" w:rsidRPr="00D71995" w14:paraId="6D0F8B81" w14:textId="77777777">
        <w:trPr>
          <w:trHeight w:val="247"/>
        </w:trPr>
        <w:tc>
          <w:tcPr>
            <w:tcW w:w="2956" w:type="dxa"/>
          </w:tcPr>
          <w:p w14:paraId="45060C6E" w14:textId="6F4CD0C5" w:rsidR="002B5795" w:rsidRPr="00AE12EB" w:rsidRDefault="002B5795">
            <w:pPr>
              <w:pStyle w:val="TableTextLeft"/>
            </w:pPr>
            <w:r w:rsidRPr="008624E7">
              <w:t>Seventh</w:t>
            </w:r>
          </w:p>
        </w:tc>
        <w:tc>
          <w:tcPr>
            <w:tcW w:w="4755" w:type="dxa"/>
          </w:tcPr>
          <w:p w14:paraId="1417B88C" w14:textId="5D984BA8" w:rsidR="002B5795" w:rsidRPr="00AE12EB" w:rsidRDefault="0046640D">
            <w:pPr>
              <w:pStyle w:val="TableTextLeft"/>
              <w:jc w:val="right"/>
            </w:pPr>
            <w:r w:rsidRPr="003B0AA9">
              <w:t>$64,90</w:t>
            </w:r>
            <w:r>
              <w:t>1</w:t>
            </w:r>
            <w:r w:rsidRPr="003B0AA9">
              <w:t>-$79,800</w:t>
            </w:r>
          </w:p>
        </w:tc>
      </w:tr>
      <w:tr w:rsidR="002B5795" w:rsidRPr="00D71995" w14:paraId="3CE48924" w14:textId="77777777">
        <w:trPr>
          <w:trHeight w:val="262"/>
        </w:trPr>
        <w:tc>
          <w:tcPr>
            <w:tcW w:w="2956" w:type="dxa"/>
          </w:tcPr>
          <w:p w14:paraId="0867B9FF" w14:textId="4C1A9634" w:rsidR="002B5795" w:rsidRPr="00AE12EB" w:rsidRDefault="002B5795">
            <w:pPr>
              <w:pStyle w:val="TableTextLeft"/>
            </w:pPr>
            <w:r w:rsidRPr="008624E7">
              <w:t>Eighth</w:t>
            </w:r>
          </w:p>
        </w:tc>
        <w:tc>
          <w:tcPr>
            <w:tcW w:w="4755" w:type="dxa"/>
          </w:tcPr>
          <w:p w14:paraId="0E570EEE" w14:textId="7F81B63A" w:rsidR="002B5795" w:rsidRPr="00AE12EB" w:rsidRDefault="0046640D">
            <w:pPr>
              <w:pStyle w:val="TableTextLeft"/>
              <w:jc w:val="right"/>
            </w:pPr>
            <w:r w:rsidRPr="003B0AA9">
              <w:t>$79,80</w:t>
            </w:r>
            <w:r>
              <w:t>1-</w:t>
            </w:r>
            <w:r w:rsidRPr="003B0AA9">
              <w:t>$100,400</w:t>
            </w:r>
          </w:p>
        </w:tc>
      </w:tr>
      <w:tr w:rsidR="002B5795" w:rsidRPr="00D71995" w14:paraId="7563A8AB" w14:textId="77777777">
        <w:trPr>
          <w:trHeight w:val="247"/>
        </w:trPr>
        <w:tc>
          <w:tcPr>
            <w:tcW w:w="2956" w:type="dxa"/>
          </w:tcPr>
          <w:p w14:paraId="266E0B43" w14:textId="6E318D01" w:rsidR="002B5795" w:rsidRPr="00AE12EB" w:rsidRDefault="002B5795">
            <w:pPr>
              <w:pStyle w:val="TableTextLeft"/>
            </w:pPr>
            <w:r w:rsidRPr="008624E7">
              <w:t>Ninth</w:t>
            </w:r>
          </w:p>
        </w:tc>
        <w:tc>
          <w:tcPr>
            <w:tcW w:w="4755" w:type="dxa"/>
          </w:tcPr>
          <w:p w14:paraId="66B2D35E" w14:textId="516BC323" w:rsidR="002B5795" w:rsidRPr="00AE12EB" w:rsidRDefault="0046640D">
            <w:pPr>
              <w:pStyle w:val="TableTextLeft"/>
              <w:jc w:val="right"/>
            </w:pPr>
            <w:r w:rsidRPr="003B0AA9">
              <w:t>$100,40</w:t>
            </w:r>
            <w:r>
              <w:t>1</w:t>
            </w:r>
            <w:r w:rsidRPr="003B0AA9">
              <w:t>-$136,700</w:t>
            </w:r>
          </w:p>
        </w:tc>
      </w:tr>
      <w:tr w:rsidR="002B5795" w:rsidRPr="00273AA1" w14:paraId="47FB8623" w14:textId="77777777">
        <w:trPr>
          <w:trHeight w:val="262"/>
        </w:trPr>
        <w:tc>
          <w:tcPr>
            <w:tcW w:w="2956" w:type="dxa"/>
            <w:tcBorders>
              <w:bottom w:val="single" w:sz="4" w:space="0" w:color="auto"/>
            </w:tcBorders>
          </w:tcPr>
          <w:p w14:paraId="0B4A9B11" w14:textId="43B6FA46" w:rsidR="002B5795" w:rsidRPr="00AE12EB" w:rsidRDefault="002B5795">
            <w:pPr>
              <w:pStyle w:val="TableTextLeft"/>
            </w:pPr>
            <w:r w:rsidRPr="008624E7">
              <w:t>Highest</w:t>
            </w:r>
          </w:p>
        </w:tc>
        <w:tc>
          <w:tcPr>
            <w:tcW w:w="4755" w:type="dxa"/>
            <w:tcBorders>
              <w:bottom w:val="single" w:sz="4" w:space="0" w:color="auto"/>
            </w:tcBorders>
          </w:tcPr>
          <w:p w14:paraId="482B80DD" w14:textId="1CE7A588" w:rsidR="002B5795" w:rsidRPr="00273AA1" w:rsidRDefault="00FA4C85">
            <w:pPr>
              <w:pStyle w:val="TableTextLeft"/>
              <w:jc w:val="right"/>
            </w:pPr>
            <w:r w:rsidRPr="008624E7">
              <w:t>Over $</w:t>
            </w:r>
            <w:r w:rsidR="0046640D" w:rsidRPr="003B0AA9">
              <w:t>136,700</w:t>
            </w:r>
          </w:p>
        </w:tc>
      </w:tr>
    </w:tbl>
    <w:p w14:paraId="02D61E6B" w14:textId="77777777" w:rsidR="00EC4DB5" w:rsidRDefault="00EC4DB5" w:rsidP="002B5795">
      <w:pPr>
        <w:pStyle w:val="TableHeading"/>
        <w:rPr>
          <w:color w:val="auto"/>
        </w:rPr>
      </w:pPr>
    </w:p>
    <w:p w14:paraId="68C4615B" w14:textId="77777777" w:rsidR="00EC4DB5" w:rsidRDefault="00EC4DB5">
      <w:pPr>
        <w:spacing w:after="0" w:line="240" w:lineRule="auto"/>
        <w:jc w:val="left"/>
        <w:rPr>
          <w:rFonts w:ascii="Arial" w:hAnsi="Arial"/>
          <w:b/>
        </w:rPr>
      </w:pPr>
      <w:r>
        <w:br w:type="page"/>
      </w:r>
    </w:p>
    <w:p w14:paraId="4F44D78D" w14:textId="6B59A2B8" w:rsidR="002B5795" w:rsidRPr="00273AA1" w:rsidRDefault="0022387E" w:rsidP="002B5795">
      <w:pPr>
        <w:pStyle w:val="TableHeading"/>
        <w:rPr>
          <w:color w:val="auto"/>
        </w:rPr>
      </w:pPr>
      <w:r w:rsidRPr="000A1B36">
        <w:rPr>
          <w:color w:val="auto"/>
        </w:rPr>
        <w:t>Table A</w:t>
      </w:r>
      <w:r w:rsidR="00512700">
        <w:rPr>
          <w:color w:val="auto"/>
        </w:rPr>
        <w:t>4</w:t>
      </w:r>
      <w:r w:rsidRPr="000A1B36">
        <w:rPr>
          <w:color w:val="auto"/>
        </w:rPr>
        <w:t>.2 Breakdown of personal income tax filers by age, 2021–22</w:t>
      </w:r>
    </w:p>
    <w:tbl>
      <w:tblPr>
        <w:tblW w:w="7792" w:type="dxa"/>
        <w:tblLook w:val="04A0" w:firstRow="1" w:lastRow="0" w:firstColumn="1" w:lastColumn="0" w:noHBand="0" w:noVBand="1"/>
        <w:tblCaption w:val="Table"/>
      </w:tblPr>
      <w:tblGrid>
        <w:gridCol w:w="1546"/>
        <w:gridCol w:w="2082"/>
        <w:gridCol w:w="2082"/>
        <w:gridCol w:w="2082"/>
      </w:tblGrid>
      <w:tr w:rsidR="002B5795" w:rsidRPr="00D71995" w14:paraId="60191885" w14:textId="77777777">
        <w:tc>
          <w:tcPr>
            <w:tcW w:w="1546" w:type="dxa"/>
            <w:tcBorders>
              <w:top w:val="single" w:sz="4" w:space="0" w:color="auto"/>
              <w:bottom w:val="single" w:sz="4" w:space="0" w:color="auto"/>
            </w:tcBorders>
          </w:tcPr>
          <w:p w14:paraId="1F0E2A25" w14:textId="77777777" w:rsidR="002B5795" w:rsidRPr="00273AA1" w:rsidRDefault="002B5795">
            <w:pPr>
              <w:pStyle w:val="TableTextLeft"/>
            </w:pPr>
          </w:p>
        </w:tc>
        <w:tc>
          <w:tcPr>
            <w:tcW w:w="2082" w:type="dxa"/>
            <w:tcBorders>
              <w:top w:val="single" w:sz="4" w:space="0" w:color="auto"/>
              <w:bottom w:val="single" w:sz="4" w:space="0" w:color="auto"/>
            </w:tcBorders>
          </w:tcPr>
          <w:p w14:paraId="7D7392D2" w14:textId="77777777" w:rsidR="002B5795" w:rsidRPr="00AE12EB" w:rsidRDefault="002B5795">
            <w:pPr>
              <w:pStyle w:val="TableTextLeft"/>
              <w:jc w:val="right"/>
              <w:rPr>
                <w:b/>
              </w:rPr>
            </w:pPr>
            <w:r w:rsidRPr="00AE12EB">
              <w:rPr>
                <w:b/>
              </w:rPr>
              <w:t>Number of tax filers</w:t>
            </w:r>
          </w:p>
        </w:tc>
        <w:tc>
          <w:tcPr>
            <w:tcW w:w="2082" w:type="dxa"/>
            <w:tcBorders>
              <w:top w:val="single" w:sz="4" w:space="0" w:color="auto"/>
              <w:bottom w:val="single" w:sz="4" w:space="0" w:color="auto"/>
            </w:tcBorders>
          </w:tcPr>
          <w:p w14:paraId="55D48A22" w14:textId="55C78B0C" w:rsidR="002B5795" w:rsidRPr="00AE12EB" w:rsidRDefault="002B5795">
            <w:pPr>
              <w:pStyle w:val="TableTextLeft"/>
              <w:jc w:val="right"/>
              <w:rPr>
                <w:b/>
              </w:rPr>
            </w:pPr>
            <w:r w:rsidRPr="00AE12EB">
              <w:rPr>
                <w:b/>
              </w:rPr>
              <w:t>Average income</w:t>
            </w:r>
            <w:r w:rsidR="00D52375">
              <w:rPr>
                <w:b/>
              </w:rPr>
              <w:t xml:space="preserve"> ($)</w:t>
            </w:r>
          </w:p>
        </w:tc>
        <w:tc>
          <w:tcPr>
            <w:tcW w:w="2082" w:type="dxa"/>
            <w:tcBorders>
              <w:top w:val="single" w:sz="4" w:space="0" w:color="auto"/>
              <w:bottom w:val="single" w:sz="4" w:space="0" w:color="auto"/>
            </w:tcBorders>
          </w:tcPr>
          <w:p w14:paraId="55C42054" w14:textId="77777777" w:rsidR="002B5795" w:rsidRPr="00AE12EB" w:rsidRDefault="002B5795">
            <w:pPr>
              <w:pStyle w:val="TableTextLeft"/>
              <w:jc w:val="right"/>
              <w:rPr>
                <w:b/>
              </w:rPr>
            </w:pPr>
            <w:r w:rsidRPr="00AE12EB">
              <w:rPr>
                <w:b/>
              </w:rPr>
              <w:t>Share of tax paid (%)</w:t>
            </w:r>
          </w:p>
        </w:tc>
      </w:tr>
      <w:tr w:rsidR="002A41F8" w:rsidRPr="00D71995" w14:paraId="48F76A0D" w14:textId="77777777">
        <w:tc>
          <w:tcPr>
            <w:tcW w:w="1546" w:type="dxa"/>
            <w:tcBorders>
              <w:top w:val="single" w:sz="4" w:space="0" w:color="auto"/>
            </w:tcBorders>
          </w:tcPr>
          <w:p w14:paraId="3DCE96A2" w14:textId="1B44BC9A" w:rsidR="002A41F8" w:rsidRPr="00AE12EB" w:rsidRDefault="002A41F8" w:rsidP="002A41F8">
            <w:pPr>
              <w:pStyle w:val="TableTextLeft"/>
            </w:pPr>
            <w:r w:rsidRPr="000A1B36">
              <w:t>18-24</w:t>
            </w:r>
          </w:p>
        </w:tc>
        <w:tc>
          <w:tcPr>
            <w:tcW w:w="2082" w:type="dxa"/>
            <w:tcBorders>
              <w:top w:val="single" w:sz="4" w:space="0" w:color="auto"/>
            </w:tcBorders>
          </w:tcPr>
          <w:p w14:paraId="3975A968" w14:textId="31A1C1C9" w:rsidR="002A41F8" w:rsidRPr="00AE12EB" w:rsidRDefault="002A41F8" w:rsidP="002A41F8">
            <w:pPr>
              <w:pStyle w:val="TableTextLeft"/>
              <w:jc w:val="right"/>
            </w:pPr>
            <w:r w:rsidRPr="007463A3">
              <w:t xml:space="preserve"> 1,815,000 </w:t>
            </w:r>
          </w:p>
        </w:tc>
        <w:tc>
          <w:tcPr>
            <w:tcW w:w="2082" w:type="dxa"/>
            <w:tcBorders>
              <w:top w:val="single" w:sz="4" w:space="0" w:color="auto"/>
            </w:tcBorders>
          </w:tcPr>
          <w:p w14:paraId="71F0CB7A" w14:textId="581E7978" w:rsidR="002A41F8" w:rsidRPr="00AE12EB" w:rsidRDefault="002A41F8" w:rsidP="002A41F8">
            <w:pPr>
              <w:pStyle w:val="TableTextLeft"/>
              <w:jc w:val="right"/>
            </w:pPr>
            <w:r w:rsidRPr="007463A3">
              <w:t xml:space="preserve">36,500 </w:t>
            </w:r>
          </w:p>
        </w:tc>
        <w:tc>
          <w:tcPr>
            <w:tcW w:w="2082" w:type="dxa"/>
            <w:tcBorders>
              <w:top w:val="single" w:sz="4" w:space="0" w:color="auto"/>
            </w:tcBorders>
          </w:tcPr>
          <w:p w14:paraId="3DBAF936" w14:textId="14D2ED6F" w:rsidR="002A41F8" w:rsidRPr="00AE12EB" w:rsidRDefault="002A41F8" w:rsidP="002A41F8">
            <w:pPr>
              <w:pStyle w:val="TableTextLeft"/>
              <w:jc w:val="right"/>
            </w:pPr>
            <w:r w:rsidRPr="00665919">
              <w:t>3.</w:t>
            </w:r>
            <w:r w:rsidRPr="000A1B36">
              <w:t>0</w:t>
            </w:r>
          </w:p>
        </w:tc>
      </w:tr>
      <w:tr w:rsidR="002A41F8" w:rsidRPr="00D71995" w14:paraId="055646D6" w14:textId="77777777">
        <w:tc>
          <w:tcPr>
            <w:tcW w:w="1546" w:type="dxa"/>
          </w:tcPr>
          <w:p w14:paraId="56AC61F8" w14:textId="2993BF2D" w:rsidR="002A41F8" w:rsidRPr="00AE12EB" w:rsidRDefault="002A41F8" w:rsidP="002A41F8">
            <w:pPr>
              <w:pStyle w:val="TableTextLeft"/>
            </w:pPr>
            <w:r w:rsidRPr="000A1B36">
              <w:t>25-29</w:t>
            </w:r>
          </w:p>
        </w:tc>
        <w:tc>
          <w:tcPr>
            <w:tcW w:w="2082" w:type="dxa"/>
          </w:tcPr>
          <w:p w14:paraId="2E373A7E" w14:textId="01A3C74C" w:rsidR="002A41F8" w:rsidRPr="00AE12EB" w:rsidRDefault="002A41F8" w:rsidP="002A41F8">
            <w:pPr>
              <w:pStyle w:val="TableTextLeft"/>
              <w:jc w:val="right"/>
            </w:pPr>
            <w:r w:rsidRPr="007463A3">
              <w:t xml:space="preserve"> 1,652,000 </w:t>
            </w:r>
          </w:p>
        </w:tc>
        <w:tc>
          <w:tcPr>
            <w:tcW w:w="2082" w:type="dxa"/>
          </w:tcPr>
          <w:p w14:paraId="17CBAD9F" w14:textId="7198106A" w:rsidR="002A41F8" w:rsidRPr="00AE12EB" w:rsidRDefault="002A41F8" w:rsidP="002A41F8">
            <w:pPr>
              <w:pStyle w:val="TableTextLeft"/>
              <w:jc w:val="right"/>
            </w:pPr>
            <w:r w:rsidRPr="007463A3">
              <w:t xml:space="preserve">58,400 </w:t>
            </w:r>
          </w:p>
        </w:tc>
        <w:tc>
          <w:tcPr>
            <w:tcW w:w="2082" w:type="dxa"/>
          </w:tcPr>
          <w:p w14:paraId="7BD068ED" w14:textId="20F0ECC0" w:rsidR="002A41F8" w:rsidRPr="00AE12EB" w:rsidRDefault="002A41F8" w:rsidP="002A41F8">
            <w:pPr>
              <w:pStyle w:val="TableTextLeft"/>
              <w:jc w:val="right"/>
            </w:pPr>
            <w:r w:rsidRPr="00665919">
              <w:t>6.6</w:t>
            </w:r>
          </w:p>
        </w:tc>
      </w:tr>
      <w:tr w:rsidR="002A41F8" w:rsidRPr="00D71995" w14:paraId="7FB7BEDB" w14:textId="77777777">
        <w:tc>
          <w:tcPr>
            <w:tcW w:w="1546" w:type="dxa"/>
          </w:tcPr>
          <w:p w14:paraId="59E8213C" w14:textId="04158A1B" w:rsidR="002A41F8" w:rsidRPr="00AE12EB" w:rsidRDefault="002A41F8" w:rsidP="002A41F8">
            <w:pPr>
              <w:pStyle w:val="TableTextLeft"/>
            </w:pPr>
            <w:r w:rsidRPr="000A1B36">
              <w:t>30-34</w:t>
            </w:r>
          </w:p>
        </w:tc>
        <w:tc>
          <w:tcPr>
            <w:tcW w:w="2082" w:type="dxa"/>
          </w:tcPr>
          <w:p w14:paraId="394FDC0E" w14:textId="1EE6F724" w:rsidR="002A41F8" w:rsidRPr="00AE12EB" w:rsidRDefault="002A41F8" w:rsidP="002A41F8">
            <w:pPr>
              <w:pStyle w:val="TableTextLeft"/>
              <w:jc w:val="right"/>
            </w:pPr>
            <w:r w:rsidRPr="007463A3">
              <w:t xml:space="preserve"> 1,737,000 </w:t>
            </w:r>
          </w:p>
        </w:tc>
        <w:tc>
          <w:tcPr>
            <w:tcW w:w="2082" w:type="dxa"/>
          </w:tcPr>
          <w:p w14:paraId="47B9D615" w14:textId="2C42A146" w:rsidR="002A41F8" w:rsidRPr="00AE12EB" w:rsidRDefault="002A41F8" w:rsidP="002A41F8">
            <w:pPr>
              <w:pStyle w:val="TableTextLeft"/>
              <w:jc w:val="right"/>
            </w:pPr>
            <w:r w:rsidRPr="007463A3">
              <w:t xml:space="preserve">69,400 </w:t>
            </w:r>
          </w:p>
        </w:tc>
        <w:tc>
          <w:tcPr>
            <w:tcW w:w="2082" w:type="dxa"/>
          </w:tcPr>
          <w:p w14:paraId="3F56CB08" w14:textId="686D1480" w:rsidR="002A41F8" w:rsidRPr="00AE12EB" w:rsidRDefault="002A41F8" w:rsidP="002A41F8">
            <w:pPr>
              <w:pStyle w:val="TableTextLeft"/>
              <w:jc w:val="right"/>
            </w:pPr>
            <w:r w:rsidRPr="00665919">
              <w:t>9.7</w:t>
            </w:r>
          </w:p>
        </w:tc>
      </w:tr>
      <w:tr w:rsidR="002A41F8" w:rsidRPr="00D71995" w14:paraId="70DF4511" w14:textId="77777777">
        <w:tc>
          <w:tcPr>
            <w:tcW w:w="1546" w:type="dxa"/>
          </w:tcPr>
          <w:p w14:paraId="4721C64D" w14:textId="0B698405" w:rsidR="002A41F8" w:rsidRPr="00AE12EB" w:rsidRDefault="002A41F8" w:rsidP="002A41F8">
            <w:pPr>
              <w:pStyle w:val="TableTextLeft"/>
            </w:pPr>
            <w:r w:rsidRPr="000A1B36">
              <w:t>35-39</w:t>
            </w:r>
          </w:p>
        </w:tc>
        <w:tc>
          <w:tcPr>
            <w:tcW w:w="2082" w:type="dxa"/>
          </w:tcPr>
          <w:p w14:paraId="75C163CB" w14:textId="7EA3DDA1" w:rsidR="002A41F8" w:rsidRPr="00AE12EB" w:rsidRDefault="002A41F8" w:rsidP="002A41F8">
            <w:pPr>
              <w:pStyle w:val="TableTextLeft"/>
              <w:jc w:val="right"/>
            </w:pPr>
            <w:r w:rsidRPr="007463A3">
              <w:t xml:space="preserve"> 1,703,000 </w:t>
            </w:r>
          </w:p>
        </w:tc>
        <w:tc>
          <w:tcPr>
            <w:tcW w:w="2082" w:type="dxa"/>
          </w:tcPr>
          <w:p w14:paraId="171E4B33" w14:textId="333CFE99" w:rsidR="002A41F8" w:rsidRPr="00AE12EB" w:rsidRDefault="002A41F8" w:rsidP="002A41F8">
            <w:pPr>
              <w:pStyle w:val="TableTextLeft"/>
              <w:jc w:val="right"/>
            </w:pPr>
            <w:r w:rsidRPr="007463A3">
              <w:t xml:space="preserve">80,500 </w:t>
            </w:r>
          </w:p>
        </w:tc>
        <w:tc>
          <w:tcPr>
            <w:tcW w:w="2082" w:type="dxa"/>
          </w:tcPr>
          <w:p w14:paraId="00379F19" w14:textId="6417B0FD" w:rsidR="002A41F8" w:rsidRPr="00AE12EB" w:rsidRDefault="002A41F8" w:rsidP="002A41F8">
            <w:pPr>
              <w:pStyle w:val="TableTextLeft"/>
              <w:jc w:val="right"/>
            </w:pPr>
            <w:r w:rsidRPr="00665919">
              <w:t>12.3</w:t>
            </w:r>
          </w:p>
        </w:tc>
      </w:tr>
      <w:tr w:rsidR="002A41F8" w:rsidRPr="00D71995" w14:paraId="04C01F3D" w14:textId="77777777">
        <w:tc>
          <w:tcPr>
            <w:tcW w:w="1546" w:type="dxa"/>
          </w:tcPr>
          <w:p w14:paraId="406985DA" w14:textId="4597D241" w:rsidR="002A41F8" w:rsidRPr="00AE12EB" w:rsidRDefault="002A41F8" w:rsidP="002A41F8">
            <w:pPr>
              <w:pStyle w:val="TableTextLeft"/>
            </w:pPr>
            <w:r w:rsidRPr="000A1B36">
              <w:t>40-44</w:t>
            </w:r>
          </w:p>
        </w:tc>
        <w:tc>
          <w:tcPr>
            <w:tcW w:w="2082" w:type="dxa"/>
          </w:tcPr>
          <w:p w14:paraId="2B40DAFB" w14:textId="12856784" w:rsidR="002A41F8" w:rsidRPr="00AE12EB" w:rsidRDefault="002A41F8" w:rsidP="002A41F8">
            <w:pPr>
              <w:pStyle w:val="TableTextLeft"/>
              <w:jc w:val="right"/>
            </w:pPr>
            <w:r w:rsidRPr="007463A3">
              <w:t xml:space="preserve"> 1,513,000 </w:t>
            </w:r>
          </w:p>
        </w:tc>
        <w:tc>
          <w:tcPr>
            <w:tcW w:w="2082" w:type="dxa"/>
          </w:tcPr>
          <w:p w14:paraId="721DA067" w14:textId="01CBFD5A" w:rsidR="002A41F8" w:rsidRPr="00AE12EB" w:rsidRDefault="002A41F8" w:rsidP="002A41F8">
            <w:pPr>
              <w:pStyle w:val="TableTextLeft"/>
              <w:jc w:val="right"/>
            </w:pPr>
            <w:r w:rsidRPr="007463A3">
              <w:t xml:space="preserve">90,600 </w:t>
            </w:r>
          </w:p>
        </w:tc>
        <w:tc>
          <w:tcPr>
            <w:tcW w:w="2082" w:type="dxa"/>
          </w:tcPr>
          <w:p w14:paraId="759F8BB9" w14:textId="0148BE32" w:rsidR="002A41F8" w:rsidRPr="00AE12EB" w:rsidRDefault="002A41F8" w:rsidP="002A41F8">
            <w:pPr>
              <w:pStyle w:val="TableTextLeft"/>
              <w:jc w:val="right"/>
            </w:pPr>
            <w:r w:rsidRPr="00665919">
              <w:t>13.</w:t>
            </w:r>
            <w:r w:rsidRPr="000A1B36">
              <w:t>3</w:t>
            </w:r>
          </w:p>
        </w:tc>
      </w:tr>
      <w:tr w:rsidR="002A41F8" w:rsidRPr="00D71995" w14:paraId="6D845104" w14:textId="77777777">
        <w:tc>
          <w:tcPr>
            <w:tcW w:w="1546" w:type="dxa"/>
          </w:tcPr>
          <w:p w14:paraId="597B1158" w14:textId="2C910DAB" w:rsidR="002A41F8" w:rsidRPr="00AE12EB" w:rsidRDefault="002A41F8" w:rsidP="002A41F8">
            <w:pPr>
              <w:pStyle w:val="TableTextLeft"/>
            </w:pPr>
            <w:r w:rsidRPr="000A1B36">
              <w:t>45-49</w:t>
            </w:r>
          </w:p>
        </w:tc>
        <w:tc>
          <w:tcPr>
            <w:tcW w:w="2082" w:type="dxa"/>
          </w:tcPr>
          <w:p w14:paraId="615540EC" w14:textId="79D72D71" w:rsidR="002A41F8" w:rsidRPr="00AE12EB" w:rsidRDefault="002A41F8" w:rsidP="002A41F8">
            <w:pPr>
              <w:pStyle w:val="TableTextLeft"/>
              <w:jc w:val="right"/>
            </w:pPr>
            <w:r w:rsidRPr="007463A3">
              <w:t xml:space="preserve"> 1,401,000 </w:t>
            </w:r>
          </w:p>
        </w:tc>
        <w:tc>
          <w:tcPr>
            <w:tcW w:w="2082" w:type="dxa"/>
          </w:tcPr>
          <w:p w14:paraId="1EA8836A" w14:textId="725652DF" w:rsidR="002A41F8" w:rsidRPr="00AE12EB" w:rsidRDefault="002A41F8" w:rsidP="002A41F8">
            <w:pPr>
              <w:pStyle w:val="TableTextLeft"/>
              <w:jc w:val="right"/>
            </w:pPr>
            <w:r w:rsidRPr="007463A3">
              <w:t xml:space="preserve">96,200 </w:t>
            </w:r>
          </w:p>
        </w:tc>
        <w:tc>
          <w:tcPr>
            <w:tcW w:w="2082" w:type="dxa"/>
          </w:tcPr>
          <w:p w14:paraId="41C63FA4" w14:textId="1CF5F3F1" w:rsidR="002A41F8" w:rsidRPr="00AE12EB" w:rsidRDefault="002A41F8" w:rsidP="002A41F8">
            <w:pPr>
              <w:pStyle w:val="TableTextLeft"/>
              <w:jc w:val="right"/>
            </w:pPr>
            <w:r w:rsidRPr="00665919">
              <w:t>13.6</w:t>
            </w:r>
          </w:p>
        </w:tc>
      </w:tr>
      <w:tr w:rsidR="002A41F8" w:rsidRPr="00D71995" w14:paraId="096DB3B9" w14:textId="77777777">
        <w:tc>
          <w:tcPr>
            <w:tcW w:w="1546" w:type="dxa"/>
          </w:tcPr>
          <w:p w14:paraId="0824E983" w14:textId="436A07D6" w:rsidR="002A41F8" w:rsidRPr="00AE12EB" w:rsidRDefault="002A41F8" w:rsidP="002A41F8">
            <w:pPr>
              <w:pStyle w:val="TableTextLeft"/>
            </w:pPr>
            <w:r w:rsidRPr="000A1B36">
              <w:t>50-54</w:t>
            </w:r>
          </w:p>
        </w:tc>
        <w:tc>
          <w:tcPr>
            <w:tcW w:w="2082" w:type="dxa"/>
          </w:tcPr>
          <w:p w14:paraId="0B1EFF2A" w14:textId="609C4B8E" w:rsidR="002A41F8" w:rsidRPr="00AE12EB" w:rsidRDefault="002A41F8" w:rsidP="002A41F8">
            <w:pPr>
              <w:pStyle w:val="TableTextLeft"/>
              <w:jc w:val="right"/>
            </w:pPr>
            <w:r w:rsidRPr="007463A3">
              <w:t xml:space="preserve"> 1,388,000 </w:t>
            </w:r>
          </w:p>
        </w:tc>
        <w:tc>
          <w:tcPr>
            <w:tcW w:w="2082" w:type="dxa"/>
          </w:tcPr>
          <w:p w14:paraId="3F2FA70E" w14:textId="466C36CB" w:rsidR="002A41F8" w:rsidRPr="00AE12EB" w:rsidRDefault="002A41F8" w:rsidP="002A41F8">
            <w:pPr>
              <w:pStyle w:val="TableTextLeft"/>
              <w:jc w:val="right"/>
            </w:pPr>
            <w:r w:rsidRPr="007463A3">
              <w:t xml:space="preserve">95,500 </w:t>
            </w:r>
          </w:p>
        </w:tc>
        <w:tc>
          <w:tcPr>
            <w:tcW w:w="2082" w:type="dxa"/>
          </w:tcPr>
          <w:p w14:paraId="222891CA" w14:textId="7EBBA0F9" w:rsidR="002A41F8" w:rsidRPr="00AE12EB" w:rsidRDefault="002A41F8" w:rsidP="002A41F8">
            <w:pPr>
              <w:pStyle w:val="TableTextLeft"/>
              <w:jc w:val="right"/>
            </w:pPr>
            <w:r w:rsidRPr="00665919">
              <w:t>13.4</w:t>
            </w:r>
          </w:p>
        </w:tc>
      </w:tr>
      <w:tr w:rsidR="002A41F8" w:rsidRPr="00D71995" w14:paraId="071D4B3E" w14:textId="77777777">
        <w:tc>
          <w:tcPr>
            <w:tcW w:w="1546" w:type="dxa"/>
          </w:tcPr>
          <w:p w14:paraId="509482AB" w14:textId="7D6D7D75" w:rsidR="002A41F8" w:rsidRPr="00AE12EB" w:rsidRDefault="002A41F8" w:rsidP="002A41F8">
            <w:pPr>
              <w:pStyle w:val="TableTextLeft"/>
            </w:pPr>
            <w:r w:rsidRPr="000A1B36">
              <w:t>55-59</w:t>
            </w:r>
          </w:p>
        </w:tc>
        <w:tc>
          <w:tcPr>
            <w:tcW w:w="2082" w:type="dxa"/>
          </w:tcPr>
          <w:p w14:paraId="6C65B861" w14:textId="4D3A1524" w:rsidR="002A41F8" w:rsidRPr="00AE12EB" w:rsidRDefault="002A41F8" w:rsidP="002A41F8">
            <w:pPr>
              <w:pStyle w:val="TableTextLeft"/>
              <w:jc w:val="right"/>
            </w:pPr>
            <w:r w:rsidRPr="007463A3">
              <w:t xml:space="preserve"> 1,240,000 </w:t>
            </w:r>
          </w:p>
        </w:tc>
        <w:tc>
          <w:tcPr>
            <w:tcW w:w="2082" w:type="dxa"/>
          </w:tcPr>
          <w:p w14:paraId="155F4E69" w14:textId="748FF82A" w:rsidR="002A41F8" w:rsidRPr="00AE12EB" w:rsidRDefault="002A41F8" w:rsidP="002A41F8">
            <w:pPr>
              <w:pStyle w:val="TableTextLeft"/>
              <w:jc w:val="right"/>
            </w:pPr>
            <w:r w:rsidRPr="007463A3">
              <w:t xml:space="preserve">88,400 </w:t>
            </w:r>
          </w:p>
        </w:tc>
        <w:tc>
          <w:tcPr>
            <w:tcW w:w="2082" w:type="dxa"/>
          </w:tcPr>
          <w:p w14:paraId="044FDEA6" w14:textId="710A6D33" w:rsidR="002A41F8" w:rsidRPr="00AE12EB" w:rsidRDefault="002A41F8" w:rsidP="002A41F8">
            <w:pPr>
              <w:pStyle w:val="TableTextLeft"/>
              <w:jc w:val="right"/>
            </w:pPr>
            <w:r w:rsidRPr="00665919">
              <w:t>10.7</w:t>
            </w:r>
          </w:p>
        </w:tc>
      </w:tr>
      <w:tr w:rsidR="002A41F8" w:rsidRPr="00D71995" w14:paraId="5CDC385C" w14:textId="77777777">
        <w:tc>
          <w:tcPr>
            <w:tcW w:w="1546" w:type="dxa"/>
          </w:tcPr>
          <w:p w14:paraId="09DC4133" w14:textId="26B89AAE" w:rsidR="002A41F8" w:rsidRPr="00AE12EB" w:rsidRDefault="002A41F8" w:rsidP="002A41F8">
            <w:pPr>
              <w:pStyle w:val="TableTextLeft"/>
            </w:pPr>
            <w:r w:rsidRPr="000A1B36">
              <w:t>60-64</w:t>
            </w:r>
          </w:p>
        </w:tc>
        <w:tc>
          <w:tcPr>
            <w:tcW w:w="2082" w:type="dxa"/>
          </w:tcPr>
          <w:p w14:paraId="61BDF36E" w14:textId="44C80F81" w:rsidR="002A41F8" w:rsidRPr="00AE12EB" w:rsidRDefault="002A41F8" w:rsidP="002A41F8">
            <w:pPr>
              <w:pStyle w:val="TableTextLeft"/>
              <w:jc w:val="right"/>
            </w:pPr>
            <w:r w:rsidRPr="007463A3">
              <w:t xml:space="preserve"> 1,091,000 </w:t>
            </w:r>
          </w:p>
        </w:tc>
        <w:tc>
          <w:tcPr>
            <w:tcW w:w="2082" w:type="dxa"/>
          </w:tcPr>
          <w:p w14:paraId="4F309BC0" w14:textId="3E12A959" w:rsidR="002A41F8" w:rsidRPr="00AE12EB" w:rsidRDefault="002A41F8" w:rsidP="002A41F8">
            <w:pPr>
              <w:pStyle w:val="TableTextLeft"/>
              <w:jc w:val="right"/>
            </w:pPr>
            <w:r w:rsidRPr="007463A3">
              <w:t xml:space="preserve">75,200 </w:t>
            </w:r>
          </w:p>
        </w:tc>
        <w:tc>
          <w:tcPr>
            <w:tcW w:w="2082" w:type="dxa"/>
          </w:tcPr>
          <w:p w14:paraId="16D3F7F5" w14:textId="7AF45ACA" w:rsidR="002A41F8" w:rsidRPr="00AE12EB" w:rsidRDefault="002A41F8" w:rsidP="002A41F8">
            <w:pPr>
              <w:pStyle w:val="TableTextLeft"/>
              <w:jc w:val="right"/>
            </w:pPr>
            <w:r w:rsidRPr="00665919">
              <w:t>7.</w:t>
            </w:r>
            <w:r w:rsidRPr="000A1B36">
              <w:t>7</w:t>
            </w:r>
          </w:p>
        </w:tc>
      </w:tr>
      <w:tr w:rsidR="002A41F8" w:rsidRPr="00D71995" w14:paraId="79F4D84C" w14:textId="77777777">
        <w:tc>
          <w:tcPr>
            <w:tcW w:w="1546" w:type="dxa"/>
          </w:tcPr>
          <w:p w14:paraId="076B10C5" w14:textId="59CEC6F5" w:rsidR="002A41F8" w:rsidRPr="00AE12EB" w:rsidRDefault="002A41F8" w:rsidP="002A41F8">
            <w:pPr>
              <w:pStyle w:val="TableTextLeft"/>
            </w:pPr>
            <w:r w:rsidRPr="000A1B36">
              <w:t>65-69</w:t>
            </w:r>
          </w:p>
        </w:tc>
        <w:tc>
          <w:tcPr>
            <w:tcW w:w="2082" w:type="dxa"/>
          </w:tcPr>
          <w:p w14:paraId="316F05E5" w14:textId="11D22E38" w:rsidR="002A41F8" w:rsidRPr="00AE12EB" w:rsidRDefault="002A41F8" w:rsidP="002A41F8">
            <w:pPr>
              <w:pStyle w:val="TableTextLeft"/>
              <w:jc w:val="right"/>
            </w:pPr>
            <w:r w:rsidRPr="007463A3">
              <w:t xml:space="preserve"> 736,000 </w:t>
            </w:r>
          </w:p>
        </w:tc>
        <w:tc>
          <w:tcPr>
            <w:tcW w:w="2082" w:type="dxa"/>
          </w:tcPr>
          <w:p w14:paraId="0B42021A" w14:textId="5B77EF67" w:rsidR="002A41F8" w:rsidRPr="00AE12EB" w:rsidRDefault="002A41F8" w:rsidP="002A41F8">
            <w:pPr>
              <w:pStyle w:val="TableTextLeft"/>
              <w:jc w:val="right"/>
            </w:pPr>
            <w:r w:rsidRPr="007463A3">
              <w:t xml:space="preserve">62,900 </w:t>
            </w:r>
          </w:p>
        </w:tc>
        <w:tc>
          <w:tcPr>
            <w:tcW w:w="2082" w:type="dxa"/>
          </w:tcPr>
          <w:p w14:paraId="7E576619" w14:textId="168CCF11" w:rsidR="002A41F8" w:rsidRPr="00AE12EB" w:rsidRDefault="002A41F8" w:rsidP="002A41F8">
            <w:pPr>
              <w:pStyle w:val="TableTextLeft"/>
              <w:jc w:val="right"/>
            </w:pPr>
            <w:r w:rsidRPr="00665919">
              <w:t>4.2</w:t>
            </w:r>
          </w:p>
        </w:tc>
      </w:tr>
      <w:tr w:rsidR="002A41F8" w:rsidRPr="00D71995" w14:paraId="3FA407C6" w14:textId="77777777">
        <w:tc>
          <w:tcPr>
            <w:tcW w:w="1546" w:type="dxa"/>
          </w:tcPr>
          <w:p w14:paraId="411AC855" w14:textId="721B7289" w:rsidR="002A41F8" w:rsidRPr="00AE12EB" w:rsidRDefault="002A41F8" w:rsidP="002A41F8">
            <w:pPr>
              <w:pStyle w:val="TableTextLeft"/>
            </w:pPr>
            <w:r w:rsidRPr="000A1B36">
              <w:t>70-74</w:t>
            </w:r>
          </w:p>
        </w:tc>
        <w:tc>
          <w:tcPr>
            <w:tcW w:w="2082" w:type="dxa"/>
          </w:tcPr>
          <w:p w14:paraId="3B842DEF" w14:textId="4ADA097A" w:rsidR="002A41F8" w:rsidRPr="00AE12EB" w:rsidRDefault="002A41F8" w:rsidP="002A41F8">
            <w:pPr>
              <w:pStyle w:val="TableTextLeft"/>
              <w:jc w:val="right"/>
            </w:pPr>
            <w:r w:rsidRPr="007463A3">
              <w:t xml:space="preserve"> 451,000 </w:t>
            </w:r>
          </w:p>
        </w:tc>
        <w:tc>
          <w:tcPr>
            <w:tcW w:w="2082" w:type="dxa"/>
          </w:tcPr>
          <w:p w14:paraId="58E3077C" w14:textId="57B09844" w:rsidR="002A41F8" w:rsidRPr="00AE12EB" w:rsidRDefault="002A41F8" w:rsidP="002A41F8">
            <w:pPr>
              <w:pStyle w:val="TableTextLeft"/>
              <w:jc w:val="right"/>
            </w:pPr>
            <w:r w:rsidRPr="007463A3">
              <w:t xml:space="preserve">55,100 </w:t>
            </w:r>
          </w:p>
        </w:tc>
        <w:tc>
          <w:tcPr>
            <w:tcW w:w="2082" w:type="dxa"/>
          </w:tcPr>
          <w:p w14:paraId="18A2FBD6" w14:textId="6E97A025" w:rsidR="002A41F8" w:rsidRPr="00AE12EB" w:rsidRDefault="002A41F8" w:rsidP="002A41F8">
            <w:pPr>
              <w:pStyle w:val="TableTextLeft"/>
              <w:jc w:val="right"/>
            </w:pPr>
            <w:r w:rsidRPr="00665919">
              <w:t>2.</w:t>
            </w:r>
            <w:r w:rsidRPr="000A1B36">
              <w:t>2</w:t>
            </w:r>
          </w:p>
        </w:tc>
      </w:tr>
      <w:tr w:rsidR="002A41F8" w:rsidRPr="00273AA1" w14:paraId="35D0636E" w14:textId="77777777">
        <w:tc>
          <w:tcPr>
            <w:tcW w:w="1546" w:type="dxa"/>
            <w:tcBorders>
              <w:bottom w:val="single" w:sz="4" w:space="0" w:color="auto"/>
            </w:tcBorders>
          </w:tcPr>
          <w:p w14:paraId="12CB1844" w14:textId="29AD9361" w:rsidR="002A41F8" w:rsidRPr="00AE12EB" w:rsidRDefault="002A41F8" w:rsidP="002A41F8">
            <w:pPr>
              <w:pStyle w:val="TableTextLeft"/>
            </w:pPr>
            <w:r w:rsidRPr="000A1B36">
              <w:t>75+</w:t>
            </w:r>
          </w:p>
        </w:tc>
        <w:tc>
          <w:tcPr>
            <w:tcW w:w="2082" w:type="dxa"/>
            <w:tcBorders>
              <w:bottom w:val="single" w:sz="4" w:space="0" w:color="auto"/>
            </w:tcBorders>
          </w:tcPr>
          <w:p w14:paraId="146E9A4F" w14:textId="4329001A" w:rsidR="002A41F8" w:rsidRPr="00AE12EB" w:rsidRDefault="002A41F8" w:rsidP="002A41F8">
            <w:pPr>
              <w:pStyle w:val="TableTextLeft"/>
              <w:jc w:val="right"/>
            </w:pPr>
            <w:r w:rsidRPr="007463A3">
              <w:t xml:space="preserve"> 597,000 </w:t>
            </w:r>
          </w:p>
        </w:tc>
        <w:tc>
          <w:tcPr>
            <w:tcW w:w="2082" w:type="dxa"/>
            <w:tcBorders>
              <w:bottom w:val="single" w:sz="4" w:space="0" w:color="auto"/>
            </w:tcBorders>
          </w:tcPr>
          <w:p w14:paraId="7222859D" w14:textId="023F1FD2" w:rsidR="002A41F8" w:rsidRPr="00AE12EB" w:rsidRDefault="002A41F8" w:rsidP="002A41F8">
            <w:pPr>
              <w:pStyle w:val="TableTextLeft"/>
              <w:jc w:val="right"/>
            </w:pPr>
            <w:r w:rsidRPr="007463A3">
              <w:t xml:space="preserve">56,600 </w:t>
            </w:r>
          </w:p>
        </w:tc>
        <w:tc>
          <w:tcPr>
            <w:tcW w:w="2082" w:type="dxa"/>
            <w:tcBorders>
              <w:bottom w:val="single" w:sz="4" w:space="0" w:color="auto"/>
            </w:tcBorders>
          </w:tcPr>
          <w:p w14:paraId="316CCBBA" w14:textId="5597CAAA" w:rsidR="002A41F8" w:rsidRPr="00273AA1" w:rsidRDefault="002A41F8" w:rsidP="002A41F8">
            <w:pPr>
              <w:pStyle w:val="TableTextLeft"/>
              <w:jc w:val="right"/>
            </w:pPr>
            <w:r w:rsidRPr="00665919">
              <w:t>3.</w:t>
            </w:r>
            <w:r w:rsidRPr="000A1B36">
              <w:t>2</w:t>
            </w:r>
          </w:p>
        </w:tc>
      </w:tr>
    </w:tbl>
    <w:p w14:paraId="16834A08" w14:textId="0B7AF00B" w:rsidR="002B5795" w:rsidRPr="00273AA1" w:rsidRDefault="00CB617E" w:rsidP="002B5795">
      <w:pPr>
        <w:pStyle w:val="TableHeading"/>
        <w:rPr>
          <w:color w:val="auto"/>
        </w:rPr>
      </w:pPr>
      <w:r w:rsidRPr="00720AC7">
        <w:rPr>
          <w:color w:val="auto"/>
        </w:rPr>
        <w:t>Table A</w:t>
      </w:r>
      <w:r w:rsidR="00512700">
        <w:rPr>
          <w:color w:val="auto"/>
        </w:rPr>
        <w:t>4</w:t>
      </w:r>
      <w:r w:rsidRPr="00720AC7">
        <w:rPr>
          <w:color w:val="auto"/>
        </w:rPr>
        <w:t>.3 Breakdown of personal income tax filers by gender, 2021–22</w:t>
      </w:r>
    </w:p>
    <w:tbl>
      <w:tblPr>
        <w:tblW w:w="7792" w:type="dxa"/>
        <w:tblLook w:val="04A0" w:firstRow="1" w:lastRow="0" w:firstColumn="1" w:lastColumn="0" w:noHBand="0" w:noVBand="1"/>
      </w:tblPr>
      <w:tblGrid>
        <w:gridCol w:w="1546"/>
        <w:gridCol w:w="2082"/>
        <w:gridCol w:w="2082"/>
        <w:gridCol w:w="2082"/>
      </w:tblGrid>
      <w:tr w:rsidR="002B5795" w:rsidRPr="00D71995" w14:paraId="6ADEEF40" w14:textId="77777777">
        <w:tc>
          <w:tcPr>
            <w:tcW w:w="1546" w:type="dxa"/>
            <w:tcBorders>
              <w:top w:val="single" w:sz="4" w:space="0" w:color="auto"/>
              <w:bottom w:val="single" w:sz="4" w:space="0" w:color="auto"/>
            </w:tcBorders>
          </w:tcPr>
          <w:p w14:paraId="45BBCAEE" w14:textId="77777777" w:rsidR="002B5795" w:rsidRPr="00273AA1" w:rsidRDefault="002B5795">
            <w:pPr>
              <w:pStyle w:val="TableTextLeft"/>
            </w:pPr>
          </w:p>
        </w:tc>
        <w:tc>
          <w:tcPr>
            <w:tcW w:w="2082" w:type="dxa"/>
            <w:tcBorders>
              <w:top w:val="single" w:sz="4" w:space="0" w:color="auto"/>
              <w:bottom w:val="single" w:sz="4" w:space="0" w:color="auto"/>
            </w:tcBorders>
            <w:vAlign w:val="center"/>
          </w:tcPr>
          <w:p w14:paraId="5064E4E0" w14:textId="77777777" w:rsidR="002B5795" w:rsidRPr="00AE12EB" w:rsidRDefault="002B5795">
            <w:pPr>
              <w:pStyle w:val="TableTextLeft"/>
              <w:jc w:val="right"/>
              <w:rPr>
                <w:b/>
              </w:rPr>
            </w:pPr>
            <w:r w:rsidRPr="00AE12EB">
              <w:rPr>
                <w:b/>
              </w:rPr>
              <w:t>Number of tax filers</w:t>
            </w:r>
          </w:p>
        </w:tc>
        <w:tc>
          <w:tcPr>
            <w:tcW w:w="2082" w:type="dxa"/>
            <w:tcBorders>
              <w:top w:val="single" w:sz="4" w:space="0" w:color="auto"/>
              <w:bottom w:val="single" w:sz="4" w:space="0" w:color="auto"/>
            </w:tcBorders>
            <w:vAlign w:val="center"/>
          </w:tcPr>
          <w:p w14:paraId="49AD4C1A" w14:textId="0316355D" w:rsidR="002B5795" w:rsidRPr="00AE12EB" w:rsidRDefault="002B5795">
            <w:pPr>
              <w:pStyle w:val="TableTextLeft"/>
              <w:jc w:val="right"/>
              <w:rPr>
                <w:b/>
              </w:rPr>
            </w:pPr>
            <w:r w:rsidRPr="00AE12EB">
              <w:rPr>
                <w:b/>
              </w:rPr>
              <w:t>Average income</w:t>
            </w:r>
            <w:r w:rsidR="00D52375">
              <w:rPr>
                <w:b/>
              </w:rPr>
              <w:t xml:space="preserve"> ($)</w:t>
            </w:r>
          </w:p>
        </w:tc>
        <w:tc>
          <w:tcPr>
            <w:tcW w:w="2082" w:type="dxa"/>
            <w:tcBorders>
              <w:top w:val="single" w:sz="4" w:space="0" w:color="auto"/>
              <w:bottom w:val="single" w:sz="4" w:space="0" w:color="auto"/>
            </w:tcBorders>
            <w:vAlign w:val="center"/>
          </w:tcPr>
          <w:p w14:paraId="184D5C69" w14:textId="77777777" w:rsidR="002B5795" w:rsidRPr="00AE12EB" w:rsidRDefault="002B5795">
            <w:pPr>
              <w:pStyle w:val="TableTextLeft"/>
              <w:jc w:val="right"/>
              <w:rPr>
                <w:b/>
              </w:rPr>
            </w:pPr>
            <w:r w:rsidRPr="00AE12EB">
              <w:rPr>
                <w:b/>
              </w:rPr>
              <w:t>Share of tax paid (%)</w:t>
            </w:r>
          </w:p>
        </w:tc>
      </w:tr>
      <w:tr w:rsidR="002B5795" w:rsidRPr="00D71995" w14:paraId="34B084B1" w14:textId="77777777" w:rsidTr="00042C7A">
        <w:tc>
          <w:tcPr>
            <w:tcW w:w="1546" w:type="dxa"/>
            <w:tcBorders>
              <w:top w:val="single" w:sz="4" w:space="0" w:color="auto"/>
            </w:tcBorders>
          </w:tcPr>
          <w:p w14:paraId="058D528E" w14:textId="00700023" w:rsidR="002B5795" w:rsidRPr="00AE12EB" w:rsidRDefault="002B5795">
            <w:pPr>
              <w:pStyle w:val="TableTextLeft"/>
            </w:pPr>
            <w:r w:rsidRPr="00720AC7">
              <w:t>Men</w:t>
            </w:r>
          </w:p>
        </w:tc>
        <w:tc>
          <w:tcPr>
            <w:tcW w:w="2082" w:type="dxa"/>
            <w:tcBorders>
              <w:top w:val="single" w:sz="4" w:space="0" w:color="auto"/>
            </w:tcBorders>
          </w:tcPr>
          <w:p w14:paraId="19A4BF12" w14:textId="73B4E964" w:rsidR="002B5795" w:rsidRPr="00AE12EB" w:rsidRDefault="000341C7">
            <w:pPr>
              <w:pStyle w:val="TableTextLeft"/>
              <w:jc w:val="right"/>
            </w:pPr>
            <w:r w:rsidRPr="00720AC7">
              <w:t>7,</w:t>
            </w:r>
            <w:r w:rsidR="00E853CB">
              <w:t>849</w:t>
            </w:r>
            <w:r w:rsidRPr="00720AC7">
              <w:t>,000</w:t>
            </w:r>
          </w:p>
        </w:tc>
        <w:tc>
          <w:tcPr>
            <w:tcW w:w="2082" w:type="dxa"/>
            <w:tcBorders>
              <w:top w:val="single" w:sz="4" w:space="0" w:color="auto"/>
            </w:tcBorders>
          </w:tcPr>
          <w:p w14:paraId="6042D2D4" w14:textId="4326758B" w:rsidR="002B5795" w:rsidRPr="00AE12EB" w:rsidRDefault="000341C7">
            <w:pPr>
              <w:pStyle w:val="TableTextLeft"/>
              <w:jc w:val="right"/>
            </w:pPr>
            <w:r w:rsidRPr="00720AC7">
              <w:t>8</w:t>
            </w:r>
            <w:r w:rsidR="00E853CB">
              <w:t>4</w:t>
            </w:r>
            <w:r w:rsidRPr="00720AC7">
              <w:t>,</w:t>
            </w:r>
            <w:r w:rsidR="007601B0">
              <w:t>4</w:t>
            </w:r>
            <w:r w:rsidR="00013931" w:rsidRPr="00365C52">
              <w:t>00</w:t>
            </w:r>
          </w:p>
        </w:tc>
        <w:tc>
          <w:tcPr>
            <w:tcW w:w="2082" w:type="dxa"/>
            <w:tcBorders>
              <w:top w:val="single" w:sz="4" w:space="0" w:color="auto"/>
            </w:tcBorders>
          </w:tcPr>
          <w:p w14:paraId="7E9EFF2E" w14:textId="74B8DF5C" w:rsidR="002B5795" w:rsidRPr="00AE12EB" w:rsidRDefault="000341C7">
            <w:pPr>
              <w:pStyle w:val="TableTextLeft"/>
              <w:jc w:val="right"/>
            </w:pPr>
            <w:r w:rsidRPr="00720AC7">
              <w:t>63.7</w:t>
            </w:r>
          </w:p>
        </w:tc>
      </w:tr>
      <w:tr w:rsidR="002B5795" w:rsidRPr="00273AA1" w14:paraId="47081750" w14:textId="77777777" w:rsidTr="00042C7A">
        <w:tc>
          <w:tcPr>
            <w:tcW w:w="1546" w:type="dxa"/>
            <w:tcBorders>
              <w:bottom w:val="single" w:sz="4" w:space="0" w:color="auto"/>
            </w:tcBorders>
          </w:tcPr>
          <w:p w14:paraId="72DF533D" w14:textId="7067C771" w:rsidR="002B5795" w:rsidRPr="00AE12EB" w:rsidRDefault="002B5795">
            <w:pPr>
              <w:pStyle w:val="TableTextLeft"/>
            </w:pPr>
            <w:r w:rsidRPr="00720AC7">
              <w:t>Women</w:t>
            </w:r>
          </w:p>
        </w:tc>
        <w:tc>
          <w:tcPr>
            <w:tcW w:w="2082" w:type="dxa"/>
            <w:tcBorders>
              <w:bottom w:val="single" w:sz="4" w:space="0" w:color="auto"/>
            </w:tcBorders>
          </w:tcPr>
          <w:p w14:paraId="7C893C4C" w14:textId="1FC3E3BD" w:rsidR="002B5795" w:rsidRPr="00AE12EB" w:rsidRDefault="000341C7">
            <w:pPr>
              <w:pStyle w:val="TableTextLeft"/>
              <w:jc w:val="right"/>
            </w:pPr>
            <w:r w:rsidRPr="00720AC7">
              <w:t>7,</w:t>
            </w:r>
            <w:r w:rsidR="00A87895">
              <w:t>680</w:t>
            </w:r>
            <w:r w:rsidRPr="00720AC7">
              <w:t>,000</w:t>
            </w:r>
          </w:p>
        </w:tc>
        <w:tc>
          <w:tcPr>
            <w:tcW w:w="2082" w:type="dxa"/>
            <w:tcBorders>
              <w:bottom w:val="single" w:sz="4" w:space="0" w:color="auto"/>
            </w:tcBorders>
          </w:tcPr>
          <w:p w14:paraId="37DB3A9A" w14:textId="46AF1415" w:rsidR="002B5795" w:rsidRPr="00AE12EB" w:rsidRDefault="00013931">
            <w:pPr>
              <w:pStyle w:val="TableTextLeft"/>
              <w:jc w:val="right"/>
            </w:pPr>
            <w:r w:rsidRPr="00365C52">
              <w:t>6</w:t>
            </w:r>
            <w:r w:rsidR="004D687C">
              <w:t>0</w:t>
            </w:r>
            <w:r w:rsidRPr="00365C52">
              <w:t>,</w:t>
            </w:r>
            <w:r w:rsidR="004D687C">
              <w:t>1</w:t>
            </w:r>
            <w:r w:rsidRPr="00365C52">
              <w:t>00</w:t>
            </w:r>
          </w:p>
        </w:tc>
        <w:tc>
          <w:tcPr>
            <w:tcW w:w="2082" w:type="dxa"/>
            <w:tcBorders>
              <w:bottom w:val="single" w:sz="4" w:space="0" w:color="auto"/>
            </w:tcBorders>
          </w:tcPr>
          <w:p w14:paraId="7063FDAF" w14:textId="416A9683" w:rsidR="002B5795" w:rsidRPr="00273AA1" w:rsidRDefault="000341C7">
            <w:pPr>
              <w:pStyle w:val="TableTextLeft"/>
              <w:jc w:val="right"/>
            </w:pPr>
            <w:r w:rsidRPr="00720AC7">
              <w:t>36.3</w:t>
            </w:r>
          </w:p>
        </w:tc>
      </w:tr>
    </w:tbl>
    <w:p w14:paraId="60B5D64C" w14:textId="797E104A" w:rsidR="00591083" w:rsidRPr="00094BDA" w:rsidRDefault="00C438B9" w:rsidP="00591083">
      <w:pPr>
        <w:spacing w:before="200"/>
      </w:pPr>
      <w:r w:rsidRPr="00273AA1">
        <w:t xml:space="preserve">Analysis of tax expenditures relating to businesses is based on tax data for </w:t>
      </w:r>
      <w:r w:rsidR="00591083" w:rsidRPr="004B3B69">
        <w:t xml:space="preserve">around </w:t>
      </w:r>
      <w:r w:rsidRPr="00273AA1">
        <w:t>1.</w:t>
      </w:r>
      <w:r w:rsidR="007F7EF6">
        <w:t>5</w:t>
      </w:r>
      <w:r w:rsidR="0052692F">
        <w:t> </w:t>
      </w:r>
      <w:r w:rsidRPr="00273AA1">
        <w:t>million individual and 1.</w:t>
      </w:r>
      <w:r w:rsidR="00591083">
        <w:t>2</w:t>
      </w:r>
      <w:r w:rsidRPr="00273AA1">
        <w:t xml:space="preserve"> million company tax filers in </w:t>
      </w:r>
      <w:r w:rsidR="00591083" w:rsidRPr="004B3B69">
        <w:t>20</w:t>
      </w:r>
      <w:r w:rsidR="00591083">
        <w:t>21–</w:t>
      </w:r>
      <w:r w:rsidR="00591083" w:rsidRPr="004B3B69">
        <w:t>2</w:t>
      </w:r>
      <w:r w:rsidR="00591083">
        <w:t>2</w:t>
      </w:r>
      <w:r w:rsidRPr="00273AA1">
        <w:t xml:space="preserve"> (Table</w:t>
      </w:r>
      <w:r w:rsidR="00591083">
        <w:t> </w:t>
      </w:r>
      <w:r w:rsidRPr="00273AA1">
        <w:t>A</w:t>
      </w:r>
      <w:r w:rsidR="00512700">
        <w:t>4</w:t>
      </w:r>
      <w:r w:rsidRPr="00273AA1">
        <w:t xml:space="preserve">.4). Where used, industry distributions are based on Australian and New Zealand Standard Industry Classification (ANZSIC) divisions, with the following combined categories used for ease of presentation: </w:t>
      </w:r>
    </w:p>
    <w:p w14:paraId="3AEB063D" w14:textId="77777777" w:rsidR="00591083" w:rsidRPr="00F00E3C" w:rsidRDefault="00591083" w:rsidP="00591083">
      <w:pPr>
        <w:pStyle w:val="Bullet"/>
      </w:pPr>
      <w:r w:rsidRPr="00F00E3C">
        <w:t xml:space="preserve">Wholesale </w:t>
      </w:r>
      <w:r>
        <w:t xml:space="preserve">Trade </w:t>
      </w:r>
      <w:r w:rsidRPr="00F00E3C">
        <w:t>and Retail Trade are combined</w:t>
      </w:r>
    </w:p>
    <w:p w14:paraId="655B29D3" w14:textId="77777777" w:rsidR="00591083" w:rsidRPr="00F00E3C" w:rsidRDefault="00591083" w:rsidP="00591083">
      <w:pPr>
        <w:pStyle w:val="Bullet"/>
      </w:pPr>
      <w:r w:rsidRPr="00F00E3C">
        <w:t>Non</w:t>
      </w:r>
      <w:r>
        <w:noBreakHyphen/>
      </w:r>
      <w:r w:rsidRPr="00F00E3C">
        <w:t>Market Services includes Public Administration and Safety, Education and Training and Health Care and Social Assistance</w:t>
      </w:r>
    </w:p>
    <w:p w14:paraId="7560716B" w14:textId="77777777" w:rsidR="00591083" w:rsidRPr="00F00E3C" w:rsidRDefault="00591083" w:rsidP="00591083">
      <w:pPr>
        <w:pStyle w:val="Bullet"/>
      </w:pPr>
      <w:r w:rsidRPr="00F00E3C">
        <w:t xml:space="preserve">Other </w:t>
      </w:r>
      <w:r>
        <w:t xml:space="preserve">Market </w:t>
      </w:r>
      <w:r w:rsidRPr="00F00E3C">
        <w:t>Services include</w:t>
      </w:r>
      <w:r>
        <w:t>s</w:t>
      </w:r>
      <w:r w:rsidRPr="00F00E3C">
        <w:t xml:space="preserve"> Accommodation and Food Services, Administrative and Support Services, Arts and Recreation Services</w:t>
      </w:r>
      <w:r>
        <w:t xml:space="preserve"> and </w:t>
      </w:r>
      <w:r w:rsidRPr="00F00E3C">
        <w:t>Other Services.</w:t>
      </w:r>
    </w:p>
    <w:p w14:paraId="78367172" w14:textId="77777777" w:rsidR="00EC4DB5" w:rsidRDefault="00EC4DB5">
      <w:pPr>
        <w:spacing w:after="0" w:line="240" w:lineRule="auto"/>
        <w:jc w:val="left"/>
        <w:rPr>
          <w:rFonts w:ascii="Arial" w:hAnsi="Arial"/>
          <w:b/>
        </w:rPr>
      </w:pPr>
      <w:r>
        <w:br w:type="page"/>
      </w:r>
    </w:p>
    <w:p w14:paraId="0BD3FD4B" w14:textId="77544DB8" w:rsidR="002B5795" w:rsidRPr="00AE12EB" w:rsidDel="00E220AE" w:rsidRDefault="002B5795" w:rsidP="002B5795">
      <w:pPr>
        <w:pStyle w:val="TableHeading"/>
        <w:rPr>
          <w:color w:val="auto"/>
        </w:rPr>
      </w:pPr>
      <w:r w:rsidRPr="00AE12EB">
        <w:rPr>
          <w:color w:val="auto"/>
        </w:rPr>
        <w:t>Table A</w:t>
      </w:r>
      <w:r w:rsidR="00512700">
        <w:rPr>
          <w:color w:val="auto"/>
        </w:rPr>
        <w:t>4</w:t>
      </w:r>
      <w:r w:rsidRPr="00AE12EB">
        <w:rPr>
          <w:color w:val="auto"/>
        </w:rPr>
        <w:t>.4 Breakdown of company tax filers by industry, 20</w:t>
      </w:r>
      <w:r w:rsidR="00FE558F">
        <w:rPr>
          <w:color w:val="auto"/>
        </w:rPr>
        <w:t>21</w:t>
      </w:r>
      <w:r w:rsidR="00FE558F" w:rsidRPr="00720AC7">
        <w:rPr>
          <w:color w:val="auto"/>
        </w:rPr>
        <w:t>–</w:t>
      </w:r>
      <w:r w:rsidR="00FE558F">
        <w:rPr>
          <w:color w:val="auto"/>
        </w:rPr>
        <w:t xml:space="preserve">22 </w:t>
      </w:r>
    </w:p>
    <w:tbl>
      <w:tblPr>
        <w:tblW w:w="7655" w:type="dxa"/>
        <w:tblLook w:val="04A0" w:firstRow="1" w:lastRow="0" w:firstColumn="1" w:lastColumn="0" w:noHBand="0" w:noVBand="1"/>
        <w:tblCaption w:val="Table"/>
      </w:tblPr>
      <w:tblGrid>
        <w:gridCol w:w="4084"/>
        <w:gridCol w:w="1586"/>
        <w:gridCol w:w="1985"/>
      </w:tblGrid>
      <w:tr w:rsidR="002B5795" w:rsidRPr="00D71995" w14:paraId="56E70EB3" w14:textId="77777777">
        <w:trPr>
          <w:trHeight w:val="300"/>
        </w:trPr>
        <w:tc>
          <w:tcPr>
            <w:tcW w:w="4084" w:type="dxa"/>
            <w:tcBorders>
              <w:top w:val="single" w:sz="4" w:space="0" w:color="auto"/>
              <w:left w:val="nil"/>
              <w:bottom w:val="single" w:sz="4" w:space="0" w:color="auto"/>
              <w:right w:val="nil"/>
            </w:tcBorders>
            <w:shd w:val="clear" w:color="auto" w:fill="auto"/>
            <w:noWrap/>
            <w:vAlign w:val="center"/>
            <w:hideMark/>
          </w:tcPr>
          <w:p w14:paraId="5EA8CBDC" w14:textId="77777777" w:rsidR="002B5795" w:rsidRPr="00AE12EB" w:rsidRDefault="002B5795">
            <w:pPr>
              <w:pStyle w:val="TableTextLeft"/>
              <w:rPr>
                <w:b/>
              </w:rPr>
            </w:pPr>
            <w:r w:rsidRPr="00AE12EB">
              <w:rPr>
                <w:b/>
              </w:rPr>
              <w:t>Industry</w:t>
            </w:r>
          </w:p>
        </w:tc>
        <w:tc>
          <w:tcPr>
            <w:tcW w:w="1586" w:type="dxa"/>
            <w:tcBorders>
              <w:top w:val="single" w:sz="4" w:space="0" w:color="auto"/>
              <w:left w:val="nil"/>
              <w:bottom w:val="single" w:sz="4" w:space="0" w:color="auto"/>
              <w:right w:val="nil"/>
            </w:tcBorders>
            <w:shd w:val="clear" w:color="auto" w:fill="auto"/>
            <w:noWrap/>
            <w:vAlign w:val="center"/>
            <w:hideMark/>
          </w:tcPr>
          <w:p w14:paraId="0CA197CF" w14:textId="77777777" w:rsidR="002B5795" w:rsidRPr="00AE12EB" w:rsidRDefault="002B5795">
            <w:pPr>
              <w:pStyle w:val="TableTextLeft"/>
              <w:jc w:val="right"/>
              <w:rPr>
                <w:b/>
              </w:rPr>
            </w:pPr>
            <w:r w:rsidRPr="00AE12EB">
              <w:rPr>
                <w:b/>
              </w:rPr>
              <w:t>No. of companies</w:t>
            </w:r>
          </w:p>
        </w:tc>
        <w:tc>
          <w:tcPr>
            <w:tcW w:w="1985" w:type="dxa"/>
            <w:tcBorders>
              <w:top w:val="single" w:sz="4" w:space="0" w:color="auto"/>
              <w:left w:val="nil"/>
              <w:bottom w:val="single" w:sz="4" w:space="0" w:color="auto"/>
              <w:right w:val="nil"/>
            </w:tcBorders>
            <w:shd w:val="clear" w:color="auto" w:fill="auto"/>
            <w:noWrap/>
            <w:vAlign w:val="center"/>
            <w:hideMark/>
          </w:tcPr>
          <w:p w14:paraId="2E498E5B" w14:textId="77777777" w:rsidR="002B5795" w:rsidRPr="00AE12EB" w:rsidRDefault="002B5795">
            <w:pPr>
              <w:pStyle w:val="TableTextLeft"/>
              <w:jc w:val="right"/>
              <w:rPr>
                <w:b/>
              </w:rPr>
            </w:pPr>
            <w:r w:rsidRPr="00AE12EB">
              <w:rPr>
                <w:b/>
              </w:rPr>
              <w:t>With tax payable</w:t>
            </w:r>
          </w:p>
        </w:tc>
      </w:tr>
      <w:tr w:rsidR="002B5795" w:rsidRPr="00D71995" w14:paraId="782909AD" w14:textId="77777777" w:rsidTr="00042C7A">
        <w:trPr>
          <w:trHeight w:val="300"/>
        </w:trPr>
        <w:tc>
          <w:tcPr>
            <w:tcW w:w="4084" w:type="dxa"/>
            <w:tcBorders>
              <w:top w:val="single" w:sz="4" w:space="0" w:color="auto"/>
              <w:left w:val="nil"/>
              <w:bottom w:val="nil"/>
              <w:right w:val="nil"/>
            </w:tcBorders>
            <w:shd w:val="clear" w:color="auto" w:fill="auto"/>
            <w:noWrap/>
            <w:hideMark/>
          </w:tcPr>
          <w:p w14:paraId="792BDA77" w14:textId="4537C2F2" w:rsidR="002B5795" w:rsidRPr="00AE12EB" w:rsidRDefault="002B5795">
            <w:pPr>
              <w:pStyle w:val="TableTextLeft"/>
            </w:pPr>
            <w:r w:rsidRPr="003C4CD2">
              <w:t>Agriculture</w:t>
            </w:r>
          </w:p>
        </w:tc>
        <w:tc>
          <w:tcPr>
            <w:tcW w:w="1586" w:type="dxa"/>
            <w:tcBorders>
              <w:top w:val="single" w:sz="4" w:space="0" w:color="auto"/>
              <w:left w:val="nil"/>
              <w:bottom w:val="nil"/>
              <w:right w:val="nil"/>
            </w:tcBorders>
            <w:shd w:val="clear" w:color="auto" w:fill="auto"/>
            <w:noWrap/>
            <w:hideMark/>
          </w:tcPr>
          <w:p w14:paraId="22690796" w14:textId="2DC39533" w:rsidR="002B5795" w:rsidRPr="00AE12EB" w:rsidRDefault="003C4CD2">
            <w:pPr>
              <w:pStyle w:val="TableTextLeft"/>
              <w:jc w:val="right"/>
            </w:pPr>
            <w:r w:rsidRPr="003C4CD2">
              <w:t>24,300</w:t>
            </w:r>
          </w:p>
        </w:tc>
        <w:tc>
          <w:tcPr>
            <w:tcW w:w="1985" w:type="dxa"/>
            <w:tcBorders>
              <w:top w:val="single" w:sz="4" w:space="0" w:color="auto"/>
              <w:left w:val="nil"/>
              <w:bottom w:val="nil"/>
              <w:right w:val="nil"/>
            </w:tcBorders>
            <w:shd w:val="clear" w:color="auto" w:fill="auto"/>
            <w:noWrap/>
            <w:hideMark/>
          </w:tcPr>
          <w:p w14:paraId="3254BED0" w14:textId="48D3492B" w:rsidR="002B5795" w:rsidRPr="00AE12EB" w:rsidRDefault="003C4CD2">
            <w:pPr>
              <w:pStyle w:val="TableTextLeft"/>
              <w:jc w:val="right"/>
            </w:pPr>
            <w:r w:rsidRPr="003C4CD2">
              <w:t>8,400</w:t>
            </w:r>
          </w:p>
        </w:tc>
      </w:tr>
      <w:tr w:rsidR="002B5795" w:rsidRPr="00D71995" w14:paraId="5BA01F31" w14:textId="77777777" w:rsidTr="00042C7A">
        <w:trPr>
          <w:trHeight w:val="300"/>
        </w:trPr>
        <w:tc>
          <w:tcPr>
            <w:tcW w:w="4084" w:type="dxa"/>
            <w:tcBorders>
              <w:top w:val="nil"/>
              <w:left w:val="nil"/>
              <w:bottom w:val="nil"/>
              <w:right w:val="nil"/>
            </w:tcBorders>
            <w:shd w:val="clear" w:color="auto" w:fill="auto"/>
            <w:noWrap/>
            <w:hideMark/>
          </w:tcPr>
          <w:p w14:paraId="59652310" w14:textId="2B33D04E" w:rsidR="002B5795" w:rsidRPr="00AE12EB" w:rsidRDefault="002B5795">
            <w:pPr>
              <w:pStyle w:val="TableTextLeft"/>
            </w:pPr>
            <w:r w:rsidRPr="003C4CD2">
              <w:t>Mining</w:t>
            </w:r>
          </w:p>
        </w:tc>
        <w:tc>
          <w:tcPr>
            <w:tcW w:w="1586" w:type="dxa"/>
            <w:tcBorders>
              <w:top w:val="nil"/>
              <w:left w:val="nil"/>
              <w:bottom w:val="nil"/>
              <w:right w:val="nil"/>
            </w:tcBorders>
            <w:shd w:val="clear" w:color="auto" w:fill="auto"/>
            <w:noWrap/>
            <w:hideMark/>
          </w:tcPr>
          <w:p w14:paraId="17FF0856" w14:textId="44818139" w:rsidR="002B5795" w:rsidRPr="00AE12EB" w:rsidRDefault="003C4CD2">
            <w:pPr>
              <w:pStyle w:val="TableTextLeft"/>
              <w:jc w:val="right"/>
            </w:pPr>
            <w:r w:rsidRPr="003C4CD2">
              <w:t>7,500</w:t>
            </w:r>
          </w:p>
        </w:tc>
        <w:tc>
          <w:tcPr>
            <w:tcW w:w="1985" w:type="dxa"/>
            <w:tcBorders>
              <w:top w:val="nil"/>
              <w:left w:val="nil"/>
              <w:bottom w:val="nil"/>
              <w:right w:val="nil"/>
            </w:tcBorders>
            <w:shd w:val="clear" w:color="auto" w:fill="auto"/>
            <w:noWrap/>
            <w:hideMark/>
          </w:tcPr>
          <w:p w14:paraId="2DEF97D2" w14:textId="5412A7E3" w:rsidR="002B5795" w:rsidRPr="00AE12EB" w:rsidRDefault="003C4CD2">
            <w:pPr>
              <w:pStyle w:val="TableTextLeft"/>
              <w:jc w:val="right"/>
            </w:pPr>
            <w:r w:rsidRPr="003C4CD2">
              <w:t>1,900</w:t>
            </w:r>
          </w:p>
        </w:tc>
      </w:tr>
      <w:tr w:rsidR="002B5795" w:rsidRPr="00D71995" w14:paraId="5C04F301" w14:textId="77777777" w:rsidTr="00042C7A">
        <w:trPr>
          <w:trHeight w:val="300"/>
        </w:trPr>
        <w:tc>
          <w:tcPr>
            <w:tcW w:w="4084" w:type="dxa"/>
            <w:tcBorders>
              <w:top w:val="nil"/>
              <w:left w:val="nil"/>
              <w:bottom w:val="nil"/>
              <w:right w:val="nil"/>
            </w:tcBorders>
            <w:shd w:val="clear" w:color="auto" w:fill="auto"/>
            <w:noWrap/>
            <w:hideMark/>
          </w:tcPr>
          <w:p w14:paraId="28D974B7" w14:textId="1C1F3484" w:rsidR="002B5795" w:rsidRPr="00AE12EB" w:rsidRDefault="002B5795">
            <w:pPr>
              <w:pStyle w:val="TableTextLeft"/>
            </w:pPr>
            <w:r w:rsidRPr="003C4CD2">
              <w:t>Manufacturing</w:t>
            </w:r>
          </w:p>
        </w:tc>
        <w:tc>
          <w:tcPr>
            <w:tcW w:w="1586" w:type="dxa"/>
            <w:tcBorders>
              <w:top w:val="nil"/>
              <w:left w:val="nil"/>
              <w:bottom w:val="nil"/>
              <w:right w:val="nil"/>
            </w:tcBorders>
            <w:shd w:val="clear" w:color="auto" w:fill="auto"/>
            <w:noWrap/>
            <w:hideMark/>
          </w:tcPr>
          <w:p w14:paraId="395F691F" w14:textId="39A424DF" w:rsidR="002B5795" w:rsidRPr="00AE12EB" w:rsidRDefault="003C4CD2">
            <w:pPr>
              <w:pStyle w:val="TableTextLeft"/>
              <w:jc w:val="right"/>
            </w:pPr>
            <w:r w:rsidRPr="003C4CD2">
              <w:t>56,500</w:t>
            </w:r>
          </w:p>
        </w:tc>
        <w:tc>
          <w:tcPr>
            <w:tcW w:w="1985" w:type="dxa"/>
            <w:tcBorders>
              <w:top w:val="nil"/>
              <w:left w:val="nil"/>
              <w:bottom w:val="nil"/>
              <w:right w:val="nil"/>
            </w:tcBorders>
            <w:shd w:val="clear" w:color="auto" w:fill="auto"/>
            <w:noWrap/>
            <w:hideMark/>
          </w:tcPr>
          <w:p w14:paraId="1C509F88" w14:textId="5BE16454" w:rsidR="002B5795" w:rsidRPr="00AE12EB" w:rsidRDefault="003C4CD2">
            <w:pPr>
              <w:pStyle w:val="TableTextLeft"/>
              <w:jc w:val="right"/>
            </w:pPr>
            <w:r w:rsidRPr="003C4CD2">
              <w:t>22,000</w:t>
            </w:r>
          </w:p>
        </w:tc>
      </w:tr>
      <w:tr w:rsidR="002B5795" w:rsidRPr="00D71995" w14:paraId="2FD507C9" w14:textId="77777777" w:rsidTr="00042C7A">
        <w:trPr>
          <w:trHeight w:val="300"/>
        </w:trPr>
        <w:tc>
          <w:tcPr>
            <w:tcW w:w="4084" w:type="dxa"/>
            <w:tcBorders>
              <w:top w:val="nil"/>
              <w:left w:val="nil"/>
              <w:bottom w:val="nil"/>
              <w:right w:val="nil"/>
            </w:tcBorders>
            <w:shd w:val="clear" w:color="auto" w:fill="auto"/>
            <w:noWrap/>
            <w:hideMark/>
          </w:tcPr>
          <w:p w14:paraId="44EB5BF5" w14:textId="7DEA7489" w:rsidR="002B5795" w:rsidRPr="00AE12EB" w:rsidRDefault="002B5795">
            <w:pPr>
              <w:pStyle w:val="TableTextLeft"/>
            </w:pPr>
            <w:r w:rsidRPr="003C4CD2">
              <w:t>Electricity, Gas, Water and Waste</w:t>
            </w:r>
          </w:p>
        </w:tc>
        <w:tc>
          <w:tcPr>
            <w:tcW w:w="1586" w:type="dxa"/>
            <w:tcBorders>
              <w:top w:val="nil"/>
              <w:left w:val="nil"/>
              <w:bottom w:val="nil"/>
              <w:right w:val="nil"/>
            </w:tcBorders>
            <w:shd w:val="clear" w:color="auto" w:fill="auto"/>
            <w:noWrap/>
            <w:hideMark/>
          </w:tcPr>
          <w:p w14:paraId="1433A3BE" w14:textId="424C08E2" w:rsidR="002B5795" w:rsidRPr="00AE12EB" w:rsidRDefault="003C4CD2">
            <w:pPr>
              <w:pStyle w:val="TableTextLeft"/>
              <w:jc w:val="right"/>
            </w:pPr>
            <w:r w:rsidRPr="003C4CD2">
              <w:t>4,500</w:t>
            </w:r>
          </w:p>
        </w:tc>
        <w:tc>
          <w:tcPr>
            <w:tcW w:w="1985" w:type="dxa"/>
            <w:tcBorders>
              <w:top w:val="nil"/>
              <w:left w:val="nil"/>
              <w:bottom w:val="nil"/>
              <w:right w:val="nil"/>
            </w:tcBorders>
            <w:shd w:val="clear" w:color="auto" w:fill="auto"/>
            <w:noWrap/>
            <w:hideMark/>
          </w:tcPr>
          <w:p w14:paraId="1C1D6C6B" w14:textId="69B5342D" w:rsidR="002B5795" w:rsidRPr="00AE12EB" w:rsidRDefault="003C4CD2">
            <w:pPr>
              <w:pStyle w:val="TableTextLeft"/>
              <w:jc w:val="right"/>
            </w:pPr>
            <w:r w:rsidRPr="003C4CD2">
              <w:t>1,600</w:t>
            </w:r>
          </w:p>
        </w:tc>
      </w:tr>
      <w:tr w:rsidR="002B5795" w:rsidRPr="00D71995" w14:paraId="422C2C5F" w14:textId="77777777" w:rsidTr="00042C7A">
        <w:trPr>
          <w:trHeight w:val="300"/>
        </w:trPr>
        <w:tc>
          <w:tcPr>
            <w:tcW w:w="4084" w:type="dxa"/>
            <w:tcBorders>
              <w:top w:val="nil"/>
              <w:left w:val="nil"/>
              <w:bottom w:val="nil"/>
              <w:right w:val="nil"/>
            </w:tcBorders>
            <w:shd w:val="clear" w:color="auto" w:fill="auto"/>
            <w:noWrap/>
            <w:hideMark/>
          </w:tcPr>
          <w:p w14:paraId="1A98655E" w14:textId="0944DB09" w:rsidR="002B5795" w:rsidRPr="00D71995" w:rsidRDefault="002B5795">
            <w:pPr>
              <w:pStyle w:val="TableTextLeft"/>
              <w:rPr>
                <w:highlight w:val="yellow"/>
              </w:rPr>
            </w:pPr>
            <w:r w:rsidRPr="001A7205">
              <w:t>Construction</w:t>
            </w:r>
          </w:p>
        </w:tc>
        <w:tc>
          <w:tcPr>
            <w:tcW w:w="1586" w:type="dxa"/>
            <w:tcBorders>
              <w:top w:val="nil"/>
              <w:left w:val="nil"/>
              <w:bottom w:val="nil"/>
              <w:right w:val="nil"/>
            </w:tcBorders>
            <w:shd w:val="clear" w:color="auto" w:fill="auto"/>
            <w:noWrap/>
            <w:hideMark/>
          </w:tcPr>
          <w:p w14:paraId="6375753A" w14:textId="15DA86C0" w:rsidR="002B5795" w:rsidRPr="00D71995" w:rsidRDefault="003C4CD2">
            <w:pPr>
              <w:pStyle w:val="TableTextLeft"/>
              <w:jc w:val="right"/>
              <w:rPr>
                <w:highlight w:val="yellow"/>
              </w:rPr>
            </w:pPr>
            <w:r w:rsidRPr="001A7205">
              <w:t>174,700</w:t>
            </w:r>
          </w:p>
        </w:tc>
        <w:tc>
          <w:tcPr>
            <w:tcW w:w="1985" w:type="dxa"/>
            <w:tcBorders>
              <w:top w:val="nil"/>
              <w:left w:val="nil"/>
              <w:bottom w:val="nil"/>
              <w:right w:val="nil"/>
            </w:tcBorders>
            <w:shd w:val="clear" w:color="auto" w:fill="auto"/>
            <w:noWrap/>
            <w:hideMark/>
          </w:tcPr>
          <w:p w14:paraId="2C1F271C" w14:textId="48836D5A" w:rsidR="002B5795" w:rsidRPr="00D71995" w:rsidRDefault="003C4CD2">
            <w:pPr>
              <w:pStyle w:val="TableTextLeft"/>
              <w:jc w:val="right"/>
              <w:rPr>
                <w:highlight w:val="yellow"/>
              </w:rPr>
            </w:pPr>
            <w:r w:rsidRPr="001A7205">
              <w:t>66,500</w:t>
            </w:r>
          </w:p>
        </w:tc>
      </w:tr>
      <w:tr w:rsidR="002B5795" w:rsidRPr="00D71995" w14:paraId="6D37F6BF" w14:textId="77777777" w:rsidTr="00042C7A">
        <w:trPr>
          <w:trHeight w:val="300"/>
        </w:trPr>
        <w:tc>
          <w:tcPr>
            <w:tcW w:w="4084" w:type="dxa"/>
            <w:tcBorders>
              <w:top w:val="nil"/>
              <w:left w:val="nil"/>
              <w:bottom w:val="nil"/>
              <w:right w:val="nil"/>
            </w:tcBorders>
            <w:shd w:val="clear" w:color="auto" w:fill="auto"/>
            <w:noWrap/>
            <w:hideMark/>
          </w:tcPr>
          <w:p w14:paraId="33AF1221" w14:textId="135E8671" w:rsidR="002B5795" w:rsidRPr="00D71995" w:rsidRDefault="002B5795">
            <w:pPr>
              <w:pStyle w:val="TableTextLeft"/>
              <w:rPr>
                <w:highlight w:val="yellow"/>
              </w:rPr>
            </w:pPr>
            <w:r w:rsidRPr="001A7205">
              <w:t>Wholesale and Retail Trade</w:t>
            </w:r>
          </w:p>
        </w:tc>
        <w:tc>
          <w:tcPr>
            <w:tcW w:w="1586" w:type="dxa"/>
            <w:tcBorders>
              <w:top w:val="nil"/>
              <w:left w:val="nil"/>
              <w:bottom w:val="nil"/>
              <w:right w:val="nil"/>
            </w:tcBorders>
            <w:shd w:val="clear" w:color="auto" w:fill="auto"/>
            <w:noWrap/>
            <w:hideMark/>
          </w:tcPr>
          <w:p w14:paraId="5E5738C1" w14:textId="0BF98593" w:rsidR="002B5795" w:rsidRPr="00D71995" w:rsidRDefault="003C4CD2">
            <w:pPr>
              <w:pStyle w:val="TableTextLeft"/>
              <w:jc w:val="right"/>
              <w:rPr>
                <w:highlight w:val="yellow"/>
              </w:rPr>
            </w:pPr>
            <w:r w:rsidRPr="001A7205">
              <w:t>120,500</w:t>
            </w:r>
          </w:p>
        </w:tc>
        <w:tc>
          <w:tcPr>
            <w:tcW w:w="1985" w:type="dxa"/>
            <w:tcBorders>
              <w:top w:val="nil"/>
              <w:left w:val="nil"/>
              <w:bottom w:val="nil"/>
              <w:right w:val="nil"/>
            </w:tcBorders>
            <w:shd w:val="clear" w:color="auto" w:fill="auto"/>
            <w:noWrap/>
            <w:hideMark/>
          </w:tcPr>
          <w:p w14:paraId="532929DD" w14:textId="4435C837" w:rsidR="002B5795" w:rsidRPr="00D71995" w:rsidRDefault="003C4CD2">
            <w:pPr>
              <w:pStyle w:val="TableTextLeft"/>
              <w:jc w:val="right"/>
              <w:rPr>
                <w:highlight w:val="yellow"/>
              </w:rPr>
            </w:pPr>
            <w:r w:rsidRPr="001A7205">
              <w:t>50,200</w:t>
            </w:r>
          </w:p>
        </w:tc>
      </w:tr>
      <w:tr w:rsidR="002B5795" w:rsidRPr="00D71995" w14:paraId="53C76E05" w14:textId="77777777" w:rsidTr="00042C7A">
        <w:trPr>
          <w:trHeight w:val="300"/>
        </w:trPr>
        <w:tc>
          <w:tcPr>
            <w:tcW w:w="4084" w:type="dxa"/>
            <w:tcBorders>
              <w:top w:val="nil"/>
              <w:left w:val="nil"/>
              <w:bottom w:val="nil"/>
              <w:right w:val="nil"/>
            </w:tcBorders>
            <w:shd w:val="clear" w:color="auto" w:fill="auto"/>
            <w:noWrap/>
            <w:hideMark/>
          </w:tcPr>
          <w:p w14:paraId="1701FA12" w14:textId="40EFBC0C" w:rsidR="002B5795" w:rsidRPr="00D71995" w:rsidRDefault="002B5795">
            <w:pPr>
              <w:pStyle w:val="TableTextLeft"/>
              <w:rPr>
                <w:highlight w:val="yellow"/>
              </w:rPr>
            </w:pPr>
            <w:r w:rsidRPr="001A7205">
              <w:t>Transport, Postal and Warehousing</w:t>
            </w:r>
          </w:p>
        </w:tc>
        <w:tc>
          <w:tcPr>
            <w:tcW w:w="1586" w:type="dxa"/>
            <w:tcBorders>
              <w:top w:val="nil"/>
              <w:left w:val="nil"/>
              <w:bottom w:val="nil"/>
              <w:right w:val="nil"/>
            </w:tcBorders>
            <w:shd w:val="clear" w:color="auto" w:fill="auto"/>
            <w:noWrap/>
            <w:hideMark/>
          </w:tcPr>
          <w:p w14:paraId="41E3419B" w14:textId="0898A942" w:rsidR="002B5795" w:rsidRPr="00D71995" w:rsidRDefault="003C4CD2">
            <w:pPr>
              <w:pStyle w:val="TableTextLeft"/>
              <w:jc w:val="right"/>
              <w:rPr>
                <w:highlight w:val="yellow"/>
              </w:rPr>
            </w:pPr>
            <w:r w:rsidRPr="001A7205">
              <w:t>50,600</w:t>
            </w:r>
          </w:p>
        </w:tc>
        <w:tc>
          <w:tcPr>
            <w:tcW w:w="1985" w:type="dxa"/>
            <w:tcBorders>
              <w:top w:val="nil"/>
              <w:left w:val="nil"/>
              <w:bottom w:val="nil"/>
              <w:right w:val="nil"/>
            </w:tcBorders>
            <w:shd w:val="clear" w:color="auto" w:fill="auto"/>
            <w:noWrap/>
            <w:hideMark/>
          </w:tcPr>
          <w:p w14:paraId="4658B292" w14:textId="655BBEFA" w:rsidR="002B5795" w:rsidRPr="00D71995" w:rsidRDefault="003C4CD2">
            <w:pPr>
              <w:pStyle w:val="TableTextLeft"/>
              <w:jc w:val="right"/>
              <w:rPr>
                <w:highlight w:val="yellow"/>
              </w:rPr>
            </w:pPr>
            <w:r w:rsidRPr="001A7205">
              <w:t>19,000</w:t>
            </w:r>
          </w:p>
        </w:tc>
      </w:tr>
      <w:tr w:rsidR="002B5795" w:rsidRPr="00D71995" w14:paraId="0CFAD469" w14:textId="77777777" w:rsidTr="00042C7A">
        <w:trPr>
          <w:trHeight w:val="300"/>
        </w:trPr>
        <w:tc>
          <w:tcPr>
            <w:tcW w:w="4084" w:type="dxa"/>
            <w:tcBorders>
              <w:top w:val="nil"/>
              <w:left w:val="nil"/>
              <w:bottom w:val="nil"/>
              <w:right w:val="nil"/>
            </w:tcBorders>
            <w:shd w:val="clear" w:color="auto" w:fill="auto"/>
            <w:noWrap/>
            <w:hideMark/>
          </w:tcPr>
          <w:p w14:paraId="24D48DA2" w14:textId="01FE6A9B" w:rsidR="002B5795" w:rsidRPr="00D71995" w:rsidRDefault="002B5795">
            <w:pPr>
              <w:pStyle w:val="TableTextLeft"/>
              <w:rPr>
                <w:highlight w:val="yellow"/>
              </w:rPr>
            </w:pPr>
            <w:r w:rsidRPr="001A7205">
              <w:t>Information Media and Telecommunications</w:t>
            </w:r>
          </w:p>
        </w:tc>
        <w:tc>
          <w:tcPr>
            <w:tcW w:w="1586" w:type="dxa"/>
            <w:tcBorders>
              <w:top w:val="nil"/>
              <w:left w:val="nil"/>
              <w:bottom w:val="nil"/>
              <w:right w:val="nil"/>
            </w:tcBorders>
            <w:shd w:val="clear" w:color="auto" w:fill="auto"/>
            <w:noWrap/>
            <w:hideMark/>
          </w:tcPr>
          <w:p w14:paraId="094A5533" w14:textId="6A4425AF" w:rsidR="002B5795" w:rsidRPr="00D71995" w:rsidRDefault="003C4CD2">
            <w:pPr>
              <w:pStyle w:val="TableTextLeft"/>
              <w:jc w:val="right"/>
              <w:rPr>
                <w:highlight w:val="yellow"/>
              </w:rPr>
            </w:pPr>
            <w:r w:rsidRPr="001A7205">
              <w:t>18,200</w:t>
            </w:r>
          </w:p>
        </w:tc>
        <w:tc>
          <w:tcPr>
            <w:tcW w:w="1985" w:type="dxa"/>
            <w:tcBorders>
              <w:top w:val="nil"/>
              <w:left w:val="nil"/>
              <w:bottom w:val="nil"/>
              <w:right w:val="nil"/>
            </w:tcBorders>
            <w:shd w:val="clear" w:color="auto" w:fill="auto"/>
            <w:noWrap/>
            <w:hideMark/>
          </w:tcPr>
          <w:p w14:paraId="03B334BC" w14:textId="270A8589" w:rsidR="002B5795" w:rsidRPr="00D71995" w:rsidRDefault="003C4CD2">
            <w:pPr>
              <w:pStyle w:val="TableTextLeft"/>
              <w:jc w:val="right"/>
              <w:rPr>
                <w:highlight w:val="yellow"/>
              </w:rPr>
            </w:pPr>
            <w:r w:rsidRPr="001A7205">
              <w:t>6,000</w:t>
            </w:r>
          </w:p>
        </w:tc>
      </w:tr>
      <w:tr w:rsidR="002B5795" w:rsidRPr="00D71995" w14:paraId="490D9143" w14:textId="77777777" w:rsidTr="00042C7A">
        <w:trPr>
          <w:trHeight w:val="300"/>
        </w:trPr>
        <w:tc>
          <w:tcPr>
            <w:tcW w:w="4084" w:type="dxa"/>
            <w:tcBorders>
              <w:top w:val="nil"/>
              <w:left w:val="nil"/>
              <w:bottom w:val="nil"/>
              <w:right w:val="nil"/>
            </w:tcBorders>
            <w:shd w:val="clear" w:color="auto" w:fill="auto"/>
            <w:noWrap/>
            <w:hideMark/>
          </w:tcPr>
          <w:p w14:paraId="0DB377E5" w14:textId="24626A1D" w:rsidR="002B5795" w:rsidRPr="00D71995" w:rsidRDefault="002B5795">
            <w:pPr>
              <w:pStyle w:val="TableTextLeft"/>
              <w:rPr>
                <w:highlight w:val="yellow"/>
              </w:rPr>
            </w:pPr>
            <w:r w:rsidRPr="001A7205">
              <w:t>Finance and Insurance</w:t>
            </w:r>
          </w:p>
        </w:tc>
        <w:tc>
          <w:tcPr>
            <w:tcW w:w="1586" w:type="dxa"/>
            <w:tcBorders>
              <w:top w:val="nil"/>
              <w:left w:val="nil"/>
              <w:bottom w:val="nil"/>
              <w:right w:val="nil"/>
            </w:tcBorders>
            <w:shd w:val="clear" w:color="auto" w:fill="auto"/>
            <w:noWrap/>
            <w:hideMark/>
          </w:tcPr>
          <w:p w14:paraId="390B4510" w14:textId="21E919EF" w:rsidR="002B5795" w:rsidRPr="00D71995" w:rsidRDefault="003C4CD2">
            <w:pPr>
              <w:pStyle w:val="TableTextLeft"/>
              <w:jc w:val="right"/>
              <w:rPr>
                <w:highlight w:val="yellow"/>
              </w:rPr>
            </w:pPr>
            <w:r w:rsidRPr="001A7205">
              <w:t>167,700</w:t>
            </w:r>
          </w:p>
        </w:tc>
        <w:tc>
          <w:tcPr>
            <w:tcW w:w="1985" w:type="dxa"/>
            <w:tcBorders>
              <w:top w:val="nil"/>
              <w:left w:val="nil"/>
              <w:bottom w:val="nil"/>
              <w:right w:val="nil"/>
            </w:tcBorders>
            <w:shd w:val="clear" w:color="auto" w:fill="auto"/>
            <w:noWrap/>
            <w:hideMark/>
          </w:tcPr>
          <w:p w14:paraId="00654B7C" w14:textId="77F58EAA" w:rsidR="002B5795" w:rsidRPr="00D71995" w:rsidRDefault="003C4CD2">
            <w:pPr>
              <w:pStyle w:val="TableTextLeft"/>
              <w:jc w:val="right"/>
              <w:rPr>
                <w:highlight w:val="yellow"/>
              </w:rPr>
            </w:pPr>
            <w:r w:rsidRPr="001A7205">
              <w:t>89,100</w:t>
            </w:r>
          </w:p>
        </w:tc>
      </w:tr>
      <w:tr w:rsidR="002B5795" w:rsidRPr="00D71995" w14:paraId="0C23A614" w14:textId="77777777" w:rsidTr="00042C7A">
        <w:trPr>
          <w:trHeight w:val="300"/>
        </w:trPr>
        <w:tc>
          <w:tcPr>
            <w:tcW w:w="4084" w:type="dxa"/>
            <w:tcBorders>
              <w:top w:val="nil"/>
              <w:left w:val="nil"/>
              <w:bottom w:val="nil"/>
              <w:right w:val="nil"/>
            </w:tcBorders>
            <w:shd w:val="clear" w:color="auto" w:fill="auto"/>
            <w:noWrap/>
            <w:hideMark/>
          </w:tcPr>
          <w:p w14:paraId="288AA08B" w14:textId="49C41C40" w:rsidR="002B5795" w:rsidRPr="00D71995" w:rsidRDefault="002B5795">
            <w:pPr>
              <w:pStyle w:val="TableTextLeft"/>
              <w:rPr>
                <w:highlight w:val="yellow"/>
              </w:rPr>
            </w:pPr>
            <w:r w:rsidRPr="001A7205">
              <w:t>Rental, Leasing and Hiring</w:t>
            </w:r>
          </w:p>
        </w:tc>
        <w:tc>
          <w:tcPr>
            <w:tcW w:w="1586" w:type="dxa"/>
            <w:tcBorders>
              <w:top w:val="nil"/>
              <w:left w:val="nil"/>
              <w:bottom w:val="nil"/>
              <w:right w:val="nil"/>
            </w:tcBorders>
            <w:shd w:val="clear" w:color="auto" w:fill="auto"/>
            <w:noWrap/>
            <w:hideMark/>
          </w:tcPr>
          <w:p w14:paraId="693DB741" w14:textId="3E5EEC3D" w:rsidR="002B5795" w:rsidRPr="00D71995" w:rsidRDefault="003C4CD2">
            <w:pPr>
              <w:pStyle w:val="TableTextLeft"/>
              <w:jc w:val="right"/>
              <w:rPr>
                <w:highlight w:val="yellow"/>
              </w:rPr>
            </w:pPr>
            <w:r w:rsidRPr="001A7205">
              <w:t>151,900</w:t>
            </w:r>
          </w:p>
        </w:tc>
        <w:tc>
          <w:tcPr>
            <w:tcW w:w="1985" w:type="dxa"/>
            <w:tcBorders>
              <w:top w:val="nil"/>
              <w:left w:val="nil"/>
              <w:bottom w:val="nil"/>
              <w:right w:val="nil"/>
            </w:tcBorders>
            <w:shd w:val="clear" w:color="auto" w:fill="auto"/>
            <w:noWrap/>
            <w:hideMark/>
          </w:tcPr>
          <w:p w14:paraId="7FAC32BE" w14:textId="77FC36F2" w:rsidR="002B5795" w:rsidRPr="00D71995" w:rsidRDefault="003C4CD2">
            <w:pPr>
              <w:pStyle w:val="TableTextLeft"/>
              <w:jc w:val="right"/>
              <w:rPr>
                <w:highlight w:val="yellow"/>
              </w:rPr>
            </w:pPr>
            <w:r w:rsidRPr="001A7205">
              <w:t>48,700</w:t>
            </w:r>
          </w:p>
        </w:tc>
      </w:tr>
      <w:tr w:rsidR="002B5795" w:rsidRPr="00D71995" w14:paraId="53852F59" w14:textId="77777777" w:rsidTr="00042C7A">
        <w:trPr>
          <w:trHeight w:val="300"/>
        </w:trPr>
        <w:tc>
          <w:tcPr>
            <w:tcW w:w="4084" w:type="dxa"/>
            <w:tcBorders>
              <w:top w:val="nil"/>
              <w:left w:val="nil"/>
              <w:bottom w:val="nil"/>
              <w:right w:val="nil"/>
            </w:tcBorders>
            <w:shd w:val="clear" w:color="auto" w:fill="auto"/>
            <w:noWrap/>
            <w:hideMark/>
          </w:tcPr>
          <w:p w14:paraId="4EA6F4E7" w14:textId="03FE5569" w:rsidR="002B5795" w:rsidRPr="00D71995" w:rsidRDefault="002B5795">
            <w:pPr>
              <w:pStyle w:val="TableTextLeft"/>
              <w:rPr>
                <w:highlight w:val="yellow"/>
              </w:rPr>
            </w:pPr>
            <w:r w:rsidRPr="001A7205">
              <w:t>Professional, Scientific and Technical Services</w:t>
            </w:r>
          </w:p>
        </w:tc>
        <w:tc>
          <w:tcPr>
            <w:tcW w:w="1586" w:type="dxa"/>
            <w:tcBorders>
              <w:top w:val="nil"/>
              <w:left w:val="nil"/>
              <w:bottom w:val="nil"/>
              <w:right w:val="nil"/>
            </w:tcBorders>
            <w:shd w:val="clear" w:color="auto" w:fill="auto"/>
            <w:noWrap/>
            <w:hideMark/>
          </w:tcPr>
          <w:p w14:paraId="760E1F20" w14:textId="09DD42FA" w:rsidR="002B5795" w:rsidRPr="00D71995" w:rsidRDefault="003C4CD2">
            <w:pPr>
              <w:pStyle w:val="TableTextLeft"/>
              <w:jc w:val="right"/>
              <w:rPr>
                <w:highlight w:val="yellow"/>
              </w:rPr>
            </w:pPr>
            <w:r w:rsidRPr="001A7205">
              <w:t>189,800</w:t>
            </w:r>
          </w:p>
        </w:tc>
        <w:tc>
          <w:tcPr>
            <w:tcW w:w="1985" w:type="dxa"/>
            <w:tcBorders>
              <w:top w:val="nil"/>
              <w:left w:val="nil"/>
              <w:bottom w:val="nil"/>
              <w:right w:val="nil"/>
            </w:tcBorders>
            <w:shd w:val="clear" w:color="auto" w:fill="auto"/>
            <w:noWrap/>
            <w:hideMark/>
          </w:tcPr>
          <w:p w14:paraId="16CD0D55" w14:textId="79C518F8" w:rsidR="002B5795" w:rsidRPr="00D71995" w:rsidRDefault="003C4CD2">
            <w:pPr>
              <w:pStyle w:val="TableTextLeft"/>
              <w:jc w:val="right"/>
              <w:rPr>
                <w:highlight w:val="yellow"/>
              </w:rPr>
            </w:pPr>
            <w:r w:rsidRPr="001A7205">
              <w:t>80,800</w:t>
            </w:r>
          </w:p>
        </w:tc>
      </w:tr>
      <w:tr w:rsidR="002B5795" w:rsidRPr="00D71995" w14:paraId="56D1FC82" w14:textId="77777777" w:rsidTr="00042C7A">
        <w:trPr>
          <w:trHeight w:val="300"/>
        </w:trPr>
        <w:tc>
          <w:tcPr>
            <w:tcW w:w="4084" w:type="dxa"/>
            <w:tcBorders>
              <w:top w:val="nil"/>
              <w:left w:val="nil"/>
              <w:bottom w:val="nil"/>
              <w:right w:val="nil"/>
            </w:tcBorders>
            <w:shd w:val="clear" w:color="auto" w:fill="auto"/>
            <w:noWrap/>
            <w:hideMark/>
          </w:tcPr>
          <w:p w14:paraId="37764F63" w14:textId="6A3F62E9" w:rsidR="002B5795" w:rsidRPr="00D71995" w:rsidRDefault="002B5795">
            <w:pPr>
              <w:pStyle w:val="TableTextLeft"/>
              <w:rPr>
                <w:highlight w:val="yellow"/>
              </w:rPr>
            </w:pPr>
            <w:r w:rsidRPr="001A7205">
              <w:t>Non-Market Services</w:t>
            </w:r>
          </w:p>
        </w:tc>
        <w:tc>
          <w:tcPr>
            <w:tcW w:w="1586" w:type="dxa"/>
            <w:tcBorders>
              <w:top w:val="nil"/>
              <w:left w:val="nil"/>
              <w:bottom w:val="nil"/>
              <w:right w:val="nil"/>
            </w:tcBorders>
            <w:shd w:val="clear" w:color="auto" w:fill="auto"/>
            <w:noWrap/>
            <w:hideMark/>
          </w:tcPr>
          <w:p w14:paraId="50D04B93" w14:textId="1F95CF1B" w:rsidR="002B5795" w:rsidRPr="00D71995" w:rsidRDefault="003C4CD2">
            <w:pPr>
              <w:pStyle w:val="TableTextLeft"/>
              <w:jc w:val="right"/>
              <w:rPr>
                <w:highlight w:val="yellow"/>
              </w:rPr>
            </w:pPr>
            <w:r w:rsidRPr="001A7205">
              <w:t>79,400</w:t>
            </w:r>
          </w:p>
        </w:tc>
        <w:tc>
          <w:tcPr>
            <w:tcW w:w="1985" w:type="dxa"/>
            <w:tcBorders>
              <w:top w:val="nil"/>
              <w:left w:val="nil"/>
              <w:bottom w:val="nil"/>
              <w:right w:val="nil"/>
            </w:tcBorders>
            <w:shd w:val="clear" w:color="auto" w:fill="auto"/>
            <w:noWrap/>
            <w:hideMark/>
          </w:tcPr>
          <w:p w14:paraId="61F03299" w14:textId="3FE7B864" w:rsidR="002B5795" w:rsidRPr="00D71995" w:rsidRDefault="003C4CD2">
            <w:pPr>
              <w:pStyle w:val="TableTextLeft"/>
              <w:jc w:val="right"/>
              <w:rPr>
                <w:highlight w:val="yellow"/>
              </w:rPr>
            </w:pPr>
            <w:r w:rsidRPr="001A7205">
              <w:t>34,000</w:t>
            </w:r>
          </w:p>
        </w:tc>
      </w:tr>
      <w:tr w:rsidR="002B5795" w:rsidRPr="00D71995" w14:paraId="52595E7B" w14:textId="77777777" w:rsidTr="00042C7A">
        <w:trPr>
          <w:trHeight w:val="300"/>
        </w:trPr>
        <w:tc>
          <w:tcPr>
            <w:tcW w:w="4084" w:type="dxa"/>
            <w:tcBorders>
              <w:top w:val="nil"/>
              <w:left w:val="nil"/>
              <w:right w:val="nil"/>
            </w:tcBorders>
            <w:shd w:val="clear" w:color="auto" w:fill="auto"/>
            <w:noWrap/>
            <w:hideMark/>
          </w:tcPr>
          <w:p w14:paraId="50D0FAC4" w14:textId="1AB18D91" w:rsidR="002B5795" w:rsidRPr="00D71995" w:rsidRDefault="002B5795">
            <w:pPr>
              <w:pStyle w:val="TableTextLeft"/>
              <w:rPr>
                <w:highlight w:val="yellow"/>
              </w:rPr>
            </w:pPr>
            <w:r w:rsidRPr="001A7205">
              <w:t>Other Market Services</w:t>
            </w:r>
          </w:p>
        </w:tc>
        <w:tc>
          <w:tcPr>
            <w:tcW w:w="1586" w:type="dxa"/>
            <w:tcBorders>
              <w:top w:val="nil"/>
              <w:left w:val="nil"/>
              <w:right w:val="nil"/>
            </w:tcBorders>
            <w:shd w:val="clear" w:color="auto" w:fill="auto"/>
            <w:noWrap/>
            <w:hideMark/>
          </w:tcPr>
          <w:p w14:paraId="7C310E7C" w14:textId="74A14FF5" w:rsidR="002B5795" w:rsidRPr="00D71995" w:rsidRDefault="003C4CD2">
            <w:pPr>
              <w:pStyle w:val="TableTextLeft"/>
              <w:jc w:val="right"/>
              <w:rPr>
                <w:highlight w:val="yellow"/>
              </w:rPr>
            </w:pPr>
            <w:r w:rsidRPr="001A7205">
              <w:t>144,100</w:t>
            </w:r>
          </w:p>
        </w:tc>
        <w:tc>
          <w:tcPr>
            <w:tcW w:w="1985" w:type="dxa"/>
            <w:tcBorders>
              <w:top w:val="nil"/>
              <w:left w:val="nil"/>
              <w:right w:val="nil"/>
            </w:tcBorders>
            <w:shd w:val="clear" w:color="auto" w:fill="auto"/>
            <w:noWrap/>
            <w:hideMark/>
          </w:tcPr>
          <w:p w14:paraId="0105B0B9" w14:textId="67443025" w:rsidR="002B5795" w:rsidRPr="00D71995" w:rsidRDefault="003C4CD2">
            <w:pPr>
              <w:pStyle w:val="TableTextLeft"/>
              <w:jc w:val="right"/>
              <w:rPr>
                <w:highlight w:val="yellow"/>
              </w:rPr>
            </w:pPr>
            <w:r w:rsidRPr="001A7205">
              <w:t>95,100</w:t>
            </w:r>
          </w:p>
        </w:tc>
      </w:tr>
      <w:tr w:rsidR="002B5795" w:rsidRPr="00EB2C87" w14:paraId="2C1CDCB3" w14:textId="77777777" w:rsidTr="00042C7A">
        <w:trPr>
          <w:trHeight w:val="300"/>
        </w:trPr>
        <w:tc>
          <w:tcPr>
            <w:tcW w:w="4084" w:type="dxa"/>
            <w:tcBorders>
              <w:top w:val="nil"/>
              <w:left w:val="nil"/>
              <w:bottom w:val="single" w:sz="4" w:space="0" w:color="auto"/>
              <w:right w:val="nil"/>
            </w:tcBorders>
            <w:shd w:val="clear" w:color="auto" w:fill="auto"/>
            <w:noWrap/>
            <w:hideMark/>
          </w:tcPr>
          <w:p w14:paraId="498A7425" w14:textId="47CCF1A2" w:rsidR="002B5795" w:rsidRPr="00D71995" w:rsidRDefault="002B5795">
            <w:pPr>
              <w:pStyle w:val="TableTextLeft"/>
              <w:rPr>
                <w:highlight w:val="yellow"/>
              </w:rPr>
            </w:pPr>
            <w:r w:rsidRPr="001A7205">
              <w:t>Total</w:t>
            </w:r>
          </w:p>
        </w:tc>
        <w:tc>
          <w:tcPr>
            <w:tcW w:w="1586" w:type="dxa"/>
            <w:tcBorders>
              <w:top w:val="nil"/>
              <w:left w:val="nil"/>
              <w:bottom w:val="single" w:sz="4" w:space="0" w:color="auto"/>
              <w:right w:val="nil"/>
            </w:tcBorders>
            <w:shd w:val="clear" w:color="auto" w:fill="auto"/>
            <w:noWrap/>
            <w:hideMark/>
          </w:tcPr>
          <w:p w14:paraId="5F967E1D" w14:textId="046DB98D" w:rsidR="002B5795" w:rsidRPr="00D71995" w:rsidRDefault="003C4CD2">
            <w:pPr>
              <w:pStyle w:val="TableTextLeft"/>
              <w:jc w:val="right"/>
              <w:rPr>
                <w:highlight w:val="yellow"/>
              </w:rPr>
            </w:pPr>
            <w:r w:rsidRPr="001A7205">
              <w:t>1,189,600</w:t>
            </w:r>
          </w:p>
        </w:tc>
        <w:tc>
          <w:tcPr>
            <w:tcW w:w="1985" w:type="dxa"/>
            <w:tcBorders>
              <w:top w:val="nil"/>
              <w:left w:val="nil"/>
              <w:bottom w:val="single" w:sz="4" w:space="0" w:color="auto"/>
              <w:right w:val="nil"/>
            </w:tcBorders>
            <w:shd w:val="clear" w:color="auto" w:fill="auto"/>
            <w:noWrap/>
            <w:hideMark/>
          </w:tcPr>
          <w:p w14:paraId="2B711419" w14:textId="32572B56" w:rsidR="002B5795" w:rsidRPr="00273AA1" w:rsidRDefault="003C4CD2">
            <w:pPr>
              <w:pStyle w:val="TableTextLeft"/>
              <w:jc w:val="right"/>
            </w:pPr>
            <w:r w:rsidRPr="001A7205">
              <w:t>478,400</w:t>
            </w:r>
          </w:p>
        </w:tc>
      </w:tr>
    </w:tbl>
    <w:p w14:paraId="3FA68529" w14:textId="5FD1A1C0" w:rsidR="00302C08" w:rsidRPr="00224433" w:rsidRDefault="00302C08" w:rsidP="00B76C90"/>
    <w:sectPr w:rsidR="00302C08" w:rsidRPr="00224433" w:rsidSect="007D0910">
      <w:pgSz w:w="11907" w:h="16840" w:code="9"/>
      <w:pgMar w:top="2466" w:right="2098" w:bottom="2466" w:left="2098" w:header="1899" w:footer="18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9C1A" w14:textId="77777777" w:rsidR="00C36DCB" w:rsidRDefault="00C36DCB">
      <w:r>
        <w:separator/>
      </w:r>
    </w:p>
  </w:endnote>
  <w:endnote w:type="continuationSeparator" w:id="0">
    <w:p w14:paraId="7D4C91AB" w14:textId="77777777" w:rsidR="00C36DCB" w:rsidRDefault="00C36DCB">
      <w:r>
        <w:continuationSeparator/>
      </w:r>
    </w:p>
  </w:endnote>
  <w:endnote w:type="continuationNotice" w:id="1">
    <w:p w14:paraId="4B9BFFF9" w14:textId="77777777" w:rsidR="00C36DCB" w:rsidRDefault="00C36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E92A" w14:textId="244FF7A1" w:rsidR="00546AD5" w:rsidRPr="00BB182A" w:rsidRDefault="00EF29F4">
    <w:pPr>
      <w:pStyle w:val="Footer"/>
    </w:pPr>
    <w:sdt>
      <w:sdtPr>
        <w:id w:val="801111028"/>
        <w:docPartObj>
          <w:docPartGallery w:val="Page Numbers (Bottom of Page)"/>
          <w:docPartUnique/>
        </w:docPartObj>
      </w:sdtPr>
      <w:sdtEndPr/>
      <w:sdtContent>
        <w:r w:rsidR="00546AD5" w:rsidRPr="00BB182A">
          <w:fldChar w:fldCharType="begin"/>
        </w:r>
        <w:r w:rsidR="00546AD5" w:rsidRPr="00BB182A">
          <w:instrText xml:space="preserve"> PAGE   \* MERGEFORMAT </w:instrText>
        </w:r>
        <w:r w:rsidR="00546AD5" w:rsidRPr="00BB182A">
          <w:fldChar w:fldCharType="separate"/>
        </w:r>
        <w:r w:rsidR="00546AD5" w:rsidRPr="00BB182A">
          <w:t>3</w:t>
        </w:r>
        <w:r w:rsidR="00546AD5" w:rsidRPr="00BB182A">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464B" w14:textId="3233E46D" w:rsidR="00F30AAE" w:rsidRPr="00833D3E" w:rsidRDefault="00EF29F4" w:rsidP="00F30AAE">
    <w:pPr>
      <w:pStyle w:val="Footer"/>
    </w:pPr>
    <w:sdt>
      <w:sdtPr>
        <w:id w:val="71245368"/>
        <w:docPartObj>
          <w:docPartGallery w:val="Page Numbers (Bottom of Page)"/>
          <w:docPartUnique/>
        </w:docPartObj>
      </w:sdtPr>
      <w:sdtEndPr>
        <w:rPr>
          <w:noProof/>
        </w:rPr>
      </w:sdtEndPr>
      <w:sdtContent>
        <w:r w:rsidR="00F30AAE">
          <w:fldChar w:fldCharType="begin"/>
        </w:r>
        <w:r w:rsidR="00F30AAE">
          <w:instrText xml:space="preserve"> PAGE   \* MERGEFORMAT </w:instrText>
        </w:r>
        <w:r w:rsidR="00F30AAE">
          <w:fldChar w:fldCharType="separate"/>
        </w:r>
        <w:r w:rsidR="00F30AAE">
          <w:t>11</w:t>
        </w:r>
        <w:r w:rsidR="00F30AAE">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84E1" w14:textId="77777777" w:rsidR="00833D3E" w:rsidRDefault="00833D3E">
    <w:pPr>
      <w:pStyle w:val="Footer"/>
    </w:pPr>
  </w:p>
  <w:p w14:paraId="1B5BAC51" w14:textId="0477DF87" w:rsidR="00833D3E" w:rsidRPr="00833D3E" w:rsidRDefault="00EF29F4" w:rsidP="00833D3E">
    <w:pPr>
      <w:pStyle w:val="Footer"/>
    </w:pPr>
    <w:sdt>
      <w:sdtPr>
        <w:id w:val="1173304139"/>
        <w:docPartObj>
          <w:docPartGallery w:val="Page Numbers (Bottom of Page)"/>
          <w:docPartUnique/>
        </w:docPartObj>
      </w:sdtPr>
      <w:sdtEndPr>
        <w:rPr>
          <w:noProof/>
        </w:rPr>
      </w:sdtEndPr>
      <w:sdtContent>
        <w:r w:rsidR="00833D3E">
          <w:fldChar w:fldCharType="begin"/>
        </w:r>
        <w:r w:rsidR="00833D3E">
          <w:instrText xml:space="preserve"> PAGE   \* MERGEFORMAT </w:instrText>
        </w:r>
        <w:r w:rsidR="00833D3E">
          <w:fldChar w:fldCharType="separate"/>
        </w:r>
        <w:r w:rsidR="00833D3E">
          <w:t>5</w:t>
        </w:r>
        <w:r w:rsidR="00833D3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CA8E" w14:textId="61C8C76D" w:rsidR="005D5657" w:rsidRPr="005B452B" w:rsidRDefault="005D5657" w:rsidP="005B45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675287"/>
      <w:docPartObj>
        <w:docPartGallery w:val="Page Numbers (Bottom of Page)"/>
        <w:docPartUnique/>
      </w:docPartObj>
    </w:sdtPr>
    <w:sdtEndPr>
      <w:rPr>
        <w:noProof/>
      </w:rPr>
    </w:sdtEndPr>
    <w:sdtContent>
      <w:p w14:paraId="12540281" w14:textId="488D3B85" w:rsidR="00D9255A" w:rsidRDefault="00D63C44" w:rsidP="005B452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3DFF" w14:textId="10B75751" w:rsidR="00517EF1" w:rsidRDefault="00EF29F4">
    <w:pPr>
      <w:pStyle w:val="Footer"/>
    </w:pPr>
    <w:sdt>
      <w:sdtPr>
        <w:id w:val="971327764"/>
        <w:docPartObj>
          <w:docPartGallery w:val="Page Numbers (Bottom of Page)"/>
          <w:docPartUnique/>
        </w:docPartObj>
      </w:sdtPr>
      <w:sdtEndPr>
        <w:rPr>
          <w:noProof/>
        </w:rPr>
      </w:sdtEndPr>
      <w:sdtContent>
        <w:r w:rsidR="00517EF1">
          <w:fldChar w:fldCharType="begin"/>
        </w:r>
        <w:r w:rsidR="00517EF1">
          <w:instrText xml:space="preserve"> PAGE   \* MERGEFORMAT </w:instrText>
        </w:r>
        <w:r w:rsidR="00517EF1">
          <w:fldChar w:fldCharType="separate"/>
        </w:r>
        <w:r w:rsidR="00517EF1">
          <w:rPr>
            <w:noProof/>
          </w:rPr>
          <w:t>2</w:t>
        </w:r>
        <w:r w:rsidR="00517EF1">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70364"/>
      <w:docPartObj>
        <w:docPartGallery w:val="Page Numbers (Bottom of Page)"/>
        <w:docPartUnique/>
      </w:docPartObj>
    </w:sdtPr>
    <w:sdtEndPr>
      <w:rPr>
        <w:noProof/>
      </w:rPr>
    </w:sdtEndPr>
    <w:sdtContent>
      <w:p w14:paraId="2D8093BD" w14:textId="0FB644F8" w:rsidR="00D63C44" w:rsidRDefault="00D63C4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498D2" w14:textId="48C9AAC8" w:rsidR="00FE48D1" w:rsidRDefault="00FE48D1" w:rsidP="00833D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DC3E" w14:textId="370D06A4" w:rsidR="00F30AAE" w:rsidRPr="00833D3E" w:rsidRDefault="00F30AAE" w:rsidP="00F30AA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8AEF" w14:textId="0AA35B22" w:rsidR="00833D3E" w:rsidRDefault="00833D3E">
    <w:pPr>
      <w:pStyle w:val="Footer"/>
    </w:pPr>
  </w:p>
  <w:p w14:paraId="5E466D72" w14:textId="5802BD83" w:rsidR="00833D3E" w:rsidRDefault="00833D3E" w:rsidP="00833D3E">
    <w:pPr>
      <w:pStyle w:val="Footer"/>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0A6C" w14:textId="52D2907D" w:rsidR="00833D3E" w:rsidRDefault="00EF29F4" w:rsidP="00833D3E">
    <w:pPr>
      <w:pStyle w:val="Footer"/>
    </w:pPr>
    <w:sdt>
      <w:sdtPr>
        <w:id w:val="-1080835174"/>
        <w:docPartObj>
          <w:docPartGallery w:val="Page Numbers (Bottom of Page)"/>
          <w:docPartUnique/>
        </w:docPartObj>
      </w:sdtPr>
      <w:sdtEndPr>
        <w:rPr>
          <w:noProof/>
        </w:rPr>
      </w:sdtEndPr>
      <w:sdtContent>
        <w:r w:rsidR="00833D3E">
          <w:fldChar w:fldCharType="begin"/>
        </w:r>
        <w:r w:rsidR="00833D3E">
          <w:instrText xml:space="preserve"> PAGE   \* MERGEFORMAT </w:instrText>
        </w:r>
        <w:r w:rsidR="00833D3E">
          <w:fldChar w:fldCharType="separate"/>
        </w:r>
        <w:r w:rsidR="00833D3E">
          <w:t>9</w:t>
        </w:r>
        <w:r w:rsidR="00833D3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8F192" w14:textId="77777777" w:rsidR="00C36DCB" w:rsidRDefault="00C36DCB">
      <w:r>
        <w:separator/>
      </w:r>
    </w:p>
  </w:footnote>
  <w:footnote w:type="continuationSeparator" w:id="0">
    <w:p w14:paraId="15B5C358" w14:textId="77777777" w:rsidR="00C36DCB" w:rsidRDefault="00C36DCB">
      <w:r>
        <w:continuationSeparator/>
      </w:r>
    </w:p>
  </w:footnote>
  <w:footnote w:type="continuationNotice" w:id="1">
    <w:p w14:paraId="03D08581" w14:textId="77777777" w:rsidR="00C36DCB" w:rsidRDefault="00C36DCB">
      <w:pPr>
        <w:spacing w:after="0" w:line="240" w:lineRule="auto"/>
      </w:pPr>
    </w:p>
  </w:footnote>
  <w:footnote w:id="2">
    <w:p w14:paraId="45D2A1F4" w14:textId="658152D8" w:rsidR="00A924C4" w:rsidRPr="00EC4DB5" w:rsidRDefault="009F5E3D" w:rsidP="00EC4DB5">
      <w:pPr>
        <w:pStyle w:val="Footnotestext"/>
      </w:pPr>
      <w:r w:rsidRPr="00EC4DB5">
        <w:footnoteRef/>
      </w:r>
      <w:r w:rsidR="00A924C4" w:rsidRPr="00EC4DB5">
        <w:t xml:space="preserve"> </w:t>
      </w:r>
      <w:r w:rsidR="00A924C4" w:rsidRPr="00EC4DB5">
        <w:tab/>
      </w:r>
      <w:r w:rsidR="00EC4DB5">
        <w:tab/>
      </w:r>
      <w:r w:rsidR="00A924C4" w:rsidRPr="00EC4DB5">
        <w:t xml:space="preserve">Previous publications have explored alternative benchmarks for tax expenditures relating to the taxation of superannuation, alcohol and owner-occupied housing. </w:t>
      </w:r>
    </w:p>
  </w:footnote>
  <w:footnote w:id="3">
    <w:p w14:paraId="3F6403CA" w14:textId="7ECAC6D5" w:rsidR="00A924C4" w:rsidRPr="00EC4DB5" w:rsidRDefault="009F5E3D" w:rsidP="00EC4DB5">
      <w:pPr>
        <w:pStyle w:val="Footnotestext"/>
      </w:pPr>
      <w:r w:rsidRPr="00EC4DB5">
        <w:footnoteRef/>
      </w:r>
      <w:r w:rsidR="00A924C4" w:rsidRPr="00EC4DB5">
        <w:t xml:space="preserve"> </w:t>
      </w:r>
      <w:r w:rsidR="00A924C4" w:rsidRPr="00EC4DB5">
        <w:tab/>
      </w:r>
      <w:r w:rsidR="00EC4DB5">
        <w:tab/>
      </w:r>
      <w:r w:rsidR="00A924C4" w:rsidRPr="00EC4DB5">
        <w:t xml:space="preserve">Tax expenditures with estimates of revenue forgone greater than $500 million in </w:t>
      </w:r>
      <w:r w:rsidR="00393494" w:rsidRPr="00EC4DB5">
        <w:t>2024</w:t>
      </w:r>
      <w:r w:rsidR="00A924C4" w:rsidRPr="00EC4DB5">
        <w:t>-</w:t>
      </w:r>
      <w:r w:rsidR="00393494" w:rsidRPr="00EC4DB5">
        <w:t xml:space="preserve">25 </w:t>
      </w:r>
      <w:r w:rsidR="00A924C4" w:rsidRPr="00EC4DB5">
        <w:t xml:space="preserve">are included in the table, as are negative tax expenditures (provisions which increase tax payable) with an estimated positive revenue impact greater than $500 million in </w:t>
      </w:r>
      <w:r w:rsidR="00393494" w:rsidRPr="00EC4DB5">
        <w:t>2024</w:t>
      </w:r>
      <w:r w:rsidR="00A924C4" w:rsidRPr="00EC4DB5">
        <w:t>-2</w:t>
      </w:r>
      <w:r w:rsidR="00393494" w:rsidRPr="00EC4DB5">
        <w:t>5</w:t>
      </w:r>
      <w:r w:rsidR="00A924C4" w:rsidRPr="00EC4DB5">
        <w:t>.</w:t>
      </w:r>
    </w:p>
  </w:footnote>
  <w:footnote w:id="4">
    <w:p w14:paraId="2C025D50" w14:textId="4C3BCFBE" w:rsidR="0045356D" w:rsidRPr="00EC4DB5" w:rsidRDefault="009F5E3D" w:rsidP="00EC4DB5">
      <w:pPr>
        <w:pStyle w:val="Footnotestext"/>
      </w:pPr>
      <w:r w:rsidRPr="00EC4DB5">
        <w:footnoteRef/>
      </w:r>
      <w:r w:rsidR="0045356D" w:rsidRPr="00EC4DB5">
        <w:t xml:space="preserve"> </w:t>
      </w:r>
      <w:r w:rsidR="0045356D" w:rsidRPr="00EC4DB5">
        <w:tab/>
      </w:r>
      <w:r w:rsidR="00EC4DB5">
        <w:tab/>
      </w:r>
      <w:r w:rsidR="0045356D" w:rsidRPr="00EC4DB5">
        <w:t>Where multiple tax expenditures have been combined for the purposes of distributional analysis, the largest of them (as per Table 1.</w:t>
      </w:r>
      <w:r w:rsidR="005825CF" w:rsidRPr="00EC4DB5">
        <w:t>2</w:t>
      </w:r>
      <w:r w:rsidR="0045356D" w:rsidRPr="00EC4DB5">
        <w:t>) is used for ordering.</w:t>
      </w:r>
    </w:p>
  </w:footnote>
  <w:footnote w:id="5">
    <w:p w14:paraId="1873172E" w14:textId="6283D0C4" w:rsidR="00482DB5" w:rsidRPr="00EC4DB5" w:rsidRDefault="009F5E3D" w:rsidP="00EC4DB5">
      <w:pPr>
        <w:pStyle w:val="Footnotestext"/>
      </w:pPr>
      <w:r w:rsidRPr="00EC4DB5">
        <w:footnoteRef/>
      </w:r>
      <w:r w:rsidR="00482DB5" w:rsidRPr="00EC4DB5">
        <w:t xml:space="preserve"> </w:t>
      </w:r>
      <w:r w:rsidR="00D9255A" w:rsidRPr="00EC4DB5">
        <w:tab/>
      </w:r>
      <w:r w:rsidR="00EC4DB5">
        <w:tab/>
      </w:r>
      <w:r w:rsidR="00482DB5" w:rsidRPr="00EC4DB5">
        <w:t>Individuals who did not file a tax return are included in the estimates of aggregate revenue forgone but have not been included in the distributional analysis.</w:t>
      </w:r>
    </w:p>
  </w:footnote>
  <w:footnote w:id="6">
    <w:p w14:paraId="3F6D0172" w14:textId="4FC78E22" w:rsidR="00825C92" w:rsidRPr="00EC4DB5" w:rsidRDefault="009F5E3D" w:rsidP="00EC4DB5">
      <w:pPr>
        <w:pStyle w:val="Footnotestext"/>
      </w:pPr>
      <w:r w:rsidRPr="00EC4DB5">
        <w:footnoteRef/>
      </w:r>
      <w:r w:rsidR="00825C92" w:rsidRPr="00EC4DB5">
        <w:t xml:space="preserve"> </w:t>
      </w:r>
      <w:r w:rsidR="00D9255A" w:rsidRPr="00EC4DB5">
        <w:tab/>
      </w:r>
      <w:r w:rsidR="00EC4DB5">
        <w:tab/>
      </w:r>
      <w:r w:rsidR="00825C92" w:rsidRPr="00EC4DB5">
        <w:t>Individuals who did not file a tax return are included in the estimates of aggregate revenue</w:t>
      </w:r>
      <w:r w:rsidR="00B334E9" w:rsidRPr="00EC4DB5">
        <w:t xml:space="preserve"> </w:t>
      </w:r>
      <w:r w:rsidR="00825C92" w:rsidRPr="00EC4DB5">
        <w:t>forgone but have not been included in the distributional analysis.</w:t>
      </w:r>
    </w:p>
  </w:footnote>
  <w:footnote w:id="7">
    <w:p w14:paraId="423DABCD" w14:textId="737CF2E6" w:rsidR="00226A13" w:rsidRDefault="009F5E3D" w:rsidP="00226A13">
      <w:pPr>
        <w:pStyle w:val="FootnoteText"/>
      </w:pPr>
      <w:r w:rsidRPr="009F5E3D">
        <w:rPr>
          <w:rStyle w:val="FootnoteReference"/>
          <w:vertAlign w:val="baseline"/>
        </w:rPr>
        <w:footnoteRef/>
      </w:r>
      <w:r w:rsidR="00226A13">
        <w:t xml:space="preserve"> </w:t>
      </w:r>
      <w:r w:rsidR="00226A13">
        <w:tab/>
      </w:r>
      <w:r w:rsidR="00226A13" w:rsidRPr="001469D9">
        <w:t xml:space="preserve">Individuals who do not lodge tax returns, predominantly full-rate age pensioners, are included in the estimates of aggregate revenue forgone </w:t>
      </w:r>
      <w:r w:rsidR="00226A13">
        <w:t>(</w:t>
      </w:r>
      <w:r w:rsidR="00226A13" w:rsidRPr="001469D9">
        <w:t>as they would benefit from the SAPTO</w:t>
      </w:r>
      <w:r w:rsidR="00226A13">
        <w:t>)</w:t>
      </w:r>
      <w:r w:rsidR="00226A13" w:rsidRPr="001469D9">
        <w:t xml:space="preserve"> but not in the distributional analysis.</w:t>
      </w:r>
    </w:p>
  </w:footnote>
  <w:footnote w:id="8">
    <w:p w14:paraId="6BA408CD" w14:textId="3060521F" w:rsidR="004D75AC" w:rsidRPr="00EC4DB5" w:rsidRDefault="009F5E3D" w:rsidP="00EC4DB5">
      <w:pPr>
        <w:pStyle w:val="Footnotestext"/>
      </w:pPr>
      <w:r w:rsidRPr="00EC4DB5">
        <w:footnoteRef/>
      </w:r>
      <w:r w:rsidR="004D75AC" w:rsidRPr="00EC4DB5">
        <w:t xml:space="preserve"> </w:t>
      </w:r>
      <w:r w:rsidR="00D9255A" w:rsidRPr="00EC4DB5">
        <w:tab/>
      </w:r>
      <w:r w:rsidR="00EC4DB5">
        <w:tab/>
      </w:r>
      <w:r w:rsidR="004D75AC" w:rsidRPr="00EC4DB5">
        <w:t>As per Appendix A</w:t>
      </w:r>
      <w:r w:rsidR="003029DB" w:rsidRPr="00EC4DB5">
        <w:t>.</w:t>
      </w:r>
      <w:r w:rsidR="00B07127" w:rsidRPr="00EC4DB5">
        <w:t>4</w:t>
      </w:r>
      <w:r w:rsidR="004D75AC" w:rsidRPr="00EC4DB5">
        <w:t>: Other Services include Accommodation and Food Services, Administrative and Support Services, Arts and Recreation Services and Other Services.</w:t>
      </w:r>
    </w:p>
  </w:footnote>
  <w:footnote w:id="9">
    <w:p w14:paraId="0EC9A6F5" w14:textId="2B9A9F34" w:rsidR="00E6033A" w:rsidRDefault="009F5E3D" w:rsidP="00EC4DB5">
      <w:pPr>
        <w:pStyle w:val="Footnotestext"/>
      </w:pPr>
      <w:r w:rsidRPr="009F5E3D">
        <w:rPr>
          <w:szCs w:val="22"/>
        </w:rPr>
        <w:footnoteRef/>
      </w:r>
      <w:r w:rsidR="00E6033A" w:rsidRPr="00EF779C">
        <w:t xml:space="preserve"> </w:t>
      </w:r>
      <w:r w:rsidR="00E6033A">
        <w:tab/>
      </w:r>
      <w:r w:rsidR="00E6033A" w:rsidRPr="00916CF3">
        <w:rPr>
          <w:rStyle w:val="FootnoteTextChar"/>
        </w:rPr>
        <w:t>Estimates of the total tax reduction are produced by excluding rental deductions from the calculation of taxable income and calculating the associated increase in revenue in the given income year.</w:t>
      </w:r>
    </w:p>
  </w:footnote>
  <w:footnote w:id="10">
    <w:p w14:paraId="71F49CF4" w14:textId="08CFBF82" w:rsidR="00C92D2F" w:rsidRDefault="009F5E3D" w:rsidP="00EC4DB5">
      <w:pPr>
        <w:pStyle w:val="Footnotestext"/>
      </w:pPr>
      <w:r w:rsidRPr="009F5E3D">
        <w:rPr>
          <w:rStyle w:val="FootnoteReference"/>
          <w:vertAlign w:val="baseline"/>
        </w:rPr>
        <w:footnoteRef/>
      </w:r>
      <w:r w:rsidR="00C92D2F">
        <w:t xml:space="preserve"> </w:t>
      </w:r>
      <w:r w:rsidR="00C92D2F">
        <w:tab/>
      </w:r>
      <w:r w:rsidR="00C92D2F" w:rsidRPr="00916CF3">
        <w:rPr>
          <w:rStyle w:val="FootnoteTextChar"/>
        </w:rPr>
        <w:t>Estimates of the total tax reduction are produced by excluding work</w:t>
      </w:r>
      <w:r w:rsidR="00C92D2F" w:rsidRPr="00916CF3">
        <w:rPr>
          <w:rStyle w:val="FootnoteTextChar"/>
        </w:rPr>
        <w:noBreakHyphen/>
        <w:t>related expense deductions from the calculation of taxable income and calculating the associated increase in revenue in the given income year</w:t>
      </w:r>
      <w:r w:rsidR="00C92D2F" w:rsidRPr="008F35FE">
        <w:rPr>
          <w:rStyle w:val="FooterChar"/>
        </w:rPr>
        <w:t>.</w:t>
      </w:r>
    </w:p>
  </w:footnote>
  <w:footnote w:id="11">
    <w:p w14:paraId="78375A58" w14:textId="611E97D2" w:rsidR="00035791" w:rsidRDefault="009F5E3D" w:rsidP="00EC4DB5">
      <w:pPr>
        <w:pStyle w:val="Footnotestext"/>
      </w:pPr>
      <w:r w:rsidRPr="009F5E3D">
        <w:rPr>
          <w:szCs w:val="22"/>
        </w:rPr>
        <w:footnoteRef/>
      </w:r>
      <w:r w:rsidR="00035791" w:rsidRPr="00EF779C">
        <w:t xml:space="preserve"> </w:t>
      </w:r>
      <w:r w:rsidR="00035791">
        <w:tab/>
      </w:r>
      <w:r w:rsidR="00035791" w:rsidRPr="00AC2888">
        <w:rPr>
          <w:rStyle w:val="FootnoteTextChar"/>
        </w:rPr>
        <w:t>Estimates of the total tax reduction are produced by excluding the cost of managing tax affairs, interest deductions and dividend deductions from the calculation of taxable income and calculating the associated increase in revenue in the given income year.</w:t>
      </w:r>
    </w:p>
  </w:footnote>
  <w:footnote w:id="12">
    <w:p w14:paraId="2F43421A" w14:textId="22C1E47F" w:rsidR="006531B8" w:rsidRPr="00EC4DB5" w:rsidRDefault="009F5E3D" w:rsidP="00EC4DB5">
      <w:pPr>
        <w:pStyle w:val="Footnotestext"/>
      </w:pPr>
      <w:r w:rsidRPr="00EC4DB5">
        <w:footnoteRef/>
      </w:r>
      <w:r w:rsidR="00D9255A" w:rsidRPr="00EC4DB5">
        <w:t xml:space="preserve"> </w:t>
      </w:r>
      <w:r w:rsidR="00A00591" w:rsidRPr="00EC4DB5">
        <w:tab/>
      </w:r>
      <w:r w:rsidR="006531B8" w:rsidRPr="00EC4DB5">
        <w:t xml:space="preserve">Income from trusts is derived from the supplementary section of individual income tax returns and includes distributions from family and discretionary trusts and some unit trusts including managed funds. </w:t>
      </w:r>
    </w:p>
  </w:footnote>
  <w:footnote w:id="13">
    <w:p w14:paraId="424BA2E2" w14:textId="1464FE77" w:rsidR="006531B8" w:rsidRDefault="009F5E3D" w:rsidP="00EC4DB5">
      <w:pPr>
        <w:pStyle w:val="Footnotestext"/>
      </w:pPr>
      <w:r w:rsidRPr="00EC4DB5">
        <w:footnoteRef/>
      </w:r>
      <w:r w:rsidR="00D9255A" w:rsidRPr="00EC4DB5">
        <w:t xml:space="preserve"> </w:t>
      </w:r>
      <w:r w:rsidR="00502B47" w:rsidRPr="00EC4DB5">
        <w:tab/>
      </w:r>
      <w:r w:rsidR="006531B8" w:rsidRPr="00EC4DB5">
        <w:t>Analysis draws on ATO Personal Income Tax Return data and does not include information from trust distribution statements. Deciles are calculated by including all individuals who lodge a tax return.</w:t>
      </w:r>
      <w:r w:rsidR="006531B8">
        <w:t xml:space="preserve"> </w:t>
      </w:r>
    </w:p>
  </w:footnote>
  <w:footnote w:id="14">
    <w:p w14:paraId="6AB47DDC" w14:textId="3413EE02" w:rsidR="006531B8" w:rsidRPr="00EC4DB5" w:rsidRDefault="009F5E3D" w:rsidP="00EC4DB5">
      <w:pPr>
        <w:pStyle w:val="Footnotestext"/>
      </w:pPr>
      <w:r w:rsidRPr="00EC4DB5">
        <w:footnoteRef/>
      </w:r>
      <w:r w:rsidR="00502B47" w:rsidRPr="00EC4DB5">
        <w:t xml:space="preserve"> </w:t>
      </w:r>
      <w:r w:rsidR="00EC4DB5">
        <w:tab/>
      </w:r>
      <w:r w:rsidR="006531B8" w:rsidRPr="00EC4DB5">
        <w:t>Individuals with negative taxable incomes accounted for one per cent of trust income reported</w:t>
      </w:r>
      <w:r w:rsidRPr="00EC4DB5">
        <w:t xml:space="preserve">. </w:t>
      </w:r>
    </w:p>
  </w:footnote>
  <w:footnote w:id="15">
    <w:p w14:paraId="00826D2B" w14:textId="0021450F" w:rsidR="008E6CE8" w:rsidRPr="00EC4DB5" w:rsidRDefault="009F5E3D" w:rsidP="00EC4DB5">
      <w:pPr>
        <w:pStyle w:val="Footnotestext"/>
      </w:pPr>
      <w:r w:rsidRPr="00EC4DB5">
        <w:footnoteRef/>
      </w:r>
      <w:r w:rsidR="00A00591" w:rsidRPr="00EC4DB5">
        <w:t xml:space="preserve"> </w:t>
      </w:r>
      <w:r w:rsidR="00502B47" w:rsidRPr="00EC4DB5">
        <w:tab/>
      </w:r>
      <w:r w:rsidR="008E6CE8" w:rsidRPr="00EC4DB5">
        <w:t>In 2021-22, an estimated $34.9 billion of franking credits flowed (whether directly or via a partnership or trust) to Australian companies, $11.7 billion to Australian Prudential Regulation Authority-regulated and other superannuation funds, $5.4</w:t>
      </w:r>
      <w:r w:rsidR="00080E38" w:rsidRPr="00EC4DB5">
        <w:t xml:space="preserve"> </w:t>
      </w:r>
      <w:r w:rsidR="008E6CE8" w:rsidRPr="00EC4DB5">
        <w:t xml:space="preserve">billion to self-managed superannuation funds and $0.9 billion to income tax exempt entities. The remaining $36.9 billion of credits distributed flowed elsewhere, including to foreigners not able to use them to offset Australian tax paid. The distributional information here focuses on individual recipients only, where the underlying data are most readily available and reliable. </w:t>
      </w:r>
    </w:p>
  </w:footnote>
  <w:footnote w:id="16">
    <w:p w14:paraId="26A2BA94" w14:textId="23169583" w:rsidR="008E6CE8" w:rsidRDefault="009F5E3D" w:rsidP="00EC4DB5">
      <w:pPr>
        <w:pStyle w:val="Footnotestext"/>
      </w:pPr>
      <w:r w:rsidRPr="00EC4DB5">
        <w:footnoteRef/>
      </w:r>
      <w:r w:rsidR="008E6CE8" w:rsidRPr="00EC4DB5">
        <w:t xml:space="preserve"> </w:t>
      </w:r>
      <w:r w:rsidR="00502B47" w:rsidRPr="00EC4DB5">
        <w:tab/>
      </w:r>
      <w:r w:rsidR="008E6CE8" w:rsidRPr="00EC4DB5">
        <w:t>Some people who do not lodge a tax return are able to claim their franking credits separately. These amounts, estimated to be approximately $677 million, are not included in the distributional analysis presented here.</w:t>
      </w:r>
      <w:r w:rsidR="008E6CE8">
        <w:t xml:space="preserve"> </w:t>
      </w:r>
    </w:p>
  </w:footnote>
  <w:footnote w:id="17">
    <w:p w14:paraId="25D97EE4" w14:textId="3D56CD4B" w:rsidR="00C438B9" w:rsidRPr="00E0772C" w:rsidRDefault="009F5E3D" w:rsidP="00EC4DB5">
      <w:pPr>
        <w:pStyle w:val="Footnotestext"/>
      </w:pPr>
      <w:r w:rsidRPr="009F5E3D">
        <w:rPr>
          <w:rStyle w:val="FootnoteReference"/>
          <w:szCs w:val="22"/>
          <w:vertAlign w:val="baseline"/>
        </w:rPr>
        <w:footnoteRef/>
      </w:r>
      <w:r w:rsidR="00C438B9" w:rsidRPr="003E14AF">
        <w:rPr>
          <w:sz w:val="20"/>
          <w:vertAlign w:val="superscript"/>
        </w:rPr>
        <w:t xml:space="preserve"> </w:t>
      </w:r>
      <w:r w:rsidR="00C438B9" w:rsidRPr="00DE339A">
        <w:rPr>
          <w:sz w:val="20"/>
        </w:rPr>
        <w:tab/>
      </w:r>
      <w:r w:rsidR="00C438B9" w:rsidRPr="00DE339A">
        <w:rPr>
          <w:rStyle w:val="FooterChar"/>
          <w:rFonts w:ascii="Book Antiqua" w:hAnsi="Book Antiqua"/>
          <w:szCs w:val="22"/>
        </w:rPr>
        <w:t>Including owner</w:t>
      </w:r>
      <w:r w:rsidR="00C438B9" w:rsidRPr="00DE339A">
        <w:rPr>
          <w:rStyle w:val="FooterChar"/>
          <w:rFonts w:ascii="Book Antiqua" w:hAnsi="Book Antiqua"/>
          <w:szCs w:val="22"/>
        </w:rPr>
        <w:noBreakHyphen/>
        <w:t>occupied housing and long</w:t>
      </w:r>
      <w:r w:rsidR="00C438B9" w:rsidRPr="00DE339A">
        <w:rPr>
          <w:rStyle w:val="FooterChar"/>
          <w:rFonts w:ascii="Book Antiqua" w:hAnsi="Book Antiqua"/>
          <w:szCs w:val="22"/>
        </w:rPr>
        <w:noBreakHyphen/>
        <w:t>term commercial residential accommodation</w:t>
      </w:r>
      <w:r w:rsidR="00C438B9" w:rsidRPr="003E14AF">
        <w:rPr>
          <w:rStyle w:val="FooterChar"/>
          <w:sz w:val="16"/>
        </w:rPr>
        <w:t>.</w:t>
      </w:r>
    </w:p>
  </w:footnote>
  <w:footnote w:id="18">
    <w:p w14:paraId="569EA9D6" w14:textId="2B5FF844" w:rsidR="00DD67DC" w:rsidRDefault="009F5E3D" w:rsidP="00EC4DB5">
      <w:pPr>
        <w:pStyle w:val="Footnotestext"/>
      </w:pPr>
      <w:r w:rsidRPr="009F5E3D">
        <w:rPr>
          <w:rStyle w:val="FootnoteReference"/>
          <w:vertAlign w:val="baseline"/>
        </w:rPr>
        <w:footnoteRef/>
      </w:r>
      <w:r w:rsidR="00DD67DC">
        <w:t xml:space="preserve"> </w:t>
      </w:r>
      <w:r w:rsidR="00EC4DB5">
        <w:tab/>
      </w:r>
      <w:r w:rsidR="00DD67DC" w:rsidRPr="00FA413E">
        <w:t>Breakdowns by gender are based on tax data collected by the ATO. Statistics are not presented for taxpayers with indeterminate gender, to protect taxpayer confidentiality. As the ATO has collected this information at different points in time and from several sources, it is not able to appropriately distinguish between the distinct concepts of sex and gender. It is recognised that some individuals would identify differently to how they are represented in the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A4F4" w14:textId="0B4FBD9E" w:rsidR="00546AD5" w:rsidRDefault="00EF29F4">
    <w:pPr>
      <w:pStyle w:val="Header"/>
      <w:jc w:val="right"/>
    </w:pPr>
    <w:r>
      <w:fldChar w:fldCharType="begin"/>
    </w:r>
    <w:r>
      <w:instrText>STYLEREF  "Heading 1"  \* MERGEFORMAT</w:instrText>
    </w:r>
    <w:r>
      <w:fldChar w:fldCharType="separate"/>
    </w:r>
    <w:r w:rsidR="008E45AB">
      <w:rPr>
        <w:noProof/>
      </w:rPr>
      <w:t>Chapter 1: Introduction</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136D" w14:textId="37EBEF6F" w:rsidR="00FE48D1" w:rsidRPr="005B452B" w:rsidRDefault="00833D3E" w:rsidP="005B452B">
    <w:pPr>
      <w:pStyle w:val="Header"/>
    </w:pPr>
    <w:r w:rsidRPr="00D47C6E">
      <w:rPr>
        <w:noProof/>
        <w:sz w:val="32"/>
        <w:szCs w:val="32"/>
      </w:rPr>
      <mc:AlternateContent>
        <mc:Choice Requires="wps">
          <w:drawing>
            <wp:anchor distT="0" distB="0" distL="114300" distR="114300" simplePos="0" relativeHeight="251658244" behindDoc="0" locked="0" layoutInCell="1" allowOverlap="1" wp14:anchorId="5DE1496E" wp14:editId="702A20D1">
              <wp:simplePos x="0" y="0"/>
              <wp:positionH relativeFrom="column">
                <wp:posOffset>-619125</wp:posOffset>
              </wp:positionH>
              <wp:positionV relativeFrom="margin">
                <wp:align>top</wp:align>
              </wp:positionV>
              <wp:extent cx="399600" cy="4896000"/>
              <wp:effectExtent l="0" t="0" r="635" b="0"/>
              <wp:wrapNone/>
              <wp:docPr id="1182182685" name="Text Box 1182182685"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AEE2C"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58DFE31A"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1496E" id="_x0000_t202" coordsize="21600,21600" o:spt="202" path="m,l,21600r21600,l21600,xe">
              <v:stroke joinstyle="miter"/>
              <v:path gradientshapeok="t" o:connecttype="rect"/>
            </v:shapetype>
            <v:shape id="Text Box 1182182685" o:spid="_x0000_s1031" type="#_x0000_t202" alt="Landscape Odd Header" style="position:absolute;margin-left:-48.75pt;margin-top:0;width:31.45pt;height:385.5pt;z-index:251658244;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" stroked="f">
              <v:textbox style="layout-flow:vertical" inset="0,0,0,0">
                <w:txbxContent>
                  <w:p w14:paraId="5C8AEE2C"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58DFE31A"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1" behindDoc="0" locked="1" layoutInCell="1" allowOverlap="1" wp14:anchorId="7393FEFB" wp14:editId="7D938A5A">
              <wp:simplePos x="0" y="0"/>
              <wp:positionH relativeFrom="margin">
                <wp:posOffset>7560945</wp:posOffset>
              </wp:positionH>
              <wp:positionV relativeFrom="margin">
                <wp:align>top</wp:align>
              </wp:positionV>
              <wp:extent cx="399600" cy="4896000"/>
              <wp:effectExtent l="0" t="0" r="635" b="0"/>
              <wp:wrapNone/>
              <wp:docPr id="2103658127" name="Text Box 2103658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B9CC9A"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FEFB" id="Text Box 2103658127" o:spid="_x0000_s1032" type="#_x0000_t202" alt="&quot;&quot;" style="position:absolute;margin-left:595.35pt;margin-top:0;width:31.45pt;height:385.5pt;z-index:25165824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pTOKukBAADBAwAADgAAAAAAAAAAAAAAAAAuAgAAZHJzL2Uyb0RvYy54&#10;bWxQSwECLQAUAAYACAAAACEAdDQgst8AAAAKAQAADwAAAAAAAAAAAAAAAABDBAAAZHJzL2Rvd25y&#10;ZXYueG1sUEsFBgAAAAAEAAQA8wAAAE8FAAAAAA==&#10;" stroked="f">
              <v:textbox style="layout-flow:vertical" inset="0,0,0,0">
                <w:txbxContent>
                  <w:p w14:paraId="2AB9CC9A"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61E3" w14:textId="27AEC4EF" w:rsidR="00833D3E" w:rsidRDefault="00833D3E" w:rsidP="00C41363">
    <w:pPr>
      <w:pStyle w:val="Header"/>
    </w:pPr>
    <w:r>
      <w:t>2024-25 Tax Expenditures and Insights Statement</w:t>
    </w:r>
    <w:r w:rsidRPr="00D47C6E">
      <w:rPr>
        <w:noProof/>
        <w:sz w:val="32"/>
        <w:szCs w:val="32"/>
      </w:rPr>
      <mc:AlternateContent>
        <mc:Choice Requires="wps">
          <w:drawing>
            <wp:anchor distT="0" distB="0" distL="114300" distR="114300" simplePos="0" relativeHeight="251658246" behindDoc="0" locked="1" layoutInCell="1" allowOverlap="1" wp14:anchorId="072BFBEA" wp14:editId="3D6BE732">
              <wp:simplePos x="0" y="0"/>
              <wp:positionH relativeFrom="margin">
                <wp:posOffset>7560945</wp:posOffset>
              </wp:positionH>
              <wp:positionV relativeFrom="margin">
                <wp:align>top</wp:align>
              </wp:positionV>
              <wp:extent cx="399600" cy="4896000"/>
              <wp:effectExtent l="0" t="0" r="635" b="0"/>
              <wp:wrapNone/>
              <wp:docPr id="1904225081" name="Text Box 1904225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9E907C"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BFBEA" id="_x0000_t202" coordsize="21600,21600" o:spt="202" path="m,l,21600r21600,l21600,xe">
              <v:stroke joinstyle="miter"/>
              <v:path gradientshapeok="t" o:connecttype="rect"/>
            </v:shapetype>
            <v:shape id="Text Box 1904225081" o:spid="_x0000_s1033" type="#_x0000_t202" alt="&quot;&quot;" style="position:absolute;margin-left:595.35pt;margin-top:0;width:31.45pt;height:385.5pt;z-index:25165824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R/6gEAAME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" stroked="f">
              <v:textbox style="layout-flow:vertical" inset="0,0,0,0">
                <w:txbxContent>
                  <w:p w14:paraId="4D9E907C"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618E" w14:textId="3497D186" w:rsidR="00833D3E" w:rsidRDefault="00EF29F4" w:rsidP="00833D3E">
    <w:pPr>
      <w:pStyle w:val="Header"/>
      <w:jc w:val="right"/>
    </w:pPr>
    <w:r>
      <w:fldChar w:fldCharType="begin"/>
    </w:r>
    <w:r>
      <w:instrText>STYLEREF  "Heading 1"  \* MERGEFORMAT</w:instrText>
    </w:r>
    <w:r>
      <w:fldChar w:fldCharType="separate"/>
    </w:r>
    <w:r w:rsidR="00A14C4A">
      <w:rPr>
        <w:noProof/>
      </w:rPr>
      <w:t>Appendix</w:t>
    </w:r>
    <w:r>
      <w:rPr>
        <w:noProof/>
      </w:rPr>
      <w:fldChar w:fldCharType="end"/>
    </w:r>
  </w:p>
  <w:p w14:paraId="5FC40682" w14:textId="77777777" w:rsidR="00833D3E" w:rsidRDefault="00833D3E" w:rsidP="00833D3E">
    <w:pPr>
      <w:pStyle w:val="Header"/>
      <w:jc w:val="center"/>
    </w:pPr>
    <w:r w:rsidRPr="00D47C6E">
      <w:rPr>
        <w:noProof/>
        <w:sz w:val="32"/>
        <w:szCs w:val="32"/>
      </w:rPr>
      <mc:AlternateContent>
        <mc:Choice Requires="wps">
          <w:drawing>
            <wp:anchor distT="0" distB="0" distL="114300" distR="114300" simplePos="0" relativeHeight="251658247" behindDoc="0" locked="0" layoutInCell="1" allowOverlap="1" wp14:anchorId="7E3A854F" wp14:editId="261930F8">
              <wp:simplePos x="0" y="0"/>
              <wp:positionH relativeFrom="column">
                <wp:posOffset>7560945</wp:posOffset>
              </wp:positionH>
              <wp:positionV relativeFrom="margin">
                <wp:align>top</wp:align>
              </wp:positionV>
              <wp:extent cx="399600" cy="4896000"/>
              <wp:effectExtent l="0" t="0" r="635" b="0"/>
              <wp:wrapNone/>
              <wp:docPr id="1731197846" name="Text Box 173119784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E3069" w14:textId="254DB8A2" w:rsidR="00833D3E" w:rsidRPr="00137C7E" w:rsidRDefault="00EF29F4" w:rsidP="00833D3E">
                          <w:pPr>
                            <w:pStyle w:val="HeaderOdd"/>
                          </w:pPr>
                          <w:r>
                            <w:fldChar w:fldCharType="begin"/>
                          </w:r>
                          <w:r>
                            <w:instrText xml:space="preserve"> STYLEREF  "Heading 1"  \* MERGEFORMAT </w:instrText>
                          </w:r>
                          <w:r>
                            <w:fldChar w:fldCharType="separate"/>
                          </w:r>
                          <w:r w:rsidR="00A14C4A">
                            <w:rPr>
                              <w:noProof/>
                            </w:rPr>
                            <w:t>Appendix</w:t>
                          </w:r>
                          <w:r>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A854F" id="_x0000_t202" coordsize="21600,21600" o:spt="202" path="m,l,21600r21600,l21600,xe">
              <v:stroke joinstyle="miter"/>
              <v:path gradientshapeok="t" o:connecttype="rect"/>
            </v:shapetype>
            <v:shape id="Text Box 1731197846" o:spid="_x0000_s1034" type="#_x0000_t202" alt="Landscape Odd Header" style="position:absolute;left:0;text-align:left;margin-left:595.35pt;margin-top:0;width:31.45pt;height:385.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XM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lbxJEIl1jc2ReRPOvuL/gIO0SjGypyoZfu2BtBT2&#10;s2PtkgHPAZ2D+hyAUz2yNfnyHG7jbNS9J9P1jDxPx+E9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EiKFzOkBAADBAwAADgAAAAAAAAAAAAAAAAAuAgAAZHJzL2Uyb0RvYy54&#10;bWxQSwECLQAUAAYACAAAACEAdDQgst8AAAAKAQAADwAAAAAAAAAAAAAAAABDBAAAZHJzL2Rvd25y&#10;ZXYueG1sUEsFBgAAAAAEAAQA8wAAAE8FAAAAAA==&#10;" stroked="f">
              <v:textbox style="layout-flow:vertical" inset="0,0,0,0">
                <w:txbxContent>
                  <w:p w14:paraId="2FEE3069" w14:textId="254DB8A2" w:rsidR="00833D3E" w:rsidRPr="00137C7E" w:rsidRDefault="00EF29F4" w:rsidP="00833D3E">
                    <w:pPr>
                      <w:pStyle w:val="HeaderOdd"/>
                    </w:pPr>
                    <w:r>
                      <w:fldChar w:fldCharType="begin"/>
                    </w:r>
                    <w:r>
                      <w:instrText xml:space="preserve"> STYLEREF  "Heading 1"  \* MERGEFORMAT </w:instrText>
                    </w:r>
                    <w:r>
                      <w:fldChar w:fldCharType="separate"/>
                    </w:r>
                    <w:r w:rsidR="00A14C4A">
                      <w:rPr>
                        <w:noProof/>
                      </w:rPr>
                      <w:t>Appendix</w:t>
                    </w:r>
                    <w:r>
                      <w:rPr>
                        <w:noProof/>
                      </w:rPr>
                      <w:fldChar w:fldCharType="end"/>
                    </w:r>
                  </w:p>
                </w:txbxContent>
              </v:textbox>
              <w10:wrap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34F0" w14:textId="6AFBA181" w:rsidR="00833D3E" w:rsidRPr="005B452B" w:rsidRDefault="00833D3E" w:rsidP="005B452B">
    <w:pPr>
      <w:pStyle w:val="Header"/>
    </w:pPr>
    <w:r w:rsidRPr="00D47C6E">
      <w:rPr>
        <w:noProof/>
        <w:sz w:val="32"/>
        <w:szCs w:val="32"/>
      </w:rPr>
      <mc:AlternateContent>
        <mc:Choice Requires="wps">
          <w:drawing>
            <wp:anchor distT="0" distB="0" distL="114300" distR="114300" simplePos="0" relativeHeight="251658245" behindDoc="0" locked="1" layoutInCell="1" allowOverlap="1" wp14:anchorId="43B655B7" wp14:editId="526FAFBF">
              <wp:simplePos x="0" y="0"/>
              <wp:positionH relativeFrom="margin">
                <wp:posOffset>7560945</wp:posOffset>
              </wp:positionH>
              <wp:positionV relativeFrom="margin">
                <wp:align>top</wp:align>
              </wp:positionV>
              <wp:extent cx="399600" cy="4896000"/>
              <wp:effectExtent l="0" t="0" r="635" b="0"/>
              <wp:wrapNone/>
              <wp:docPr id="274018795" name="Text Box 274018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5FF47"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655B7" id="_x0000_t202" coordsize="21600,21600" o:spt="202" path="m,l,21600r21600,l21600,xe">
              <v:stroke joinstyle="miter"/>
              <v:path gradientshapeok="t" o:connecttype="rect"/>
            </v:shapetype>
            <v:shape id="Text Box 274018795" o:spid="_x0000_s1035" type="#_x0000_t202" alt="&quot;&quot;" style="position:absolute;margin-left:595.35pt;margin-top:0;width:31.45pt;height:385.5pt;z-index:251658245;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Z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lbxNEIl1jc2ReRPOvuL/gIO0SjGypyoZfu2BtBT2&#10;s2PtkgHPAZ2D+hyAUz2yNfnyHG7jbNS9J9P1jDxPx+E9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odAvmekBAADBAwAADgAAAAAAAAAAAAAAAAAuAgAAZHJzL2Uyb0RvYy54&#10;bWxQSwECLQAUAAYACAAAACEAdDQgst8AAAAKAQAADwAAAAAAAAAAAAAAAABDBAAAZHJzL2Rvd25y&#10;ZXYueG1sUEsFBgAAAAAEAAQA8wAAAE8FAAAAAA==&#10;" stroked="f">
              <v:textbox style="layout-flow:vertical" inset="0,0,0,0">
                <w:txbxContent>
                  <w:p w14:paraId="5125FF47"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7B31" w14:textId="069A4257" w:rsidR="005D5657" w:rsidRPr="005B452B" w:rsidRDefault="005D5657" w:rsidP="005B45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1D4C" w14:textId="3CC25742" w:rsidR="005D5657" w:rsidRPr="005B452B" w:rsidRDefault="005D5657" w:rsidP="005B45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C561" w14:textId="1FB6A41B" w:rsidR="005D5657" w:rsidRDefault="005D56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0AF2" w14:textId="04CEA465" w:rsidR="00517EF1" w:rsidRDefault="005B452B" w:rsidP="00517EF1">
    <w:pPr>
      <w:pStyle w:val="Header"/>
    </w:pPr>
    <w:r>
      <w:t xml:space="preserve">2024-25 </w:t>
    </w:r>
    <w:r w:rsidR="00517EF1">
      <w:t>Tax Expenditures and Insights Statement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9B1" w14:textId="08046A2A" w:rsidR="00546AD5" w:rsidRDefault="00EF29F4">
    <w:pPr>
      <w:pStyle w:val="Header"/>
      <w:jc w:val="right"/>
    </w:pPr>
    <w:r>
      <w:fldChar w:fldCharType="begin"/>
    </w:r>
    <w:r>
      <w:instrText>STYLEREF  "Heading 1"  \* MERGEFORMAT</w:instrText>
    </w:r>
    <w:r>
      <w:fldChar w:fldCharType="separate"/>
    </w:r>
    <w:r w:rsidR="00A14C4A">
      <w:rPr>
        <w:noProof/>
      </w:rPr>
      <w:t>Chapter 1: Introduction</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C6FF6" w14:textId="1454162D" w:rsidR="00546AD5" w:rsidRPr="009B55C9" w:rsidRDefault="00310AC6">
    <w:pPr>
      <w:pStyle w:val="Header"/>
    </w:pPr>
    <w:r w:rsidRPr="00D47C6E">
      <w:rPr>
        <w:noProof/>
        <w:sz w:val="32"/>
        <w:szCs w:val="32"/>
      </w:rPr>
      <mc:AlternateContent>
        <mc:Choice Requires="wps">
          <w:drawing>
            <wp:anchor distT="0" distB="0" distL="114300" distR="114300" simplePos="0" relativeHeight="251658240" behindDoc="0" locked="1" layoutInCell="1" allowOverlap="1" wp14:anchorId="4CE86938" wp14:editId="706957EB">
              <wp:simplePos x="0" y="0"/>
              <wp:positionH relativeFrom="margin">
                <wp:posOffset>7560945</wp:posOffset>
              </wp:positionH>
              <wp:positionV relativeFrom="margin">
                <wp:align>top</wp:align>
              </wp:positionV>
              <wp:extent cx="399600" cy="4896000"/>
              <wp:effectExtent l="0" t="0" r="635"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FB5A3" w14:textId="77777777" w:rsidR="00310AC6" w:rsidRPr="00137C7E" w:rsidRDefault="00310AC6" w:rsidP="00310AC6">
                          <w:pPr>
                            <w:pStyle w:val="HeaderEven"/>
                          </w:pPr>
                          <w:r>
                            <w:t>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E86938" id="_x0000_t202" coordsize="21600,21600" o:spt="202" path="m,l,21600r21600,l21600,xe">
              <v:stroke joinstyle="miter"/>
              <v:path gradientshapeok="t" o:connecttype="rect"/>
            </v:shapetype>
            <v:shape id="Text Box 12" o:spid="_x0000_s1026" type="#_x0000_t202" alt="&quot;&quot;" style="position:absolute;margin-left:595.35pt;margin-top:0;width:31.45pt;height:385.5pt;z-index:251658240;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0C2FB5A3" w14:textId="77777777" w:rsidR="00310AC6" w:rsidRPr="00137C7E" w:rsidRDefault="00310AC6" w:rsidP="00310AC6">
                    <w:pPr>
                      <w:pStyle w:val="HeaderEven"/>
                    </w:pPr>
                    <w:r>
                      <w:t>Tax Expenditures and Insights Statement</w:t>
                    </w:r>
                  </w:p>
                </w:txbxContent>
              </v:textbox>
              <w10:wrap anchorx="margin" anchory="margin"/>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BBA5" w14:textId="7BA983B5" w:rsidR="00C41363" w:rsidRDefault="00833D3E" w:rsidP="00C41363">
    <w:pPr>
      <w:pStyle w:val="Header"/>
    </w:pPr>
    <w:r w:rsidRPr="00D47C6E">
      <w:rPr>
        <w:noProof/>
        <w:sz w:val="32"/>
        <w:szCs w:val="32"/>
      </w:rPr>
      <mc:AlternateContent>
        <mc:Choice Requires="wps">
          <w:drawing>
            <wp:anchor distT="0" distB="0" distL="114300" distR="114300" simplePos="0" relativeHeight="251658249" behindDoc="0" locked="0" layoutInCell="1" allowOverlap="1" wp14:anchorId="14B0BE7E" wp14:editId="7081BB00">
              <wp:simplePos x="0" y="0"/>
              <wp:positionH relativeFrom="column">
                <wp:posOffset>-619125</wp:posOffset>
              </wp:positionH>
              <wp:positionV relativeFrom="margin">
                <wp:align>top</wp:align>
              </wp:positionV>
              <wp:extent cx="399600" cy="4896000"/>
              <wp:effectExtent l="0" t="0" r="635" b="0"/>
              <wp:wrapNone/>
              <wp:docPr id="437336516" name="Text Box 43733651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7BC207"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BCF54EB"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0BE7E" id="_x0000_t202" coordsize="21600,21600" o:spt="202" path="m,l,21600r21600,l21600,xe">
              <v:stroke joinstyle="miter"/>
              <v:path gradientshapeok="t" o:connecttype="rect"/>
            </v:shapetype>
            <v:shape id="Text Box 437336516" o:spid="_x0000_s1027" type="#_x0000_t202" alt="Landscape Odd Header" style="position:absolute;margin-left:-48.7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Z5w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" stroked="f">
              <v:textbox style="layout-flow:vertical" inset="0,0,0,0">
                <w:txbxContent>
                  <w:p w14:paraId="197BC207"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BCF54EB"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3" behindDoc="0" locked="1" layoutInCell="1" allowOverlap="1" wp14:anchorId="35BC032B" wp14:editId="6365B85D">
              <wp:simplePos x="0" y="0"/>
              <wp:positionH relativeFrom="margin">
                <wp:posOffset>7560945</wp:posOffset>
              </wp:positionH>
              <wp:positionV relativeFrom="margin">
                <wp:align>top</wp:align>
              </wp:positionV>
              <wp:extent cx="399600" cy="4896000"/>
              <wp:effectExtent l="0" t="0" r="635" b="0"/>
              <wp:wrapNone/>
              <wp:docPr id="674741665" name="Text Box 674741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16F14" w14:textId="77777777" w:rsidR="00833D3E" w:rsidRDefault="00833D3E" w:rsidP="00833D3E">
                          <w:pPr>
                            <w:pStyle w:val="Header"/>
                          </w:pPr>
                          <w:r>
                            <w:t>2024-25 Tax Expenditures and Insights Statement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C032B" id="Text Box 674741665" o:spid="_x0000_s1028" type="#_x0000_t202" alt="&quot;&quot;" style="position:absolute;margin-left:595.35pt;margin-top:0;width:31.45pt;height:385.5pt;z-index:25165824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L1gUp+kBAADBAwAADgAAAAAAAAAAAAAAAAAuAgAAZHJzL2Uyb0RvYy54&#10;bWxQSwECLQAUAAYACAAAACEAdDQgst8AAAAKAQAADwAAAAAAAAAAAAAAAABDBAAAZHJzL2Rvd25y&#10;ZXYueG1sUEsFBgAAAAAEAAQA8wAAAE8FAAAAAA==&#10;" stroked="f">
              <v:textbox style="layout-flow:vertical" inset="0,0,0,0">
                <w:txbxContent>
                  <w:p w14:paraId="7A216F14" w14:textId="77777777" w:rsidR="00833D3E" w:rsidRDefault="00833D3E" w:rsidP="00833D3E">
                    <w:pPr>
                      <w:pStyle w:val="Header"/>
                    </w:pPr>
                    <w:r>
                      <w:t>2024-25 Tax Expenditures and Insights Statement</w:t>
                    </w:r>
                  </w:p>
                </w:txbxContent>
              </v:textbox>
              <w10:wrap anchorx="margin" anchory="margin"/>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E294" w14:textId="32990980" w:rsidR="00205D5F" w:rsidRDefault="00833D3E">
    <w:pPr>
      <w:pStyle w:val="Header"/>
      <w:jc w:val="right"/>
    </w:pPr>
    <w:r w:rsidRPr="00D47C6E">
      <w:rPr>
        <w:noProof/>
        <w:sz w:val="32"/>
        <w:szCs w:val="32"/>
      </w:rPr>
      <mc:AlternateContent>
        <mc:Choice Requires="wps">
          <w:drawing>
            <wp:anchor distT="0" distB="0" distL="114300" distR="114300" simplePos="0" relativeHeight="251658248" behindDoc="0" locked="0" layoutInCell="1" allowOverlap="1" wp14:anchorId="420459BC" wp14:editId="0268822D">
              <wp:simplePos x="0" y="0"/>
              <wp:positionH relativeFrom="column">
                <wp:posOffset>-619125</wp:posOffset>
              </wp:positionH>
              <wp:positionV relativeFrom="margin">
                <wp:align>top</wp:align>
              </wp:positionV>
              <wp:extent cx="399600" cy="4896000"/>
              <wp:effectExtent l="0" t="0" r="635" b="0"/>
              <wp:wrapNone/>
              <wp:docPr id="760190270" name="Text Box 760190270"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9164F"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C49B668" w14:textId="77777777" w:rsidR="00833D3E" w:rsidRPr="00137C7E" w:rsidRDefault="00833D3E" w:rsidP="00833D3E">
                          <w:pPr>
                            <w:pStyle w:val="HeaderEven"/>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459BC" id="_x0000_t202" coordsize="21600,21600" o:spt="202" path="m,l,21600r21600,l21600,xe">
              <v:stroke joinstyle="miter"/>
              <v:path gradientshapeok="t" o:connecttype="rect"/>
            </v:shapetype>
            <v:shape id="Text Box 760190270" o:spid="_x0000_s1029" type="#_x0000_t202" alt="Landscape Odd Header" style="position:absolute;left:0;text-align:left;margin-left:-48.75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7y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" stroked="f">
              <v:textbox style="layout-flow:vertical" inset="0,0,0,0">
                <w:txbxContent>
                  <w:p w14:paraId="4D29164F" w14:textId="77777777" w:rsidR="00833D3E" w:rsidRDefault="00833D3E" w:rsidP="00833D3E">
                    <w:pPr>
                      <w:pStyle w:val="Footer"/>
                    </w:pPr>
                    <w:r w:rsidRPr="00237D4D">
                      <w:rPr>
                        <w:rStyle w:val="PageNumber"/>
                      </w:rPr>
                      <w:fldChar w:fldCharType="begin"/>
                    </w:r>
                    <w:r w:rsidRPr="00237D4D">
                      <w:rPr>
                        <w:rStyle w:val="PageNumber"/>
                      </w:rPr>
                      <w:instrText xml:space="preserve"> PAGE </w:instrText>
                    </w:r>
                    <w:r w:rsidRPr="00237D4D">
                      <w:rPr>
                        <w:rStyle w:val="PageNumber"/>
                      </w:rPr>
                      <w:fldChar w:fldCharType="separate"/>
                    </w:r>
                    <w:r>
                      <w:rPr>
                        <w:rStyle w:val="PageNumber"/>
                      </w:rPr>
                      <w:t>5</w:t>
                    </w:r>
                    <w:r w:rsidRPr="00237D4D">
                      <w:rPr>
                        <w:rStyle w:val="PageNumber"/>
                      </w:rPr>
                      <w:fldChar w:fldCharType="end"/>
                    </w:r>
                  </w:p>
                  <w:p w14:paraId="3C49B668" w14:textId="77777777" w:rsidR="00833D3E" w:rsidRPr="00137C7E" w:rsidRDefault="00833D3E" w:rsidP="00833D3E">
                    <w:pPr>
                      <w:pStyle w:val="HeaderEven"/>
                    </w:pPr>
                  </w:p>
                </w:txbxContent>
              </v:textbox>
              <w10:wrap anchory="margin"/>
            </v:shape>
          </w:pict>
        </mc:Fallback>
      </mc:AlternateContent>
    </w:r>
    <w:r w:rsidRPr="00D47C6E">
      <w:rPr>
        <w:noProof/>
        <w:sz w:val="32"/>
        <w:szCs w:val="32"/>
      </w:rPr>
      <mc:AlternateContent>
        <mc:Choice Requires="wps">
          <w:drawing>
            <wp:anchor distT="0" distB="0" distL="114300" distR="114300" simplePos="0" relativeHeight="251658242" behindDoc="0" locked="0" layoutInCell="1" allowOverlap="1" wp14:anchorId="46B3651B" wp14:editId="01267D3A">
              <wp:simplePos x="0" y="0"/>
              <wp:positionH relativeFrom="column">
                <wp:posOffset>7560945</wp:posOffset>
              </wp:positionH>
              <wp:positionV relativeFrom="margin">
                <wp:align>top</wp:align>
              </wp:positionV>
              <wp:extent cx="399600" cy="4896000"/>
              <wp:effectExtent l="0" t="0" r="635" b="0"/>
              <wp:wrapNone/>
              <wp:docPr id="1" name="Text Box 1"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4C5FF" w14:textId="677F3254" w:rsidR="00833D3E" w:rsidRPr="00137C7E" w:rsidRDefault="00EF29F4" w:rsidP="00833D3E">
                          <w:pPr>
                            <w:pStyle w:val="HeaderOdd"/>
                          </w:pPr>
                          <w:r>
                            <w:fldChar w:fldCharType="begin"/>
                          </w:r>
                          <w:r>
                            <w:instrText xml:space="preserve"> STYLEREF  "Heading 1"  \* MERGEFORMAT </w:instrText>
                          </w:r>
                          <w:r>
                            <w:fldChar w:fldCharType="separate"/>
                          </w:r>
                          <w:r w:rsidR="00A14C4A">
                            <w:rPr>
                              <w:noProof/>
                            </w:rPr>
                            <w:t>Chapter 1: Introduction</w:t>
                          </w:r>
                          <w:r>
                            <w:rPr>
                              <w:noProof/>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651B" id="Text Box 1" o:spid="_x0000_s1030" type="#_x0000_t202" alt="Landscape Odd Header" style="position:absolute;left:0;text-align:left;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" stroked="f">
              <v:textbox style="layout-flow:vertical" inset="0,0,0,0">
                <w:txbxContent>
                  <w:p w14:paraId="1644C5FF" w14:textId="677F3254" w:rsidR="00833D3E" w:rsidRPr="00137C7E" w:rsidRDefault="00EF29F4" w:rsidP="00833D3E">
                    <w:pPr>
                      <w:pStyle w:val="HeaderOdd"/>
                    </w:pPr>
                    <w:r>
                      <w:fldChar w:fldCharType="begin"/>
                    </w:r>
                    <w:r>
                      <w:instrText xml:space="preserve"> STYLEREF  "Heading 1"  \* MERGEFORMAT </w:instrText>
                    </w:r>
                    <w:r>
                      <w:fldChar w:fldCharType="separate"/>
                    </w:r>
                    <w:r w:rsidR="00A14C4A">
                      <w:rPr>
                        <w:noProof/>
                      </w:rPr>
                      <w:t>Chapter 1: Introduction</w:t>
                    </w:r>
                    <w:r>
                      <w:rPr>
                        <w:noProof/>
                      </w:rPr>
                      <w:fldChar w:fldCharType="end"/>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01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529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46A1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48DA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B8BADE"/>
    <w:lvl w:ilvl="0">
      <w:start w:val="1"/>
      <w:numFmt w:val="bullet"/>
      <w:lvlText w:val=""/>
      <w:lvlJc w:val="left"/>
      <w:pPr>
        <w:tabs>
          <w:tab w:val="num" w:pos="1492"/>
        </w:tabs>
        <w:ind w:left="1492" w:hanging="360"/>
      </w:pPr>
      <w:rPr>
        <w:rFonts w:ascii="Book Antiqua" w:hAnsi="Book Antiqua" w:hint="default"/>
      </w:rPr>
    </w:lvl>
  </w:abstractNum>
  <w:abstractNum w:abstractNumId="5" w15:restartNumberingAfterBreak="0">
    <w:nsid w:val="FFFFFF81"/>
    <w:multiLevelType w:val="singleLevel"/>
    <w:tmpl w:val="78FCDBE4"/>
    <w:lvl w:ilvl="0">
      <w:start w:val="1"/>
      <w:numFmt w:val="bullet"/>
      <w:lvlText w:val=""/>
      <w:lvlJc w:val="left"/>
      <w:pPr>
        <w:tabs>
          <w:tab w:val="num" w:pos="1209"/>
        </w:tabs>
        <w:ind w:left="1209" w:hanging="360"/>
      </w:pPr>
      <w:rPr>
        <w:rFonts w:ascii="Book Antiqua" w:hAnsi="Book Antiqua" w:hint="default"/>
      </w:rPr>
    </w:lvl>
  </w:abstractNum>
  <w:abstractNum w:abstractNumId="6" w15:restartNumberingAfterBreak="0">
    <w:nsid w:val="FFFFFF82"/>
    <w:multiLevelType w:val="singleLevel"/>
    <w:tmpl w:val="DC6E0BFA"/>
    <w:lvl w:ilvl="0">
      <w:start w:val="1"/>
      <w:numFmt w:val="bullet"/>
      <w:lvlText w:val=""/>
      <w:lvlJc w:val="left"/>
      <w:pPr>
        <w:tabs>
          <w:tab w:val="num" w:pos="926"/>
        </w:tabs>
        <w:ind w:left="926" w:hanging="360"/>
      </w:pPr>
      <w:rPr>
        <w:rFonts w:ascii="Book Antiqua" w:hAnsi="Book Antiqua" w:hint="default"/>
      </w:rPr>
    </w:lvl>
  </w:abstractNum>
  <w:abstractNum w:abstractNumId="7" w15:restartNumberingAfterBreak="0">
    <w:nsid w:val="FFFFFF83"/>
    <w:multiLevelType w:val="singleLevel"/>
    <w:tmpl w:val="414C5396"/>
    <w:lvl w:ilvl="0">
      <w:start w:val="1"/>
      <w:numFmt w:val="bullet"/>
      <w:lvlText w:val=""/>
      <w:lvlJc w:val="left"/>
      <w:pPr>
        <w:tabs>
          <w:tab w:val="num" w:pos="643"/>
        </w:tabs>
        <w:ind w:left="643" w:hanging="360"/>
      </w:pPr>
      <w:rPr>
        <w:rFonts w:ascii="Book Antiqua" w:hAnsi="Book Antiqua" w:hint="default"/>
      </w:rPr>
    </w:lvl>
  </w:abstractNum>
  <w:abstractNum w:abstractNumId="8" w15:restartNumberingAfterBreak="0">
    <w:nsid w:val="FFFFFF88"/>
    <w:multiLevelType w:val="singleLevel"/>
    <w:tmpl w:val="6E121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7C8ED2"/>
    <w:lvl w:ilvl="0">
      <w:start w:val="1"/>
      <w:numFmt w:val="bullet"/>
      <w:lvlText w:val=""/>
      <w:lvlJc w:val="left"/>
      <w:pPr>
        <w:tabs>
          <w:tab w:val="num" w:pos="360"/>
        </w:tabs>
        <w:ind w:left="360" w:hanging="360"/>
      </w:pPr>
      <w:rPr>
        <w:rFonts w:ascii="Book Antiqua" w:hAnsi="Book Antiqua" w:hint="default"/>
      </w:rPr>
    </w:lvl>
  </w:abstractNum>
  <w:abstractNum w:abstractNumId="10" w15:restartNumberingAfterBreak="0">
    <w:nsid w:val="01775260"/>
    <w:multiLevelType w:val="multilevel"/>
    <w:tmpl w:val="26A27A84"/>
    <w:lvl w:ilvl="0">
      <w:start w:val="1"/>
      <w:numFmt w:val="bullet"/>
      <w:lvlRestart w:val="0"/>
      <w:lvlText w:val=""/>
      <w:lvlJc w:val="left"/>
      <w:pPr>
        <w:tabs>
          <w:tab w:val="num" w:pos="283"/>
        </w:tabs>
        <w:ind w:left="283" w:hanging="283"/>
      </w:pPr>
      <w:rPr>
        <w:rFonts w:ascii="Book Antiqua" w:hAnsi="Book Antiqua" w:hint="default"/>
        <w:sz w:val="16"/>
      </w:rPr>
    </w:lvl>
    <w:lvl w:ilvl="1">
      <w:start w:val="1"/>
      <w:numFmt w:val="bullet"/>
      <w:lvlText w:val="–"/>
      <w:lvlJc w:val="left"/>
      <w:pPr>
        <w:tabs>
          <w:tab w:val="num" w:pos="567"/>
        </w:tabs>
        <w:ind w:left="567" w:hanging="284"/>
      </w:pPr>
      <w:rPr>
        <w:rFonts w:ascii="Book Antiqua" w:hAnsi="Book Antiqua" w:cs="Arial"/>
      </w:rPr>
    </w:lvl>
    <w:lvl w:ilvl="2">
      <w:start w:val="1"/>
      <w:numFmt w:val="bullet"/>
      <w:lvlText w:val=":"/>
      <w:lvlJc w:val="left"/>
      <w:pPr>
        <w:tabs>
          <w:tab w:val="num" w:pos="850"/>
        </w:tabs>
        <w:ind w:left="850" w:hanging="283"/>
      </w:pPr>
      <w:rPr>
        <w:rFonts w:ascii="Book Antiqua" w:hAnsi="Book Antiqua"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C404AF"/>
    <w:multiLevelType w:val="multilevel"/>
    <w:tmpl w:val="99F62072"/>
    <w:lvl w:ilvl="0">
      <w:start w:val="1"/>
      <w:numFmt w:val="upperLetter"/>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F317B3E"/>
    <w:multiLevelType w:val="multilevel"/>
    <w:tmpl w:val="A05C6B2C"/>
    <w:lvl w:ilvl="0">
      <w:start w:val="3"/>
      <w:numFmt w:val="decimal"/>
      <w:lvlText w:val="%1"/>
      <w:lvlJc w:val="left"/>
      <w:pPr>
        <w:ind w:left="420" w:hanging="42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14F3579"/>
    <w:multiLevelType w:val="multilevel"/>
    <w:tmpl w:val="468844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4900F4D"/>
    <w:multiLevelType w:val="multilevel"/>
    <w:tmpl w:val="4B1E3B94"/>
    <w:lvl w:ilvl="0">
      <w:start w:val="1"/>
      <w:numFmt w:val="bullet"/>
      <w:lvlRestart w:val="0"/>
      <w:pStyle w:val="BoxTextBullet"/>
      <w:lvlText w:val=""/>
      <w:lvlJc w:val="left"/>
      <w:pPr>
        <w:tabs>
          <w:tab w:val="num" w:pos="283"/>
        </w:tabs>
        <w:ind w:left="284" w:hanging="284"/>
      </w:pPr>
      <w:rPr>
        <w:rFonts w:ascii="Symbol" w:hAnsi="Symbol" w:hint="default"/>
        <w:sz w:val="16"/>
      </w:rPr>
    </w:lvl>
    <w:lvl w:ilvl="1">
      <w:start w:val="1"/>
      <w:numFmt w:val="bullet"/>
      <w:pStyle w:val="Dash"/>
      <w:lvlText w:val="–"/>
      <w:lvlJc w:val="left"/>
      <w:pPr>
        <w:tabs>
          <w:tab w:val="num" w:pos="567"/>
        </w:tabs>
        <w:ind w:left="567" w:hanging="284"/>
      </w:pPr>
      <w:rPr>
        <w:rFonts w:ascii="Arial" w:hAnsi="Arial" w:hint="default"/>
      </w:rPr>
    </w:lvl>
    <w:lvl w:ilvl="2">
      <w:start w:val="1"/>
      <w:numFmt w:val="bullet"/>
      <w:pStyle w:val="DoubleDo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5FF79E4"/>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171F44F2"/>
    <w:multiLevelType w:val="singleLevel"/>
    <w:tmpl w:val="4AA4D0FC"/>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7" w15:restartNumberingAfterBreak="0">
    <w:nsid w:val="196A2D33"/>
    <w:multiLevelType w:val="multilevel"/>
    <w:tmpl w:val="473E9A3A"/>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8" w15:restartNumberingAfterBreak="0">
    <w:nsid w:val="1E6360D5"/>
    <w:multiLevelType w:val="hybridMultilevel"/>
    <w:tmpl w:val="CCD230BE"/>
    <w:lvl w:ilvl="0" w:tplc="8EC6EF24">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B70F22"/>
    <w:multiLevelType w:val="multilevel"/>
    <w:tmpl w:val="BA06FC08"/>
    <w:lvl w:ilvl="0">
      <w:start w:val="1"/>
      <w:numFmt w:val="upperLetter"/>
      <w:lvlRestart w:val="0"/>
      <w:suff w:val="nothing"/>
      <w:lvlText w:val=""/>
      <w:lvlJc w:val="left"/>
      <w:pPr>
        <w:ind w:left="0" w:firstLine="0"/>
      </w:pPr>
      <w:rPr>
        <w:b w:val="0"/>
        <w:i w:val="0"/>
        <w:color w:val="000000"/>
      </w:rPr>
    </w:lvl>
    <w:lvl w:ilvl="1">
      <w:start w:val="1"/>
      <w:numFmt w:val="decimal"/>
      <w:lvlText w:val="%1%2"/>
      <w:lvlJc w:val="left"/>
      <w:pPr>
        <w:tabs>
          <w:tab w:val="num" w:pos="567"/>
        </w:tabs>
        <w:ind w:left="567" w:hanging="567"/>
      </w:pPr>
      <w:rPr>
        <w:rFonts w:ascii="Arial" w:hAnsi="Arial" w:cs="Arial"/>
        <w:b/>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248004D9"/>
    <w:multiLevelType w:val="multilevel"/>
    <w:tmpl w:val="C86C842E"/>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25D91EB9"/>
    <w:multiLevelType w:val="multilevel"/>
    <w:tmpl w:val="7C147FA8"/>
    <w:lvl w:ilvl="0">
      <w:start w:val="1"/>
      <w:numFmt w:val="decimal"/>
      <w:lvlRestart w:val="0"/>
      <w:pStyle w:val="Heading1"/>
      <w:suff w:val="nothing"/>
      <w:lvlText w:val=""/>
      <w:lvlJc w:val="left"/>
      <w:pPr>
        <w:ind w:left="0" w:firstLine="0"/>
      </w:pPr>
      <w:rPr>
        <w:b w:val="0"/>
        <w:i w:val="0"/>
        <w:color w:val="000000"/>
      </w:rPr>
    </w:lvl>
    <w:lvl w:ilvl="1">
      <w:start w:val="1"/>
      <w:numFmt w:val="decimal"/>
      <w:pStyle w:val="Heading2"/>
      <w:lvlText w:val="%1.%2"/>
      <w:lvlJc w:val="left"/>
      <w:pPr>
        <w:tabs>
          <w:tab w:val="num" w:pos="850"/>
        </w:tabs>
        <w:ind w:left="850" w:hanging="850"/>
      </w:pPr>
      <w:rPr>
        <w:rFonts w:ascii="Arial" w:hAnsi="Arial" w:cs="Arial"/>
        <w:b/>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2E2B6B04"/>
    <w:multiLevelType w:val="multilevel"/>
    <w:tmpl w:val="02DADD2A"/>
    <w:name w:val="AppendixNumberList"/>
    <w:lvl w:ilvl="0">
      <w:start w:val="1"/>
      <w:numFmt w:val="upperLetter"/>
      <w:lvlRestart w:val="0"/>
      <w:pStyle w:val="Appendix1"/>
      <w:suff w:val="nothing"/>
      <w:lvlText w:val=""/>
      <w:lvlJc w:val="left"/>
      <w:pPr>
        <w:ind w:left="0" w:firstLine="0"/>
      </w:pPr>
      <w:rPr>
        <w:b w:val="0"/>
        <w:i w:val="0"/>
        <w:color w:val="000000"/>
      </w:rPr>
    </w:lvl>
    <w:lvl w:ilvl="1">
      <w:start w:val="1"/>
      <w:numFmt w:val="decimal"/>
      <w:pStyle w:val="Appendix2"/>
      <w:lvlText w:val="%1.%2"/>
      <w:lvlJc w:val="left"/>
      <w:pPr>
        <w:tabs>
          <w:tab w:val="num" w:pos="850"/>
        </w:tabs>
        <w:ind w:left="850" w:hanging="850"/>
      </w:pPr>
      <w:rPr>
        <w:rFonts w:ascii="Arial" w:hAnsi="Arial" w:cs="Arial"/>
        <w:b/>
        <w:i w:val="0"/>
        <w:color w:val="000000"/>
      </w:rPr>
    </w:lvl>
    <w:lvl w:ilvl="2">
      <w:start w:val="1"/>
      <w:numFmt w:val="decimal"/>
      <w:pStyle w:val="Appendix3"/>
      <w:lvlText w:val="%3"/>
      <w:lvlJc w:val="left"/>
      <w:pPr>
        <w:tabs>
          <w:tab w:val="num" w:pos="850"/>
        </w:tabs>
        <w:ind w:left="850" w:hanging="850"/>
      </w:pPr>
      <w:rPr>
        <w:rFonts w:ascii="Arial" w:hAnsi="Arial" w:cs="Arial"/>
        <w:b/>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38BC38F8"/>
    <w:multiLevelType w:val="multilevel"/>
    <w:tmpl w:val="35BAA46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A5F1653"/>
    <w:multiLevelType w:val="multilevel"/>
    <w:tmpl w:val="00E81E04"/>
    <w:lvl w:ilvl="0">
      <w:start w:val="1"/>
      <w:numFmt w:val="bullet"/>
      <w:lvlRestart w:val="0"/>
      <w:pStyle w:val="Bullet"/>
      <w:lvlText w:val=""/>
      <w:lvlJc w:val="left"/>
      <w:pPr>
        <w:tabs>
          <w:tab w:val="num" w:pos="283"/>
        </w:tabs>
        <w:ind w:left="284" w:hanging="284"/>
      </w:pPr>
      <w:rPr>
        <w:rFonts w:ascii="Symbol" w:hAnsi="Symbol" w:hint="default"/>
        <w:sz w:val="16"/>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96E3E70"/>
    <w:multiLevelType w:val="multilevel"/>
    <w:tmpl w:val="FB3E04B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654E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B94"/>
    <w:multiLevelType w:val="multilevel"/>
    <w:tmpl w:val="A15A83B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DA57AE0"/>
    <w:multiLevelType w:val="multilevel"/>
    <w:tmpl w:val="76CC0DC4"/>
    <w:lvl w:ilvl="0">
      <w:start w:val="1"/>
      <w:numFmt w:val="decimal"/>
      <w:lvlText w:val="Chapter %1"/>
      <w:lvlJc w:val="left"/>
      <w:pPr>
        <w:tabs>
          <w:tab w:val="num" w:pos="1800"/>
        </w:tabs>
        <w:ind w:left="0" w:firstLine="0"/>
      </w:pPr>
    </w:lvl>
    <w:lvl w:ilvl="1">
      <w:start w:val="1"/>
      <w:numFmt w:val="decimal"/>
      <w:lvlText w:val="%1.%2"/>
      <w:lvlJc w:val="left"/>
      <w:pPr>
        <w:tabs>
          <w:tab w:val="num" w:pos="720"/>
        </w:tabs>
        <w:ind w:left="0" w:firstLine="0"/>
      </w:pPr>
      <w:rPr>
        <w:rFonts w:ascii="Arial" w:hAnsi="Arial" w:hint="default"/>
        <w:sz w:val="3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5252C94"/>
    <w:multiLevelType w:val="multilevel"/>
    <w:tmpl w:val="FBDCCDFA"/>
    <w:lvl w:ilvl="0">
      <w:start w:val="1"/>
      <w:numFmt w:val="decimal"/>
      <w:suff w:val="space"/>
      <w:lvlText w:val="Chapter %1:"/>
      <w:lvlJc w:val="left"/>
      <w:pPr>
        <w:ind w:left="1077" w:firstLine="57"/>
      </w:pPr>
      <w:rPr>
        <w:rFonts w:hint="default"/>
        <w:caps/>
      </w:rPr>
    </w:lvl>
    <w:lvl w:ilvl="1">
      <w:start w:val="1"/>
      <w:numFmt w:val="decimal"/>
      <w:lvlText w:val="%1.%2."/>
      <w:lvlJc w:val="left"/>
      <w:pPr>
        <w:tabs>
          <w:tab w:val="num" w:pos="1020"/>
        </w:tabs>
        <w:ind w:left="1020"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463CDB"/>
    <w:multiLevelType w:val="singleLevel"/>
    <w:tmpl w:val="3EE6707C"/>
    <w:name w:val="AlphaChartTableFootnoteList"/>
    <w:lvl w:ilvl="0">
      <w:start w:val="1"/>
      <w:numFmt w:val="lowerLetter"/>
      <w:lvlRestart w:val="0"/>
      <w:pStyle w:val="ChartandTableFootnoteAlpha"/>
      <w:lvlText w:val="(%1)"/>
      <w:lvlJc w:val="left"/>
      <w:pPr>
        <w:tabs>
          <w:tab w:val="num" w:pos="283"/>
        </w:tabs>
        <w:ind w:left="283" w:hanging="283"/>
      </w:pPr>
      <w:rPr>
        <w:rFonts w:ascii="Arial" w:hAnsi="Arial"/>
      </w:rPr>
    </w:lvl>
  </w:abstractNum>
  <w:abstractNum w:abstractNumId="31" w15:restartNumberingAfterBreak="0">
    <w:nsid w:val="5D2E6963"/>
    <w:multiLevelType w:val="multilevel"/>
    <w:tmpl w:val="4C060C7E"/>
    <w:lvl w:ilvl="0">
      <w:start w:val="1"/>
      <w:numFmt w:val="decimal"/>
      <w:lvlText w:val="%1."/>
      <w:lvlJc w:val="left"/>
      <w:pPr>
        <w:tabs>
          <w:tab w:val="num" w:pos="520"/>
        </w:tabs>
        <w:ind w:left="520" w:hanging="520"/>
      </w:pPr>
      <w:rPr>
        <w:rFonts w:hint="default"/>
      </w:rPr>
    </w:lvl>
    <w:lvl w:ilvl="1">
      <w:start w:val="1"/>
      <w:numFmt w:val="decimal"/>
      <w:lvlText w:val="%1.%2."/>
      <w:lvlJc w:val="left"/>
      <w:pPr>
        <w:tabs>
          <w:tab w:val="num" w:pos="1040"/>
        </w:tabs>
        <w:ind w:left="1040" w:hanging="520"/>
      </w:pPr>
      <w:rPr>
        <w:rFonts w:hint="default"/>
      </w:rPr>
    </w:lvl>
    <w:lvl w:ilvl="2">
      <w:start w:val="1"/>
      <w:numFmt w:val="decimal"/>
      <w:lvlText w:val="%1.%2.%3."/>
      <w:lvlJc w:val="left"/>
      <w:pPr>
        <w:tabs>
          <w:tab w:val="num" w:pos="1560"/>
        </w:tabs>
        <w:ind w:left="1560" w:hanging="5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780ABD"/>
    <w:multiLevelType w:val="hybridMultilevel"/>
    <w:tmpl w:val="4A644E0E"/>
    <w:lvl w:ilvl="0" w:tplc="DD4ADBBC">
      <w:start w:val="1"/>
      <w:numFmt w:val="decimal"/>
      <w:pStyle w:val="Heading4-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417AB2"/>
    <w:multiLevelType w:val="multilevel"/>
    <w:tmpl w:val="A416773E"/>
    <w:lvl w:ilvl="0">
      <w:start w:val="1"/>
      <w:numFmt w:val="upperLetter"/>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56057E5"/>
    <w:multiLevelType w:val="multilevel"/>
    <w:tmpl w:val="1B34FE84"/>
    <w:lvl w:ilvl="0">
      <w:start w:val="1"/>
      <w:numFmt w:val="upperLetter"/>
      <w:pStyle w:val="Heading1-Appendix"/>
      <w:suff w:val="space"/>
      <w:lvlText w:val="Appendix %1:"/>
      <w:lvlJc w:val="left"/>
      <w:pPr>
        <w:ind w:left="0" w:firstLine="0"/>
      </w:pPr>
      <w:rPr>
        <w:rFonts w:ascii="Arial Bold" w:hAnsi="Arial Bold" w:hint="default"/>
        <w:b/>
        <w:i w:val="0"/>
        <w:caps/>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022277"/>
    <w:multiLevelType w:val="singleLevel"/>
    <w:tmpl w:val="C4B0088C"/>
    <w:lvl w:ilvl="0">
      <w:start w:val="1"/>
      <w:numFmt w:val="lowerLetter"/>
      <w:lvlRestart w:val="0"/>
      <w:lvlText w:val="(%1)"/>
      <w:lvlJc w:val="left"/>
      <w:pPr>
        <w:tabs>
          <w:tab w:val="num" w:pos="283"/>
        </w:tabs>
        <w:ind w:left="283" w:hanging="283"/>
      </w:pPr>
      <w:rPr>
        <w:rFonts w:ascii="Book Antiqua" w:hAnsi="Book Antiqua"/>
      </w:rPr>
    </w:lvl>
  </w:abstractNum>
  <w:abstractNum w:abstractNumId="36" w15:restartNumberingAfterBreak="0">
    <w:nsid w:val="67D5160E"/>
    <w:multiLevelType w:val="multilevel"/>
    <w:tmpl w:val="457C1AC0"/>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7" w15:restartNumberingAfterBreak="0">
    <w:nsid w:val="6BE57932"/>
    <w:multiLevelType w:val="multilevel"/>
    <w:tmpl w:val="B9963726"/>
    <w:lvl w:ilvl="0">
      <w:start w:val="2"/>
      <w:numFmt w:val="decimal"/>
      <w:lvlText w:val="%1.X"/>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6FD20A93"/>
    <w:multiLevelType w:val="singleLevel"/>
    <w:tmpl w:val="FAA67B6C"/>
    <w:lvl w:ilvl="0">
      <w:start w:val="1"/>
      <w:numFmt w:val="lowerLetter"/>
      <w:lvlRestart w:val="0"/>
      <w:lvlText w:val="(%1)"/>
      <w:lvlJc w:val="left"/>
      <w:pPr>
        <w:tabs>
          <w:tab w:val="num" w:pos="283"/>
        </w:tabs>
        <w:ind w:left="283" w:hanging="283"/>
      </w:pPr>
      <w:rPr>
        <w:rFonts w:ascii="Book Antiqua" w:hAnsi="Book Antiqua"/>
        <w:sz w:val="15"/>
      </w:rPr>
    </w:lvl>
  </w:abstractNum>
  <w:abstractNum w:abstractNumId="39" w15:restartNumberingAfterBreak="0">
    <w:nsid w:val="72945F08"/>
    <w:multiLevelType w:val="multilevel"/>
    <w:tmpl w:val="EC6EED50"/>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EB465E"/>
    <w:multiLevelType w:val="multilevel"/>
    <w:tmpl w:val="DE422664"/>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FBF04E9"/>
    <w:multiLevelType w:val="multilevel"/>
    <w:tmpl w:val="97FAD1C6"/>
    <w:lvl w:ilvl="0">
      <w:start w:val="1"/>
      <w:numFmt w:val="bullet"/>
      <w:lvlText w:val=""/>
      <w:lvlJc w:val="left"/>
      <w:pPr>
        <w:tabs>
          <w:tab w:val="num" w:pos="567"/>
        </w:tabs>
        <w:ind w:left="567" w:hanging="567"/>
      </w:pPr>
      <w:rPr>
        <w:rFonts w:ascii="Book Antiqua" w:hAnsi="Book Antiqua"/>
      </w:rPr>
    </w:lvl>
    <w:lvl w:ilvl="1">
      <w:start w:val="1"/>
      <w:numFmt w:val="bullet"/>
      <w:lvlText w:val="-"/>
      <w:lvlJc w:val="left"/>
      <w:pPr>
        <w:tabs>
          <w:tab w:val="num" w:pos="1134"/>
        </w:tabs>
        <w:ind w:left="1134" w:hanging="567"/>
      </w:pPr>
      <w:rPr>
        <w:rFonts w:ascii="Book Antiqua" w:hAnsi="Book Antiqua"/>
      </w:rPr>
    </w:lvl>
    <w:lvl w:ilvl="2">
      <w:start w:val="1"/>
      <w:numFmt w:val="bullet"/>
      <w:lvlText w:val=":"/>
      <w:lvlJc w:val="left"/>
      <w:pPr>
        <w:tabs>
          <w:tab w:val="num" w:pos="1701"/>
        </w:tabs>
        <w:ind w:left="1701" w:hanging="567"/>
      </w:pPr>
      <w:rPr>
        <w:rFonts w:ascii="Book Antiqua" w:hAnsi="Book Antiqua"/>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952371357">
    <w:abstractNumId w:val="24"/>
  </w:num>
  <w:num w:numId="2" w16cid:durableId="1047683284">
    <w:abstractNumId w:val="30"/>
  </w:num>
  <w:num w:numId="3" w16cid:durableId="1809084769">
    <w:abstractNumId w:val="24"/>
  </w:num>
  <w:num w:numId="4" w16cid:durableId="2145658242">
    <w:abstractNumId w:val="14"/>
  </w:num>
  <w:num w:numId="5" w16cid:durableId="257254679">
    <w:abstractNumId w:val="21"/>
  </w:num>
  <w:num w:numId="6" w16cid:durableId="851456423">
    <w:abstractNumId w:val="22"/>
  </w:num>
  <w:num w:numId="7" w16cid:durableId="1065494737">
    <w:abstractNumId w:val="14"/>
  </w:num>
  <w:num w:numId="8" w16cid:durableId="2065524121">
    <w:abstractNumId w:val="21"/>
  </w:num>
  <w:num w:numId="9" w16cid:durableId="436485354">
    <w:abstractNumId w:val="40"/>
  </w:num>
  <w:num w:numId="10" w16cid:durableId="393772223">
    <w:abstractNumId w:val="34"/>
  </w:num>
  <w:num w:numId="11" w16cid:durableId="86463253">
    <w:abstractNumId w:val="32"/>
  </w:num>
  <w:num w:numId="12" w16cid:durableId="1835753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6731603">
    <w:abstractNumId w:val="9"/>
  </w:num>
  <w:num w:numId="14" w16cid:durableId="1225993257">
    <w:abstractNumId w:val="7"/>
  </w:num>
  <w:num w:numId="15" w16cid:durableId="1359741708">
    <w:abstractNumId w:val="6"/>
  </w:num>
  <w:num w:numId="16" w16cid:durableId="255137107">
    <w:abstractNumId w:val="5"/>
  </w:num>
  <w:num w:numId="17" w16cid:durableId="961883051">
    <w:abstractNumId w:val="4"/>
  </w:num>
  <w:num w:numId="18" w16cid:durableId="31157971">
    <w:abstractNumId w:val="8"/>
  </w:num>
  <w:num w:numId="19" w16cid:durableId="1557811185">
    <w:abstractNumId w:val="3"/>
  </w:num>
  <w:num w:numId="20" w16cid:durableId="100610655">
    <w:abstractNumId w:val="2"/>
  </w:num>
  <w:num w:numId="21" w16cid:durableId="658075478">
    <w:abstractNumId w:val="1"/>
  </w:num>
  <w:num w:numId="22" w16cid:durableId="47344579">
    <w:abstractNumId w:val="0"/>
  </w:num>
  <w:num w:numId="23" w16cid:durableId="1803033756">
    <w:abstractNumId w:val="15"/>
  </w:num>
  <w:num w:numId="24" w16cid:durableId="832987104">
    <w:abstractNumId w:val="41"/>
  </w:num>
  <w:num w:numId="25" w16cid:durableId="1793474196">
    <w:abstractNumId w:val="39"/>
  </w:num>
  <w:num w:numId="26" w16cid:durableId="1930888643">
    <w:abstractNumId w:val="10"/>
  </w:num>
  <w:num w:numId="27" w16cid:durableId="1133596552">
    <w:abstractNumId w:val="35"/>
  </w:num>
  <w:num w:numId="28" w16cid:durableId="1636444010">
    <w:abstractNumId w:val="16"/>
  </w:num>
  <w:num w:numId="29" w16cid:durableId="926187294">
    <w:abstractNumId w:val="38"/>
  </w:num>
  <w:num w:numId="30" w16cid:durableId="1987006127">
    <w:abstractNumId w:val="28"/>
  </w:num>
  <w:num w:numId="31" w16cid:durableId="1556551923">
    <w:abstractNumId w:val="33"/>
  </w:num>
  <w:num w:numId="32" w16cid:durableId="1316759064">
    <w:abstractNumId w:val="11"/>
  </w:num>
  <w:num w:numId="33" w16cid:durableId="738752594">
    <w:abstractNumId w:val="17"/>
  </w:num>
  <w:num w:numId="34" w16cid:durableId="740829581">
    <w:abstractNumId w:val="20"/>
  </w:num>
  <w:num w:numId="35" w16cid:durableId="1030254406">
    <w:abstractNumId w:val="36"/>
  </w:num>
  <w:num w:numId="36" w16cid:durableId="398944808">
    <w:abstractNumId w:val="19"/>
  </w:num>
  <w:num w:numId="37" w16cid:durableId="1221868620">
    <w:abstractNumId w:val="26"/>
  </w:num>
  <w:num w:numId="38" w16cid:durableId="1068721710">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552429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6407069">
    <w:abstractNumId w:val="29"/>
  </w:num>
  <w:num w:numId="41" w16cid:durableId="73436016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7754954">
    <w:abstractNumId w:val="31"/>
  </w:num>
  <w:num w:numId="43" w16cid:durableId="1311637781">
    <w:abstractNumId w:val="25"/>
  </w:num>
  <w:num w:numId="44" w16cid:durableId="901211403">
    <w:abstractNumId w:val="37"/>
  </w:num>
  <w:num w:numId="45" w16cid:durableId="1426268061">
    <w:abstractNumId w:val="21"/>
  </w:num>
  <w:num w:numId="46" w16cid:durableId="1464157680">
    <w:abstractNumId w:val="21"/>
  </w:num>
  <w:num w:numId="47" w16cid:durableId="742409562">
    <w:abstractNumId w:val="21"/>
  </w:num>
  <w:num w:numId="48" w16cid:durableId="2030376148">
    <w:abstractNumId w:val="18"/>
  </w:num>
  <w:num w:numId="49" w16cid:durableId="594560277">
    <w:abstractNumId w:val="13"/>
  </w:num>
  <w:num w:numId="50" w16cid:durableId="1480001187">
    <w:abstractNumId w:val="23"/>
  </w:num>
  <w:num w:numId="51" w16cid:durableId="1578126708">
    <w:abstractNumId w:val="12"/>
  </w:num>
  <w:num w:numId="52" w16cid:durableId="846210341">
    <w:abstractNumId w:val="27"/>
  </w:num>
  <w:num w:numId="53" w16cid:durableId="1345129968">
    <w:abstractNumId w:val="24"/>
  </w:num>
  <w:num w:numId="54" w16cid:durableId="138702389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mirrorMargins/>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8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5"/>
    <w:rsid w:val="0000004E"/>
    <w:rsid w:val="0000019C"/>
    <w:rsid w:val="0000022A"/>
    <w:rsid w:val="0000036C"/>
    <w:rsid w:val="000007D5"/>
    <w:rsid w:val="00000A3B"/>
    <w:rsid w:val="00000B37"/>
    <w:rsid w:val="00000FED"/>
    <w:rsid w:val="00001087"/>
    <w:rsid w:val="00001127"/>
    <w:rsid w:val="000012A9"/>
    <w:rsid w:val="0000159D"/>
    <w:rsid w:val="00001825"/>
    <w:rsid w:val="0000182D"/>
    <w:rsid w:val="00001DD7"/>
    <w:rsid w:val="00001DE9"/>
    <w:rsid w:val="00001EF9"/>
    <w:rsid w:val="00001F01"/>
    <w:rsid w:val="00001FBF"/>
    <w:rsid w:val="000022C7"/>
    <w:rsid w:val="00002342"/>
    <w:rsid w:val="0000275E"/>
    <w:rsid w:val="00003309"/>
    <w:rsid w:val="000034D3"/>
    <w:rsid w:val="000036A9"/>
    <w:rsid w:val="000037F4"/>
    <w:rsid w:val="00003F40"/>
    <w:rsid w:val="00003F9D"/>
    <w:rsid w:val="00004AE5"/>
    <w:rsid w:val="00005185"/>
    <w:rsid w:val="000051EA"/>
    <w:rsid w:val="000052C7"/>
    <w:rsid w:val="00005519"/>
    <w:rsid w:val="00005611"/>
    <w:rsid w:val="000058DF"/>
    <w:rsid w:val="000059E8"/>
    <w:rsid w:val="00005EC2"/>
    <w:rsid w:val="00005FFE"/>
    <w:rsid w:val="0000609B"/>
    <w:rsid w:val="000060ED"/>
    <w:rsid w:val="000061F1"/>
    <w:rsid w:val="000064E5"/>
    <w:rsid w:val="00006B7C"/>
    <w:rsid w:val="000075FC"/>
    <w:rsid w:val="000076B5"/>
    <w:rsid w:val="00007751"/>
    <w:rsid w:val="00007BB5"/>
    <w:rsid w:val="00007C2E"/>
    <w:rsid w:val="00007E8B"/>
    <w:rsid w:val="000105A4"/>
    <w:rsid w:val="00010B3A"/>
    <w:rsid w:val="00010E96"/>
    <w:rsid w:val="00010EDC"/>
    <w:rsid w:val="00011003"/>
    <w:rsid w:val="00011800"/>
    <w:rsid w:val="0001189D"/>
    <w:rsid w:val="000119AE"/>
    <w:rsid w:val="00011FDA"/>
    <w:rsid w:val="0001227E"/>
    <w:rsid w:val="000124B9"/>
    <w:rsid w:val="0001251C"/>
    <w:rsid w:val="000126E2"/>
    <w:rsid w:val="00012762"/>
    <w:rsid w:val="0001290F"/>
    <w:rsid w:val="00012DD4"/>
    <w:rsid w:val="0001325A"/>
    <w:rsid w:val="0001326B"/>
    <w:rsid w:val="00013449"/>
    <w:rsid w:val="00013743"/>
    <w:rsid w:val="00013931"/>
    <w:rsid w:val="00013970"/>
    <w:rsid w:val="00013EC2"/>
    <w:rsid w:val="00013F46"/>
    <w:rsid w:val="000143AB"/>
    <w:rsid w:val="000143D5"/>
    <w:rsid w:val="00014432"/>
    <w:rsid w:val="0001451C"/>
    <w:rsid w:val="000145BB"/>
    <w:rsid w:val="0001461F"/>
    <w:rsid w:val="00014659"/>
    <w:rsid w:val="0001469C"/>
    <w:rsid w:val="000147EA"/>
    <w:rsid w:val="00014907"/>
    <w:rsid w:val="00014933"/>
    <w:rsid w:val="00014951"/>
    <w:rsid w:val="00014A63"/>
    <w:rsid w:val="00014B7A"/>
    <w:rsid w:val="00014EC2"/>
    <w:rsid w:val="00015206"/>
    <w:rsid w:val="0001522C"/>
    <w:rsid w:val="000152C4"/>
    <w:rsid w:val="000153A5"/>
    <w:rsid w:val="0001568A"/>
    <w:rsid w:val="00015CD6"/>
    <w:rsid w:val="00015DB9"/>
    <w:rsid w:val="0001600D"/>
    <w:rsid w:val="0001610A"/>
    <w:rsid w:val="00016164"/>
    <w:rsid w:val="0001622F"/>
    <w:rsid w:val="0001640F"/>
    <w:rsid w:val="000166D1"/>
    <w:rsid w:val="000167EF"/>
    <w:rsid w:val="000169E9"/>
    <w:rsid w:val="00016B03"/>
    <w:rsid w:val="00016DA0"/>
    <w:rsid w:val="0001771A"/>
    <w:rsid w:val="000178DD"/>
    <w:rsid w:val="00017AB0"/>
    <w:rsid w:val="00017D66"/>
    <w:rsid w:val="00017DD4"/>
    <w:rsid w:val="00017FA4"/>
    <w:rsid w:val="000202D9"/>
    <w:rsid w:val="0002059A"/>
    <w:rsid w:val="000205CA"/>
    <w:rsid w:val="00020728"/>
    <w:rsid w:val="000207E5"/>
    <w:rsid w:val="00020C20"/>
    <w:rsid w:val="00020DFF"/>
    <w:rsid w:val="00020FF2"/>
    <w:rsid w:val="000211D5"/>
    <w:rsid w:val="0002131D"/>
    <w:rsid w:val="00021780"/>
    <w:rsid w:val="00021830"/>
    <w:rsid w:val="0002183A"/>
    <w:rsid w:val="00021896"/>
    <w:rsid w:val="0002194F"/>
    <w:rsid w:val="00021F53"/>
    <w:rsid w:val="000226CE"/>
    <w:rsid w:val="000226F7"/>
    <w:rsid w:val="000228A4"/>
    <w:rsid w:val="00022A5D"/>
    <w:rsid w:val="00022DAB"/>
    <w:rsid w:val="000231B8"/>
    <w:rsid w:val="000231DD"/>
    <w:rsid w:val="00023289"/>
    <w:rsid w:val="00023377"/>
    <w:rsid w:val="000235D6"/>
    <w:rsid w:val="0002376D"/>
    <w:rsid w:val="0002395D"/>
    <w:rsid w:val="00023B7E"/>
    <w:rsid w:val="00023D6D"/>
    <w:rsid w:val="00023E21"/>
    <w:rsid w:val="00024845"/>
    <w:rsid w:val="0002485D"/>
    <w:rsid w:val="00024901"/>
    <w:rsid w:val="00024978"/>
    <w:rsid w:val="0002527F"/>
    <w:rsid w:val="00025311"/>
    <w:rsid w:val="0002535F"/>
    <w:rsid w:val="0002546C"/>
    <w:rsid w:val="000258EF"/>
    <w:rsid w:val="00025944"/>
    <w:rsid w:val="00025A34"/>
    <w:rsid w:val="0002645C"/>
    <w:rsid w:val="000264B1"/>
    <w:rsid w:val="0002651F"/>
    <w:rsid w:val="000265FA"/>
    <w:rsid w:val="00026712"/>
    <w:rsid w:val="0002679B"/>
    <w:rsid w:val="000267EC"/>
    <w:rsid w:val="00026860"/>
    <w:rsid w:val="00026BD3"/>
    <w:rsid w:val="00026D46"/>
    <w:rsid w:val="00026D60"/>
    <w:rsid w:val="00026D87"/>
    <w:rsid w:val="0002715E"/>
    <w:rsid w:val="0002717D"/>
    <w:rsid w:val="0002724C"/>
    <w:rsid w:val="0002735E"/>
    <w:rsid w:val="00027507"/>
    <w:rsid w:val="000276A7"/>
    <w:rsid w:val="00027982"/>
    <w:rsid w:val="00027F78"/>
    <w:rsid w:val="000302A6"/>
    <w:rsid w:val="0003058F"/>
    <w:rsid w:val="0003065B"/>
    <w:rsid w:val="000306B9"/>
    <w:rsid w:val="000307A2"/>
    <w:rsid w:val="00030868"/>
    <w:rsid w:val="00030A47"/>
    <w:rsid w:val="00030B57"/>
    <w:rsid w:val="00030BBD"/>
    <w:rsid w:val="000316C8"/>
    <w:rsid w:val="00031B4C"/>
    <w:rsid w:val="00031BBF"/>
    <w:rsid w:val="00031BEA"/>
    <w:rsid w:val="00031C98"/>
    <w:rsid w:val="00031DF6"/>
    <w:rsid w:val="00031F81"/>
    <w:rsid w:val="000320C7"/>
    <w:rsid w:val="000323EF"/>
    <w:rsid w:val="0003254D"/>
    <w:rsid w:val="00032586"/>
    <w:rsid w:val="0003269D"/>
    <w:rsid w:val="00032909"/>
    <w:rsid w:val="0003293F"/>
    <w:rsid w:val="00032A5C"/>
    <w:rsid w:val="00032AAA"/>
    <w:rsid w:val="00033AA1"/>
    <w:rsid w:val="00033C9F"/>
    <w:rsid w:val="00033D42"/>
    <w:rsid w:val="000341C7"/>
    <w:rsid w:val="000344E3"/>
    <w:rsid w:val="00034686"/>
    <w:rsid w:val="00034A07"/>
    <w:rsid w:val="00034C3F"/>
    <w:rsid w:val="00034CCC"/>
    <w:rsid w:val="00034D05"/>
    <w:rsid w:val="0003530C"/>
    <w:rsid w:val="00035461"/>
    <w:rsid w:val="000354FB"/>
    <w:rsid w:val="00035791"/>
    <w:rsid w:val="000358AA"/>
    <w:rsid w:val="00035959"/>
    <w:rsid w:val="00035A8A"/>
    <w:rsid w:val="00035DE3"/>
    <w:rsid w:val="00035E77"/>
    <w:rsid w:val="000360E4"/>
    <w:rsid w:val="000362A3"/>
    <w:rsid w:val="0003666B"/>
    <w:rsid w:val="00036871"/>
    <w:rsid w:val="000368F1"/>
    <w:rsid w:val="0003690C"/>
    <w:rsid w:val="00036967"/>
    <w:rsid w:val="000369FB"/>
    <w:rsid w:val="00036BE9"/>
    <w:rsid w:val="000370EB"/>
    <w:rsid w:val="0003714C"/>
    <w:rsid w:val="00037305"/>
    <w:rsid w:val="00037406"/>
    <w:rsid w:val="00037816"/>
    <w:rsid w:val="00037E0B"/>
    <w:rsid w:val="00037F8C"/>
    <w:rsid w:val="00040457"/>
    <w:rsid w:val="00040565"/>
    <w:rsid w:val="000405C3"/>
    <w:rsid w:val="00040698"/>
    <w:rsid w:val="000408B5"/>
    <w:rsid w:val="00040D8B"/>
    <w:rsid w:val="00040D99"/>
    <w:rsid w:val="0004136F"/>
    <w:rsid w:val="00041AA5"/>
    <w:rsid w:val="00042096"/>
    <w:rsid w:val="000421E7"/>
    <w:rsid w:val="0004249D"/>
    <w:rsid w:val="000428FD"/>
    <w:rsid w:val="00042C7A"/>
    <w:rsid w:val="000430F0"/>
    <w:rsid w:val="000430FE"/>
    <w:rsid w:val="000433BC"/>
    <w:rsid w:val="00043897"/>
    <w:rsid w:val="00043F9B"/>
    <w:rsid w:val="000444C4"/>
    <w:rsid w:val="00044568"/>
    <w:rsid w:val="000446A8"/>
    <w:rsid w:val="000447F1"/>
    <w:rsid w:val="00044B11"/>
    <w:rsid w:val="00044D21"/>
    <w:rsid w:val="00044DB0"/>
    <w:rsid w:val="0004504E"/>
    <w:rsid w:val="00045460"/>
    <w:rsid w:val="00045D84"/>
    <w:rsid w:val="000469B7"/>
    <w:rsid w:val="000469F8"/>
    <w:rsid w:val="00046B0D"/>
    <w:rsid w:val="00046B4F"/>
    <w:rsid w:val="00046B6A"/>
    <w:rsid w:val="00046B7D"/>
    <w:rsid w:val="00050241"/>
    <w:rsid w:val="000507B2"/>
    <w:rsid w:val="00050AC7"/>
    <w:rsid w:val="00050CF0"/>
    <w:rsid w:val="00050D50"/>
    <w:rsid w:val="00050D87"/>
    <w:rsid w:val="00050E1B"/>
    <w:rsid w:val="00050E25"/>
    <w:rsid w:val="00050ED9"/>
    <w:rsid w:val="000513B2"/>
    <w:rsid w:val="00051516"/>
    <w:rsid w:val="0005175A"/>
    <w:rsid w:val="000517A0"/>
    <w:rsid w:val="00051CD0"/>
    <w:rsid w:val="00051E84"/>
    <w:rsid w:val="00051ED5"/>
    <w:rsid w:val="0005200B"/>
    <w:rsid w:val="000520F5"/>
    <w:rsid w:val="000522E8"/>
    <w:rsid w:val="000526C9"/>
    <w:rsid w:val="00052703"/>
    <w:rsid w:val="00052A2E"/>
    <w:rsid w:val="00052B94"/>
    <w:rsid w:val="00052D05"/>
    <w:rsid w:val="00052D74"/>
    <w:rsid w:val="00053562"/>
    <w:rsid w:val="000536BE"/>
    <w:rsid w:val="00053A20"/>
    <w:rsid w:val="00053A55"/>
    <w:rsid w:val="00053B3C"/>
    <w:rsid w:val="00053CE1"/>
    <w:rsid w:val="00053DF4"/>
    <w:rsid w:val="00053F24"/>
    <w:rsid w:val="00054143"/>
    <w:rsid w:val="000542DD"/>
    <w:rsid w:val="00054515"/>
    <w:rsid w:val="00054711"/>
    <w:rsid w:val="00054CAE"/>
    <w:rsid w:val="00054D03"/>
    <w:rsid w:val="00054D62"/>
    <w:rsid w:val="00055051"/>
    <w:rsid w:val="000551E1"/>
    <w:rsid w:val="000552B7"/>
    <w:rsid w:val="00055812"/>
    <w:rsid w:val="00055911"/>
    <w:rsid w:val="00055963"/>
    <w:rsid w:val="00055C94"/>
    <w:rsid w:val="00056411"/>
    <w:rsid w:val="00056878"/>
    <w:rsid w:val="00056C8B"/>
    <w:rsid w:val="00056CD4"/>
    <w:rsid w:val="000570D3"/>
    <w:rsid w:val="00057244"/>
    <w:rsid w:val="0005745C"/>
    <w:rsid w:val="0005785E"/>
    <w:rsid w:val="00057905"/>
    <w:rsid w:val="00057DD3"/>
    <w:rsid w:val="00057ED5"/>
    <w:rsid w:val="00057EDF"/>
    <w:rsid w:val="00057F1B"/>
    <w:rsid w:val="00057FC1"/>
    <w:rsid w:val="000600E9"/>
    <w:rsid w:val="000601E7"/>
    <w:rsid w:val="0006042D"/>
    <w:rsid w:val="000609CF"/>
    <w:rsid w:val="000610AF"/>
    <w:rsid w:val="000611CA"/>
    <w:rsid w:val="00061530"/>
    <w:rsid w:val="0006153F"/>
    <w:rsid w:val="0006159D"/>
    <w:rsid w:val="000615C6"/>
    <w:rsid w:val="000618C3"/>
    <w:rsid w:val="00061E5E"/>
    <w:rsid w:val="00061F60"/>
    <w:rsid w:val="0006268C"/>
    <w:rsid w:val="00062916"/>
    <w:rsid w:val="00063484"/>
    <w:rsid w:val="00063508"/>
    <w:rsid w:val="0006367D"/>
    <w:rsid w:val="0006386B"/>
    <w:rsid w:val="00063E22"/>
    <w:rsid w:val="00064129"/>
    <w:rsid w:val="0006492B"/>
    <w:rsid w:val="000649A5"/>
    <w:rsid w:val="00064A3A"/>
    <w:rsid w:val="00064B82"/>
    <w:rsid w:val="00064D55"/>
    <w:rsid w:val="00064E99"/>
    <w:rsid w:val="00064EC1"/>
    <w:rsid w:val="00064FAC"/>
    <w:rsid w:val="000650A3"/>
    <w:rsid w:val="00065154"/>
    <w:rsid w:val="00065320"/>
    <w:rsid w:val="00065C5F"/>
    <w:rsid w:val="00065D80"/>
    <w:rsid w:val="000666E7"/>
    <w:rsid w:val="00066793"/>
    <w:rsid w:val="00066928"/>
    <w:rsid w:val="00066992"/>
    <w:rsid w:val="00066F42"/>
    <w:rsid w:val="000670E2"/>
    <w:rsid w:val="0006726F"/>
    <w:rsid w:val="00067515"/>
    <w:rsid w:val="00067871"/>
    <w:rsid w:val="0006788C"/>
    <w:rsid w:val="000678E6"/>
    <w:rsid w:val="000678F5"/>
    <w:rsid w:val="00067F81"/>
    <w:rsid w:val="00070274"/>
    <w:rsid w:val="000703A8"/>
    <w:rsid w:val="00070555"/>
    <w:rsid w:val="00070913"/>
    <w:rsid w:val="000709D2"/>
    <w:rsid w:val="00070BEF"/>
    <w:rsid w:val="00070CA5"/>
    <w:rsid w:val="00070D02"/>
    <w:rsid w:val="00070F0A"/>
    <w:rsid w:val="00071229"/>
    <w:rsid w:val="00071352"/>
    <w:rsid w:val="000713B6"/>
    <w:rsid w:val="000715B3"/>
    <w:rsid w:val="000716F1"/>
    <w:rsid w:val="00071960"/>
    <w:rsid w:val="00071B2D"/>
    <w:rsid w:val="00071F3F"/>
    <w:rsid w:val="000720E1"/>
    <w:rsid w:val="000720F8"/>
    <w:rsid w:val="000725A0"/>
    <w:rsid w:val="00072697"/>
    <w:rsid w:val="000728E4"/>
    <w:rsid w:val="0007296D"/>
    <w:rsid w:val="00072BF4"/>
    <w:rsid w:val="00072D1F"/>
    <w:rsid w:val="00072E5C"/>
    <w:rsid w:val="00072E61"/>
    <w:rsid w:val="00073288"/>
    <w:rsid w:val="0007332E"/>
    <w:rsid w:val="0007344B"/>
    <w:rsid w:val="0007354C"/>
    <w:rsid w:val="0007369B"/>
    <w:rsid w:val="000737A0"/>
    <w:rsid w:val="000737DE"/>
    <w:rsid w:val="000738E0"/>
    <w:rsid w:val="00073AD5"/>
    <w:rsid w:val="00073D9A"/>
    <w:rsid w:val="0007414D"/>
    <w:rsid w:val="00074551"/>
    <w:rsid w:val="000745A3"/>
    <w:rsid w:val="000746DF"/>
    <w:rsid w:val="00074712"/>
    <w:rsid w:val="00074C6D"/>
    <w:rsid w:val="00074D5A"/>
    <w:rsid w:val="00075067"/>
    <w:rsid w:val="00075BD3"/>
    <w:rsid w:val="00075E9C"/>
    <w:rsid w:val="0007635A"/>
    <w:rsid w:val="000764D0"/>
    <w:rsid w:val="000767AE"/>
    <w:rsid w:val="00076881"/>
    <w:rsid w:val="000769AE"/>
    <w:rsid w:val="00076A20"/>
    <w:rsid w:val="00076FD1"/>
    <w:rsid w:val="00077114"/>
    <w:rsid w:val="00077195"/>
    <w:rsid w:val="000771C4"/>
    <w:rsid w:val="000771E5"/>
    <w:rsid w:val="00077378"/>
    <w:rsid w:val="00077D03"/>
    <w:rsid w:val="0008012A"/>
    <w:rsid w:val="00080205"/>
    <w:rsid w:val="00080391"/>
    <w:rsid w:val="000806BA"/>
    <w:rsid w:val="000806E9"/>
    <w:rsid w:val="00080742"/>
    <w:rsid w:val="000807ED"/>
    <w:rsid w:val="00080839"/>
    <w:rsid w:val="000808AC"/>
    <w:rsid w:val="0008090C"/>
    <w:rsid w:val="00080CEE"/>
    <w:rsid w:val="00080D30"/>
    <w:rsid w:val="00080E38"/>
    <w:rsid w:val="000810A9"/>
    <w:rsid w:val="00081356"/>
    <w:rsid w:val="00081364"/>
    <w:rsid w:val="00081444"/>
    <w:rsid w:val="0008149F"/>
    <w:rsid w:val="00081C75"/>
    <w:rsid w:val="00081E73"/>
    <w:rsid w:val="00081EA5"/>
    <w:rsid w:val="00081EF2"/>
    <w:rsid w:val="00082234"/>
    <w:rsid w:val="000822F5"/>
    <w:rsid w:val="000823CB"/>
    <w:rsid w:val="000826CF"/>
    <w:rsid w:val="00082D3A"/>
    <w:rsid w:val="00082F42"/>
    <w:rsid w:val="000830E3"/>
    <w:rsid w:val="0008327F"/>
    <w:rsid w:val="000834E8"/>
    <w:rsid w:val="000836C3"/>
    <w:rsid w:val="000836CC"/>
    <w:rsid w:val="00083DFF"/>
    <w:rsid w:val="00083E4D"/>
    <w:rsid w:val="00083FD7"/>
    <w:rsid w:val="0008406D"/>
    <w:rsid w:val="0008413B"/>
    <w:rsid w:val="00084203"/>
    <w:rsid w:val="0008444B"/>
    <w:rsid w:val="00084540"/>
    <w:rsid w:val="00084567"/>
    <w:rsid w:val="00084678"/>
    <w:rsid w:val="000847FE"/>
    <w:rsid w:val="00084B41"/>
    <w:rsid w:val="00084C7B"/>
    <w:rsid w:val="00084DCC"/>
    <w:rsid w:val="00084EC3"/>
    <w:rsid w:val="00084FE7"/>
    <w:rsid w:val="0008506A"/>
    <w:rsid w:val="000850CA"/>
    <w:rsid w:val="000850DD"/>
    <w:rsid w:val="00085562"/>
    <w:rsid w:val="0008577B"/>
    <w:rsid w:val="00085A63"/>
    <w:rsid w:val="00085ADB"/>
    <w:rsid w:val="00085B18"/>
    <w:rsid w:val="00085BA0"/>
    <w:rsid w:val="00085C32"/>
    <w:rsid w:val="00085DD1"/>
    <w:rsid w:val="00085DFA"/>
    <w:rsid w:val="00085E52"/>
    <w:rsid w:val="00085F64"/>
    <w:rsid w:val="00086573"/>
    <w:rsid w:val="00086680"/>
    <w:rsid w:val="00086797"/>
    <w:rsid w:val="00086891"/>
    <w:rsid w:val="000869CA"/>
    <w:rsid w:val="00086AE0"/>
    <w:rsid w:val="00086C38"/>
    <w:rsid w:val="000870BF"/>
    <w:rsid w:val="000876CC"/>
    <w:rsid w:val="00087817"/>
    <w:rsid w:val="00087A8F"/>
    <w:rsid w:val="00087B7D"/>
    <w:rsid w:val="00087E0E"/>
    <w:rsid w:val="00087F2F"/>
    <w:rsid w:val="00087FD8"/>
    <w:rsid w:val="00090FE7"/>
    <w:rsid w:val="0009135D"/>
    <w:rsid w:val="000914DF"/>
    <w:rsid w:val="000919A6"/>
    <w:rsid w:val="00091A14"/>
    <w:rsid w:val="00091CF4"/>
    <w:rsid w:val="00091DFE"/>
    <w:rsid w:val="00091E8F"/>
    <w:rsid w:val="000924DA"/>
    <w:rsid w:val="000925DA"/>
    <w:rsid w:val="00092708"/>
    <w:rsid w:val="00092836"/>
    <w:rsid w:val="00092BC1"/>
    <w:rsid w:val="00092F4E"/>
    <w:rsid w:val="00093381"/>
    <w:rsid w:val="00093436"/>
    <w:rsid w:val="00093C96"/>
    <w:rsid w:val="00093FC2"/>
    <w:rsid w:val="0009408E"/>
    <w:rsid w:val="00094249"/>
    <w:rsid w:val="00094297"/>
    <w:rsid w:val="000942F2"/>
    <w:rsid w:val="0009469A"/>
    <w:rsid w:val="00094A84"/>
    <w:rsid w:val="00094F0D"/>
    <w:rsid w:val="000952B0"/>
    <w:rsid w:val="000952B5"/>
    <w:rsid w:val="000953AC"/>
    <w:rsid w:val="0009555D"/>
    <w:rsid w:val="0009557A"/>
    <w:rsid w:val="0009598F"/>
    <w:rsid w:val="000959B5"/>
    <w:rsid w:val="00095AAB"/>
    <w:rsid w:val="00095C6D"/>
    <w:rsid w:val="00095E96"/>
    <w:rsid w:val="0009609D"/>
    <w:rsid w:val="0009614E"/>
    <w:rsid w:val="00096173"/>
    <w:rsid w:val="000963F7"/>
    <w:rsid w:val="000964F9"/>
    <w:rsid w:val="0009654B"/>
    <w:rsid w:val="0009668C"/>
    <w:rsid w:val="0009677C"/>
    <w:rsid w:val="000969F7"/>
    <w:rsid w:val="00096AE6"/>
    <w:rsid w:val="0009745C"/>
    <w:rsid w:val="00097480"/>
    <w:rsid w:val="00097567"/>
    <w:rsid w:val="00097A15"/>
    <w:rsid w:val="00097CA8"/>
    <w:rsid w:val="00097D9C"/>
    <w:rsid w:val="00097DE2"/>
    <w:rsid w:val="000A0263"/>
    <w:rsid w:val="000A0626"/>
    <w:rsid w:val="000A08F1"/>
    <w:rsid w:val="000A0AA9"/>
    <w:rsid w:val="000A0ABB"/>
    <w:rsid w:val="000A0E22"/>
    <w:rsid w:val="000A1280"/>
    <w:rsid w:val="000A134A"/>
    <w:rsid w:val="000A156D"/>
    <w:rsid w:val="000A1604"/>
    <w:rsid w:val="000A16FE"/>
    <w:rsid w:val="000A1B36"/>
    <w:rsid w:val="000A1BB8"/>
    <w:rsid w:val="000A1DC1"/>
    <w:rsid w:val="000A1EF0"/>
    <w:rsid w:val="000A2662"/>
    <w:rsid w:val="000A2701"/>
    <w:rsid w:val="000A2898"/>
    <w:rsid w:val="000A2A40"/>
    <w:rsid w:val="000A2D2A"/>
    <w:rsid w:val="000A2DE1"/>
    <w:rsid w:val="000A2E74"/>
    <w:rsid w:val="000A2F8C"/>
    <w:rsid w:val="000A3065"/>
    <w:rsid w:val="000A3354"/>
    <w:rsid w:val="000A3A7C"/>
    <w:rsid w:val="000A3A7D"/>
    <w:rsid w:val="000A3D62"/>
    <w:rsid w:val="000A4555"/>
    <w:rsid w:val="000A4569"/>
    <w:rsid w:val="000A4999"/>
    <w:rsid w:val="000A4B43"/>
    <w:rsid w:val="000A4BDF"/>
    <w:rsid w:val="000A4C61"/>
    <w:rsid w:val="000A4E2F"/>
    <w:rsid w:val="000A4E95"/>
    <w:rsid w:val="000A502B"/>
    <w:rsid w:val="000A52AD"/>
    <w:rsid w:val="000A52D4"/>
    <w:rsid w:val="000A5309"/>
    <w:rsid w:val="000A57D4"/>
    <w:rsid w:val="000A5A81"/>
    <w:rsid w:val="000A60C7"/>
    <w:rsid w:val="000A684A"/>
    <w:rsid w:val="000A68F4"/>
    <w:rsid w:val="000A69C2"/>
    <w:rsid w:val="000A6EC4"/>
    <w:rsid w:val="000A6F79"/>
    <w:rsid w:val="000A7048"/>
    <w:rsid w:val="000A7160"/>
    <w:rsid w:val="000A75D9"/>
    <w:rsid w:val="000A768C"/>
    <w:rsid w:val="000A76EA"/>
    <w:rsid w:val="000A78FF"/>
    <w:rsid w:val="000A7989"/>
    <w:rsid w:val="000A7CEE"/>
    <w:rsid w:val="000A7DE6"/>
    <w:rsid w:val="000B024B"/>
    <w:rsid w:val="000B03F4"/>
    <w:rsid w:val="000B048E"/>
    <w:rsid w:val="000B05C3"/>
    <w:rsid w:val="000B05E7"/>
    <w:rsid w:val="000B0709"/>
    <w:rsid w:val="000B0865"/>
    <w:rsid w:val="000B0AA6"/>
    <w:rsid w:val="000B0E6C"/>
    <w:rsid w:val="000B1055"/>
    <w:rsid w:val="000B13B4"/>
    <w:rsid w:val="000B13C0"/>
    <w:rsid w:val="000B174B"/>
    <w:rsid w:val="000B1870"/>
    <w:rsid w:val="000B1B66"/>
    <w:rsid w:val="000B1C1A"/>
    <w:rsid w:val="000B1ED4"/>
    <w:rsid w:val="000B20E2"/>
    <w:rsid w:val="000B2276"/>
    <w:rsid w:val="000B2492"/>
    <w:rsid w:val="000B24F2"/>
    <w:rsid w:val="000B2603"/>
    <w:rsid w:val="000B2AAE"/>
    <w:rsid w:val="000B30B1"/>
    <w:rsid w:val="000B3358"/>
    <w:rsid w:val="000B3481"/>
    <w:rsid w:val="000B35FC"/>
    <w:rsid w:val="000B378B"/>
    <w:rsid w:val="000B387A"/>
    <w:rsid w:val="000B39D6"/>
    <w:rsid w:val="000B3CCF"/>
    <w:rsid w:val="000B4177"/>
    <w:rsid w:val="000B491F"/>
    <w:rsid w:val="000B4AE8"/>
    <w:rsid w:val="000B4B4A"/>
    <w:rsid w:val="000B4E32"/>
    <w:rsid w:val="000B53DF"/>
    <w:rsid w:val="000B58FA"/>
    <w:rsid w:val="000B5907"/>
    <w:rsid w:val="000B59B0"/>
    <w:rsid w:val="000B5E30"/>
    <w:rsid w:val="000B6387"/>
    <w:rsid w:val="000B6413"/>
    <w:rsid w:val="000B7883"/>
    <w:rsid w:val="000B7AC1"/>
    <w:rsid w:val="000B7BD5"/>
    <w:rsid w:val="000B7BF7"/>
    <w:rsid w:val="000B7C14"/>
    <w:rsid w:val="000B7F8D"/>
    <w:rsid w:val="000B7FF9"/>
    <w:rsid w:val="000C02F9"/>
    <w:rsid w:val="000C08A9"/>
    <w:rsid w:val="000C09E3"/>
    <w:rsid w:val="000C09E6"/>
    <w:rsid w:val="000C0A76"/>
    <w:rsid w:val="000C0C9D"/>
    <w:rsid w:val="000C117E"/>
    <w:rsid w:val="000C1192"/>
    <w:rsid w:val="000C1288"/>
    <w:rsid w:val="000C12A1"/>
    <w:rsid w:val="000C169B"/>
    <w:rsid w:val="000C1A36"/>
    <w:rsid w:val="000C1AD7"/>
    <w:rsid w:val="000C1CBF"/>
    <w:rsid w:val="000C1D5C"/>
    <w:rsid w:val="000C1D87"/>
    <w:rsid w:val="000C1DD0"/>
    <w:rsid w:val="000C2A1D"/>
    <w:rsid w:val="000C2B26"/>
    <w:rsid w:val="000C2C15"/>
    <w:rsid w:val="000C2FC8"/>
    <w:rsid w:val="000C3012"/>
    <w:rsid w:val="000C3305"/>
    <w:rsid w:val="000C335E"/>
    <w:rsid w:val="000C3509"/>
    <w:rsid w:val="000C35B5"/>
    <w:rsid w:val="000C3625"/>
    <w:rsid w:val="000C3978"/>
    <w:rsid w:val="000C3CAC"/>
    <w:rsid w:val="000C4174"/>
    <w:rsid w:val="000C433B"/>
    <w:rsid w:val="000C4354"/>
    <w:rsid w:val="000C44B0"/>
    <w:rsid w:val="000C44EF"/>
    <w:rsid w:val="000C4556"/>
    <w:rsid w:val="000C4ABE"/>
    <w:rsid w:val="000C4D05"/>
    <w:rsid w:val="000C4E96"/>
    <w:rsid w:val="000C5621"/>
    <w:rsid w:val="000C5626"/>
    <w:rsid w:val="000C56AA"/>
    <w:rsid w:val="000C5779"/>
    <w:rsid w:val="000C5B93"/>
    <w:rsid w:val="000C5D74"/>
    <w:rsid w:val="000C6170"/>
    <w:rsid w:val="000C63DB"/>
    <w:rsid w:val="000C66CD"/>
    <w:rsid w:val="000C66E7"/>
    <w:rsid w:val="000C67B5"/>
    <w:rsid w:val="000C6AFE"/>
    <w:rsid w:val="000C6C83"/>
    <w:rsid w:val="000C724F"/>
    <w:rsid w:val="000C73B4"/>
    <w:rsid w:val="000C74D1"/>
    <w:rsid w:val="000C74E0"/>
    <w:rsid w:val="000C7602"/>
    <w:rsid w:val="000C7CF2"/>
    <w:rsid w:val="000C7D6D"/>
    <w:rsid w:val="000C7E3F"/>
    <w:rsid w:val="000C7F7B"/>
    <w:rsid w:val="000D00BC"/>
    <w:rsid w:val="000D042C"/>
    <w:rsid w:val="000D05B6"/>
    <w:rsid w:val="000D063B"/>
    <w:rsid w:val="000D07A8"/>
    <w:rsid w:val="000D0C00"/>
    <w:rsid w:val="000D0DD2"/>
    <w:rsid w:val="000D1272"/>
    <w:rsid w:val="000D13E8"/>
    <w:rsid w:val="000D1896"/>
    <w:rsid w:val="000D1CE2"/>
    <w:rsid w:val="000D1F2A"/>
    <w:rsid w:val="000D22A4"/>
    <w:rsid w:val="000D2574"/>
    <w:rsid w:val="000D2A49"/>
    <w:rsid w:val="000D2C0F"/>
    <w:rsid w:val="000D2E7E"/>
    <w:rsid w:val="000D324C"/>
    <w:rsid w:val="000D37C2"/>
    <w:rsid w:val="000D3870"/>
    <w:rsid w:val="000D39D7"/>
    <w:rsid w:val="000D3AED"/>
    <w:rsid w:val="000D437D"/>
    <w:rsid w:val="000D44CF"/>
    <w:rsid w:val="000D45A5"/>
    <w:rsid w:val="000D4675"/>
    <w:rsid w:val="000D472D"/>
    <w:rsid w:val="000D4AD3"/>
    <w:rsid w:val="000D4B7E"/>
    <w:rsid w:val="000D4EFC"/>
    <w:rsid w:val="000D51A0"/>
    <w:rsid w:val="000D561E"/>
    <w:rsid w:val="000D564E"/>
    <w:rsid w:val="000D5910"/>
    <w:rsid w:val="000D6221"/>
    <w:rsid w:val="000D659A"/>
    <w:rsid w:val="000D6B32"/>
    <w:rsid w:val="000D6D2A"/>
    <w:rsid w:val="000D6D62"/>
    <w:rsid w:val="000D7152"/>
    <w:rsid w:val="000D7218"/>
    <w:rsid w:val="000D727C"/>
    <w:rsid w:val="000D7555"/>
    <w:rsid w:val="000D7680"/>
    <w:rsid w:val="000D76B6"/>
    <w:rsid w:val="000D773A"/>
    <w:rsid w:val="000D7AE8"/>
    <w:rsid w:val="000D7B5C"/>
    <w:rsid w:val="000D7C7C"/>
    <w:rsid w:val="000D7CAB"/>
    <w:rsid w:val="000D7DEC"/>
    <w:rsid w:val="000E01D6"/>
    <w:rsid w:val="000E0561"/>
    <w:rsid w:val="000E0675"/>
    <w:rsid w:val="000E0821"/>
    <w:rsid w:val="000E0981"/>
    <w:rsid w:val="000E0A13"/>
    <w:rsid w:val="000E0DF7"/>
    <w:rsid w:val="000E0E43"/>
    <w:rsid w:val="000E0F5C"/>
    <w:rsid w:val="000E132B"/>
    <w:rsid w:val="000E13C4"/>
    <w:rsid w:val="000E1AAA"/>
    <w:rsid w:val="000E1CC5"/>
    <w:rsid w:val="000E1DD4"/>
    <w:rsid w:val="000E1E3D"/>
    <w:rsid w:val="000E2063"/>
    <w:rsid w:val="000E2300"/>
    <w:rsid w:val="000E23C5"/>
    <w:rsid w:val="000E23F0"/>
    <w:rsid w:val="000E2448"/>
    <w:rsid w:val="000E2756"/>
    <w:rsid w:val="000E2759"/>
    <w:rsid w:val="000E28DD"/>
    <w:rsid w:val="000E302D"/>
    <w:rsid w:val="000E35AD"/>
    <w:rsid w:val="000E38B2"/>
    <w:rsid w:val="000E3AFD"/>
    <w:rsid w:val="000E3C49"/>
    <w:rsid w:val="000E432E"/>
    <w:rsid w:val="000E439D"/>
    <w:rsid w:val="000E451C"/>
    <w:rsid w:val="000E4B0F"/>
    <w:rsid w:val="000E4BD6"/>
    <w:rsid w:val="000E4BE5"/>
    <w:rsid w:val="000E4EF0"/>
    <w:rsid w:val="000E52FF"/>
    <w:rsid w:val="000E5553"/>
    <w:rsid w:val="000E5820"/>
    <w:rsid w:val="000E58EB"/>
    <w:rsid w:val="000E5CD4"/>
    <w:rsid w:val="000E5DF9"/>
    <w:rsid w:val="000E5FDB"/>
    <w:rsid w:val="000E60FC"/>
    <w:rsid w:val="000E616A"/>
    <w:rsid w:val="000E627E"/>
    <w:rsid w:val="000E6898"/>
    <w:rsid w:val="000E6FE9"/>
    <w:rsid w:val="000E77E1"/>
    <w:rsid w:val="000E7AC8"/>
    <w:rsid w:val="000E7ACA"/>
    <w:rsid w:val="000E7B8A"/>
    <w:rsid w:val="000E7B9B"/>
    <w:rsid w:val="000E7F0A"/>
    <w:rsid w:val="000F01AC"/>
    <w:rsid w:val="000F0814"/>
    <w:rsid w:val="000F0935"/>
    <w:rsid w:val="000F0AEF"/>
    <w:rsid w:val="000F0EC6"/>
    <w:rsid w:val="000F1029"/>
    <w:rsid w:val="000F1837"/>
    <w:rsid w:val="000F1BAD"/>
    <w:rsid w:val="000F2019"/>
    <w:rsid w:val="000F21CF"/>
    <w:rsid w:val="000F25CE"/>
    <w:rsid w:val="000F281F"/>
    <w:rsid w:val="000F2B3D"/>
    <w:rsid w:val="000F3315"/>
    <w:rsid w:val="000F34C2"/>
    <w:rsid w:val="000F36C7"/>
    <w:rsid w:val="000F36EF"/>
    <w:rsid w:val="000F3A67"/>
    <w:rsid w:val="000F3A95"/>
    <w:rsid w:val="000F3BB6"/>
    <w:rsid w:val="000F3C13"/>
    <w:rsid w:val="000F4315"/>
    <w:rsid w:val="000F43DE"/>
    <w:rsid w:val="000F4421"/>
    <w:rsid w:val="000F4A1A"/>
    <w:rsid w:val="000F4ADE"/>
    <w:rsid w:val="000F4AEC"/>
    <w:rsid w:val="000F4D8D"/>
    <w:rsid w:val="000F4FA9"/>
    <w:rsid w:val="000F5063"/>
    <w:rsid w:val="000F5284"/>
    <w:rsid w:val="000F578E"/>
    <w:rsid w:val="000F5878"/>
    <w:rsid w:val="000F5AA8"/>
    <w:rsid w:val="000F5BA8"/>
    <w:rsid w:val="000F5E86"/>
    <w:rsid w:val="000F6290"/>
    <w:rsid w:val="000F62D7"/>
    <w:rsid w:val="000F62FE"/>
    <w:rsid w:val="000F64B3"/>
    <w:rsid w:val="000F64F5"/>
    <w:rsid w:val="000F6935"/>
    <w:rsid w:val="000F6A39"/>
    <w:rsid w:val="000F6B3B"/>
    <w:rsid w:val="000F6C62"/>
    <w:rsid w:val="000F6DA9"/>
    <w:rsid w:val="000F7197"/>
    <w:rsid w:val="000F7473"/>
    <w:rsid w:val="000F74C8"/>
    <w:rsid w:val="000F7E15"/>
    <w:rsid w:val="00100127"/>
    <w:rsid w:val="00100554"/>
    <w:rsid w:val="0010059B"/>
    <w:rsid w:val="001005CA"/>
    <w:rsid w:val="0010097B"/>
    <w:rsid w:val="001009D2"/>
    <w:rsid w:val="00100D15"/>
    <w:rsid w:val="00100E10"/>
    <w:rsid w:val="0010101A"/>
    <w:rsid w:val="001016ED"/>
    <w:rsid w:val="0010194A"/>
    <w:rsid w:val="00101999"/>
    <w:rsid w:val="0010210B"/>
    <w:rsid w:val="00102126"/>
    <w:rsid w:val="00102409"/>
    <w:rsid w:val="001027A8"/>
    <w:rsid w:val="00102A8D"/>
    <w:rsid w:val="00102D59"/>
    <w:rsid w:val="00102F7D"/>
    <w:rsid w:val="00103AAF"/>
    <w:rsid w:val="00103D5B"/>
    <w:rsid w:val="001041B3"/>
    <w:rsid w:val="00104471"/>
    <w:rsid w:val="001045BA"/>
    <w:rsid w:val="001047FF"/>
    <w:rsid w:val="0010494D"/>
    <w:rsid w:val="00104B8F"/>
    <w:rsid w:val="00104C83"/>
    <w:rsid w:val="0010501B"/>
    <w:rsid w:val="00105184"/>
    <w:rsid w:val="00105202"/>
    <w:rsid w:val="0010522F"/>
    <w:rsid w:val="001052D2"/>
    <w:rsid w:val="00105419"/>
    <w:rsid w:val="00105A15"/>
    <w:rsid w:val="00105A43"/>
    <w:rsid w:val="00105B96"/>
    <w:rsid w:val="00105C22"/>
    <w:rsid w:val="00105C2C"/>
    <w:rsid w:val="00105CBC"/>
    <w:rsid w:val="00105F36"/>
    <w:rsid w:val="00106148"/>
    <w:rsid w:val="0010615D"/>
    <w:rsid w:val="00106300"/>
    <w:rsid w:val="00106469"/>
    <w:rsid w:val="00106693"/>
    <w:rsid w:val="001066ED"/>
    <w:rsid w:val="001069C0"/>
    <w:rsid w:val="00106AA7"/>
    <w:rsid w:val="0010749F"/>
    <w:rsid w:val="00107999"/>
    <w:rsid w:val="001079AC"/>
    <w:rsid w:val="00107DC9"/>
    <w:rsid w:val="00107F2B"/>
    <w:rsid w:val="001102E1"/>
    <w:rsid w:val="0011049D"/>
    <w:rsid w:val="0011065D"/>
    <w:rsid w:val="00110778"/>
    <w:rsid w:val="001107CA"/>
    <w:rsid w:val="0011082E"/>
    <w:rsid w:val="0011096B"/>
    <w:rsid w:val="00110C9A"/>
    <w:rsid w:val="0011138A"/>
    <w:rsid w:val="00111405"/>
    <w:rsid w:val="00111511"/>
    <w:rsid w:val="00111704"/>
    <w:rsid w:val="001117BB"/>
    <w:rsid w:val="0011184C"/>
    <w:rsid w:val="001119A8"/>
    <w:rsid w:val="00111BD7"/>
    <w:rsid w:val="00111F62"/>
    <w:rsid w:val="00112443"/>
    <w:rsid w:val="001125A0"/>
    <w:rsid w:val="00112A4C"/>
    <w:rsid w:val="00112DD0"/>
    <w:rsid w:val="00112E97"/>
    <w:rsid w:val="00113169"/>
    <w:rsid w:val="001137D6"/>
    <w:rsid w:val="001137ED"/>
    <w:rsid w:val="00113C7D"/>
    <w:rsid w:val="00113CF6"/>
    <w:rsid w:val="00113E0E"/>
    <w:rsid w:val="00113F85"/>
    <w:rsid w:val="00114601"/>
    <w:rsid w:val="0011475A"/>
    <w:rsid w:val="00114828"/>
    <w:rsid w:val="00114BE3"/>
    <w:rsid w:val="00115203"/>
    <w:rsid w:val="0011529C"/>
    <w:rsid w:val="001152B6"/>
    <w:rsid w:val="001152E2"/>
    <w:rsid w:val="0011543A"/>
    <w:rsid w:val="0011570F"/>
    <w:rsid w:val="00115AC5"/>
    <w:rsid w:val="00115D03"/>
    <w:rsid w:val="00116233"/>
    <w:rsid w:val="001165EE"/>
    <w:rsid w:val="00116A84"/>
    <w:rsid w:val="00116E04"/>
    <w:rsid w:val="00117212"/>
    <w:rsid w:val="00117239"/>
    <w:rsid w:val="001172E9"/>
    <w:rsid w:val="001174D8"/>
    <w:rsid w:val="001176E7"/>
    <w:rsid w:val="00117886"/>
    <w:rsid w:val="00117ACC"/>
    <w:rsid w:val="00117B17"/>
    <w:rsid w:val="00117BD9"/>
    <w:rsid w:val="00117C40"/>
    <w:rsid w:val="00117D3E"/>
    <w:rsid w:val="00117E84"/>
    <w:rsid w:val="00120140"/>
    <w:rsid w:val="001203D4"/>
    <w:rsid w:val="001203FF"/>
    <w:rsid w:val="00120473"/>
    <w:rsid w:val="001207D0"/>
    <w:rsid w:val="00120D02"/>
    <w:rsid w:val="00120E78"/>
    <w:rsid w:val="00120F96"/>
    <w:rsid w:val="00120FA7"/>
    <w:rsid w:val="001211FD"/>
    <w:rsid w:val="00121203"/>
    <w:rsid w:val="00121738"/>
    <w:rsid w:val="0012184A"/>
    <w:rsid w:val="001219F5"/>
    <w:rsid w:val="00121A1A"/>
    <w:rsid w:val="00121CFE"/>
    <w:rsid w:val="00121D70"/>
    <w:rsid w:val="00121F89"/>
    <w:rsid w:val="001227D0"/>
    <w:rsid w:val="00122855"/>
    <w:rsid w:val="00122A46"/>
    <w:rsid w:val="00122ABC"/>
    <w:rsid w:val="00122BF4"/>
    <w:rsid w:val="00122C56"/>
    <w:rsid w:val="00122D06"/>
    <w:rsid w:val="00123472"/>
    <w:rsid w:val="001235E8"/>
    <w:rsid w:val="00123A27"/>
    <w:rsid w:val="00124453"/>
    <w:rsid w:val="001247EC"/>
    <w:rsid w:val="001248AB"/>
    <w:rsid w:val="001248DA"/>
    <w:rsid w:val="00125046"/>
    <w:rsid w:val="001253C1"/>
    <w:rsid w:val="00125451"/>
    <w:rsid w:val="001256F3"/>
    <w:rsid w:val="00125732"/>
    <w:rsid w:val="00125BBA"/>
    <w:rsid w:val="00125DB3"/>
    <w:rsid w:val="00125E0B"/>
    <w:rsid w:val="00125F23"/>
    <w:rsid w:val="00125FF0"/>
    <w:rsid w:val="001261C4"/>
    <w:rsid w:val="00126508"/>
    <w:rsid w:val="0012699C"/>
    <w:rsid w:val="001269C4"/>
    <w:rsid w:val="001269F5"/>
    <w:rsid w:val="00126BBD"/>
    <w:rsid w:val="00126C18"/>
    <w:rsid w:val="001271F9"/>
    <w:rsid w:val="00127639"/>
    <w:rsid w:val="0012776B"/>
    <w:rsid w:val="00127EEF"/>
    <w:rsid w:val="00127F3E"/>
    <w:rsid w:val="00127FD7"/>
    <w:rsid w:val="0013050C"/>
    <w:rsid w:val="0013064B"/>
    <w:rsid w:val="00130662"/>
    <w:rsid w:val="00130689"/>
    <w:rsid w:val="00130858"/>
    <w:rsid w:val="001308B0"/>
    <w:rsid w:val="001309C0"/>
    <w:rsid w:val="00130A78"/>
    <w:rsid w:val="00130BD4"/>
    <w:rsid w:val="00130E8A"/>
    <w:rsid w:val="00131245"/>
    <w:rsid w:val="001312AE"/>
    <w:rsid w:val="0013177E"/>
    <w:rsid w:val="00131B14"/>
    <w:rsid w:val="00131B7F"/>
    <w:rsid w:val="00131D3A"/>
    <w:rsid w:val="00131D3C"/>
    <w:rsid w:val="00131D9E"/>
    <w:rsid w:val="00131E03"/>
    <w:rsid w:val="00131F90"/>
    <w:rsid w:val="0013222D"/>
    <w:rsid w:val="00132729"/>
    <w:rsid w:val="001327F8"/>
    <w:rsid w:val="00133114"/>
    <w:rsid w:val="0013374B"/>
    <w:rsid w:val="00133C3E"/>
    <w:rsid w:val="00133C67"/>
    <w:rsid w:val="00133E15"/>
    <w:rsid w:val="00133F3A"/>
    <w:rsid w:val="00134010"/>
    <w:rsid w:val="001346B2"/>
    <w:rsid w:val="001349E5"/>
    <w:rsid w:val="00134BCB"/>
    <w:rsid w:val="00134ED8"/>
    <w:rsid w:val="00134FC9"/>
    <w:rsid w:val="0013506C"/>
    <w:rsid w:val="001350E2"/>
    <w:rsid w:val="00135228"/>
    <w:rsid w:val="0013524E"/>
    <w:rsid w:val="00135499"/>
    <w:rsid w:val="00135EA2"/>
    <w:rsid w:val="001360CC"/>
    <w:rsid w:val="00136360"/>
    <w:rsid w:val="00136A9D"/>
    <w:rsid w:val="00136FC2"/>
    <w:rsid w:val="001372AD"/>
    <w:rsid w:val="00137362"/>
    <w:rsid w:val="001373E7"/>
    <w:rsid w:val="00137827"/>
    <w:rsid w:val="00137A65"/>
    <w:rsid w:val="001402B8"/>
    <w:rsid w:val="001405BC"/>
    <w:rsid w:val="00140F6D"/>
    <w:rsid w:val="00140FFF"/>
    <w:rsid w:val="001413D3"/>
    <w:rsid w:val="00141440"/>
    <w:rsid w:val="001414BB"/>
    <w:rsid w:val="00141AD1"/>
    <w:rsid w:val="00141D2E"/>
    <w:rsid w:val="00141E35"/>
    <w:rsid w:val="00141E36"/>
    <w:rsid w:val="00142628"/>
    <w:rsid w:val="0014272E"/>
    <w:rsid w:val="00142D79"/>
    <w:rsid w:val="00142EBA"/>
    <w:rsid w:val="0014338A"/>
    <w:rsid w:val="001434C2"/>
    <w:rsid w:val="00143BCA"/>
    <w:rsid w:val="00143BD6"/>
    <w:rsid w:val="00143EAA"/>
    <w:rsid w:val="00143EF7"/>
    <w:rsid w:val="00143F00"/>
    <w:rsid w:val="0014411A"/>
    <w:rsid w:val="0014425F"/>
    <w:rsid w:val="00144A4B"/>
    <w:rsid w:val="00144CF2"/>
    <w:rsid w:val="001450CB"/>
    <w:rsid w:val="00145182"/>
    <w:rsid w:val="001457E1"/>
    <w:rsid w:val="00145B05"/>
    <w:rsid w:val="00145B44"/>
    <w:rsid w:val="00145E5C"/>
    <w:rsid w:val="0014629B"/>
    <w:rsid w:val="00146758"/>
    <w:rsid w:val="001469A2"/>
    <w:rsid w:val="00146BDF"/>
    <w:rsid w:val="00146D41"/>
    <w:rsid w:val="00146E39"/>
    <w:rsid w:val="00147120"/>
    <w:rsid w:val="00147518"/>
    <w:rsid w:val="001478D2"/>
    <w:rsid w:val="001478D9"/>
    <w:rsid w:val="00147B90"/>
    <w:rsid w:val="00147BCA"/>
    <w:rsid w:val="00147D47"/>
    <w:rsid w:val="00147DEC"/>
    <w:rsid w:val="001502DD"/>
    <w:rsid w:val="00151236"/>
    <w:rsid w:val="0015128D"/>
    <w:rsid w:val="001512C8"/>
    <w:rsid w:val="0015150B"/>
    <w:rsid w:val="001518A9"/>
    <w:rsid w:val="00151C5D"/>
    <w:rsid w:val="00151EA8"/>
    <w:rsid w:val="0015219D"/>
    <w:rsid w:val="0015249D"/>
    <w:rsid w:val="001529AE"/>
    <w:rsid w:val="001529FA"/>
    <w:rsid w:val="00152D17"/>
    <w:rsid w:val="00152D68"/>
    <w:rsid w:val="001530CF"/>
    <w:rsid w:val="001530D8"/>
    <w:rsid w:val="001532DF"/>
    <w:rsid w:val="001532F4"/>
    <w:rsid w:val="00153560"/>
    <w:rsid w:val="00153A91"/>
    <w:rsid w:val="00153AA3"/>
    <w:rsid w:val="00153B4A"/>
    <w:rsid w:val="00154086"/>
    <w:rsid w:val="001540AB"/>
    <w:rsid w:val="0015426D"/>
    <w:rsid w:val="00154466"/>
    <w:rsid w:val="00154AE5"/>
    <w:rsid w:val="00154C42"/>
    <w:rsid w:val="00154CB2"/>
    <w:rsid w:val="00154D0B"/>
    <w:rsid w:val="00154DE6"/>
    <w:rsid w:val="00154E8D"/>
    <w:rsid w:val="00155014"/>
    <w:rsid w:val="00155851"/>
    <w:rsid w:val="001559AE"/>
    <w:rsid w:val="00155A52"/>
    <w:rsid w:val="00155D96"/>
    <w:rsid w:val="001561A8"/>
    <w:rsid w:val="00156229"/>
    <w:rsid w:val="00156362"/>
    <w:rsid w:val="0015640F"/>
    <w:rsid w:val="001567C2"/>
    <w:rsid w:val="00156A5E"/>
    <w:rsid w:val="00156A69"/>
    <w:rsid w:val="00156BDA"/>
    <w:rsid w:val="00156E07"/>
    <w:rsid w:val="00156FA6"/>
    <w:rsid w:val="0015704E"/>
    <w:rsid w:val="001570D4"/>
    <w:rsid w:val="001570F4"/>
    <w:rsid w:val="001577D9"/>
    <w:rsid w:val="00157A05"/>
    <w:rsid w:val="00157B75"/>
    <w:rsid w:val="00157F1D"/>
    <w:rsid w:val="00157FA2"/>
    <w:rsid w:val="001601BB"/>
    <w:rsid w:val="0016049D"/>
    <w:rsid w:val="00160AD9"/>
    <w:rsid w:val="00160B6D"/>
    <w:rsid w:val="00160DCF"/>
    <w:rsid w:val="001610E1"/>
    <w:rsid w:val="001613CD"/>
    <w:rsid w:val="001615F1"/>
    <w:rsid w:val="001618C1"/>
    <w:rsid w:val="0016190E"/>
    <w:rsid w:val="00161B21"/>
    <w:rsid w:val="001621B3"/>
    <w:rsid w:val="0016224D"/>
    <w:rsid w:val="0016248E"/>
    <w:rsid w:val="0016266A"/>
    <w:rsid w:val="001628C7"/>
    <w:rsid w:val="00162CAE"/>
    <w:rsid w:val="00163216"/>
    <w:rsid w:val="00163858"/>
    <w:rsid w:val="00163CB6"/>
    <w:rsid w:val="00163D9F"/>
    <w:rsid w:val="00163F3E"/>
    <w:rsid w:val="00164043"/>
    <w:rsid w:val="001641D6"/>
    <w:rsid w:val="001641F4"/>
    <w:rsid w:val="001643C3"/>
    <w:rsid w:val="0016459E"/>
    <w:rsid w:val="0016476E"/>
    <w:rsid w:val="001647DB"/>
    <w:rsid w:val="001648E1"/>
    <w:rsid w:val="00164B96"/>
    <w:rsid w:val="0016515E"/>
    <w:rsid w:val="001652B6"/>
    <w:rsid w:val="00165B93"/>
    <w:rsid w:val="0016611A"/>
    <w:rsid w:val="00166382"/>
    <w:rsid w:val="00166574"/>
    <w:rsid w:val="001666A2"/>
    <w:rsid w:val="001667CE"/>
    <w:rsid w:val="00166AD8"/>
    <w:rsid w:val="00166B2F"/>
    <w:rsid w:val="00166C98"/>
    <w:rsid w:val="00166D51"/>
    <w:rsid w:val="00166D90"/>
    <w:rsid w:val="00167308"/>
    <w:rsid w:val="00167422"/>
    <w:rsid w:val="001675AC"/>
    <w:rsid w:val="001678CD"/>
    <w:rsid w:val="00167946"/>
    <w:rsid w:val="00167986"/>
    <w:rsid w:val="00167C93"/>
    <w:rsid w:val="00170451"/>
    <w:rsid w:val="0017045F"/>
    <w:rsid w:val="001704EB"/>
    <w:rsid w:val="00170579"/>
    <w:rsid w:val="00170594"/>
    <w:rsid w:val="00170830"/>
    <w:rsid w:val="001708EC"/>
    <w:rsid w:val="001709E4"/>
    <w:rsid w:val="00170A36"/>
    <w:rsid w:val="00170BAA"/>
    <w:rsid w:val="00170E87"/>
    <w:rsid w:val="00170FB2"/>
    <w:rsid w:val="00170FDA"/>
    <w:rsid w:val="0017109A"/>
    <w:rsid w:val="001712CD"/>
    <w:rsid w:val="00171427"/>
    <w:rsid w:val="001715D6"/>
    <w:rsid w:val="00171ADE"/>
    <w:rsid w:val="00171B01"/>
    <w:rsid w:val="00171C3C"/>
    <w:rsid w:val="00171C91"/>
    <w:rsid w:val="0017215C"/>
    <w:rsid w:val="00172203"/>
    <w:rsid w:val="001722B4"/>
    <w:rsid w:val="00172862"/>
    <w:rsid w:val="00172B90"/>
    <w:rsid w:val="00172C14"/>
    <w:rsid w:val="00172F7B"/>
    <w:rsid w:val="00173194"/>
    <w:rsid w:val="00173218"/>
    <w:rsid w:val="001737D4"/>
    <w:rsid w:val="00173A82"/>
    <w:rsid w:val="00173A9A"/>
    <w:rsid w:val="00173B1C"/>
    <w:rsid w:val="00173B4F"/>
    <w:rsid w:val="00173E3F"/>
    <w:rsid w:val="00174492"/>
    <w:rsid w:val="001744CB"/>
    <w:rsid w:val="001747C9"/>
    <w:rsid w:val="00174885"/>
    <w:rsid w:val="00174B82"/>
    <w:rsid w:val="00174C2A"/>
    <w:rsid w:val="00174C67"/>
    <w:rsid w:val="00174CED"/>
    <w:rsid w:val="00175366"/>
    <w:rsid w:val="001754EE"/>
    <w:rsid w:val="00175601"/>
    <w:rsid w:val="001756B5"/>
    <w:rsid w:val="00175A6E"/>
    <w:rsid w:val="00175AB7"/>
    <w:rsid w:val="001767DC"/>
    <w:rsid w:val="001768CE"/>
    <w:rsid w:val="00176927"/>
    <w:rsid w:val="00176973"/>
    <w:rsid w:val="00176CCD"/>
    <w:rsid w:val="00176DF2"/>
    <w:rsid w:val="00176DF9"/>
    <w:rsid w:val="0017741B"/>
    <w:rsid w:val="001776BD"/>
    <w:rsid w:val="00177C61"/>
    <w:rsid w:val="00177CB3"/>
    <w:rsid w:val="00177E17"/>
    <w:rsid w:val="001802FD"/>
    <w:rsid w:val="001805FB"/>
    <w:rsid w:val="00180A73"/>
    <w:rsid w:val="001813C9"/>
    <w:rsid w:val="001815B7"/>
    <w:rsid w:val="001815EE"/>
    <w:rsid w:val="001815FF"/>
    <w:rsid w:val="001816B2"/>
    <w:rsid w:val="00181B59"/>
    <w:rsid w:val="00181BE6"/>
    <w:rsid w:val="00181EDA"/>
    <w:rsid w:val="00182056"/>
    <w:rsid w:val="001829CD"/>
    <w:rsid w:val="00182A98"/>
    <w:rsid w:val="00182CB3"/>
    <w:rsid w:val="00182E4B"/>
    <w:rsid w:val="00182F04"/>
    <w:rsid w:val="00182FE3"/>
    <w:rsid w:val="001830D3"/>
    <w:rsid w:val="0018310C"/>
    <w:rsid w:val="001833F7"/>
    <w:rsid w:val="00183482"/>
    <w:rsid w:val="001836CB"/>
    <w:rsid w:val="001839E1"/>
    <w:rsid w:val="00183C4A"/>
    <w:rsid w:val="00183DB5"/>
    <w:rsid w:val="00183DF8"/>
    <w:rsid w:val="0018413D"/>
    <w:rsid w:val="001842B5"/>
    <w:rsid w:val="00184556"/>
    <w:rsid w:val="00184744"/>
    <w:rsid w:val="001847D7"/>
    <w:rsid w:val="00184843"/>
    <w:rsid w:val="00184ACE"/>
    <w:rsid w:val="0018508E"/>
    <w:rsid w:val="00185769"/>
    <w:rsid w:val="001858B3"/>
    <w:rsid w:val="00185B7F"/>
    <w:rsid w:val="00185EC0"/>
    <w:rsid w:val="00185F2C"/>
    <w:rsid w:val="001867AF"/>
    <w:rsid w:val="001868DA"/>
    <w:rsid w:val="00186C49"/>
    <w:rsid w:val="00186D93"/>
    <w:rsid w:val="00186E8B"/>
    <w:rsid w:val="00186ED8"/>
    <w:rsid w:val="001870AC"/>
    <w:rsid w:val="001873B1"/>
    <w:rsid w:val="001873F9"/>
    <w:rsid w:val="001874C9"/>
    <w:rsid w:val="0018772B"/>
    <w:rsid w:val="00187D92"/>
    <w:rsid w:val="00187DE3"/>
    <w:rsid w:val="00190606"/>
    <w:rsid w:val="00190993"/>
    <w:rsid w:val="00190A50"/>
    <w:rsid w:val="00190B1C"/>
    <w:rsid w:val="00190B4A"/>
    <w:rsid w:val="00190D01"/>
    <w:rsid w:val="00190F9C"/>
    <w:rsid w:val="00191404"/>
    <w:rsid w:val="0019144F"/>
    <w:rsid w:val="00191486"/>
    <w:rsid w:val="0019164B"/>
    <w:rsid w:val="00191656"/>
    <w:rsid w:val="001916AF"/>
    <w:rsid w:val="00191A17"/>
    <w:rsid w:val="00191E6B"/>
    <w:rsid w:val="00191F56"/>
    <w:rsid w:val="00191F71"/>
    <w:rsid w:val="0019211D"/>
    <w:rsid w:val="00192244"/>
    <w:rsid w:val="00192404"/>
    <w:rsid w:val="001924CE"/>
    <w:rsid w:val="001924D2"/>
    <w:rsid w:val="0019259C"/>
    <w:rsid w:val="001925D6"/>
    <w:rsid w:val="001927BE"/>
    <w:rsid w:val="0019295D"/>
    <w:rsid w:val="00192AB7"/>
    <w:rsid w:val="00192D37"/>
    <w:rsid w:val="00192F08"/>
    <w:rsid w:val="00192FB0"/>
    <w:rsid w:val="001935D8"/>
    <w:rsid w:val="001937EC"/>
    <w:rsid w:val="00193B41"/>
    <w:rsid w:val="00193BE6"/>
    <w:rsid w:val="00194193"/>
    <w:rsid w:val="001941A4"/>
    <w:rsid w:val="00194221"/>
    <w:rsid w:val="00194247"/>
    <w:rsid w:val="00194B60"/>
    <w:rsid w:val="00194C90"/>
    <w:rsid w:val="00194DE1"/>
    <w:rsid w:val="00194DF4"/>
    <w:rsid w:val="00194E73"/>
    <w:rsid w:val="00195333"/>
    <w:rsid w:val="0019535C"/>
    <w:rsid w:val="00195362"/>
    <w:rsid w:val="0019557E"/>
    <w:rsid w:val="001959B3"/>
    <w:rsid w:val="001959F3"/>
    <w:rsid w:val="00195D66"/>
    <w:rsid w:val="00195D97"/>
    <w:rsid w:val="00195E92"/>
    <w:rsid w:val="00196674"/>
    <w:rsid w:val="0019684C"/>
    <w:rsid w:val="0019693D"/>
    <w:rsid w:val="00196EC7"/>
    <w:rsid w:val="00196F4D"/>
    <w:rsid w:val="00196F63"/>
    <w:rsid w:val="00197599"/>
    <w:rsid w:val="0019765E"/>
    <w:rsid w:val="00197989"/>
    <w:rsid w:val="00197A90"/>
    <w:rsid w:val="00197FFA"/>
    <w:rsid w:val="001A0107"/>
    <w:rsid w:val="001A048B"/>
    <w:rsid w:val="001A04CC"/>
    <w:rsid w:val="001A06D6"/>
    <w:rsid w:val="001A07AC"/>
    <w:rsid w:val="001A0AA5"/>
    <w:rsid w:val="001A0F22"/>
    <w:rsid w:val="001A0FBE"/>
    <w:rsid w:val="001A1139"/>
    <w:rsid w:val="001A1322"/>
    <w:rsid w:val="001A13A5"/>
    <w:rsid w:val="001A1ABC"/>
    <w:rsid w:val="001A1EE0"/>
    <w:rsid w:val="001A20B2"/>
    <w:rsid w:val="001A236A"/>
    <w:rsid w:val="001A2405"/>
    <w:rsid w:val="001A255C"/>
    <w:rsid w:val="001A261A"/>
    <w:rsid w:val="001A267D"/>
    <w:rsid w:val="001A26D5"/>
    <w:rsid w:val="001A26D9"/>
    <w:rsid w:val="001A29C4"/>
    <w:rsid w:val="001A2A98"/>
    <w:rsid w:val="001A2DD5"/>
    <w:rsid w:val="001A2E95"/>
    <w:rsid w:val="001A2E9B"/>
    <w:rsid w:val="001A324E"/>
    <w:rsid w:val="001A3B55"/>
    <w:rsid w:val="001A3BA8"/>
    <w:rsid w:val="001A4462"/>
    <w:rsid w:val="001A45BC"/>
    <w:rsid w:val="001A4752"/>
    <w:rsid w:val="001A4CB5"/>
    <w:rsid w:val="001A53EE"/>
    <w:rsid w:val="001A5B94"/>
    <w:rsid w:val="001A5BDA"/>
    <w:rsid w:val="001A5BEC"/>
    <w:rsid w:val="001A5D69"/>
    <w:rsid w:val="001A60C4"/>
    <w:rsid w:val="001A6374"/>
    <w:rsid w:val="001A63A6"/>
    <w:rsid w:val="001A63AD"/>
    <w:rsid w:val="001A66BA"/>
    <w:rsid w:val="001A6AC5"/>
    <w:rsid w:val="001A6BE3"/>
    <w:rsid w:val="001A6FC8"/>
    <w:rsid w:val="001A7170"/>
    <w:rsid w:val="001A7702"/>
    <w:rsid w:val="001A771A"/>
    <w:rsid w:val="001A7784"/>
    <w:rsid w:val="001A77FB"/>
    <w:rsid w:val="001A7921"/>
    <w:rsid w:val="001A7B4E"/>
    <w:rsid w:val="001A7B6F"/>
    <w:rsid w:val="001A7D53"/>
    <w:rsid w:val="001A7F6C"/>
    <w:rsid w:val="001B0066"/>
    <w:rsid w:val="001B010E"/>
    <w:rsid w:val="001B03D4"/>
    <w:rsid w:val="001B03DF"/>
    <w:rsid w:val="001B05F3"/>
    <w:rsid w:val="001B0647"/>
    <w:rsid w:val="001B0C74"/>
    <w:rsid w:val="001B0CBC"/>
    <w:rsid w:val="001B1423"/>
    <w:rsid w:val="001B15ED"/>
    <w:rsid w:val="001B162B"/>
    <w:rsid w:val="001B16BA"/>
    <w:rsid w:val="001B19A9"/>
    <w:rsid w:val="001B19D1"/>
    <w:rsid w:val="001B1AD3"/>
    <w:rsid w:val="001B1C20"/>
    <w:rsid w:val="001B1CBE"/>
    <w:rsid w:val="001B1F6A"/>
    <w:rsid w:val="001B1FFF"/>
    <w:rsid w:val="001B21B7"/>
    <w:rsid w:val="001B21DF"/>
    <w:rsid w:val="001B2476"/>
    <w:rsid w:val="001B26D4"/>
    <w:rsid w:val="001B2701"/>
    <w:rsid w:val="001B2BEE"/>
    <w:rsid w:val="001B35E4"/>
    <w:rsid w:val="001B396E"/>
    <w:rsid w:val="001B3B06"/>
    <w:rsid w:val="001B3D94"/>
    <w:rsid w:val="001B3E65"/>
    <w:rsid w:val="001B3FFD"/>
    <w:rsid w:val="001B429F"/>
    <w:rsid w:val="001B4414"/>
    <w:rsid w:val="001B4621"/>
    <w:rsid w:val="001B47FA"/>
    <w:rsid w:val="001B48B3"/>
    <w:rsid w:val="001B4AB6"/>
    <w:rsid w:val="001B4BDE"/>
    <w:rsid w:val="001B4C49"/>
    <w:rsid w:val="001B4D13"/>
    <w:rsid w:val="001B4DF5"/>
    <w:rsid w:val="001B5021"/>
    <w:rsid w:val="001B5119"/>
    <w:rsid w:val="001B5196"/>
    <w:rsid w:val="001B58A1"/>
    <w:rsid w:val="001B596B"/>
    <w:rsid w:val="001B5AA6"/>
    <w:rsid w:val="001B5F99"/>
    <w:rsid w:val="001B60EA"/>
    <w:rsid w:val="001B638E"/>
    <w:rsid w:val="001B6F09"/>
    <w:rsid w:val="001B705C"/>
    <w:rsid w:val="001B748F"/>
    <w:rsid w:val="001B7582"/>
    <w:rsid w:val="001B764F"/>
    <w:rsid w:val="001B7901"/>
    <w:rsid w:val="001B7EE4"/>
    <w:rsid w:val="001C01EA"/>
    <w:rsid w:val="001C02E4"/>
    <w:rsid w:val="001C0491"/>
    <w:rsid w:val="001C0710"/>
    <w:rsid w:val="001C08C6"/>
    <w:rsid w:val="001C0AFF"/>
    <w:rsid w:val="001C0B61"/>
    <w:rsid w:val="001C0D99"/>
    <w:rsid w:val="001C0EA1"/>
    <w:rsid w:val="001C138F"/>
    <w:rsid w:val="001C1671"/>
    <w:rsid w:val="001C1A64"/>
    <w:rsid w:val="001C1C01"/>
    <w:rsid w:val="001C1C0B"/>
    <w:rsid w:val="001C1EBD"/>
    <w:rsid w:val="001C22BA"/>
    <w:rsid w:val="001C238E"/>
    <w:rsid w:val="001C2872"/>
    <w:rsid w:val="001C2B31"/>
    <w:rsid w:val="001C2E2A"/>
    <w:rsid w:val="001C2FEC"/>
    <w:rsid w:val="001C33B7"/>
    <w:rsid w:val="001C3469"/>
    <w:rsid w:val="001C3480"/>
    <w:rsid w:val="001C349B"/>
    <w:rsid w:val="001C36C3"/>
    <w:rsid w:val="001C36D0"/>
    <w:rsid w:val="001C380C"/>
    <w:rsid w:val="001C38B2"/>
    <w:rsid w:val="001C417D"/>
    <w:rsid w:val="001C41DF"/>
    <w:rsid w:val="001C4321"/>
    <w:rsid w:val="001C433F"/>
    <w:rsid w:val="001C4544"/>
    <w:rsid w:val="001C4CC7"/>
    <w:rsid w:val="001C4EBC"/>
    <w:rsid w:val="001C517E"/>
    <w:rsid w:val="001C5496"/>
    <w:rsid w:val="001C5540"/>
    <w:rsid w:val="001C5C05"/>
    <w:rsid w:val="001C5EFB"/>
    <w:rsid w:val="001C65B8"/>
    <w:rsid w:val="001C6675"/>
    <w:rsid w:val="001C698B"/>
    <w:rsid w:val="001C6B20"/>
    <w:rsid w:val="001C6B48"/>
    <w:rsid w:val="001C6DF3"/>
    <w:rsid w:val="001C6FB6"/>
    <w:rsid w:val="001C75A5"/>
    <w:rsid w:val="001C76D9"/>
    <w:rsid w:val="001C773D"/>
    <w:rsid w:val="001C7866"/>
    <w:rsid w:val="001C78EA"/>
    <w:rsid w:val="001C79D1"/>
    <w:rsid w:val="001C7CDE"/>
    <w:rsid w:val="001C7F8C"/>
    <w:rsid w:val="001D0058"/>
    <w:rsid w:val="001D00FB"/>
    <w:rsid w:val="001D041F"/>
    <w:rsid w:val="001D0576"/>
    <w:rsid w:val="001D062F"/>
    <w:rsid w:val="001D07DC"/>
    <w:rsid w:val="001D095A"/>
    <w:rsid w:val="001D0BFE"/>
    <w:rsid w:val="001D0CFF"/>
    <w:rsid w:val="001D0D86"/>
    <w:rsid w:val="001D0EBC"/>
    <w:rsid w:val="001D14DA"/>
    <w:rsid w:val="001D171E"/>
    <w:rsid w:val="001D19C4"/>
    <w:rsid w:val="001D2003"/>
    <w:rsid w:val="001D2187"/>
    <w:rsid w:val="001D22BC"/>
    <w:rsid w:val="001D23A0"/>
    <w:rsid w:val="001D295A"/>
    <w:rsid w:val="001D2A99"/>
    <w:rsid w:val="001D32AE"/>
    <w:rsid w:val="001D337A"/>
    <w:rsid w:val="001D3444"/>
    <w:rsid w:val="001D35E2"/>
    <w:rsid w:val="001D36A6"/>
    <w:rsid w:val="001D37B0"/>
    <w:rsid w:val="001D3C66"/>
    <w:rsid w:val="001D3D13"/>
    <w:rsid w:val="001D3D5F"/>
    <w:rsid w:val="001D3F0B"/>
    <w:rsid w:val="001D42D7"/>
    <w:rsid w:val="001D47B4"/>
    <w:rsid w:val="001D47F3"/>
    <w:rsid w:val="001D4AB6"/>
    <w:rsid w:val="001D4F8A"/>
    <w:rsid w:val="001D5045"/>
    <w:rsid w:val="001D5113"/>
    <w:rsid w:val="001D5256"/>
    <w:rsid w:val="001D52BA"/>
    <w:rsid w:val="001D53AF"/>
    <w:rsid w:val="001D58EC"/>
    <w:rsid w:val="001D592A"/>
    <w:rsid w:val="001D5C6B"/>
    <w:rsid w:val="001D63D2"/>
    <w:rsid w:val="001D63F0"/>
    <w:rsid w:val="001D64B1"/>
    <w:rsid w:val="001D652C"/>
    <w:rsid w:val="001D6A65"/>
    <w:rsid w:val="001D6DF4"/>
    <w:rsid w:val="001D6EEC"/>
    <w:rsid w:val="001D6F47"/>
    <w:rsid w:val="001D6FAE"/>
    <w:rsid w:val="001D7318"/>
    <w:rsid w:val="001D7429"/>
    <w:rsid w:val="001D769E"/>
    <w:rsid w:val="001D78FF"/>
    <w:rsid w:val="001D7AC8"/>
    <w:rsid w:val="001D7AF6"/>
    <w:rsid w:val="001D7C9E"/>
    <w:rsid w:val="001D7CA1"/>
    <w:rsid w:val="001D7D87"/>
    <w:rsid w:val="001D7E76"/>
    <w:rsid w:val="001D7F5A"/>
    <w:rsid w:val="001D7FA8"/>
    <w:rsid w:val="001E0038"/>
    <w:rsid w:val="001E05B1"/>
    <w:rsid w:val="001E0A27"/>
    <w:rsid w:val="001E0BAC"/>
    <w:rsid w:val="001E1116"/>
    <w:rsid w:val="001E1128"/>
    <w:rsid w:val="001E1394"/>
    <w:rsid w:val="001E16FD"/>
    <w:rsid w:val="001E190D"/>
    <w:rsid w:val="001E191B"/>
    <w:rsid w:val="001E19EB"/>
    <w:rsid w:val="001E1BA1"/>
    <w:rsid w:val="001E1F90"/>
    <w:rsid w:val="001E237B"/>
    <w:rsid w:val="001E2397"/>
    <w:rsid w:val="001E261F"/>
    <w:rsid w:val="001E27EC"/>
    <w:rsid w:val="001E3591"/>
    <w:rsid w:val="001E3709"/>
    <w:rsid w:val="001E37C2"/>
    <w:rsid w:val="001E3888"/>
    <w:rsid w:val="001E3982"/>
    <w:rsid w:val="001E3AB1"/>
    <w:rsid w:val="001E3BD5"/>
    <w:rsid w:val="001E3BFF"/>
    <w:rsid w:val="001E439E"/>
    <w:rsid w:val="001E46CB"/>
    <w:rsid w:val="001E4787"/>
    <w:rsid w:val="001E50F1"/>
    <w:rsid w:val="001E521C"/>
    <w:rsid w:val="001E52EC"/>
    <w:rsid w:val="001E53EB"/>
    <w:rsid w:val="001E5663"/>
    <w:rsid w:val="001E573C"/>
    <w:rsid w:val="001E5B7F"/>
    <w:rsid w:val="001E5F02"/>
    <w:rsid w:val="001E5F0B"/>
    <w:rsid w:val="001E5F15"/>
    <w:rsid w:val="001E6161"/>
    <w:rsid w:val="001E62FA"/>
    <w:rsid w:val="001E6341"/>
    <w:rsid w:val="001E6431"/>
    <w:rsid w:val="001E6776"/>
    <w:rsid w:val="001E694A"/>
    <w:rsid w:val="001E6D68"/>
    <w:rsid w:val="001E6F92"/>
    <w:rsid w:val="001E74B6"/>
    <w:rsid w:val="001E777A"/>
    <w:rsid w:val="001E7AD4"/>
    <w:rsid w:val="001E7B6C"/>
    <w:rsid w:val="001E7CBB"/>
    <w:rsid w:val="001E7E2E"/>
    <w:rsid w:val="001F0091"/>
    <w:rsid w:val="001F01B9"/>
    <w:rsid w:val="001F0406"/>
    <w:rsid w:val="001F04AC"/>
    <w:rsid w:val="001F056B"/>
    <w:rsid w:val="001F07F0"/>
    <w:rsid w:val="001F09DE"/>
    <w:rsid w:val="001F0AE0"/>
    <w:rsid w:val="001F0C65"/>
    <w:rsid w:val="001F140D"/>
    <w:rsid w:val="001F1481"/>
    <w:rsid w:val="001F15D4"/>
    <w:rsid w:val="001F1739"/>
    <w:rsid w:val="001F1BF5"/>
    <w:rsid w:val="001F1E60"/>
    <w:rsid w:val="001F1ED0"/>
    <w:rsid w:val="001F2517"/>
    <w:rsid w:val="001F25B4"/>
    <w:rsid w:val="001F29A1"/>
    <w:rsid w:val="001F2CAC"/>
    <w:rsid w:val="001F349A"/>
    <w:rsid w:val="001F37FF"/>
    <w:rsid w:val="001F3974"/>
    <w:rsid w:val="001F3CC7"/>
    <w:rsid w:val="001F3CDB"/>
    <w:rsid w:val="001F3CDE"/>
    <w:rsid w:val="001F3DBB"/>
    <w:rsid w:val="001F3E62"/>
    <w:rsid w:val="001F3F7C"/>
    <w:rsid w:val="001F4166"/>
    <w:rsid w:val="001F431E"/>
    <w:rsid w:val="001F43F9"/>
    <w:rsid w:val="001F462E"/>
    <w:rsid w:val="001F4657"/>
    <w:rsid w:val="001F48ED"/>
    <w:rsid w:val="001F4CC0"/>
    <w:rsid w:val="001F4DEB"/>
    <w:rsid w:val="001F4F71"/>
    <w:rsid w:val="001F5102"/>
    <w:rsid w:val="001F51CE"/>
    <w:rsid w:val="001F5251"/>
    <w:rsid w:val="001F52AE"/>
    <w:rsid w:val="001F53DF"/>
    <w:rsid w:val="001F5858"/>
    <w:rsid w:val="001F5913"/>
    <w:rsid w:val="001F591E"/>
    <w:rsid w:val="001F5A12"/>
    <w:rsid w:val="001F5B6E"/>
    <w:rsid w:val="001F5C35"/>
    <w:rsid w:val="001F5D13"/>
    <w:rsid w:val="001F608B"/>
    <w:rsid w:val="001F61B6"/>
    <w:rsid w:val="001F67B2"/>
    <w:rsid w:val="001F6839"/>
    <w:rsid w:val="001F68DD"/>
    <w:rsid w:val="001F6B2E"/>
    <w:rsid w:val="001F6B4D"/>
    <w:rsid w:val="001F6C8B"/>
    <w:rsid w:val="001F6CCB"/>
    <w:rsid w:val="001F6D7B"/>
    <w:rsid w:val="001F7024"/>
    <w:rsid w:val="001F742E"/>
    <w:rsid w:val="001F7434"/>
    <w:rsid w:val="001F750D"/>
    <w:rsid w:val="001F76AB"/>
    <w:rsid w:val="001F77A9"/>
    <w:rsid w:val="001F7CFC"/>
    <w:rsid w:val="001F7DDE"/>
    <w:rsid w:val="00200093"/>
    <w:rsid w:val="002001BD"/>
    <w:rsid w:val="0020028C"/>
    <w:rsid w:val="002002EC"/>
    <w:rsid w:val="00200672"/>
    <w:rsid w:val="00200911"/>
    <w:rsid w:val="00200F90"/>
    <w:rsid w:val="002012CA"/>
    <w:rsid w:val="00201685"/>
    <w:rsid w:val="00201F9F"/>
    <w:rsid w:val="0020212B"/>
    <w:rsid w:val="00202C2B"/>
    <w:rsid w:val="00202D5A"/>
    <w:rsid w:val="00202E0C"/>
    <w:rsid w:val="0020302E"/>
    <w:rsid w:val="0020313A"/>
    <w:rsid w:val="002034C9"/>
    <w:rsid w:val="00203529"/>
    <w:rsid w:val="00203797"/>
    <w:rsid w:val="00203CA4"/>
    <w:rsid w:val="00203CCC"/>
    <w:rsid w:val="002041E8"/>
    <w:rsid w:val="002044AF"/>
    <w:rsid w:val="00204823"/>
    <w:rsid w:val="0020488C"/>
    <w:rsid w:val="00204AFF"/>
    <w:rsid w:val="00204BEC"/>
    <w:rsid w:val="00204BFA"/>
    <w:rsid w:val="00204D33"/>
    <w:rsid w:val="00204D6E"/>
    <w:rsid w:val="00204D88"/>
    <w:rsid w:val="0020539D"/>
    <w:rsid w:val="002053E8"/>
    <w:rsid w:val="002054F1"/>
    <w:rsid w:val="002055EB"/>
    <w:rsid w:val="00205BD1"/>
    <w:rsid w:val="00205C6F"/>
    <w:rsid w:val="00205D5F"/>
    <w:rsid w:val="00205FAF"/>
    <w:rsid w:val="00206898"/>
    <w:rsid w:val="002068F7"/>
    <w:rsid w:val="002069A1"/>
    <w:rsid w:val="002069F6"/>
    <w:rsid w:val="00206C8F"/>
    <w:rsid w:val="00206CEE"/>
    <w:rsid w:val="00206DCA"/>
    <w:rsid w:val="00206FCE"/>
    <w:rsid w:val="002072B0"/>
    <w:rsid w:val="002073EC"/>
    <w:rsid w:val="002076D9"/>
    <w:rsid w:val="0020772A"/>
    <w:rsid w:val="00207816"/>
    <w:rsid w:val="00207F79"/>
    <w:rsid w:val="0021014A"/>
    <w:rsid w:val="002102D8"/>
    <w:rsid w:val="0021042E"/>
    <w:rsid w:val="00210628"/>
    <w:rsid w:val="002106F9"/>
    <w:rsid w:val="002107F6"/>
    <w:rsid w:val="0021081B"/>
    <w:rsid w:val="00210994"/>
    <w:rsid w:val="00210BBD"/>
    <w:rsid w:val="00210C27"/>
    <w:rsid w:val="002110CA"/>
    <w:rsid w:val="00211560"/>
    <w:rsid w:val="002115F8"/>
    <w:rsid w:val="00211D11"/>
    <w:rsid w:val="00211DF1"/>
    <w:rsid w:val="00211F00"/>
    <w:rsid w:val="00211F86"/>
    <w:rsid w:val="00211FAE"/>
    <w:rsid w:val="002121A4"/>
    <w:rsid w:val="002122B8"/>
    <w:rsid w:val="002125C0"/>
    <w:rsid w:val="00212694"/>
    <w:rsid w:val="002126C1"/>
    <w:rsid w:val="00212948"/>
    <w:rsid w:val="00212ABD"/>
    <w:rsid w:val="00212EE8"/>
    <w:rsid w:val="002131BD"/>
    <w:rsid w:val="002136AB"/>
    <w:rsid w:val="002136BB"/>
    <w:rsid w:val="00213BA3"/>
    <w:rsid w:val="00213BD1"/>
    <w:rsid w:val="00214071"/>
    <w:rsid w:val="0021408B"/>
    <w:rsid w:val="002142CE"/>
    <w:rsid w:val="0021459A"/>
    <w:rsid w:val="00214A40"/>
    <w:rsid w:val="00214C25"/>
    <w:rsid w:val="00214F21"/>
    <w:rsid w:val="00214F76"/>
    <w:rsid w:val="00215B36"/>
    <w:rsid w:val="00215C2F"/>
    <w:rsid w:val="00215CDE"/>
    <w:rsid w:val="00215D9B"/>
    <w:rsid w:val="0021601A"/>
    <w:rsid w:val="002160DC"/>
    <w:rsid w:val="002163D8"/>
    <w:rsid w:val="002165BC"/>
    <w:rsid w:val="002166D9"/>
    <w:rsid w:val="00216927"/>
    <w:rsid w:val="00216AD8"/>
    <w:rsid w:val="00216BDA"/>
    <w:rsid w:val="00216C35"/>
    <w:rsid w:val="00216D9F"/>
    <w:rsid w:val="0021702D"/>
    <w:rsid w:val="002173AE"/>
    <w:rsid w:val="002173C7"/>
    <w:rsid w:val="0021744C"/>
    <w:rsid w:val="0021764A"/>
    <w:rsid w:val="002178AB"/>
    <w:rsid w:val="00217921"/>
    <w:rsid w:val="002179B2"/>
    <w:rsid w:val="00217A37"/>
    <w:rsid w:val="00217C0E"/>
    <w:rsid w:val="00217DFB"/>
    <w:rsid w:val="00217F0B"/>
    <w:rsid w:val="002208C1"/>
    <w:rsid w:val="00220A3E"/>
    <w:rsid w:val="00220BDA"/>
    <w:rsid w:val="002213ED"/>
    <w:rsid w:val="00221617"/>
    <w:rsid w:val="0022188D"/>
    <w:rsid w:val="00221945"/>
    <w:rsid w:val="00221984"/>
    <w:rsid w:val="00221A13"/>
    <w:rsid w:val="00221A14"/>
    <w:rsid w:val="00221B49"/>
    <w:rsid w:val="00221D40"/>
    <w:rsid w:val="00221DFF"/>
    <w:rsid w:val="00222372"/>
    <w:rsid w:val="00222635"/>
    <w:rsid w:val="0022275D"/>
    <w:rsid w:val="00222A40"/>
    <w:rsid w:val="00222B19"/>
    <w:rsid w:val="00222BF8"/>
    <w:rsid w:val="0022301B"/>
    <w:rsid w:val="00223319"/>
    <w:rsid w:val="00223376"/>
    <w:rsid w:val="00223589"/>
    <w:rsid w:val="0022387E"/>
    <w:rsid w:val="00223F2C"/>
    <w:rsid w:val="00224113"/>
    <w:rsid w:val="00224433"/>
    <w:rsid w:val="00224459"/>
    <w:rsid w:val="0022445F"/>
    <w:rsid w:val="002244C2"/>
    <w:rsid w:val="00224D88"/>
    <w:rsid w:val="002253B0"/>
    <w:rsid w:val="002255AB"/>
    <w:rsid w:val="00226424"/>
    <w:rsid w:val="002266BA"/>
    <w:rsid w:val="00226A13"/>
    <w:rsid w:val="00226C9B"/>
    <w:rsid w:val="00226CEB"/>
    <w:rsid w:val="00226D92"/>
    <w:rsid w:val="00226E90"/>
    <w:rsid w:val="00226E92"/>
    <w:rsid w:val="002272B2"/>
    <w:rsid w:val="002273CD"/>
    <w:rsid w:val="0022741B"/>
    <w:rsid w:val="00227475"/>
    <w:rsid w:val="00227AF2"/>
    <w:rsid w:val="00227B98"/>
    <w:rsid w:val="00227CBB"/>
    <w:rsid w:val="00227EC7"/>
    <w:rsid w:val="00227F2D"/>
    <w:rsid w:val="00230310"/>
    <w:rsid w:val="00230646"/>
    <w:rsid w:val="00230887"/>
    <w:rsid w:val="002309C4"/>
    <w:rsid w:val="00230A22"/>
    <w:rsid w:val="00230BA0"/>
    <w:rsid w:val="00230CA2"/>
    <w:rsid w:val="0023135C"/>
    <w:rsid w:val="0023149E"/>
    <w:rsid w:val="0023154F"/>
    <w:rsid w:val="002317D9"/>
    <w:rsid w:val="002317F8"/>
    <w:rsid w:val="002319BD"/>
    <w:rsid w:val="00231B3B"/>
    <w:rsid w:val="00231BA2"/>
    <w:rsid w:val="00231CEE"/>
    <w:rsid w:val="00231CF0"/>
    <w:rsid w:val="00231D52"/>
    <w:rsid w:val="00232182"/>
    <w:rsid w:val="00232246"/>
    <w:rsid w:val="0023273C"/>
    <w:rsid w:val="00232982"/>
    <w:rsid w:val="002329F8"/>
    <w:rsid w:val="00232C74"/>
    <w:rsid w:val="002332A0"/>
    <w:rsid w:val="0023375E"/>
    <w:rsid w:val="00233A2E"/>
    <w:rsid w:val="00233A5F"/>
    <w:rsid w:val="00233B5D"/>
    <w:rsid w:val="002340EF"/>
    <w:rsid w:val="00234204"/>
    <w:rsid w:val="002342B3"/>
    <w:rsid w:val="00234414"/>
    <w:rsid w:val="00235277"/>
    <w:rsid w:val="0023531A"/>
    <w:rsid w:val="00235349"/>
    <w:rsid w:val="00235453"/>
    <w:rsid w:val="002355ED"/>
    <w:rsid w:val="00235737"/>
    <w:rsid w:val="00235768"/>
    <w:rsid w:val="00235823"/>
    <w:rsid w:val="00235838"/>
    <w:rsid w:val="00235925"/>
    <w:rsid w:val="00235A28"/>
    <w:rsid w:val="00235AD5"/>
    <w:rsid w:val="00235C81"/>
    <w:rsid w:val="00235D57"/>
    <w:rsid w:val="00235FDE"/>
    <w:rsid w:val="00236074"/>
    <w:rsid w:val="002367AF"/>
    <w:rsid w:val="00236AD1"/>
    <w:rsid w:val="0023741F"/>
    <w:rsid w:val="00237468"/>
    <w:rsid w:val="002374C4"/>
    <w:rsid w:val="00237671"/>
    <w:rsid w:val="0023777C"/>
    <w:rsid w:val="002377E0"/>
    <w:rsid w:val="002379CB"/>
    <w:rsid w:val="00237B86"/>
    <w:rsid w:val="00237C7C"/>
    <w:rsid w:val="00237CBA"/>
    <w:rsid w:val="00240C13"/>
    <w:rsid w:val="00241034"/>
    <w:rsid w:val="00241158"/>
    <w:rsid w:val="00241417"/>
    <w:rsid w:val="002416FC"/>
    <w:rsid w:val="00241933"/>
    <w:rsid w:val="002419C9"/>
    <w:rsid w:val="002419FB"/>
    <w:rsid w:val="002419FF"/>
    <w:rsid w:val="00241B18"/>
    <w:rsid w:val="00242022"/>
    <w:rsid w:val="00242024"/>
    <w:rsid w:val="002421BD"/>
    <w:rsid w:val="00242574"/>
    <w:rsid w:val="00242678"/>
    <w:rsid w:val="002427B9"/>
    <w:rsid w:val="002429D5"/>
    <w:rsid w:val="002431D0"/>
    <w:rsid w:val="00243408"/>
    <w:rsid w:val="002435AD"/>
    <w:rsid w:val="00243932"/>
    <w:rsid w:val="00243A69"/>
    <w:rsid w:val="00243ACB"/>
    <w:rsid w:val="00243DEA"/>
    <w:rsid w:val="00243EDF"/>
    <w:rsid w:val="00244199"/>
    <w:rsid w:val="0024419A"/>
    <w:rsid w:val="002443E3"/>
    <w:rsid w:val="00244B83"/>
    <w:rsid w:val="00244B96"/>
    <w:rsid w:val="00244D8A"/>
    <w:rsid w:val="00244DE9"/>
    <w:rsid w:val="00244EA8"/>
    <w:rsid w:val="00244F24"/>
    <w:rsid w:val="00245557"/>
    <w:rsid w:val="0024566D"/>
    <w:rsid w:val="00245735"/>
    <w:rsid w:val="00245B70"/>
    <w:rsid w:val="00245B73"/>
    <w:rsid w:val="00245D00"/>
    <w:rsid w:val="0024638E"/>
    <w:rsid w:val="00246979"/>
    <w:rsid w:val="00246AEC"/>
    <w:rsid w:val="00246CAA"/>
    <w:rsid w:val="00246EE7"/>
    <w:rsid w:val="002470F3"/>
    <w:rsid w:val="002473EF"/>
    <w:rsid w:val="0024756F"/>
    <w:rsid w:val="0024799E"/>
    <w:rsid w:val="00247C5A"/>
    <w:rsid w:val="00247D76"/>
    <w:rsid w:val="00247FBF"/>
    <w:rsid w:val="00250308"/>
    <w:rsid w:val="002507B2"/>
    <w:rsid w:val="002508AD"/>
    <w:rsid w:val="00250935"/>
    <w:rsid w:val="00250E50"/>
    <w:rsid w:val="00250F86"/>
    <w:rsid w:val="002512BD"/>
    <w:rsid w:val="002514DA"/>
    <w:rsid w:val="00251596"/>
    <w:rsid w:val="0025188B"/>
    <w:rsid w:val="00251A8C"/>
    <w:rsid w:val="00252179"/>
    <w:rsid w:val="002521A3"/>
    <w:rsid w:val="00252438"/>
    <w:rsid w:val="0025271F"/>
    <w:rsid w:val="00252931"/>
    <w:rsid w:val="00252AE3"/>
    <w:rsid w:val="00252C1C"/>
    <w:rsid w:val="00252CB6"/>
    <w:rsid w:val="002532B1"/>
    <w:rsid w:val="002532E5"/>
    <w:rsid w:val="002533A6"/>
    <w:rsid w:val="002536B9"/>
    <w:rsid w:val="00253B57"/>
    <w:rsid w:val="00253F0E"/>
    <w:rsid w:val="00254099"/>
    <w:rsid w:val="0025430D"/>
    <w:rsid w:val="00254533"/>
    <w:rsid w:val="002551C8"/>
    <w:rsid w:val="00255586"/>
    <w:rsid w:val="002559B6"/>
    <w:rsid w:val="00255D5B"/>
    <w:rsid w:val="00255EDE"/>
    <w:rsid w:val="00255FD9"/>
    <w:rsid w:val="002562D4"/>
    <w:rsid w:val="00256462"/>
    <w:rsid w:val="00256501"/>
    <w:rsid w:val="00256817"/>
    <w:rsid w:val="00256BCD"/>
    <w:rsid w:val="00256C9B"/>
    <w:rsid w:val="00256F66"/>
    <w:rsid w:val="0025714E"/>
    <w:rsid w:val="0025724C"/>
    <w:rsid w:val="0025732C"/>
    <w:rsid w:val="00257665"/>
    <w:rsid w:val="002578D6"/>
    <w:rsid w:val="00257BB5"/>
    <w:rsid w:val="00257C4B"/>
    <w:rsid w:val="0026048B"/>
    <w:rsid w:val="00260552"/>
    <w:rsid w:val="002605AA"/>
    <w:rsid w:val="002605C2"/>
    <w:rsid w:val="00260610"/>
    <w:rsid w:val="0026072E"/>
    <w:rsid w:val="002608BD"/>
    <w:rsid w:val="00260E65"/>
    <w:rsid w:val="00260F4A"/>
    <w:rsid w:val="00260F95"/>
    <w:rsid w:val="00261384"/>
    <w:rsid w:val="00261539"/>
    <w:rsid w:val="00261760"/>
    <w:rsid w:val="00261997"/>
    <w:rsid w:val="00261CB6"/>
    <w:rsid w:val="00261D88"/>
    <w:rsid w:val="00262097"/>
    <w:rsid w:val="00262139"/>
    <w:rsid w:val="002622FB"/>
    <w:rsid w:val="00262447"/>
    <w:rsid w:val="002624D4"/>
    <w:rsid w:val="002624DE"/>
    <w:rsid w:val="00262570"/>
    <w:rsid w:val="002627CA"/>
    <w:rsid w:val="00262DFC"/>
    <w:rsid w:val="002631A2"/>
    <w:rsid w:val="00263270"/>
    <w:rsid w:val="00263417"/>
    <w:rsid w:val="002634DC"/>
    <w:rsid w:val="002635B2"/>
    <w:rsid w:val="002635DC"/>
    <w:rsid w:val="00263631"/>
    <w:rsid w:val="00263A9F"/>
    <w:rsid w:val="00263AF1"/>
    <w:rsid w:val="00263B5E"/>
    <w:rsid w:val="002640FA"/>
    <w:rsid w:val="002644ED"/>
    <w:rsid w:val="002645D4"/>
    <w:rsid w:val="00264683"/>
    <w:rsid w:val="00264A87"/>
    <w:rsid w:val="00265321"/>
    <w:rsid w:val="002653A2"/>
    <w:rsid w:val="002653B7"/>
    <w:rsid w:val="00265526"/>
    <w:rsid w:val="0026589A"/>
    <w:rsid w:val="0026592E"/>
    <w:rsid w:val="00265B47"/>
    <w:rsid w:val="00265C2B"/>
    <w:rsid w:val="00265E66"/>
    <w:rsid w:val="0026618E"/>
    <w:rsid w:val="0026623A"/>
    <w:rsid w:val="00266317"/>
    <w:rsid w:val="0026635C"/>
    <w:rsid w:val="00266486"/>
    <w:rsid w:val="00266ADE"/>
    <w:rsid w:val="00266D3D"/>
    <w:rsid w:val="00267041"/>
    <w:rsid w:val="00267207"/>
    <w:rsid w:val="002674F9"/>
    <w:rsid w:val="002675A1"/>
    <w:rsid w:val="00267A2F"/>
    <w:rsid w:val="00267FD1"/>
    <w:rsid w:val="00270015"/>
    <w:rsid w:val="002703C1"/>
    <w:rsid w:val="002707A1"/>
    <w:rsid w:val="00270CB2"/>
    <w:rsid w:val="00270D61"/>
    <w:rsid w:val="00270DAE"/>
    <w:rsid w:val="00270DB2"/>
    <w:rsid w:val="002710C0"/>
    <w:rsid w:val="00271465"/>
    <w:rsid w:val="002715A5"/>
    <w:rsid w:val="0027193F"/>
    <w:rsid w:val="00271FBA"/>
    <w:rsid w:val="0027207B"/>
    <w:rsid w:val="002721F2"/>
    <w:rsid w:val="00272343"/>
    <w:rsid w:val="00272710"/>
    <w:rsid w:val="00272713"/>
    <w:rsid w:val="00272724"/>
    <w:rsid w:val="00272A93"/>
    <w:rsid w:val="00272A99"/>
    <w:rsid w:val="00272B68"/>
    <w:rsid w:val="00272CDD"/>
    <w:rsid w:val="00272F23"/>
    <w:rsid w:val="00272FB4"/>
    <w:rsid w:val="00273239"/>
    <w:rsid w:val="002733D5"/>
    <w:rsid w:val="00273596"/>
    <w:rsid w:val="002735F7"/>
    <w:rsid w:val="00273728"/>
    <w:rsid w:val="00273AA1"/>
    <w:rsid w:val="00273C87"/>
    <w:rsid w:val="00273D7E"/>
    <w:rsid w:val="00273EF9"/>
    <w:rsid w:val="00273F41"/>
    <w:rsid w:val="002742A2"/>
    <w:rsid w:val="0027446F"/>
    <w:rsid w:val="00274772"/>
    <w:rsid w:val="00274792"/>
    <w:rsid w:val="002748FF"/>
    <w:rsid w:val="00274975"/>
    <w:rsid w:val="00274B65"/>
    <w:rsid w:val="00274C01"/>
    <w:rsid w:val="00274D17"/>
    <w:rsid w:val="00274DEE"/>
    <w:rsid w:val="00275519"/>
    <w:rsid w:val="00275741"/>
    <w:rsid w:val="002757BD"/>
    <w:rsid w:val="002759F6"/>
    <w:rsid w:val="00275ECD"/>
    <w:rsid w:val="00275F52"/>
    <w:rsid w:val="00275F7E"/>
    <w:rsid w:val="0027617A"/>
    <w:rsid w:val="0027617D"/>
    <w:rsid w:val="0027620F"/>
    <w:rsid w:val="00276377"/>
    <w:rsid w:val="002763A9"/>
    <w:rsid w:val="002764EC"/>
    <w:rsid w:val="00276599"/>
    <w:rsid w:val="002765C4"/>
    <w:rsid w:val="002767FB"/>
    <w:rsid w:val="00276EE3"/>
    <w:rsid w:val="00276F9E"/>
    <w:rsid w:val="00276FCB"/>
    <w:rsid w:val="002770B4"/>
    <w:rsid w:val="0027746B"/>
    <w:rsid w:val="00277561"/>
    <w:rsid w:val="0027763D"/>
    <w:rsid w:val="00277727"/>
    <w:rsid w:val="002778B7"/>
    <w:rsid w:val="00277A5F"/>
    <w:rsid w:val="00277C1B"/>
    <w:rsid w:val="00277F0B"/>
    <w:rsid w:val="00280028"/>
    <w:rsid w:val="00280064"/>
    <w:rsid w:val="002804FF"/>
    <w:rsid w:val="0028066F"/>
    <w:rsid w:val="0028068A"/>
    <w:rsid w:val="00280771"/>
    <w:rsid w:val="00280B6A"/>
    <w:rsid w:val="00280C16"/>
    <w:rsid w:val="00280C61"/>
    <w:rsid w:val="00280F71"/>
    <w:rsid w:val="002810DE"/>
    <w:rsid w:val="002812B0"/>
    <w:rsid w:val="002812F9"/>
    <w:rsid w:val="002815C7"/>
    <w:rsid w:val="00281725"/>
    <w:rsid w:val="00281878"/>
    <w:rsid w:val="00281AC4"/>
    <w:rsid w:val="00281AF5"/>
    <w:rsid w:val="00281BF1"/>
    <w:rsid w:val="00281F13"/>
    <w:rsid w:val="0028234D"/>
    <w:rsid w:val="00282848"/>
    <w:rsid w:val="00282B9A"/>
    <w:rsid w:val="00282DD2"/>
    <w:rsid w:val="00282F7B"/>
    <w:rsid w:val="0028356B"/>
    <w:rsid w:val="00283A53"/>
    <w:rsid w:val="00283A9B"/>
    <w:rsid w:val="00284057"/>
    <w:rsid w:val="0028415A"/>
    <w:rsid w:val="0028438D"/>
    <w:rsid w:val="0028471E"/>
    <w:rsid w:val="0028499C"/>
    <w:rsid w:val="00284BF3"/>
    <w:rsid w:val="00284D3A"/>
    <w:rsid w:val="00284F04"/>
    <w:rsid w:val="00284F44"/>
    <w:rsid w:val="00285002"/>
    <w:rsid w:val="002851A0"/>
    <w:rsid w:val="0028520A"/>
    <w:rsid w:val="00285284"/>
    <w:rsid w:val="002853DA"/>
    <w:rsid w:val="00285D4B"/>
    <w:rsid w:val="00285E34"/>
    <w:rsid w:val="00285FFD"/>
    <w:rsid w:val="00286325"/>
    <w:rsid w:val="0028646B"/>
    <w:rsid w:val="002865A6"/>
    <w:rsid w:val="002866DD"/>
    <w:rsid w:val="00286831"/>
    <w:rsid w:val="002868F2"/>
    <w:rsid w:val="00286B05"/>
    <w:rsid w:val="00286B4B"/>
    <w:rsid w:val="00286EF7"/>
    <w:rsid w:val="00287065"/>
    <w:rsid w:val="0028741F"/>
    <w:rsid w:val="00287630"/>
    <w:rsid w:val="0028774A"/>
    <w:rsid w:val="00287835"/>
    <w:rsid w:val="002879F8"/>
    <w:rsid w:val="00287B07"/>
    <w:rsid w:val="0029000A"/>
    <w:rsid w:val="0029017E"/>
    <w:rsid w:val="002907D2"/>
    <w:rsid w:val="002908FE"/>
    <w:rsid w:val="00290967"/>
    <w:rsid w:val="00290B0C"/>
    <w:rsid w:val="00290BBC"/>
    <w:rsid w:val="00290DE0"/>
    <w:rsid w:val="00290F86"/>
    <w:rsid w:val="002916B5"/>
    <w:rsid w:val="0029194E"/>
    <w:rsid w:val="002919F8"/>
    <w:rsid w:val="002920FA"/>
    <w:rsid w:val="00292692"/>
    <w:rsid w:val="00292936"/>
    <w:rsid w:val="00292E70"/>
    <w:rsid w:val="00293329"/>
    <w:rsid w:val="00293348"/>
    <w:rsid w:val="0029336C"/>
    <w:rsid w:val="002933DD"/>
    <w:rsid w:val="002935C6"/>
    <w:rsid w:val="0029364D"/>
    <w:rsid w:val="002937C4"/>
    <w:rsid w:val="00293828"/>
    <w:rsid w:val="00293C01"/>
    <w:rsid w:val="00293D77"/>
    <w:rsid w:val="0029416E"/>
    <w:rsid w:val="002944DC"/>
    <w:rsid w:val="00294940"/>
    <w:rsid w:val="00294AF7"/>
    <w:rsid w:val="00294EAE"/>
    <w:rsid w:val="00294FA2"/>
    <w:rsid w:val="002951DD"/>
    <w:rsid w:val="002952B8"/>
    <w:rsid w:val="002957BB"/>
    <w:rsid w:val="00295B1A"/>
    <w:rsid w:val="00295EB7"/>
    <w:rsid w:val="002965D5"/>
    <w:rsid w:val="00296628"/>
    <w:rsid w:val="00296813"/>
    <w:rsid w:val="00296BB3"/>
    <w:rsid w:val="00296D25"/>
    <w:rsid w:val="00296F1E"/>
    <w:rsid w:val="00296F6A"/>
    <w:rsid w:val="00297526"/>
    <w:rsid w:val="002978EC"/>
    <w:rsid w:val="00297C14"/>
    <w:rsid w:val="00297F33"/>
    <w:rsid w:val="00297FA5"/>
    <w:rsid w:val="002A016D"/>
    <w:rsid w:val="002A0C03"/>
    <w:rsid w:val="002A0EFC"/>
    <w:rsid w:val="002A138A"/>
    <w:rsid w:val="002A1459"/>
    <w:rsid w:val="002A15C2"/>
    <w:rsid w:val="002A1651"/>
    <w:rsid w:val="002A1BA7"/>
    <w:rsid w:val="002A1CB8"/>
    <w:rsid w:val="002A238D"/>
    <w:rsid w:val="002A2B30"/>
    <w:rsid w:val="002A2BCE"/>
    <w:rsid w:val="002A2C97"/>
    <w:rsid w:val="002A2EB9"/>
    <w:rsid w:val="002A32E7"/>
    <w:rsid w:val="002A348D"/>
    <w:rsid w:val="002A4077"/>
    <w:rsid w:val="002A41F8"/>
    <w:rsid w:val="002A4608"/>
    <w:rsid w:val="002A4B2F"/>
    <w:rsid w:val="002A4BE1"/>
    <w:rsid w:val="002A4D78"/>
    <w:rsid w:val="002A5658"/>
    <w:rsid w:val="002A56DA"/>
    <w:rsid w:val="002A5CBA"/>
    <w:rsid w:val="002A5F91"/>
    <w:rsid w:val="002A659C"/>
    <w:rsid w:val="002A65D7"/>
    <w:rsid w:val="002A673C"/>
    <w:rsid w:val="002A6E8E"/>
    <w:rsid w:val="002A7032"/>
    <w:rsid w:val="002A73CF"/>
    <w:rsid w:val="002A7529"/>
    <w:rsid w:val="002A7566"/>
    <w:rsid w:val="002A76AF"/>
    <w:rsid w:val="002A76FE"/>
    <w:rsid w:val="002A7ACD"/>
    <w:rsid w:val="002A7C02"/>
    <w:rsid w:val="002B0560"/>
    <w:rsid w:val="002B0731"/>
    <w:rsid w:val="002B075A"/>
    <w:rsid w:val="002B0B03"/>
    <w:rsid w:val="002B105A"/>
    <w:rsid w:val="002B1459"/>
    <w:rsid w:val="002B166E"/>
    <w:rsid w:val="002B1872"/>
    <w:rsid w:val="002B1B13"/>
    <w:rsid w:val="002B1C96"/>
    <w:rsid w:val="002B1DCC"/>
    <w:rsid w:val="002B1E77"/>
    <w:rsid w:val="002B2738"/>
    <w:rsid w:val="002B27E0"/>
    <w:rsid w:val="002B28AF"/>
    <w:rsid w:val="002B28DF"/>
    <w:rsid w:val="002B2957"/>
    <w:rsid w:val="002B2DFE"/>
    <w:rsid w:val="002B367C"/>
    <w:rsid w:val="002B3761"/>
    <w:rsid w:val="002B388A"/>
    <w:rsid w:val="002B391D"/>
    <w:rsid w:val="002B3BCF"/>
    <w:rsid w:val="002B3C10"/>
    <w:rsid w:val="002B3ECB"/>
    <w:rsid w:val="002B3F55"/>
    <w:rsid w:val="002B40C3"/>
    <w:rsid w:val="002B46B9"/>
    <w:rsid w:val="002B4A84"/>
    <w:rsid w:val="002B4B10"/>
    <w:rsid w:val="002B5209"/>
    <w:rsid w:val="002B533E"/>
    <w:rsid w:val="002B53D7"/>
    <w:rsid w:val="002B559C"/>
    <w:rsid w:val="002B5795"/>
    <w:rsid w:val="002B5A3B"/>
    <w:rsid w:val="002B5BE7"/>
    <w:rsid w:val="002B5EE3"/>
    <w:rsid w:val="002B5F6B"/>
    <w:rsid w:val="002B6132"/>
    <w:rsid w:val="002B62CB"/>
    <w:rsid w:val="002B63B3"/>
    <w:rsid w:val="002B6A0B"/>
    <w:rsid w:val="002B710B"/>
    <w:rsid w:val="002B710E"/>
    <w:rsid w:val="002B7121"/>
    <w:rsid w:val="002B74B9"/>
    <w:rsid w:val="002B752D"/>
    <w:rsid w:val="002B75E5"/>
    <w:rsid w:val="002B7689"/>
    <w:rsid w:val="002B769A"/>
    <w:rsid w:val="002B78C3"/>
    <w:rsid w:val="002B78F0"/>
    <w:rsid w:val="002B7CA1"/>
    <w:rsid w:val="002B7FA8"/>
    <w:rsid w:val="002C05FB"/>
    <w:rsid w:val="002C0759"/>
    <w:rsid w:val="002C09BC"/>
    <w:rsid w:val="002C0AE6"/>
    <w:rsid w:val="002C0B3A"/>
    <w:rsid w:val="002C12FE"/>
    <w:rsid w:val="002C1314"/>
    <w:rsid w:val="002C13AC"/>
    <w:rsid w:val="002C1626"/>
    <w:rsid w:val="002C17BD"/>
    <w:rsid w:val="002C1B10"/>
    <w:rsid w:val="002C1C3C"/>
    <w:rsid w:val="002C1F85"/>
    <w:rsid w:val="002C20C4"/>
    <w:rsid w:val="002C20FA"/>
    <w:rsid w:val="002C2278"/>
    <w:rsid w:val="002C230A"/>
    <w:rsid w:val="002C26A1"/>
    <w:rsid w:val="002C29E6"/>
    <w:rsid w:val="002C2BAB"/>
    <w:rsid w:val="002C309D"/>
    <w:rsid w:val="002C3425"/>
    <w:rsid w:val="002C3A78"/>
    <w:rsid w:val="002C3C2E"/>
    <w:rsid w:val="002C3D0B"/>
    <w:rsid w:val="002C3D14"/>
    <w:rsid w:val="002C3DE4"/>
    <w:rsid w:val="002C3F23"/>
    <w:rsid w:val="002C3F3E"/>
    <w:rsid w:val="002C40AD"/>
    <w:rsid w:val="002C4320"/>
    <w:rsid w:val="002C4494"/>
    <w:rsid w:val="002C45F8"/>
    <w:rsid w:val="002C47BC"/>
    <w:rsid w:val="002C483D"/>
    <w:rsid w:val="002C4A18"/>
    <w:rsid w:val="002C4A26"/>
    <w:rsid w:val="002C4BDD"/>
    <w:rsid w:val="002C4C6D"/>
    <w:rsid w:val="002C4CC4"/>
    <w:rsid w:val="002C55CE"/>
    <w:rsid w:val="002C5660"/>
    <w:rsid w:val="002C5CE3"/>
    <w:rsid w:val="002C5E0A"/>
    <w:rsid w:val="002C60AE"/>
    <w:rsid w:val="002C67FC"/>
    <w:rsid w:val="002C6AA3"/>
    <w:rsid w:val="002C6C3E"/>
    <w:rsid w:val="002C6E5F"/>
    <w:rsid w:val="002C71AF"/>
    <w:rsid w:val="002C71B7"/>
    <w:rsid w:val="002C72A3"/>
    <w:rsid w:val="002C7442"/>
    <w:rsid w:val="002C750F"/>
    <w:rsid w:val="002C7A48"/>
    <w:rsid w:val="002D06AF"/>
    <w:rsid w:val="002D08F3"/>
    <w:rsid w:val="002D0A82"/>
    <w:rsid w:val="002D0BE5"/>
    <w:rsid w:val="002D0EC6"/>
    <w:rsid w:val="002D0F59"/>
    <w:rsid w:val="002D0FFB"/>
    <w:rsid w:val="002D1356"/>
    <w:rsid w:val="002D139A"/>
    <w:rsid w:val="002D13FE"/>
    <w:rsid w:val="002D16F1"/>
    <w:rsid w:val="002D1873"/>
    <w:rsid w:val="002D19B5"/>
    <w:rsid w:val="002D19E4"/>
    <w:rsid w:val="002D1E6E"/>
    <w:rsid w:val="002D1F90"/>
    <w:rsid w:val="002D2124"/>
    <w:rsid w:val="002D215B"/>
    <w:rsid w:val="002D23D2"/>
    <w:rsid w:val="002D27D3"/>
    <w:rsid w:val="002D27D9"/>
    <w:rsid w:val="002D2814"/>
    <w:rsid w:val="002D2D08"/>
    <w:rsid w:val="002D2EB9"/>
    <w:rsid w:val="002D2EC6"/>
    <w:rsid w:val="002D31B6"/>
    <w:rsid w:val="002D386A"/>
    <w:rsid w:val="002D39BD"/>
    <w:rsid w:val="002D3FD3"/>
    <w:rsid w:val="002D4068"/>
    <w:rsid w:val="002D40B0"/>
    <w:rsid w:val="002D421A"/>
    <w:rsid w:val="002D44CC"/>
    <w:rsid w:val="002D44CD"/>
    <w:rsid w:val="002D4789"/>
    <w:rsid w:val="002D4939"/>
    <w:rsid w:val="002D4BC6"/>
    <w:rsid w:val="002D4CE2"/>
    <w:rsid w:val="002D5092"/>
    <w:rsid w:val="002D52A9"/>
    <w:rsid w:val="002D58A1"/>
    <w:rsid w:val="002D58EA"/>
    <w:rsid w:val="002D61AA"/>
    <w:rsid w:val="002D6257"/>
    <w:rsid w:val="002D62DE"/>
    <w:rsid w:val="002D62F0"/>
    <w:rsid w:val="002D69C4"/>
    <w:rsid w:val="002D6B5E"/>
    <w:rsid w:val="002D6BA6"/>
    <w:rsid w:val="002D6D9F"/>
    <w:rsid w:val="002D7156"/>
    <w:rsid w:val="002D71FB"/>
    <w:rsid w:val="002D7322"/>
    <w:rsid w:val="002D7E61"/>
    <w:rsid w:val="002E02CA"/>
    <w:rsid w:val="002E0503"/>
    <w:rsid w:val="002E0508"/>
    <w:rsid w:val="002E053D"/>
    <w:rsid w:val="002E0B97"/>
    <w:rsid w:val="002E0C63"/>
    <w:rsid w:val="002E0C6A"/>
    <w:rsid w:val="002E0CC3"/>
    <w:rsid w:val="002E0D33"/>
    <w:rsid w:val="002E0DAC"/>
    <w:rsid w:val="002E0F3D"/>
    <w:rsid w:val="002E10DC"/>
    <w:rsid w:val="002E16A7"/>
    <w:rsid w:val="002E1824"/>
    <w:rsid w:val="002E1A5F"/>
    <w:rsid w:val="002E1AAC"/>
    <w:rsid w:val="002E1B6F"/>
    <w:rsid w:val="002E1DC3"/>
    <w:rsid w:val="002E1E42"/>
    <w:rsid w:val="002E2051"/>
    <w:rsid w:val="002E238F"/>
    <w:rsid w:val="002E2A4A"/>
    <w:rsid w:val="002E2E84"/>
    <w:rsid w:val="002E308B"/>
    <w:rsid w:val="002E3552"/>
    <w:rsid w:val="002E36C0"/>
    <w:rsid w:val="002E3961"/>
    <w:rsid w:val="002E3A47"/>
    <w:rsid w:val="002E3C06"/>
    <w:rsid w:val="002E3CEF"/>
    <w:rsid w:val="002E3FDB"/>
    <w:rsid w:val="002E435A"/>
    <w:rsid w:val="002E4BCA"/>
    <w:rsid w:val="002E4E75"/>
    <w:rsid w:val="002E4ED5"/>
    <w:rsid w:val="002E4FE6"/>
    <w:rsid w:val="002E5196"/>
    <w:rsid w:val="002E5250"/>
    <w:rsid w:val="002E59E8"/>
    <w:rsid w:val="002E5A91"/>
    <w:rsid w:val="002E616E"/>
    <w:rsid w:val="002E624F"/>
    <w:rsid w:val="002E637C"/>
    <w:rsid w:val="002E673E"/>
    <w:rsid w:val="002E682D"/>
    <w:rsid w:val="002E6C37"/>
    <w:rsid w:val="002E6E5D"/>
    <w:rsid w:val="002E6EBA"/>
    <w:rsid w:val="002E72CA"/>
    <w:rsid w:val="002E799B"/>
    <w:rsid w:val="002E7DC9"/>
    <w:rsid w:val="002E7EDF"/>
    <w:rsid w:val="002E7EE3"/>
    <w:rsid w:val="002F0334"/>
    <w:rsid w:val="002F05F2"/>
    <w:rsid w:val="002F0872"/>
    <w:rsid w:val="002F09F4"/>
    <w:rsid w:val="002F0AEE"/>
    <w:rsid w:val="002F0D76"/>
    <w:rsid w:val="002F0DE4"/>
    <w:rsid w:val="002F10BD"/>
    <w:rsid w:val="002F161B"/>
    <w:rsid w:val="002F1685"/>
    <w:rsid w:val="002F1A38"/>
    <w:rsid w:val="002F1BDA"/>
    <w:rsid w:val="002F2517"/>
    <w:rsid w:val="002F2590"/>
    <w:rsid w:val="002F2766"/>
    <w:rsid w:val="002F27ED"/>
    <w:rsid w:val="002F2B90"/>
    <w:rsid w:val="002F2C5C"/>
    <w:rsid w:val="002F2EAC"/>
    <w:rsid w:val="002F3AA6"/>
    <w:rsid w:val="002F3B61"/>
    <w:rsid w:val="002F4763"/>
    <w:rsid w:val="002F4A07"/>
    <w:rsid w:val="002F4C41"/>
    <w:rsid w:val="002F4CC3"/>
    <w:rsid w:val="002F4F9F"/>
    <w:rsid w:val="002F506D"/>
    <w:rsid w:val="002F50D1"/>
    <w:rsid w:val="002F5218"/>
    <w:rsid w:val="002F5607"/>
    <w:rsid w:val="002F566D"/>
    <w:rsid w:val="002F5809"/>
    <w:rsid w:val="002F5A0F"/>
    <w:rsid w:val="002F5B71"/>
    <w:rsid w:val="002F5BB1"/>
    <w:rsid w:val="002F5EDE"/>
    <w:rsid w:val="002F5F1D"/>
    <w:rsid w:val="002F5F21"/>
    <w:rsid w:val="002F5FB5"/>
    <w:rsid w:val="002F614B"/>
    <w:rsid w:val="002F62A3"/>
    <w:rsid w:val="002F6DBC"/>
    <w:rsid w:val="002F6ED9"/>
    <w:rsid w:val="002F71CA"/>
    <w:rsid w:val="002F733B"/>
    <w:rsid w:val="002F7564"/>
    <w:rsid w:val="002F7C2A"/>
    <w:rsid w:val="0030070B"/>
    <w:rsid w:val="00300764"/>
    <w:rsid w:val="00300ADD"/>
    <w:rsid w:val="00300B46"/>
    <w:rsid w:val="00300FBC"/>
    <w:rsid w:val="00300FC8"/>
    <w:rsid w:val="00301321"/>
    <w:rsid w:val="00301454"/>
    <w:rsid w:val="00301591"/>
    <w:rsid w:val="003019F1"/>
    <w:rsid w:val="00301BC8"/>
    <w:rsid w:val="00301C32"/>
    <w:rsid w:val="00301C7E"/>
    <w:rsid w:val="00301F8A"/>
    <w:rsid w:val="00302426"/>
    <w:rsid w:val="003027B7"/>
    <w:rsid w:val="0030299A"/>
    <w:rsid w:val="003029DB"/>
    <w:rsid w:val="00302A73"/>
    <w:rsid w:val="00302C08"/>
    <w:rsid w:val="00302C15"/>
    <w:rsid w:val="00302CD1"/>
    <w:rsid w:val="00303180"/>
    <w:rsid w:val="00303308"/>
    <w:rsid w:val="003034AA"/>
    <w:rsid w:val="00303CA3"/>
    <w:rsid w:val="00303D59"/>
    <w:rsid w:val="00303EE2"/>
    <w:rsid w:val="0030408A"/>
    <w:rsid w:val="00304816"/>
    <w:rsid w:val="00304D4C"/>
    <w:rsid w:val="003052B7"/>
    <w:rsid w:val="003052C5"/>
    <w:rsid w:val="0030534A"/>
    <w:rsid w:val="00305450"/>
    <w:rsid w:val="0030599B"/>
    <w:rsid w:val="00305A24"/>
    <w:rsid w:val="00305AAF"/>
    <w:rsid w:val="00305B1F"/>
    <w:rsid w:val="00305E5D"/>
    <w:rsid w:val="00306233"/>
    <w:rsid w:val="003063A9"/>
    <w:rsid w:val="003068E9"/>
    <w:rsid w:val="00306B25"/>
    <w:rsid w:val="00306F3C"/>
    <w:rsid w:val="00306F44"/>
    <w:rsid w:val="0030733A"/>
    <w:rsid w:val="00307503"/>
    <w:rsid w:val="00307985"/>
    <w:rsid w:val="00307A23"/>
    <w:rsid w:val="00307CB5"/>
    <w:rsid w:val="00307F48"/>
    <w:rsid w:val="003102E2"/>
    <w:rsid w:val="00310AC6"/>
    <w:rsid w:val="00310D94"/>
    <w:rsid w:val="003111A1"/>
    <w:rsid w:val="00311207"/>
    <w:rsid w:val="003112E5"/>
    <w:rsid w:val="0031145F"/>
    <w:rsid w:val="00311599"/>
    <w:rsid w:val="0031159B"/>
    <w:rsid w:val="0031171C"/>
    <w:rsid w:val="003118D4"/>
    <w:rsid w:val="00311BCD"/>
    <w:rsid w:val="00311FE6"/>
    <w:rsid w:val="003126B6"/>
    <w:rsid w:val="0031271C"/>
    <w:rsid w:val="003127A3"/>
    <w:rsid w:val="00312AC0"/>
    <w:rsid w:val="00312D80"/>
    <w:rsid w:val="00313471"/>
    <w:rsid w:val="0031374A"/>
    <w:rsid w:val="00313A2C"/>
    <w:rsid w:val="00313C6F"/>
    <w:rsid w:val="00313E68"/>
    <w:rsid w:val="00313EAC"/>
    <w:rsid w:val="003140B3"/>
    <w:rsid w:val="003140E2"/>
    <w:rsid w:val="0031421A"/>
    <w:rsid w:val="00314478"/>
    <w:rsid w:val="00314756"/>
    <w:rsid w:val="003147D7"/>
    <w:rsid w:val="003147FE"/>
    <w:rsid w:val="003149F1"/>
    <w:rsid w:val="00314BA2"/>
    <w:rsid w:val="00314FA8"/>
    <w:rsid w:val="00314FB0"/>
    <w:rsid w:val="00314FDF"/>
    <w:rsid w:val="003150EC"/>
    <w:rsid w:val="0031532E"/>
    <w:rsid w:val="003154D0"/>
    <w:rsid w:val="00315BAF"/>
    <w:rsid w:val="00315E16"/>
    <w:rsid w:val="00315E31"/>
    <w:rsid w:val="00315F1D"/>
    <w:rsid w:val="0031608A"/>
    <w:rsid w:val="00316114"/>
    <w:rsid w:val="003161F1"/>
    <w:rsid w:val="003162C5"/>
    <w:rsid w:val="003162CF"/>
    <w:rsid w:val="0031643D"/>
    <w:rsid w:val="00316727"/>
    <w:rsid w:val="00316759"/>
    <w:rsid w:val="00316921"/>
    <w:rsid w:val="00316A16"/>
    <w:rsid w:val="00316BC4"/>
    <w:rsid w:val="00316CEA"/>
    <w:rsid w:val="003170C0"/>
    <w:rsid w:val="00317259"/>
    <w:rsid w:val="00317397"/>
    <w:rsid w:val="00317797"/>
    <w:rsid w:val="0031792A"/>
    <w:rsid w:val="00317939"/>
    <w:rsid w:val="00317CA2"/>
    <w:rsid w:val="0032003C"/>
    <w:rsid w:val="00320134"/>
    <w:rsid w:val="00320208"/>
    <w:rsid w:val="003204BC"/>
    <w:rsid w:val="003205BB"/>
    <w:rsid w:val="0032082D"/>
    <w:rsid w:val="00320F73"/>
    <w:rsid w:val="003214F3"/>
    <w:rsid w:val="003215E3"/>
    <w:rsid w:val="003218AC"/>
    <w:rsid w:val="00321987"/>
    <w:rsid w:val="0032198E"/>
    <w:rsid w:val="00321B04"/>
    <w:rsid w:val="00321EA8"/>
    <w:rsid w:val="0032210F"/>
    <w:rsid w:val="003226C9"/>
    <w:rsid w:val="003229F2"/>
    <w:rsid w:val="00322ED1"/>
    <w:rsid w:val="003231CE"/>
    <w:rsid w:val="003232BA"/>
    <w:rsid w:val="0032333B"/>
    <w:rsid w:val="003235C5"/>
    <w:rsid w:val="0032375A"/>
    <w:rsid w:val="00323B2D"/>
    <w:rsid w:val="00323D0E"/>
    <w:rsid w:val="00324386"/>
    <w:rsid w:val="0032442E"/>
    <w:rsid w:val="0032455B"/>
    <w:rsid w:val="0032499E"/>
    <w:rsid w:val="00324AEC"/>
    <w:rsid w:val="00324DF3"/>
    <w:rsid w:val="003254EC"/>
    <w:rsid w:val="003258FE"/>
    <w:rsid w:val="00325A44"/>
    <w:rsid w:val="00325B80"/>
    <w:rsid w:val="00325FC3"/>
    <w:rsid w:val="003260E6"/>
    <w:rsid w:val="00326321"/>
    <w:rsid w:val="003266BB"/>
    <w:rsid w:val="003267A1"/>
    <w:rsid w:val="0032687D"/>
    <w:rsid w:val="00326ED3"/>
    <w:rsid w:val="003270A9"/>
    <w:rsid w:val="003273E0"/>
    <w:rsid w:val="00327554"/>
    <w:rsid w:val="0032799F"/>
    <w:rsid w:val="003279B4"/>
    <w:rsid w:val="00327C04"/>
    <w:rsid w:val="00327CE9"/>
    <w:rsid w:val="003300BB"/>
    <w:rsid w:val="003306A1"/>
    <w:rsid w:val="00330C02"/>
    <w:rsid w:val="00330CAF"/>
    <w:rsid w:val="00330CE4"/>
    <w:rsid w:val="00330EF7"/>
    <w:rsid w:val="0033102E"/>
    <w:rsid w:val="00331EDB"/>
    <w:rsid w:val="00331EEE"/>
    <w:rsid w:val="00332279"/>
    <w:rsid w:val="003328EF"/>
    <w:rsid w:val="00332908"/>
    <w:rsid w:val="00332C15"/>
    <w:rsid w:val="0033307E"/>
    <w:rsid w:val="00333169"/>
    <w:rsid w:val="00333544"/>
    <w:rsid w:val="00333606"/>
    <w:rsid w:val="0033383D"/>
    <w:rsid w:val="00333909"/>
    <w:rsid w:val="00333B68"/>
    <w:rsid w:val="00333D40"/>
    <w:rsid w:val="00333FCA"/>
    <w:rsid w:val="00333FE6"/>
    <w:rsid w:val="003348BE"/>
    <w:rsid w:val="00334B60"/>
    <w:rsid w:val="00334B8C"/>
    <w:rsid w:val="00334C20"/>
    <w:rsid w:val="00334C82"/>
    <w:rsid w:val="003350AF"/>
    <w:rsid w:val="00335457"/>
    <w:rsid w:val="00335481"/>
    <w:rsid w:val="0033563E"/>
    <w:rsid w:val="00335D9E"/>
    <w:rsid w:val="00335FA7"/>
    <w:rsid w:val="00335FAD"/>
    <w:rsid w:val="003362C2"/>
    <w:rsid w:val="00336576"/>
    <w:rsid w:val="00336707"/>
    <w:rsid w:val="00336D87"/>
    <w:rsid w:val="00336F58"/>
    <w:rsid w:val="00336F9D"/>
    <w:rsid w:val="0033743D"/>
    <w:rsid w:val="00337776"/>
    <w:rsid w:val="003378F2"/>
    <w:rsid w:val="003379CD"/>
    <w:rsid w:val="00337AA5"/>
    <w:rsid w:val="00337AB2"/>
    <w:rsid w:val="00337B07"/>
    <w:rsid w:val="00337C9A"/>
    <w:rsid w:val="00337CB1"/>
    <w:rsid w:val="00340481"/>
    <w:rsid w:val="00340860"/>
    <w:rsid w:val="0034090C"/>
    <w:rsid w:val="0034090E"/>
    <w:rsid w:val="00340A16"/>
    <w:rsid w:val="00340AB5"/>
    <w:rsid w:val="00340C19"/>
    <w:rsid w:val="00340DBB"/>
    <w:rsid w:val="003411F6"/>
    <w:rsid w:val="00341277"/>
    <w:rsid w:val="00341862"/>
    <w:rsid w:val="003418D3"/>
    <w:rsid w:val="00341D4B"/>
    <w:rsid w:val="00341E8D"/>
    <w:rsid w:val="00341F86"/>
    <w:rsid w:val="0034221E"/>
    <w:rsid w:val="0034234B"/>
    <w:rsid w:val="00342522"/>
    <w:rsid w:val="00342558"/>
    <w:rsid w:val="00342755"/>
    <w:rsid w:val="00342902"/>
    <w:rsid w:val="0034292E"/>
    <w:rsid w:val="00342A50"/>
    <w:rsid w:val="00342B1E"/>
    <w:rsid w:val="00342D48"/>
    <w:rsid w:val="00342D52"/>
    <w:rsid w:val="00342DF8"/>
    <w:rsid w:val="003430E4"/>
    <w:rsid w:val="00343818"/>
    <w:rsid w:val="003438E2"/>
    <w:rsid w:val="00343BAC"/>
    <w:rsid w:val="00343F1E"/>
    <w:rsid w:val="00343F9E"/>
    <w:rsid w:val="00343FE0"/>
    <w:rsid w:val="00344030"/>
    <w:rsid w:val="003442AD"/>
    <w:rsid w:val="003443C7"/>
    <w:rsid w:val="0034447D"/>
    <w:rsid w:val="003444A2"/>
    <w:rsid w:val="003444F0"/>
    <w:rsid w:val="003446A0"/>
    <w:rsid w:val="003448E9"/>
    <w:rsid w:val="00344BA3"/>
    <w:rsid w:val="00344D7B"/>
    <w:rsid w:val="00344F69"/>
    <w:rsid w:val="00344FFA"/>
    <w:rsid w:val="00345051"/>
    <w:rsid w:val="003454F6"/>
    <w:rsid w:val="00345AA9"/>
    <w:rsid w:val="00345DD2"/>
    <w:rsid w:val="00345E9E"/>
    <w:rsid w:val="00346081"/>
    <w:rsid w:val="003462B7"/>
    <w:rsid w:val="00346671"/>
    <w:rsid w:val="00346740"/>
    <w:rsid w:val="00346B09"/>
    <w:rsid w:val="003473AB"/>
    <w:rsid w:val="00347830"/>
    <w:rsid w:val="003478C5"/>
    <w:rsid w:val="00347AF6"/>
    <w:rsid w:val="00347F05"/>
    <w:rsid w:val="00347F3E"/>
    <w:rsid w:val="00350039"/>
    <w:rsid w:val="00350087"/>
    <w:rsid w:val="0035008E"/>
    <w:rsid w:val="00350306"/>
    <w:rsid w:val="00350494"/>
    <w:rsid w:val="003506DE"/>
    <w:rsid w:val="00350721"/>
    <w:rsid w:val="00350A8D"/>
    <w:rsid w:val="00350CD8"/>
    <w:rsid w:val="00350DFA"/>
    <w:rsid w:val="00350ED1"/>
    <w:rsid w:val="00350FC0"/>
    <w:rsid w:val="00351140"/>
    <w:rsid w:val="003513DD"/>
    <w:rsid w:val="003513FC"/>
    <w:rsid w:val="0035158B"/>
    <w:rsid w:val="003519D1"/>
    <w:rsid w:val="00351BD4"/>
    <w:rsid w:val="00352285"/>
    <w:rsid w:val="003523E0"/>
    <w:rsid w:val="00352925"/>
    <w:rsid w:val="003529A9"/>
    <w:rsid w:val="00352ACD"/>
    <w:rsid w:val="00352B3A"/>
    <w:rsid w:val="00352DCE"/>
    <w:rsid w:val="00353058"/>
    <w:rsid w:val="003531C0"/>
    <w:rsid w:val="00353214"/>
    <w:rsid w:val="0035385E"/>
    <w:rsid w:val="00353B59"/>
    <w:rsid w:val="00353EBC"/>
    <w:rsid w:val="003542A5"/>
    <w:rsid w:val="00354400"/>
    <w:rsid w:val="0035446F"/>
    <w:rsid w:val="0035447A"/>
    <w:rsid w:val="00354494"/>
    <w:rsid w:val="003545AB"/>
    <w:rsid w:val="003547C1"/>
    <w:rsid w:val="00354E42"/>
    <w:rsid w:val="0035513D"/>
    <w:rsid w:val="0035527D"/>
    <w:rsid w:val="00355847"/>
    <w:rsid w:val="00355C15"/>
    <w:rsid w:val="00355F92"/>
    <w:rsid w:val="00356080"/>
    <w:rsid w:val="0035665F"/>
    <w:rsid w:val="003567D6"/>
    <w:rsid w:val="003568DF"/>
    <w:rsid w:val="003569CA"/>
    <w:rsid w:val="00356D42"/>
    <w:rsid w:val="00356F21"/>
    <w:rsid w:val="00357089"/>
    <w:rsid w:val="003570A1"/>
    <w:rsid w:val="003571CD"/>
    <w:rsid w:val="00357415"/>
    <w:rsid w:val="0035778B"/>
    <w:rsid w:val="00357BFD"/>
    <w:rsid w:val="003600BC"/>
    <w:rsid w:val="0036013F"/>
    <w:rsid w:val="003602AA"/>
    <w:rsid w:val="0036047C"/>
    <w:rsid w:val="003606C0"/>
    <w:rsid w:val="0036080D"/>
    <w:rsid w:val="00360921"/>
    <w:rsid w:val="003609BC"/>
    <w:rsid w:val="00360A5B"/>
    <w:rsid w:val="00360A5D"/>
    <w:rsid w:val="00360B47"/>
    <w:rsid w:val="00360E94"/>
    <w:rsid w:val="00361049"/>
    <w:rsid w:val="003613AB"/>
    <w:rsid w:val="003613DF"/>
    <w:rsid w:val="00361624"/>
    <w:rsid w:val="00361B85"/>
    <w:rsid w:val="00361FD4"/>
    <w:rsid w:val="0036232B"/>
    <w:rsid w:val="00362441"/>
    <w:rsid w:val="00362571"/>
    <w:rsid w:val="00362603"/>
    <w:rsid w:val="0036263B"/>
    <w:rsid w:val="00362B25"/>
    <w:rsid w:val="00362BD7"/>
    <w:rsid w:val="00362D82"/>
    <w:rsid w:val="0036307F"/>
    <w:rsid w:val="0036310E"/>
    <w:rsid w:val="0036317C"/>
    <w:rsid w:val="00363565"/>
    <w:rsid w:val="003638FD"/>
    <w:rsid w:val="00363991"/>
    <w:rsid w:val="00363AC3"/>
    <w:rsid w:val="00363BD0"/>
    <w:rsid w:val="00363BFE"/>
    <w:rsid w:val="00363D73"/>
    <w:rsid w:val="00363E1A"/>
    <w:rsid w:val="00363E82"/>
    <w:rsid w:val="003642E2"/>
    <w:rsid w:val="003645BE"/>
    <w:rsid w:val="00364789"/>
    <w:rsid w:val="00364A6B"/>
    <w:rsid w:val="00364EC9"/>
    <w:rsid w:val="00364F65"/>
    <w:rsid w:val="00365748"/>
    <w:rsid w:val="0036579F"/>
    <w:rsid w:val="00365CB4"/>
    <w:rsid w:val="00365D13"/>
    <w:rsid w:val="00365EF6"/>
    <w:rsid w:val="003660FA"/>
    <w:rsid w:val="00366143"/>
    <w:rsid w:val="0036617C"/>
    <w:rsid w:val="003663FA"/>
    <w:rsid w:val="003664A6"/>
    <w:rsid w:val="003666F4"/>
    <w:rsid w:val="0036698E"/>
    <w:rsid w:val="00366D3D"/>
    <w:rsid w:val="00367108"/>
    <w:rsid w:val="00367119"/>
    <w:rsid w:val="0036753D"/>
    <w:rsid w:val="00367707"/>
    <w:rsid w:val="003678B4"/>
    <w:rsid w:val="00367C87"/>
    <w:rsid w:val="00367D29"/>
    <w:rsid w:val="00370107"/>
    <w:rsid w:val="0037015E"/>
    <w:rsid w:val="003702C7"/>
    <w:rsid w:val="00370453"/>
    <w:rsid w:val="00370460"/>
    <w:rsid w:val="003706ED"/>
    <w:rsid w:val="0037091C"/>
    <w:rsid w:val="00370BCD"/>
    <w:rsid w:val="00370FBF"/>
    <w:rsid w:val="00371067"/>
    <w:rsid w:val="003710B5"/>
    <w:rsid w:val="0037131A"/>
    <w:rsid w:val="00371502"/>
    <w:rsid w:val="0037166B"/>
    <w:rsid w:val="003716B1"/>
    <w:rsid w:val="0037176B"/>
    <w:rsid w:val="00371A87"/>
    <w:rsid w:val="00371E0C"/>
    <w:rsid w:val="003720BD"/>
    <w:rsid w:val="00372122"/>
    <w:rsid w:val="00372237"/>
    <w:rsid w:val="003722AB"/>
    <w:rsid w:val="003722EC"/>
    <w:rsid w:val="003727BC"/>
    <w:rsid w:val="00372812"/>
    <w:rsid w:val="00372BAC"/>
    <w:rsid w:val="00372FF5"/>
    <w:rsid w:val="0037312D"/>
    <w:rsid w:val="003732A3"/>
    <w:rsid w:val="00373678"/>
    <w:rsid w:val="00373689"/>
    <w:rsid w:val="00373694"/>
    <w:rsid w:val="00373A33"/>
    <w:rsid w:val="00373ADD"/>
    <w:rsid w:val="00373AEF"/>
    <w:rsid w:val="00373B08"/>
    <w:rsid w:val="00373B32"/>
    <w:rsid w:val="00373CCA"/>
    <w:rsid w:val="00373D40"/>
    <w:rsid w:val="00373F05"/>
    <w:rsid w:val="003740B6"/>
    <w:rsid w:val="0037414C"/>
    <w:rsid w:val="00374163"/>
    <w:rsid w:val="00374AD7"/>
    <w:rsid w:val="00374D22"/>
    <w:rsid w:val="00374F17"/>
    <w:rsid w:val="003754AB"/>
    <w:rsid w:val="00375714"/>
    <w:rsid w:val="0037595B"/>
    <w:rsid w:val="00376156"/>
    <w:rsid w:val="0037621B"/>
    <w:rsid w:val="003762F3"/>
    <w:rsid w:val="00376312"/>
    <w:rsid w:val="00376346"/>
    <w:rsid w:val="00376753"/>
    <w:rsid w:val="0037675E"/>
    <w:rsid w:val="003769B3"/>
    <w:rsid w:val="00376AF2"/>
    <w:rsid w:val="00376BC5"/>
    <w:rsid w:val="00376F29"/>
    <w:rsid w:val="0037713B"/>
    <w:rsid w:val="0037779D"/>
    <w:rsid w:val="00377D35"/>
    <w:rsid w:val="00377D48"/>
    <w:rsid w:val="00380074"/>
    <w:rsid w:val="003801EF"/>
    <w:rsid w:val="00380870"/>
    <w:rsid w:val="003809B9"/>
    <w:rsid w:val="00380C4A"/>
    <w:rsid w:val="00380E27"/>
    <w:rsid w:val="00381063"/>
    <w:rsid w:val="00381294"/>
    <w:rsid w:val="0038137E"/>
    <w:rsid w:val="003814ED"/>
    <w:rsid w:val="0038180A"/>
    <w:rsid w:val="00381842"/>
    <w:rsid w:val="00381946"/>
    <w:rsid w:val="00381BFF"/>
    <w:rsid w:val="00381E98"/>
    <w:rsid w:val="00381F07"/>
    <w:rsid w:val="00382109"/>
    <w:rsid w:val="003821A9"/>
    <w:rsid w:val="003823AA"/>
    <w:rsid w:val="0038248D"/>
    <w:rsid w:val="00382971"/>
    <w:rsid w:val="00382C43"/>
    <w:rsid w:val="00382C56"/>
    <w:rsid w:val="00382E34"/>
    <w:rsid w:val="00382F3F"/>
    <w:rsid w:val="003831F8"/>
    <w:rsid w:val="00383337"/>
    <w:rsid w:val="00383371"/>
    <w:rsid w:val="003834B3"/>
    <w:rsid w:val="003836BD"/>
    <w:rsid w:val="00383967"/>
    <w:rsid w:val="00383ACF"/>
    <w:rsid w:val="00383F86"/>
    <w:rsid w:val="00384A07"/>
    <w:rsid w:val="00384BCF"/>
    <w:rsid w:val="00385373"/>
    <w:rsid w:val="00385580"/>
    <w:rsid w:val="00385870"/>
    <w:rsid w:val="00385A90"/>
    <w:rsid w:val="00385B49"/>
    <w:rsid w:val="00385F22"/>
    <w:rsid w:val="003860ED"/>
    <w:rsid w:val="0038618E"/>
    <w:rsid w:val="003862DF"/>
    <w:rsid w:val="00386543"/>
    <w:rsid w:val="00386683"/>
    <w:rsid w:val="003867ED"/>
    <w:rsid w:val="0038690D"/>
    <w:rsid w:val="0038694A"/>
    <w:rsid w:val="00386950"/>
    <w:rsid w:val="00386CAA"/>
    <w:rsid w:val="0038723B"/>
    <w:rsid w:val="0038723C"/>
    <w:rsid w:val="00387B8F"/>
    <w:rsid w:val="00387F3D"/>
    <w:rsid w:val="00390248"/>
    <w:rsid w:val="003902D2"/>
    <w:rsid w:val="0039089D"/>
    <w:rsid w:val="0039093F"/>
    <w:rsid w:val="00390A6E"/>
    <w:rsid w:val="00390C54"/>
    <w:rsid w:val="00390EDB"/>
    <w:rsid w:val="003916C6"/>
    <w:rsid w:val="00391D38"/>
    <w:rsid w:val="00391D9F"/>
    <w:rsid w:val="00392016"/>
    <w:rsid w:val="003922A4"/>
    <w:rsid w:val="003930DE"/>
    <w:rsid w:val="00393180"/>
    <w:rsid w:val="00393494"/>
    <w:rsid w:val="003939A7"/>
    <w:rsid w:val="00393B8B"/>
    <w:rsid w:val="00393FD6"/>
    <w:rsid w:val="0039418D"/>
    <w:rsid w:val="00394270"/>
    <w:rsid w:val="003943C2"/>
    <w:rsid w:val="00394565"/>
    <w:rsid w:val="0039498D"/>
    <w:rsid w:val="00394B1A"/>
    <w:rsid w:val="00394BD7"/>
    <w:rsid w:val="00394C39"/>
    <w:rsid w:val="00395127"/>
    <w:rsid w:val="003956F4"/>
    <w:rsid w:val="003957D2"/>
    <w:rsid w:val="00395BF7"/>
    <w:rsid w:val="00395DC8"/>
    <w:rsid w:val="003961BB"/>
    <w:rsid w:val="003963A0"/>
    <w:rsid w:val="0039656A"/>
    <w:rsid w:val="00396856"/>
    <w:rsid w:val="003968B3"/>
    <w:rsid w:val="003969EA"/>
    <w:rsid w:val="00396AA7"/>
    <w:rsid w:val="00396B3B"/>
    <w:rsid w:val="00396B82"/>
    <w:rsid w:val="00396D12"/>
    <w:rsid w:val="00396D3E"/>
    <w:rsid w:val="00396D6B"/>
    <w:rsid w:val="00396EC5"/>
    <w:rsid w:val="00396F18"/>
    <w:rsid w:val="003972F4"/>
    <w:rsid w:val="00397312"/>
    <w:rsid w:val="003973F2"/>
    <w:rsid w:val="003975BC"/>
    <w:rsid w:val="003978BD"/>
    <w:rsid w:val="003978EC"/>
    <w:rsid w:val="00397925"/>
    <w:rsid w:val="0039793C"/>
    <w:rsid w:val="0039798C"/>
    <w:rsid w:val="00397BB6"/>
    <w:rsid w:val="00397BF6"/>
    <w:rsid w:val="00397D7E"/>
    <w:rsid w:val="00397DE6"/>
    <w:rsid w:val="00397E2D"/>
    <w:rsid w:val="00397E36"/>
    <w:rsid w:val="003A0061"/>
    <w:rsid w:val="003A0114"/>
    <w:rsid w:val="003A04C7"/>
    <w:rsid w:val="003A06AA"/>
    <w:rsid w:val="003A0885"/>
    <w:rsid w:val="003A0980"/>
    <w:rsid w:val="003A099A"/>
    <w:rsid w:val="003A0FB4"/>
    <w:rsid w:val="003A105E"/>
    <w:rsid w:val="003A10BB"/>
    <w:rsid w:val="003A1421"/>
    <w:rsid w:val="003A143B"/>
    <w:rsid w:val="003A16F3"/>
    <w:rsid w:val="003A1884"/>
    <w:rsid w:val="003A19A3"/>
    <w:rsid w:val="003A19D8"/>
    <w:rsid w:val="003A1C73"/>
    <w:rsid w:val="003A1F04"/>
    <w:rsid w:val="003A200E"/>
    <w:rsid w:val="003A2119"/>
    <w:rsid w:val="003A2158"/>
    <w:rsid w:val="003A2290"/>
    <w:rsid w:val="003A28FB"/>
    <w:rsid w:val="003A29F3"/>
    <w:rsid w:val="003A2D4E"/>
    <w:rsid w:val="003A2DA4"/>
    <w:rsid w:val="003A2E0D"/>
    <w:rsid w:val="003A30D8"/>
    <w:rsid w:val="003A30D9"/>
    <w:rsid w:val="003A324C"/>
    <w:rsid w:val="003A336E"/>
    <w:rsid w:val="003A3756"/>
    <w:rsid w:val="003A3A0D"/>
    <w:rsid w:val="003A3B30"/>
    <w:rsid w:val="003A3D92"/>
    <w:rsid w:val="003A40A0"/>
    <w:rsid w:val="003A4C0F"/>
    <w:rsid w:val="003A4D09"/>
    <w:rsid w:val="003A4DC8"/>
    <w:rsid w:val="003A4DFF"/>
    <w:rsid w:val="003A4FEB"/>
    <w:rsid w:val="003A542E"/>
    <w:rsid w:val="003A57DD"/>
    <w:rsid w:val="003A59DB"/>
    <w:rsid w:val="003A5F19"/>
    <w:rsid w:val="003A5F96"/>
    <w:rsid w:val="003A6561"/>
    <w:rsid w:val="003A656C"/>
    <w:rsid w:val="003A69F6"/>
    <w:rsid w:val="003A6AD4"/>
    <w:rsid w:val="003A6C11"/>
    <w:rsid w:val="003A6DC2"/>
    <w:rsid w:val="003A6E84"/>
    <w:rsid w:val="003A717A"/>
    <w:rsid w:val="003A737C"/>
    <w:rsid w:val="003A7401"/>
    <w:rsid w:val="003A7489"/>
    <w:rsid w:val="003A751D"/>
    <w:rsid w:val="003A76D7"/>
    <w:rsid w:val="003A7E78"/>
    <w:rsid w:val="003B002A"/>
    <w:rsid w:val="003B01E1"/>
    <w:rsid w:val="003B06E3"/>
    <w:rsid w:val="003B0B5D"/>
    <w:rsid w:val="003B1219"/>
    <w:rsid w:val="003B16D1"/>
    <w:rsid w:val="003B192D"/>
    <w:rsid w:val="003B1FE3"/>
    <w:rsid w:val="003B1FFA"/>
    <w:rsid w:val="003B286D"/>
    <w:rsid w:val="003B29B5"/>
    <w:rsid w:val="003B2C88"/>
    <w:rsid w:val="003B2DA3"/>
    <w:rsid w:val="003B2E1C"/>
    <w:rsid w:val="003B2FB8"/>
    <w:rsid w:val="003B31F8"/>
    <w:rsid w:val="003B32FC"/>
    <w:rsid w:val="003B342B"/>
    <w:rsid w:val="003B3456"/>
    <w:rsid w:val="003B3684"/>
    <w:rsid w:val="003B37E9"/>
    <w:rsid w:val="003B3D51"/>
    <w:rsid w:val="003B3E65"/>
    <w:rsid w:val="003B3FFD"/>
    <w:rsid w:val="003B408D"/>
    <w:rsid w:val="003B4873"/>
    <w:rsid w:val="003B52B9"/>
    <w:rsid w:val="003B52D4"/>
    <w:rsid w:val="003B52FF"/>
    <w:rsid w:val="003B5376"/>
    <w:rsid w:val="003B5A23"/>
    <w:rsid w:val="003B5DFF"/>
    <w:rsid w:val="003B60B5"/>
    <w:rsid w:val="003B62EC"/>
    <w:rsid w:val="003B6434"/>
    <w:rsid w:val="003B6733"/>
    <w:rsid w:val="003B69F0"/>
    <w:rsid w:val="003B72CF"/>
    <w:rsid w:val="003B7364"/>
    <w:rsid w:val="003B74AD"/>
    <w:rsid w:val="003B781C"/>
    <w:rsid w:val="003B7854"/>
    <w:rsid w:val="003B78EE"/>
    <w:rsid w:val="003B7AE9"/>
    <w:rsid w:val="003B7E38"/>
    <w:rsid w:val="003C04BE"/>
    <w:rsid w:val="003C067D"/>
    <w:rsid w:val="003C0B10"/>
    <w:rsid w:val="003C0C6D"/>
    <w:rsid w:val="003C101A"/>
    <w:rsid w:val="003C131B"/>
    <w:rsid w:val="003C1362"/>
    <w:rsid w:val="003C1366"/>
    <w:rsid w:val="003C178C"/>
    <w:rsid w:val="003C210B"/>
    <w:rsid w:val="003C23EE"/>
    <w:rsid w:val="003C250D"/>
    <w:rsid w:val="003C2592"/>
    <w:rsid w:val="003C272C"/>
    <w:rsid w:val="003C2A05"/>
    <w:rsid w:val="003C2A9C"/>
    <w:rsid w:val="003C31FC"/>
    <w:rsid w:val="003C3574"/>
    <w:rsid w:val="003C35BA"/>
    <w:rsid w:val="003C3800"/>
    <w:rsid w:val="003C3D89"/>
    <w:rsid w:val="003C3EA3"/>
    <w:rsid w:val="003C3F4D"/>
    <w:rsid w:val="003C3F69"/>
    <w:rsid w:val="003C40FD"/>
    <w:rsid w:val="003C4378"/>
    <w:rsid w:val="003C4839"/>
    <w:rsid w:val="003C48F6"/>
    <w:rsid w:val="003C4910"/>
    <w:rsid w:val="003C491A"/>
    <w:rsid w:val="003C4C56"/>
    <w:rsid w:val="003C4CD2"/>
    <w:rsid w:val="003C5527"/>
    <w:rsid w:val="003C55BD"/>
    <w:rsid w:val="003C562F"/>
    <w:rsid w:val="003C5929"/>
    <w:rsid w:val="003C5D02"/>
    <w:rsid w:val="003C5E8B"/>
    <w:rsid w:val="003C5F6F"/>
    <w:rsid w:val="003C680B"/>
    <w:rsid w:val="003C6890"/>
    <w:rsid w:val="003C699A"/>
    <w:rsid w:val="003C6A3C"/>
    <w:rsid w:val="003C6B3E"/>
    <w:rsid w:val="003C6EB6"/>
    <w:rsid w:val="003C72A9"/>
    <w:rsid w:val="003C72CD"/>
    <w:rsid w:val="003C75A7"/>
    <w:rsid w:val="003C76FE"/>
    <w:rsid w:val="003C79BC"/>
    <w:rsid w:val="003C7CAE"/>
    <w:rsid w:val="003C7CB7"/>
    <w:rsid w:val="003C7D4A"/>
    <w:rsid w:val="003C7E3F"/>
    <w:rsid w:val="003C7E57"/>
    <w:rsid w:val="003C7E5E"/>
    <w:rsid w:val="003D017C"/>
    <w:rsid w:val="003D03DB"/>
    <w:rsid w:val="003D0419"/>
    <w:rsid w:val="003D04EC"/>
    <w:rsid w:val="003D07C5"/>
    <w:rsid w:val="003D07D3"/>
    <w:rsid w:val="003D09EB"/>
    <w:rsid w:val="003D0AF9"/>
    <w:rsid w:val="003D0BF8"/>
    <w:rsid w:val="003D0DF7"/>
    <w:rsid w:val="003D0E71"/>
    <w:rsid w:val="003D1050"/>
    <w:rsid w:val="003D10B6"/>
    <w:rsid w:val="003D12AA"/>
    <w:rsid w:val="003D1698"/>
    <w:rsid w:val="003D1A1E"/>
    <w:rsid w:val="003D1AD4"/>
    <w:rsid w:val="003D1B0E"/>
    <w:rsid w:val="003D1CF8"/>
    <w:rsid w:val="003D1DA1"/>
    <w:rsid w:val="003D1EB7"/>
    <w:rsid w:val="003D1F0C"/>
    <w:rsid w:val="003D1F84"/>
    <w:rsid w:val="003D209F"/>
    <w:rsid w:val="003D230D"/>
    <w:rsid w:val="003D23A9"/>
    <w:rsid w:val="003D284F"/>
    <w:rsid w:val="003D286D"/>
    <w:rsid w:val="003D3223"/>
    <w:rsid w:val="003D3317"/>
    <w:rsid w:val="003D3350"/>
    <w:rsid w:val="003D3933"/>
    <w:rsid w:val="003D39CA"/>
    <w:rsid w:val="003D3A01"/>
    <w:rsid w:val="003D3AA5"/>
    <w:rsid w:val="003D3B4C"/>
    <w:rsid w:val="003D3F3C"/>
    <w:rsid w:val="003D44BC"/>
    <w:rsid w:val="003D4551"/>
    <w:rsid w:val="003D48CD"/>
    <w:rsid w:val="003D48DA"/>
    <w:rsid w:val="003D4B9D"/>
    <w:rsid w:val="003D4CDB"/>
    <w:rsid w:val="003D4FF5"/>
    <w:rsid w:val="003D5123"/>
    <w:rsid w:val="003D59D5"/>
    <w:rsid w:val="003D5C4A"/>
    <w:rsid w:val="003D5E42"/>
    <w:rsid w:val="003D5EA5"/>
    <w:rsid w:val="003D60C2"/>
    <w:rsid w:val="003D62C8"/>
    <w:rsid w:val="003D641F"/>
    <w:rsid w:val="003D643D"/>
    <w:rsid w:val="003D64D9"/>
    <w:rsid w:val="003D65CF"/>
    <w:rsid w:val="003D6834"/>
    <w:rsid w:val="003D6AFE"/>
    <w:rsid w:val="003D6BAA"/>
    <w:rsid w:val="003D725B"/>
    <w:rsid w:val="003D77A3"/>
    <w:rsid w:val="003D786A"/>
    <w:rsid w:val="003D7CDF"/>
    <w:rsid w:val="003D7D7B"/>
    <w:rsid w:val="003E00D0"/>
    <w:rsid w:val="003E030E"/>
    <w:rsid w:val="003E0794"/>
    <w:rsid w:val="003E0921"/>
    <w:rsid w:val="003E09D4"/>
    <w:rsid w:val="003E0AAD"/>
    <w:rsid w:val="003E118B"/>
    <w:rsid w:val="003E125D"/>
    <w:rsid w:val="003E12AA"/>
    <w:rsid w:val="003E1359"/>
    <w:rsid w:val="003E13AA"/>
    <w:rsid w:val="003E1B42"/>
    <w:rsid w:val="003E1D30"/>
    <w:rsid w:val="003E1E58"/>
    <w:rsid w:val="003E1F29"/>
    <w:rsid w:val="003E2215"/>
    <w:rsid w:val="003E2656"/>
    <w:rsid w:val="003E2BCA"/>
    <w:rsid w:val="003E2CE0"/>
    <w:rsid w:val="003E2FC6"/>
    <w:rsid w:val="003E303C"/>
    <w:rsid w:val="003E31FE"/>
    <w:rsid w:val="003E32FC"/>
    <w:rsid w:val="003E3431"/>
    <w:rsid w:val="003E3595"/>
    <w:rsid w:val="003E35B8"/>
    <w:rsid w:val="003E3651"/>
    <w:rsid w:val="003E3BBD"/>
    <w:rsid w:val="003E3D3B"/>
    <w:rsid w:val="003E407B"/>
    <w:rsid w:val="003E40DE"/>
    <w:rsid w:val="003E41A8"/>
    <w:rsid w:val="003E4684"/>
    <w:rsid w:val="003E498C"/>
    <w:rsid w:val="003E49FD"/>
    <w:rsid w:val="003E4B3D"/>
    <w:rsid w:val="003E4B8A"/>
    <w:rsid w:val="003E4CA1"/>
    <w:rsid w:val="003E4F0C"/>
    <w:rsid w:val="003E5224"/>
    <w:rsid w:val="003E52A2"/>
    <w:rsid w:val="003E576B"/>
    <w:rsid w:val="003E5887"/>
    <w:rsid w:val="003E5AE9"/>
    <w:rsid w:val="003E5F7C"/>
    <w:rsid w:val="003E60F0"/>
    <w:rsid w:val="003E677F"/>
    <w:rsid w:val="003E68AF"/>
    <w:rsid w:val="003E6969"/>
    <w:rsid w:val="003E6C8D"/>
    <w:rsid w:val="003E6E3C"/>
    <w:rsid w:val="003E6FE5"/>
    <w:rsid w:val="003E710D"/>
    <w:rsid w:val="003E714D"/>
    <w:rsid w:val="003E744C"/>
    <w:rsid w:val="003E74E5"/>
    <w:rsid w:val="003E7588"/>
    <w:rsid w:val="003E764F"/>
    <w:rsid w:val="003E7672"/>
    <w:rsid w:val="003E7769"/>
    <w:rsid w:val="003E782D"/>
    <w:rsid w:val="003E78BD"/>
    <w:rsid w:val="003E7E21"/>
    <w:rsid w:val="003F0290"/>
    <w:rsid w:val="003F0737"/>
    <w:rsid w:val="003F07A5"/>
    <w:rsid w:val="003F0A9C"/>
    <w:rsid w:val="003F0A9F"/>
    <w:rsid w:val="003F0D4A"/>
    <w:rsid w:val="003F0EE7"/>
    <w:rsid w:val="003F131B"/>
    <w:rsid w:val="003F13D4"/>
    <w:rsid w:val="003F176B"/>
    <w:rsid w:val="003F259C"/>
    <w:rsid w:val="003F25A0"/>
    <w:rsid w:val="003F2690"/>
    <w:rsid w:val="003F2D76"/>
    <w:rsid w:val="003F2E0E"/>
    <w:rsid w:val="003F2E43"/>
    <w:rsid w:val="003F2E45"/>
    <w:rsid w:val="003F324A"/>
    <w:rsid w:val="003F330E"/>
    <w:rsid w:val="003F34FF"/>
    <w:rsid w:val="003F37EE"/>
    <w:rsid w:val="003F3AB3"/>
    <w:rsid w:val="003F3B02"/>
    <w:rsid w:val="003F441E"/>
    <w:rsid w:val="003F44B3"/>
    <w:rsid w:val="003F4B69"/>
    <w:rsid w:val="003F4B79"/>
    <w:rsid w:val="003F4B81"/>
    <w:rsid w:val="003F5500"/>
    <w:rsid w:val="003F57E0"/>
    <w:rsid w:val="003F5889"/>
    <w:rsid w:val="003F58C1"/>
    <w:rsid w:val="003F58EF"/>
    <w:rsid w:val="003F5944"/>
    <w:rsid w:val="003F6311"/>
    <w:rsid w:val="003F6424"/>
    <w:rsid w:val="003F6BB1"/>
    <w:rsid w:val="003F6D55"/>
    <w:rsid w:val="003F7348"/>
    <w:rsid w:val="003F742D"/>
    <w:rsid w:val="003F7753"/>
    <w:rsid w:val="003F776D"/>
    <w:rsid w:val="003F78BF"/>
    <w:rsid w:val="003F7945"/>
    <w:rsid w:val="00400038"/>
    <w:rsid w:val="0040008A"/>
    <w:rsid w:val="00400380"/>
    <w:rsid w:val="0040044D"/>
    <w:rsid w:val="00400457"/>
    <w:rsid w:val="004004A3"/>
    <w:rsid w:val="0040084E"/>
    <w:rsid w:val="004009EA"/>
    <w:rsid w:val="004010D7"/>
    <w:rsid w:val="00401210"/>
    <w:rsid w:val="00401BE0"/>
    <w:rsid w:val="00401DA7"/>
    <w:rsid w:val="00401F68"/>
    <w:rsid w:val="00401FCD"/>
    <w:rsid w:val="00402153"/>
    <w:rsid w:val="004022B1"/>
    <w:rsid w:val="004023C1"/>
    <w:rsid w:val="004024C0"/>
    <w:rsid w:val="004027CA"/>
    <w:rsid w:val="0040281F"/>
    <w:rsid w:val="00402AB2"/>
    <w:rsid w:val="00402C3C"/>
    <w:rsid w:val="004033EF"/>
    <w:rsid w:val="0040349B"/>
    <w:rsid w:val="004034AA"/>
    <w:rsid w:val="00403698"/>
    <w:rsid w:val="0040376F"/>
    <w:rsid w:val="00403BF4"/>
    <w:rsid w:val="00403E92"/>
    <w:rsid w:val="00404036"/>
    <w:rsid w:val="00404630"/>
    <w:rsid w:val="004049DE"/>
    <w:rsid w:val="00404C88"/>
    <w:rsid w:val="00404D96"/>
    <w:rsid w:val="00405137"/>
    <w:rsid w:val="004051EC"/>
    <w:rsid w:val="00405308"/>
    <w:rsid w:val="00405374"/>
    <w:rsid w:val="004053B3"/>
    <w:rsid w:val="004056F9"/>
    <w:rsid w:val="00405747"/>
    <w:rsid w:val="004059F1"/>
    <w:rsid w:val="00405A27"/>
    <w:rsid w:val="00405A58"/>
    <w:rsid w:val="00405DA3"/>
    <w:rsid w:val="00405FB0"/>
    <w:rsid w:val="00406006"/>
    <w:rsid w:val="0040613C"/>
    <w:rsid w:val="0040614A"/>
    <w:rsid w:val="004062A2"/>
    <w:rsid w:val="004064CF"/>
    <w:rsid w:val="00406D23"/>
    <w:rsid w:val="00406DA1"/>
    <w:rsid w:val="00406DF8"/>
    <w:rsid w:val="00406EAE"/>
    <w:rsid w:val="00406F1D"/>
    <w:rsid w:val="00406FD1"/>
    <w:rsid w:val="0040702D"/>
    <w:rsid w:val="004072B9"/>
    <w:rsid w:val="00407553"/>
    <w:rsid w:val="004075CD"/>
    <w:rsid w:val="00407783"/>
    <w:rsid w:val="00407B9C"/>
    <w:rsid w:val="00407DEF"/>
    <w:rsid w:val="0041015E"/>
    <w:rsid w:val="00410341"/>
    <w:rsid w:val="00410421"/>
    <w:rsid w:val="00410433"/>
    <w:rsid w:val="004105CC"/>
    <w:rsid w:val="0041060A"/>
    <w:rsid w:val="004106FB"/>
    <w:rsid w:val="00410A10"/>
    <w:rsid w:val="00410B89"/>
    <w:rsid w:val="00410E03"/>
    <w:rsid w:val="00410F6D"/>
    <w:rsid w:val="0041143B"/>
    <w:rsid w:val="00411645"/>
    <w:rsid w:val="004116E3"/>
    <w:rsid w:val="00411751"/>
    <w:rsid w:val="00411773"/>
    <w:rsid w:val="00411782"/>
    <w:rsid w:val="00411852"/>
    <w:rsid w:val="00411882"/>
    <w:rsid w:val="0041188E"/>
    <w:rsid w:val="004118FA"/>
    <w:rsid w:val="00411968"/>
    <w:rsid w:val="004119F9"/>
    <w:rsid w:val="00411BD5"/>
    <w:rsid w:val="00411C0E"/>
    <w:rsid w:val="00411C94"/>
    <w:rsid w:val="00411D0C"/>
    <w:rsid w:val="00411E85"/>
    <w:rsid w:val="00411F7A"/>
    <w:rsid w:val="004120CE"/>
    <w:rsid w:val="004124D7"/>
    <w:rsid w:val="0041263D"/>
    <w:rsid w:val="00412C80"/>
    <w:rsid w:val="00412C9B"/>
    <w:rsid w:val="00412E3B"/>
    <w:rsid w:val="004133D8"/>
    <w:rsid w:val="004137ED"/>
    <w:rsid w:val="00413AD8"/>
    <w:rsid w:val="00413B9F"/>
    <w:rsid w:val="00413C0F"/>
    <w:rsid w:val="00413D75"/>
    <w:rsid w:val="00414B8E"/>
    <w:rsid w:val="00414F2B"/>
    <w:rsid w:val="004151AB"/>
    <w:rsid w:val="00415237"/>
    <w:rsid w:val="0041541F"/>
    <w:rsid w:val="0041554E"/>
    <w:rsid w:val="004158D8"/>
    <w:rsid w:val="00415B1C"/>
    <w:rsid w:val="00415BEF"/>
    <w:rsid w:val="00416165"/>
    <w:rsid w:val="00416315"/>
    <w:rsid w:val="0041638E"/>
    <w:rsid w:val="004164D4"/>
    <w:rsid w:val="00416AF7"/>
    <w:rsid w:val="00416B2B"/>
    <w:rsid w:val="00416C68"/>
    <w:rsid w:val="00416C6D"/>
    <w:rsid w:val="00416CA1"/>
    <w:rsid w:val="00416CDC"/>
    <w:rsid w:val="00416D6F"/>
    <w:rsid w:val="00416D93"/>
    <w:rsid w:val="00416E29"/>
    <w:rsid w:val="00416E9E"/>
    <w:rsid w:val="00416F2C"/>
    <w:rsid w:val="0041714C"/>
    <w:rsid w:val="00417365"/>
    <w:rsid w:val="0041753B"/>
    <w:rsid w:val="004175F3"/>
    <w:rsid w:val="004176E6"/>
    <w:rsid w:val="00417965"/>
    <w:rsid w:val="004179F3"/>
    <w:rsid w:val="00417B7B"/>
    <w:rsid w:val="00417D10"/>
    <w:rsid w:val="00417E3D"/>
    <w:rsid w:val="00417FCB"/>
    <w:rsid w:val="00420013"/>
    <w:rsid w:val="00420260"/>
    <w:rsid w:val="00420317"/>
    <w:rsid w:val="00420751"/>
    <w:rsid w:val="00420A3A"/>
    <w:rsid w:val="00420BE1"/>
    <w:rsid w:val="00420CF6"/>
    <w:rsid w:val="00420D00"/>
    <w:rsid w:val="00420F2E"/>
    <w:rsid w:val="00421336"/>
    <w:rsid w:val="00421425"/>
    <w:rsid w:val="004214B6"/>
    <w:rsid w:val="004215F9"/>
    <w:rsid w:val="00421618"/>
    <w:rsid w:val="0042162E"/>
    <w:rsid w:val="0042164B"/>
    <w:rsid w:val="00421791"/>
    <w:rsid w:val="00421C9D"/>
    <w:rsid w:val="00421E60"/>
    <w:rsid w:val="00421EBF"/>
    <w:rsid w:val="00421F6E"/>
    <w:rsid w:val="0042216F"/>
    <w:rsid w:val="004222B8"/>
    <w:rsid w:val="0042237B"/>
    <w:rsid w:val="004225AA"/>
    <w:rsid w:val="00422785"/>
    <w:rsid w:val="00422A64"/>
    <w:rsid w:val="00422AB7"/>
    <w:rsid w:val="00422E10"/>
    <w:rsid w:val="00422EF7"/>
    <w:rsid w:val="004231D0"/>
    <w:rsid w:val="004235B7"/>
    <w:rsid w:val="004239CA"/>
    <w:rsid w:val="00423AD0"/>
    <w:rsid w:val="00423B71"/>
    <w:rsid w:val="00423C5D"/>
    <w:rsid w:val="00423CEF"/>
    <w:rsid w:val="00423F1A"/>
    <w:rsid w:val="0042412A"/>
    <w:rsid w:val="00424312"/>
    <w:rsid w:val="00424917"/>
    <w:rsid w:val="00424A1D"/>
    <w:rsid w:val="00424B58"/>
    <w:rsid w:val="004250A3"/>
    <w:rsid w:val="00425205"/>
    <w:rsid w:val="00425409"/>
    <w:rsid w:val="004254C3"/>
    <w:rsid w:val="00425687"/>
    <w:rsid w:val="004257F2"/>
    <w:rsid w:val="004261B4"/>
    <w:rsid w:val="004266DF"/>
    <w:rsid w:val="00426DFB"/>
    <w:rsid w:val="00426EB0"/>
    <w:rsid w:val="0042703F"/>
    <w:rsid w:val="004271B5"/>
    <w:rsid w:val="00427A67"/>
    <w:rsid w:val="00427A8E"/>
    <w:rsid w:val="00427B85"/>
    <w:rsid w:val="00427D58"/>
    <w:rsid w:val="00427D9D"/>
    <w:rsid w:val="00427F0F"/>
    <w:rsid w:val="00427FF8"/>
    <w:rsid w:val="00430023"/>
    <w:rsid w:val="004309BF"/>
    <w:rsid w:val="00430A6A"/>
    <w:rsid w:val="00430E74"/>
    <w:rsid w:val="00431263"/>
    <w:rsid w:val="00431BF3"/>
    <w:rsid w:val="00431C06"/>
    <w:rsid w:val="00431CC8"/>
    <w:rsid w:val="00431F6A"/>
    <w:rsid w:val="004324CB"/>
    <w:rsid w:val="0043262B"/>
    <w:rsid w:val="00432868"/>
    <w:rsid w:val="00432D19"/>
    <w:rsid w:val="00433075"/>
    <w:rsid w:val="00433124"/>
    <w:rsid w:val="0043349D"/>
    <w:rsid w:val="00433A34"/>
    <w:rsid w:val="00433B0B"/>
    <w:rsid w:val="00433D17"/>
    <w:rsid w:val="00434054"/>
    <w:rsid w:val="004342AC"/>
    <w:rsid w:val="004342F3"/>
    <w:rsid w:val="00434390"/>
    <w:rsid w:val="0043449E"/>
    <w:rsid w:val="00434518"/>
    <w:rsid w:val="00434580"/>
    <w:rsid w:val="00434601"/>
    <w:rsid w:val="004346A0"/>
    <w:rsid w:val="004346E4"/>
    <w:rsid w:val="00434757"/>
    <w:rsid w:val="00434780"/>
    <w:rsid w:val="004347A2"/>
    <w:rsid w:val="004347CE"/>
    <w:rsid w:val="00434AAB"/>
    <w:rsid w:val="00434ABB"/>
    <w:rsid w:val="00434EFD"/>
    <w:rsid w:val="00435022"/>
    <w:rsid w:val="004351F7"/>
    <w:rsid w:val="004353F4"/>
    <w:rsid w:val="00435419"/>
    <w:rsid w:val="00435555"/>
    <w:rsid w:val="004359B0"/>
    <w:rsid w:val="00435F59"/>
    <w:rsid w:val="00436058"/>
    <w:rsid w:val="0043617B"/>
    <w:rsid w:val="0043652C"/>
    <w:rsid w:val="00436882"/>
    <w:rsid w:val="004369FD"/>
    <w:rsid w:val="00436F02"/>
    <w:rsid w:val="00437BC4"/>
    <w:rsid w:val="00437C24"/>
    <w:rsid w:val="00437C51"/>
    <w:rsid w:val="00440061"/>
    <w:rsid w:val="004402ED"/>
    <w:rsid w:val="00440705"/>
    <w:rsid w:val="004408A8"/>
    <w:rsid w:val="0044095E"/>
    <w:rsid w:val="00440973"/>
    <w:rsid w:val="00440E87"/>
    <w:rsid w:val="00440FEF"/>
    <w:rsid w:val="00441079"/>
    <w:rsid w:val="004411A5"/>
    <w:rsid w:val="004411F3"/>
    <w:rsid w:val="004413B8"/>
    <w:rsid w:val="0044143C"/>
    <w:rsid w:val="004417B4"/>
    <w:rsid w:val="00441B6F"/>
    <w:rsid w:val="00442059"/>
    <w:rsid w:val="004420FB"/>
    <w:rsid w:val="00442309"/>
    <w:rsid w:val="004426A4"/>
    <w:rsid w:val="004427A4"/>
    <w:rsid w:val="004427E1"/>
    <w:rsid w:val="00442809"/>
    <w:rsid w:val="00442B13"/>
    <w:rsid w:val="00442DE3"/>
    <w:rsid w:val="0044328D"/>
    <w:rsid w:val="004432BB"/>
    <w:rsid w:val="00443722"/>
    <w:rsid w:val="0044388F"/>
    <w:rsid w:val="00443D2E"/>
    <w:rsid w:val="00443DD9"/>
    <w:rsid w:val="00443F06"/>
    <w:rsid w:val="004440A2"/>
    <w:rsid w:val="004442E9"/>
    <w:rsid w:val="004444F8"/>
    <w:rsid w:val="00444820"/>
    <w:rsid w:val="00445036"/>
    <w:rsid w:val="00445877"/>
    <w:rsid w:val="0044597F"/>
    <w:rsid w:val="00445B18"/>
    <w:rsid w:val="00445C3A"/>
    <w:rsid w:val="00445D3A"/>
    <w:rsid w:val="00445E21"/>
    <w:rsid w:val="00445F3C"/>
    <w:rsid w:val="004463B1"/>
    <w:rsid w:val="00446484"/>
    <w:rsid w:val="004466F3"/>
    <w:rsid w:val="00446BC3"/>
    <w:rsid w:val="00446D59"/>
    <w:rsid w:val="00446F58"/>
    <w:rsid w:val="004470F8"/>
    <w:rsid w:val="004471BC"/>
    <w:rsid w:val="00447580"/>
    <w:rsid w:val="00447A4F"/>
    <w:rsid w:val="00447A68"/>
    <w:rsid w:val="00447CA7"/>
    <w:rsid w:val="004500C9"/>
    <w:rsid w:val="004501F8"/>
    <w:rsid w:val="00450304"/>
    <w:rsid w:val="00450411"/>
    <w:rsid w:val="0045059E"/>
    <w:rsid w:val="004515AB"/>
    <w:rsid w:val="00451742"/>
    <w:rsid w:val="00451C6E"/>
    <w:rsid w:val="00451D1A"/>
    <w:rsid w:val="00451D78"/>
    <w:rsid w:val="00452064"/>
    <w:rsid w:val="0045206E"/>
    <w:rsid w:val="004524C9"/>
    <w:rsid w:val="00452621"/>
    <w:rsid w:val="0045264C"/>
    <w:rsid w:val="0045292F"/>
    <w:rsid w:val="00452B2B"/>
    <w:rsid w:val="00452B68"/>
    <w:rsid w:val="00452BB4"/>
    <w:rsid w:val="00453015"/>
    <w:rsid w:val="00453089"/>
    <w:rsid w:val="00453175"/>
    <w:rsid w:val="004533FD"/>
    <w:rsid w:val="0045356D"/>
    <w:rsid w:val="00453595"/>
    <w:rsid w:val="0045379E"/>
    <w:rsid w:val="004539F1"/>
    <w:rsid w:val="00454174"/>
    <w:rsid w:val="0045419B"/>
    <w:rsid w:val="00454378"/>
    <w:rsid w:val="004543F4"/>
    <w:rsid w:val="0045444C"/>
    <w:rsid w:val="004547EB"/>
    <w:rsid w:val="00454BD1"/>
    <w:rsid w:val="00454C91"/>
    <w:rsid w:val="00455620"/>
    <w:rsid w:val="004557AF"/>
    <w:rsid w:val="004557BB"/>
    <w:rsid w:val="00455938"/>
    <w:rsid w:val="00455A03"/>
    <w:rsid w:val="00455B75"/>
    <w:rsid w:val="00456A09"/>
    <w:rsid w:val="00456F2E"/>
    <w:rsid w:val="00456FFD"/>
    <w:rsid w:val="0045710F"/>
    <w:rsid w:val="004574FC"/>
    <w:rsid w:val="00457637"/>
    <w:rsid w:val="004576C3"/>
    <w:rsid w:val="00457A77"/>
    <w:rsid w:val="00457A80"/>
    <w:rsid w:val="00457E33"/>
    <w:rsid w:val="00460044"/>
    <w:rsid w:val="00460769"/>
    <w:rsid w:val="004607EF"/>
    <w:rsid w:val="00460942"/>
    <w:rsid w:val="00460BF0"/>
    <w:rsid w:val="00460D70"/>
    <w:rsid w:val="0046128F"/>
    <w:rsid w:val="0046168B"/>
    <w:rsid w:val="004616F0"/>
    <w:rsid w:val="0046179F"/>
    <w:rsid w:val="0046189A"/>
    <w:rsid w:val="00461A2E"/>
    <w:rsid w:val="00461C36"/>
    <w:rsid w:val="00461CCE"/>
    <w:rsid w:val="00461EB3"/>
    <w:rsid w:val="00462125"/>
    <w:rsid w:val="0046221B"/>
    <w:rsid w:val="0046258B"/>
    <w:rsid w:val="004625EA"/>
    <w:rsid w:val="0046299B"/>
    <w:rsid w:val="004629DA"/>
    <w:rsid w:val="00462AF2"/>
    <w:rsid w:val="00462DB3"/>
    <w:rsid w:val="00462EDC"/>
    <w:rsid w:val="00462EEA"/>
    <w:rsid w:val="0046346D"/>
    <w:rsid w:val="004636EC"/>
    <w:rsid w:val="00463B45"/>
    <w:rsid w:val="00463D65"/>
    <w:rsid w:val="00463E05"/>
    <w:rsid w:val="00463FF2"/>
    <w:rsid w:val="0046419B"/>
    <w:rsid w:val="004646B8"/>
    <w:rsid w:val="004646ED"/>
    <w:rsid w:val="00464C6C"/>
    <w:rsid w:val="00464D63"/>
    <w:rsid w:val="00464E06"/>
    <w:rsid w:val="00465120"/>
    <w:rsid w:val="004653CF"/>
    <w:rsid w:val="00465561"/>
    <w:rsid w:val="00465A6F"/>
    <w:rsid w:val="00465A96"/>
    <w:rsid w:val="00465C88"/>
    <w:rsid w:val="00465E25"/>
    <w:rsid w:val="00465FA6"/>
    <w:rsid w:val="004660FB"/>
    <w:rsid w:val="0046640D"/>
    <w:rsid w:val="00466504"/>
    <w:rsid w:val="00466832"/>
    <w:rsid w:val="00466BCC"/>
    <w:rsid w:val="00466F07"/>
    <w:rsid w:val="004670C4"/>
    <w:rsid w:val="0046722E"/>
    <w:rsid w:val="004672B6"/>
    <w:rsid w:val="0046740F"/>
    <w:rsid w:val="00467542"/>
    <w:rsid w:val="00467A59"/>
    <w:rsid w:val="00467AA7"/>
    <w:rsid w:val="00467C7A"/>
    <w:rsid w:val="00467CF0"/>
    <w:rsid w:val="0047049C"/>
    <w:rsid w:val="00470706"/>
    <w:rsid w:val="0047093B"/>
    <w:rsid w:val="00470A5B"/>
    <w:rsid w:val="00470AB3"/>
    <w:rsid w:val="00470B4D"/>
    <w:rsid w:val="00470B58"/>
    <w:rsid w:val="00470C7F"/>
    <w:rsid w:val="00470D2C"/>
    <w:rsid w:val="00471175"/>
    <w:rsid w:val="00471653"/>
    <w:rsid w:val="0047175D"/>
    <w:rsid w:val="00471900"/>
    <w:rsid w:val="00471A23"/>
    <w:rsid w:val="00471D53"/>
    <w:rsid w:val="00471D63"/>
    <w:rsid w:val="00471E67"/>
    <w:rsid w:val="00472114"/>
    <w:rsid w:val="00472527"/>
    <w:rsid w:val="00472635"/>
    <w:rsid w:val="0047273B"/>
    <w:rsid w:val="00472A92"/>
    <w:rsid w:val="00473F37"/>
    <w:rsid w:val="004741E2"/>
    <w:rsid w:val="004743D8"/>
    <w:rsid w:val="00474412"/>
    <w:rsid w:val="00474562"/>
    <w:rsid w:val="00474BB4"/>
    <w:rsid w:val="00474E79"/>
    <w:rsid w:val="00474E9B"/>
    <w:rsid w:val="00474F8F"/>
    <w:rsid w:val="00475119"/>
    <w:rsid w:val="0047534E"/>
    <w:rsid w:val="004753D8"/>
    <w:rsid w:val="00475585"/>
    <w:rsid w:val="0047560E"/>
    <w:rsid w:val="00475705"/>
    <w:rsid w:val="00475810"/>
    <w:rsid w:val="00475A89"/>
    <w:rsid w:val="00475B39"/>
    <w:rsid w:val="0047602B"/>
    <w:rsid w:val="004760A5"/>
    <w:rsid w:val="00476106"/>
    <w:rsid w:val="0047669B"/>
    <w:rsid w:val="0047670F"/>
    <w:rsid w:val="00477275"/>
    <w:rsid w:val="00477646"/>
    <w:rsid w:val="00477761"/>
    <w:rsid w:val="00477AC3"/>
    <w:rsid w:val="00477B39"/>
    <w:rsid w:val="00477B63"/>
    <w:rsid w:val="00477BC5"/>
    <w:rsid w:val="00477BD1"/>
    <w:rsid w:val="0048000A"/>
    <w:rsid w:val="004801E1"/>
    <w:rsid w:val="004804DF"/>
    <w:rsid w:val="00480A06"/>
    <w:rsid w:val="00480BCA"/>
    <w:rsid w:val="00480F28"/>
    <w:rsid w:val="00481127"/>
    <w:rsid w:val="0048156C"/>
    <w:rsid w:val="00481841"/>
    <w:rsid w:val="00481C25"/>
    <w:rsid w:val="00481F39"/>
    <w:rsid w:val="0048250F"/>
    <w:rsid w:val="00482665"/>
    <w:rsid w:val="00482B0E"/>
    <w:rsid w:val="00482DB5"/>
    <w:rsid w:val="00482E66"/>
    <w:rsid w:val="004838AA"/>
    <w:rsid w:val="00484044"/>
    <w:rsid w:val="004840FF"/>
    <w:rsid w:val="00484266"/>
    <w:rsid w:val="00484889"/>
    <w:rsid w:val="00484D06"/>
    <w:rsid w:val="004852EF"/>
    <w:rsid w:val="0048568C"/>
    <w:rsid w:val="00485747"/>
    <w:rsid w:val="00485A53"/>
    <w:rsid w:val="00485B04"/>
    <w:rsid w:val="00485B0F"/>
    <w:rsid w:val="00485F35"/>
    <w:rsid w:val="004862DF"/>
    <w:rsid w:val="004866EF"/>
    <w:rsid w:val="00486762"/>
    <w:rsid w:val="0048680F"/>
    <w:rsid w:val="0048688D"/>
    <w:rsid w:val="00486931"/>
    <w:rsid w:val="00486B45"/>
    <w:rsid w:val="00486C29"/>
    <w:rsid w:val="00486C45"/>
    <w:rsid w:val="00486F50"/>
    <w:rsid w:val="00487174"/>
    <w:rsid w:val="004877AC"/>
    <w:rsid w:val="00490091"/>
    <w:rsid w:val="00490414"/>
    <w:rsid w:val="0049043F"/>
    <w:rsid w:val="00490502"/>
    <w:rsid w:val="00490D77"/>
    <w:rsid w:val="00490DFB"/>
    <w:rsid w:val="00490F4C"/>
    <w:rsid w:val="00491137"/>
    <w:rsid w:val="00491380"/>
    <w:rsid w:val="004917DF"/>
    <w:rsid w:val="004918ED"/>
    <w:rsid w:val="00491CF7"/>
    <w:rsid w:val="00491FE3"/>
    <w:rsid w:val="004920E0"/>
    <w:rsid w:val="00492261"/>
    <w:rsid w:val="00492320"/>
    <w:rsid w:val="004923B1"/>
    <w:rsid w:val="004923D7"/>
    <w:rsid w:val="004927FA"/>
    <w:rsid w:val="004929C7"/>
    <w:rsid w:val="004929F6"/>
    <w:rsid w:val="00492A13"/>
    <w:rsid w:val="00492AA5"/>
    <w:rsid w:val="00492B19"/>
    <w:rsid w:val="00492CC8"/>
    <w:rsid w:val="00492D61"/>
    <w:rsid w:val="00492F21"/>
    <w:rsid w:val="0049320A"/>
    <w:rsid w:val="00493933"/>
    <w:rsid w:val="00493AA9"/>
    <w:rsid w:val="00493C4F"/>
    <w:rsid w:val="00493EFD"/>
    <w:rsid w:val="0049407C"/>
    <w:rsid w:val="00494174"/>
    <w:rsid w:val="00494338"/>
    <w:rsid w:val="00494365"/>
    <w:rsid w:val="004950C2"/>
    <w:rsid w:val="00495127"/>
    <w:rsid w:val="004953A8"/>
    <w:rsid w:val="004957BB"/>
    <w:rsid w:val="00495BE1"/>
    <w:rsid w:val="00495CB3"/>
    <w:rsid w:val="00496045"/>
    <w:rsid w:val="00496434"/>
    <w:rsid w:val="00496558"/>
    <w:rsid w:val="004967BD"/>
    <w:rsid w:val="0049685F"/>
    <w:rsid w:val="00497023"/>
    <w:rsid w:val="004970FB"/>
    <w:rsid w:val="004973E1"/>
    <w:rsid w:val="00497401"/>
    <w:rsid w:val="004975EF"/>
    <w:rsid w:val="00497685"/>
    <w:rsid w:val="004976A9"/>
    <w:rsid w:val="0049783F"/>
    <w:rsid w:val="00497B27"/>
    <w:rsid w:val="00497CFE"/>
    <w:rsid w:val="00497F62"/>
    <w:rsid w:val="004A009D"/>
    <w:rsid w:val="004A0210"/>
    <w:rsid w:val="004A0285"/>
    <w:rsid w:val="004A04E1"/>
    <w:rsid w:val="004A08E6"/>
    <w:rsid w:val="004A096F"/>
    <w:rsid w:val="004A0B4C"/>
    <w:rsid w:val="004A0B8C"/>
    <w:rsid w:val="004A0E14"/>
    <w:rsid w:val="004A0F03"/>
    <w:rsid w:val="004A1188"/>
    <w:rsid w:val="004A15A1"/>
    <w:rsid w:val="004A166C"/>
    <w:rsid w:val="004A186E"/>
    <w:rsid w:val="004A18BC"/>
    <w:rsid w:val="004A1CFF"/>
    <w:rsid w:val="004A1E41"/>
    <w:rsid w:val="004A1F26"/>
    <w:rsid w:val="004A1F72"/>
    <w:rsid w:val="004A2032"/>
    <w:rsid w:val="004A21B9"/>
    <w:rsid w:val="004A23B0"/>
    <w:rsid w:val="004A255F"/>
    <w:rsid w:val="004A270C"/>
    <w:rsid w:val="004A283B"/>
    <w:rsid w:val="004A29BF"/>
    <w:rsid w:val="004A2CF7"/>
    <w:rsid w:val="004A2E83"/>
    <w:rsid w:val="004A2F74"/>
    <w:rsid w:val="004A3018"/>
    <w:rsid w:val="004A30A3"/>
    <w:rsid w:val="004A3183"/>
    <w:rsid w:val="004A3414"/>
    <w:rsid w:val="004A374A"/>
    <w:rsid w:val="004A37C7"/>
    <w:rsid w:val="004A3828"/>
    <w:rsid w:val="004A3D13"/>
    <w:rsid w:val="004A3F95"/>
    <w:rsid w:val="004A47C5"/>
    <w:rsid w:val="004A4800"/>
    <w:rsid w:val="004A4817"/>
    <w:rsid w:val="004A4896"/>
    <w:rsid w:val="004A48F0"/>
    <w:rsid w:val="004A4BB5"/>
    <w:rsid w:val="004A4D7A"/>
    <w:rsid w:val="004A5866"/>
    <w:rsid w:val="004A5A61"/>
    <w:rsid w:val="004A5D0A"/>
    <w:rsid w:val="004A619C"/>
    <w:rsid w:val="004A6377"/>
    <w:rsid w:val="004A647B"/>
    <w:rsid w:val="004A652A"/>
    <w:rsid w:val="004A6684"/>
    <w:rsid w:val="004A697D"/>
    <w:rsid w:val="004A698C"/>
    <w:rsid w:val="004A6A3C"/>
    <w:rsid w:val="004A6D5C"/>
    <w:rsid w:val="004A6EB3"/>
    <w:rsid w:val="004A6F04"/>
    <w:rsid w:val="004A7068"/>
    <w:rsid w:val="004A7092"/>
    <w:rsid w:val="004A70B1"/>
    <w:rsid w:val="004A72CA"/>
    <w:rsid w:val="004A73B8"/>
    <w:rsid w:val="004A74E3"/>
    <w:rsid w:val="004A75AB"/>
    <w:rsid w:val="004A75AE"/>
    <w:rsid w:val="004A75BC"/>
    <w:rsid w:val="004A793B"/>
    <w:rsid w:val="004A7AC9"/>
    <w:rsid w:val="004A7EFC"/>
    <w:rsid w:val="004B0736"/>
    <w:rsid w:val="004B0895"/>
    <w:rsid w:val="004B0984"/>
    <w:rsid w:val="004B0B72"/>
    <w:rsid w:val="004B0D94"/>
    <w:rsid w:val="004B0DDA"/>
    <w:rsid w:val="004B0EC9"/>
    <w:rsid w:val="004B13CC"/>
    <w:rsid w:val="004B1415"/>
    <w:rsid w:val="004B14EF"/>
    <w:rsid w:val="004B166B"/>
    <w:rsid w:val="004B1852"/>
    <w:rsid w:val="004B1B6D"/>
    <w:rsid w:val="004B1EBA"/>
    <w:rsid w:val="004B1EDD"/>
    <w:rsid w:val="004B204B"/>
    <w:rsid w:val="004B23C1"/>
    <w:rsid w:val="004B23C5"/>
    <w:rsid w:val="004B244D"/>
    <w:rsid w:val="004B268B"/>
    <w:rsid w:val="004B26BE"/>
    <w:rsid w:val="004B2876"/>
    <w:rsid w:val="004B2899"/>
    <w:rsid w:val="004B2944"/>
    <w:rsid w:val="004B2AC9"/>
    <w:rsid w:val="004B2C7A"/>
    <w:rsid w:val="004B2D4A"/>
    <w:rsid w:val="004B345B"/>
    <w:rsid w:val="004B385B"/>
    <w:rsid w:val="004B38C6"/>
    <w:rsid w:val="004B3D12"/>
    <w:rsid w:val="004B3DA7"/>
    <w:rsid w:val="004B3EFA"/>
    <w:rsid w:val="004B406E"/>
    <w:rsid w:val="004B454F"/>
    <w:rsid w:val="004B4756"/>
    <w:rsid w:val="004B49E7"/>
    <w:rsid w:val="004B4A86"/>
    <w:rsid w:val="004B4D4B"/>
    <w:rsid w:val="004B51BE"/>
    <w:rsid w:val="004B53C1"/>
    <w:rsid w:val="004B5435"/>
    <w:rsid w:val="004B545B"/>
    <w:rsid w:val="004B5654"/>
    <w:rsid w:val="004B5AC4"/>
    <w:rsid w:val="004B5B52"/>
    <w:rsid w:val="004B5E8D"/>
    <w:rsid w:val="004B65EB"/>
    <w:rsid w:val="004B6BD9"/>
    <w:rsid w:val="004B6D50"/>
    <w:rsid w:val="004B6E4C"/>
    <w:rsid w:val="004B706C"/>
    <w:rsid w:val="004B71EC"/>
    <w:rsid w:val="004B760B"/>
    <w:rsid w:val="004B78AE"/>
    <w:rsid w:val="004B78DF"/>
    <w:rsid w:val="004B7AA6"/>
    <w:rsid w:val="004B7EDE"/>
    <w:rsid w:val="004C0BB6"/>
    <w:rsid w:val="004C0EE8"/>
    <w:rsid w:val="004C11AC"/>
    <w:rsid w:val="004C14D0"/>
    <w:rsid w:val="004C15AB"/>
    <w:rsid w:val="004C15EA"/>
    <w:rsid w:val="004C17E8"/>
    <w:rsid w:val="004C1A20"/>
    <w:rsid w:val="004C1E26"/>
    <w:rsid w:val="004C1EAD"/>
    <w:rsid w:val="004C1EF4"/>
    <w:rsid w:val="004C212E"/>
    <w:rsid w:val="004C2774"/>
    <w:rsid w:val="004C2A32"/>
    <w:rsid w:val="004C2E3F"/>
    <w:rsid w:val="004C2F54"/>
    <w:rsid w:val="004C310F"/>
    <w:rsid w:val="004C3A01"/>
    <w:rsid w:val="004C3A0B"/>
    <w:rsid w:val="004C3A25"/>
    <w:rsid w:val="004C44A9"/>
    <w:rsid w:val="004C4644"/>
    <w:rsid w:val="004C4DA8"/>
    <w:rsid w:val="004C518F"/>
    <w:rsid w:val="004C5230"/>
    <w:rsid w:val="004C52ED"/>
    <w:rsid w:val="004C5349"/>
    <w:rsid w:val="004C5377"/>
    <w:rsid w:val="004C55D8"/>
    <w:rsid w:val="004C5788"/>
    <w:rsid w:val="004C59B7"/>
    <w:rsid w:val="004C5A4A"/>
    <w:rsid w:val="004C5AD2"/>
    <w:rsid w:val="004C60BC"/>
    <w:rsid w:val="004C60C9"/>
    <w:rsid w:val="004C6386"/>
    <w:rsid w:val="004C6983"/>
    <w:rsid w:val="004C6DFE"/>
    <w:rsid w:val="004C7374"/>
    <w:rsid w:val="004C73EC"/>
    <w:rsid w:val="004C7569"/>
    <w:rsid w:val="004C75E9"/>
    <w:rsid w:val="004C76BB"/>
    <w:rsid w:val="004D0362"/>
    <w:rsid w:val="004D084C"/>
    <w:rsid w:val="004D0A16"/>
    <w:rsid w:val="004D0C61"/>
    <w:rsid w:val="004D0DCF"/>
    <w:rsid w:val="004D0F95"/>
    <w:rsid w:val="004D0F99"/>
    <w:rsid w:val="004D15A0"/>
    <w:rsid w:val="004D179C"/>
    <w:rsid w:val="004D17E4"/>
    <w:rsid w:val="004D17F5"/>
    <w:rsid w:val="004D1812"/>
    <w:rsid w:val="004D1CA5"/>
    <w:rsid w:val="004D20EC"/>
    <w:rsid w:val="004D2298"/>
    <w:rsid w:val="004D2348"/>
    <w:rsid w:val="004D2604"/>
    <w:rsid w:val="004D33B1"/>
    <w:rsid w:val="004D3513"/>
    <w:rsid w:val="004D3818"/>
    <w:rsid w:val="004D38A8"/>
    <w:rsid w:val="004D3C9D"/>
    <w:rsid w:val="004D3FDA"/>
    <w:rsid w:val="004D401E"/>
    <w:rsid w:val="004D41C5"/>
    <w:rsid w:val="004D4672"/>
    <w:rsid w:val="004D4E43"/>
    <w:rsid w:val="004D4F9B"/>
    <w:rsid w:val="004D4FEB"/>
    <w:rsid w:val="004D5035"/>
    <w:rsid w:val="004D51EA"/>
    <w:rsid w:val="004D521D"/>
    <w:rsid w:val="004D574F"/>
    <w:rsid w:val="004D5966"/>
    <w:rsid w:val="004D5AA9"/>
    <w:rsid w:val="004D5D98"/>
    <w:rsid w:val="004D60C1"/>
    <w:rsid w:val="004D630D"/>
    <w:rsid w:val="004D6368"/>
    <w:rsid w:val="004D6415"/>
    <w:rsid w:val="004D64BF"/>
    <w:rsid w:val="004D653F"/>
    <w:rsid w:val="004D66E5"/>
    <w:rsid w:val="004D6764"/>
    <w:rsid w:val="004D6849"/>
    <w:rsid w:val="004D687C"/>
    <w:rsid w:val="004D6B3A"/>
    <w:rsid w:val="004D6CF7"/>
    <w:rsid w:val="004D736F"/>
    <w:rsid w:val="004D75AC"/>
    <w:rsid w:val="004D7956"/>
    <w:rsid w:val="004E01C5"/>
    <w:rsid w:val="004E02FF"/>
    <w:rsid w:val="004E04BE"/>
    <w:rsid w:val="004E0546"/>
    <w:rsid w:val="004E0A62"/>
    <w:rsid w:val="004E0AFE"/>
    <w:rsid w:val="004E0B11"/>
    <w:rsid w:val="004E0BCB"/>
    <w:rsid w:val="004E0E40"/>
    <w:rsid w:val="004E0EC6"/>
    <w:rsid w:val="004E0F24"/>
    <w:rsid w:val="004E0F6B"/>
    <w:rsid w:val="004E111D"/>
    <w:rsid w:val="004E17E8"/>
    <w:rsid w:val="004E1833"/>
    <w:rsid w:val="004E1997"/>
    <w:rsid w:val="004E1D06"/>
    <w:rsid w:val="004E1E4D"/>
    <w:rsid w:val="004E1F51"/>
    <w:rsid w:val="004E2389"/>
    <w:rsid w:val="004E2841"/>
    <w:rsid w:val="004E2A51"/>
    <w:rsid w:val="004E2A85"/>
    <w:rsid w:val="004E2AEF"/>
    <w:rsid w:val="004E2B43"/>
    <w:rsid w:val="004E2B7B"/>
    <w:rsid w:val="004E2D24"/>
    <w:rsid w:val="004E2E27"/>
    <w:rsid w:val="004E32FE"/>
    <w:rsid w:val="004E3799"/>
    <w:rsid w:val="004E37A0"/>
    <w:rsid w:val="004E3DC1"/>
    <w:rsid w:val="004E3FE3"/>
    <w:rsid w:val="004E45FE"/>
    <w:rsid w:val="004E4718"/>
    <w:rsid w:val="004E4853"/>
    <w:rsid w:val="004E4BE2"/>
    <w:rsid w:val="004E4CD4"/>
    <w:rsid w:val="004E4D63"/>
    <w:rsid w:val="004E4E1F"/>
    <w:rsid w:val="004E4E58"/>
    <w:rsid w:val="004E4FF2"/>
    <w:rsid w:val="004E500F"/>
    <w:rsid w:val="004E5166"/>
    <w:rsid w:val="004E5269"/>
    <w:rsid w:val="004E55BF"/>
    <w:rsid w:val="004E57AB"/>
    <w:rsid w:val="004E5822"/>
    <w:rsid w:val="004E5F10"/>
    <w:rsid w:val="004E5F72"/>
    <w:rsid w:val="004E62BE"/>
    <w:rsid w:val="004E6365"/>
    <w:rsid w:val="004E6A09"/>
    <w:rsid w:val="004E6CCE"/>
    <w:rsid w:val="004E6DFF"/>
    <w:rsid w:val="004E6EED"/>
    <w:rsid w:val="004E6FAC"/>
    <w:rsid w:val="004E7827"/>
    <w:rsid w:val="004E7831"/>
    <w:rsid w:val="004E797B"/>
    <w:rsid w:val="004E7C41"/>
    <w:rsid w:val="004F025D"/>
    <w:rsid w:val="004F03DA"/>
    <w:rsid w:val="004F0761"/>
    <w:rsid w:val="004F08CF"/>
    <w:rsid w:val="004F0A67"/>
    <w:rsid w:val="004F0E64"/>
    <w:rsid w:val="004F0F56"/>
    <w:rsid w:val="004F1382"/>
    <w:rsid w:val="004F16C5"/>
    <w:rsid w:val="004F18A3"/>
    <w:rsid w:val="004F1EE5"/>
    <w:rsid w:val="004F2027"/>
    <w:rsid w:val="004F223F"/>
    <w:rsid w:val="004F281A"/>
    <w:rsid w:val="004F282F"/>
    <w:rsid w:val="004F2842"/>
    <w:rsid w:val="004F346E"/>
    <w:rsid w:val="004F380B"/>
    <w:rsid w:val="004F3DEE"/>
    <w:rsid w:val="004F3DFC"/>
    <w:rsid w:val="004F3FD3"/>
    <w:rsid w:val="004F40FE"/>
    <w:rsid w:val="004F425C"/>
    <w:rsid w:val="004F429B"/>
    <w:rsid w:val="004F454D"/>
    <w:rsid w:val="004F46B6"/>
    <w:rsid w:val="004F485D"/>
    <w:rsid w:val="004F486B"/>
    <w:rsid w:val="004F49FD"/>
    <w:rsid w:val="004F4F72"/>
    <w:rsid w:val="004F5BC5"/>
    <w:rsid w:val="004F5E55"/>
    <w:rsid w:val="004F5EB6"/>
    <w:rsid w:val="004F63BF"/>
    <w:rsid w:val="004F63C4"/>
    <w:rsid w:val="004F6997"/>
    <w:rsid w:val="004F6B51"/>
    <w:rsid w:val="004F6B8D"/>
    <w:rsid w:val="004F6BF0"/>
    <w:rsid w:val="004F6D9A"/>
    <w:rsid w:val="004F6EF9"/>
    <w:rsid w:val="004F7097"/>
    <w:rsid w:val="004F7276"/>
    <w:rsid w:val="004F7313"/>
    <w:rsid w:val="004F764B"/>
    <w:rsid w:val="004F76AB"/>
    <w:rsid w:val="004F7968"/>
    <w:rsid w:val="004F79EA"/>
    <w:rsid w:val="004F7BCD"/>
    <w:rsid w:val="004F7C1C"/>
    <w:rsid w:val="004F7C20"/>
    <w:rsid w:val="004F7C51"/>
    <w:rsid w:val="004F7E5D"/>
    <w:rsid w:val="004F7FDA"/>
    <w:rsid w:val="0050017F"/>
    <w:rsid w:val="005003E7"/>
    <w:rsid w:val="00500577"/>
    <w:rsid w:val="00500712"/>
    <w:rsid w:val="0050078F"/>
    <w:rsid w:val="00500793"/>
    <w:rsid w:val="00500B68"/>
    <w:rsid w:val="00500D97"/>
    <w:rsid w:val="00501433"/>
    <w:rsid w:val="005015B8"/>
    <w:rsid w:val="00501694"/>
    <w:rsid w:val="00501750"/>
    <w:rsid w:val="00501894"/>
    <w:rsid w:val="005018D2"/>
    <w:rsid w:val="00501ACC"/>
    <w:rsid w:val="00501C27"/>
    <w:rsid w:val="00501CEF"/>
    <w:rsid w:val="00501FFF"/>
    <w:rsid w:val="00502B47"/>
    <w:rsid w:val="00502C53"/>
    <w:rsid w:val="00503364"/>
    <w:rsid w:val="005034A9"/>
    <w:rsid w:val="00503634"/>
    <w:rsid w:val="005037AB"/>
    <w:rsid w:val="005039D6"/>
    <w:rsid w:val="00503AE1"/>
    <w:rsid w:val="0050432C"/>
    <w:rsid w:val="00504507"/>
    <w:rsid w:val="005047E0"/>
    <w:rsid w:val="00504B0A"/>
    <w:rsid w:val="00504DB8"/>
    <w:rsid w:val="00504E4B"/>
    <w:rsid w:val="00504E92"/>
    <w:rsid w:val="00504EC1"/>
    <w:rsid w:val="00505E73"/>
    <w:rsid w:val="0050614D"/>
    <w:rsid w:val="00506317"/>
    <w:rsid w:val="00506328"/>
    <w:rsid w:val="00506A35"/>
    <w:rsid w:val="00506A3F"/>
    <w:rsid w:val="00506C5D"/>
    <w:rsid w:val="00506F3C"/>
    <w:rsid w:val="00507244"/>
    <w:rsid w:val="00507782"/>
    <w:rsid w:val="005077A1"/>
    <w:rsid w:val="00507838"/>
    <w:rsid w:val="005079FE"/>
    <w:rsid w:val="00507A08"/>
    <w:rsid w:val="00507C52"/>
    <w:rsid w:val="00507E04"/>
    <w:rsid w:val="00507E7B"/>
    <w:rsid w:val="0051083A"/>
    <w:rsid w:val="005108F8"/>
    <w:rsid w:val="005109F8"/>
    <w:rsid w:val="00510DF1"/>
    <w:rsid w:val="00510E67"/>
    <w:rsid w:val="00510F14"/>
    <w:rsid w:val="00511579"/>
    <w:rsid w:val="0051190E"/>
    <w:rsid w:val="005119F2"/>
    <w:rsid w:val="00511B7E"/>
    <w:rsid w:val="0051209A"/>
    <w:rsid w:val="005121D4"/>
    <w:rsid w:val="00512478"/>
    <w:rsid w:val="005125B5"/>
    <w:rsid w:val="0051266B"/>
    <w:rsid w:val="005126CE"/>
    <w:rsid w:val="00512700"/>
    <w:rsid w:val="0051272A"/>
    <w:rsid w:val="0051287F"/>
    <w:rsid w:val="00512A96"/>
    <w:rsid w:val="00512CB5"/>
    <w:rsid w:val="005136CA"/>
    <w:rsid w:val="00513B46"/>
    <w:rsid w:val="00513C79"/>
    <w:rsid w:val="00513D5C"/>
    <w:rsid w:val="00513E89"/>
    <w:rsid w:val="005141F9"/>
    <w:rsid w:val="00514A86"/>
    <w:rsid w:val="00514D09"/>
    <w:rsid w:val="00514E4B"/>
    <w:rsid w:val="00514F59"/>
    <w:rsid w:val="005153EB"/>
    <w:rsid w:val="0051623A"/>
    <w:rsid w:val="005163A3"/>
    <w:rsid w:val="0051667E"/>
    <w:rsid w:val="005167FB"/>
    <w:rsid w:val="005168E7"/>
    <w:rsid w:val="00516C7D"/>
    <w:rsid w:val="00516D78"/>
    <w:rsid w:val="00516F6B"/>
    <w:rsid w:val="00516FA7"/>
    <w:rsid w:val="0051701E"/>
    <w:rsid w:val="0051721D"/>
    <w:rsid w:val="00517515"/>
    <w:rsid w:val="00517521"/>
    <w:rsid w:val="005176AB"/>
    <w:rsid w:val="00517807"/>
    <w:rsid w:val="005178BE"/>
    <w:rsid w:val="00517918"/>
    <w:rsid w:val="00517D3B"/>
    <w:rsid w:val="00517E89"/>
    <w:rsid w:val="00517EF1"/>
    <w:rsid w:val="00520611"/>
    <w:rsid w:val="00520707"/>
    <w:rsid w:val="00520A43"/>
    <w:rsid w:val="00520A8D"/>
    <w:rsid w:val="00520D92"/>
    <w:rsid w:val="00520F23"/>
    <w:rsid w:val="00520F44"/>
    <w:rsid w:val="00520F95"/>
    <w:rsid w:val="0052110B"/>
    <w:rsid w:val="0052113A"/>
    <w:rsid w:val="00521500"/>
    <w:rsid w:val="005217E0"/>
    <w:rsid w:val="00521900"/>
    <w:rsid w:val="00521C03"/>
    <w:rsid w:val="00521EC9"/>
    <w:rsid w:val="00521F1D"/>
    <w:rsid w:val="005220F7"/>
    <w:rsid w:val="0052212C"/>
    <w:rsid w:val="00522337"/>
    <w:rsid w:val="005228E3"/>
    <w:rsid w:val="005229D9"/>
    <w:rsid w:val="00522B3F"/>
    <w:rsid w:val="00522C83"/>
    <w:rsid w:val="00522D6C"/>
    <w:rsid w:val="0052304C"/>
    <w:rsid w:val="00523181"/>
    <w:rsid w:val="005231B0"/>
    <w:rsid w:val="0052352F"/>
    <w:rsid w:val="00523564"/>
    <w:rsid w:val="00523869"/>
    <w:rsid w:val="00523885"/>
    <w:rsid w:val="0052392B"/>
    <w:rsid w:val="00524157"/>
    <w:rsid w:val="005241C4"/>
    <w:rsid w:val="005243F8"/>
    <w:rsid w:val="005247C7"/>
    <w:rsid w:val="00524892"/>
    <w:rsid w:val="00524E45"/>
    <w:rsid w:val="00524E6A"/>
    <w:rsid w:val="0052518E"/>
    <w:rsid w:val="00525435"/>
    <w:rsid w:val="00525E45"/>
    <w:rsid w:val="00525E8D"/>
    <w:rsid w:val="00525EB6"/>
    <w:rsid w:val="00525FFA"/>
    <w:rsid w:val="0052609E"/>
    <w:rsid w:val="00526360"/>
    <w:rsid w:val="00526743"/>
    <w:rsid w:val="0052692F"/>
    <w:rsid w:val="0052734A"/>
    <w:rsid w:val="005273F4"/>
    <w:rsid w:val="0052756B"/>
    <w:rsid w:val="005275A1"/>
    <w:rsid w:val="00527823"/>
    <w:rsid w:val="00527982"/>
    <w:rsid w:val="005279AF"/>
    <w:rsid w:val="00527C27"/>
    <w:rsid w:val="00527CC7"/>
    <w:rsid w:val="00530499"/>
    <w:rsid w:val="0053061B"/>
    <w:rsid w:val="00530988"/>
    <w:rsid w:val="005309BC"/>
    <w:rsid w:val="00530CB2"/>
    <w:rsid w:val="00530CEB"/>
    <w:rsid w:val="00530F88"/>
    <w:rsid w:val="0053104F"/>
    <w:rsid w:val="00531251"/>
    <w:rsid w:val="00531356"/>
    <w:rsid w:val="005313F5"/>
    <w:rsid w:val="0053156D"/>
    <w:rsid w:val="005315F6"/>
    <w:rsid w:val="00531A5D"/>
    <w:rsid w:val="00531C9B"/>
    <w:rsid w:val="0053200A"/>
    <w:rsid w:val="0053215A"/>
    <w:rsid w:val="005327CD"/>
    <w:rsid w:val="005327EE"/>
    <w:rsid w:val="00532BC2"/>
    <w:rsid w:val="00532D02"/>
    <w:rsid w:val="00532F38"/>
    <w:rsid w:val="00533189"/>
    <w:rsid w:val="0053377F"/>
    <w:rsid w:val="00533ABB"/>
    <w:rsid w:val="00533CAE"/>
    <w:rsid w:val="00533EE5"/>
    <w:rsid w:val="00534361"/>
    <w:rsid w:val="005347F1"/>
    <w:rsid w:val="00534B80"/>
    <w:rsid w:val="00534D4B"/>
    <w:rsid w:val="005354F6"/>
    <w:rsid w:val="005355BB"/>
    <w:rsid w:val="005355DC"/>
    <w:rsid w:val="00535607"/>
    <w:rsid w:val="005356B5"/>
    <w:rsid w:val="00535713"/>
    <w:rsid w:val="005357F0"/>
    <w:rsid w:val="0053599E"/>
    <w:rsid w:val="00535AEC"/>
    <w:rsid w:val="00535D97"/>
    <w:rsid w:val="00535DE3"/>
    <w:rsid w:val="00535F8E"/>
    <w:rsid w:val="0053622B"/>
    <w:rsid w:val="005363C4"/>
    <w:rsid w:val="0053648E"/>
    <w:rsid w:val="00536588"/>
    <w:rsid w:val="00536884"/>
    <w:rsid w:val="00536B49"/>
    <w:rsid w:val="00536C54"/>
    <w:rsid w:val="00536D22"/>
    <w:rsid w:val="00536FC0"/>
    <w:rsid w:val="005372D2"/>
    <w:rsid w:val="0053758B"/>
    <w:rsid w:val="00537865"/>
    <w:rsid w:val="00537999"/>
    <w:rsid w:val="00537B1C"/>
    <w:rsid w:val="00537CD8"/>
    <w:rsid w:val="00537DFE"/>
    <w:rsid w:val="00537F8F"/>
    <w:rsid w:val="005401BF"/>
    <w:rsid w:val="0054025C"/>
    <w:rsid w:val="0054055D"/>
    <w:rsid w:val="0054067B"/>
    <w:rsid w:val="005407E3"/>
    <w:rsid w:val="005407FA"/>
    <w:rsid w:val="00540A1C"/>
    <w:rsid w:val="00540AFD"/>
    <w:rsid w:val="00540D77"/>
    <w:rsid w:val="00540D91"/>
    <w:rsid w:val="00540F4B"/>
    <w:rsid w:val="0054119B"/>
    <w:rsid w:val="00541484"/>
    <w:rsid w:val="005417F9"/>
    <w:rsid w:val="00541A15"/>
    <w:rsid w:val="00541C19"/>
    <w:rsid w:val="00541FF8"/>
    <w:rsid w:val="00542042"/>
    <w:rsid w:val="00542175"/>
    <w:rsid w:val="005423C3"/>
    <w:rsid w:val="00542526"/>
    <w:rsid w:val="00542560"/>
    <w:rsid w:val="00542C59"/>
    <w:rsid w:val="00542DD6"/>
    <w:rsid w:val="00542F18"/>
    <w:rsid w:val="00543315"/>
    <w:rsid w:val="00543561"/>
    <w:rsid w:val="0054360C"/>
    <w:rsid w:val="00543612"/>
    <w:rsid w:val="00543658"/>
    <w:rsid w:val="0054391C"/>
    <w:rsid w:val="0054396F"/>
    <w:rsid w:val="00543B8E"/>
    <w:rsid w:val="00543C86"/>
    <w:rsid w:val="00543E56"/>
    <w:rsid w:val="0054442B"/>
    <w:rsid w:val="005446D9"/>
    <w:rsid w:val="00544A2E"/>
    <w:rsid w:val="00544AA1"/>
    <w:rsid w:val="00544B10"/>
    <w:rsid w:val="00544CAB"/>
    <w:rsid w:val="00544D59"/>
    <w:rsid w:val="00544FD4"/>
    <w:rsid w:val="00545288"/>
    <w:rsid w:val="005456BD"/>
    <w:rsid w:val="00545DF3"/>
    <w:rsid w:val="00546074"/>
    <w:rsid w:val="005461BC"/>
    <w:rsid w:val="005463AB"/>
    <w:rsid w:val="00546481"/>
    <w:rsid w:val="005464AF"/>
    <w:rsid w:val="005466B5"/>
    <w:rsid w:val="0054673D"/>
    <w:rsid w:val="00546A01"/>
    <w:rsid w:val="00546AD5"/>
    <w:rsid w:val="00546AE1"/>
    <w:rsid w:val="0054702C"/>
    <w:rsid w:val="00547167"/>
    <w:rsid w:val="0054722A"/>
    <w:rsid w:val="00547249"/>
    <w:rsid w:val="00547521"/>
    <w:rsid w:val="00547864"/>
    <w:rsid w:val="00547944"/>
    <w:rsid w:val="00547BC6"/>
    <w:rsid w:val="00547DAA"/>
    <w:rsid w:val="00547DF0"/>
    <w:rsid w:val="00547DF4"/>
    <w:rsid w:val="00547ECE"/>
    <w:rsid w:val="00547EE0"/>
    <w:rsid w:val="005500FF"/>
    <w:rsid w:val="005509F9"/>
    <w:rsid w:val="00550A33"/>
    <w:rsid w:val="00550A81"/>
    <w:rsid w:val="00550E67"/>
    <w:rsid w:val="00551204"/>
    <w:rsid w:val="00551553"/>
    <w:rsid w:val="00551722"/>
    <w:rsid w:val="00551728"/>
    <w:rsid w:val="00551F1F"/>
    <w:rsid w:val="005523D6"/>
    <w:rsid w:val="0055251D"/>
    <w:rsid w:val="0055256A"/>
    <w:rsid w:val="0055278B"/>
    <w:rsid w:val="00552A3B"/>
    <w:rsid w:val="00552F1B"/>
    <w:rsid w:val="00553019"/>
    <w:rsid w:val="005531C7"/>
    <w:rsid w:val="00553D1B"/>
    <w:rsid w:val="00553D49"/>
    <w:rsid w:val="00553DD1"/>
    <w:rsid w:val="00553ED8"/>
    <w:rsid w:val="00553EF6"/>
    <w:rsid w:val="005544F5"/>
    <w:rsid w:val="00554643"/>
    <w:rsid w:val="005547A3"/>
    <w:rsid w:val="00554DF2"/>
    <w:rsid w:val="00555465"/>
    <w:rsid w:val="005556F3"/>
    <w:rsid w:val="00555976"/>
    <w:rsid w:val="00555A04"/>
    <w:rsid w:val="00555B8E"/>
    <w:rsid w:val="00555DA5"/>
    <w:rsid w:val="00555E04"/>
    <w:rsid w:val="00555EAB"/>
    <w:rsid w:val="00555EC1"/>
    <w:rsid w:val="00555F7B"/>
    <w:rsid w:val="00555FAB"/>
    <w:rsid w:val="0055631D"/>
    <w:rsid w:val="00556555"/>
    <w:rsid w:val="00556A5E"/>
    <w:rsid w:val="00556A6D"/>
    <w:rsid w:val="00556C4C"/>
    <w:rsid w:val="00556C77"/>
    <w:rsid w:val="00556CA4"/>
    <w:rsid w:val="00556F7F"/>
    <w:rsid w:val="00556FAA"/>
    <w:rsid w:val="00557606"/>
    <w:rsid w:val="00557870"/>
    <w:rsid w:val="005578FF"/>
    <w:rsid w:val="00557A60"/>
    <w:rsid w:val="00557B8E"/>
    <w:rsid w:val="00557D2C"/>
    <w:rsid w:val="005600EC"/>
    <w:rsid w:val="00560258"/>
    <w:rsid w:val="005603E1"/>
    <w:rsid w:val="0056065C"/>
    <w:rsid w:val="005606A4"/>
    <w:rsid w:val="0056089C"/>
    <w:rsid w:val="0056101D"/>
    <w:rsid w:val="0056120D"/>
    <w:rsid w:val="00561392"/>
    <w:rsid w:val="0056150E"/>
    <w:rsid w:val="005619E1"/>
    <w:rsid w:val="00561E52"/>
    <w:rsid w:val="00561E7B"/>
    <w:rsid w:val="00561F09"/>
    <w:rsid w:val="00561F4A"/>
    <w:rsid w:val="00561FC3"/>
    <w:rsid w:val="0056231A"/>
    <w:rsid w:val="00562350"/>
    <w:rsid w:val="00562651"/>
    <w:rsid w:val="00562A00"/>
    <w:rsid w:val="00562B3C"/>
    <w:rsid w:val="00562B83"/>
    <w:rsid w:val="00562C48"/>
    <w:rsid w:val="00562EF0"/>
    <w:rsid w:val="00563416"/>
    <w:rsid w:val="0056398E"/>
    <w:rsid w:val="00563CAF"/>
    <w:rsid w:val="0056413A"/>
    <w:rsid w:val="00564644"/>
    <w:rsid w:val="00564C19"/>
    <w:rsid w:val="00564D32"/>
    <w:rsid w:val="00564DCD"/>
    <w:rsid w:val="005650C4"/>
    <w:rsid w:val="00565429"/>
    <w:rsid w:val="00565597"/>
    <w:rsid w:val="0056569D"/>
    <w:rsid w:val="00565E59"/>
    <w:rsid w:val="00565ECB"/>
    <w:rsid w:val="005663F3"/>
    <w:rsid w:val="00566B67"/>
    <w:rsid w:val="00566BEC"/>
    <w:rsid w:val="0056704D"/>
    <w:rsid w:val="00567100"/>
    <w:rsid w:val="00567164"/>
    <w:rsid w:val="005672ED"/>
    <w:rsid w:val="00567A1B"/>
    <w:rsid w:val="00567DC0"/>
    <w:rsid w:val="00567E3D"/>
    <w:rsid w:val="00570148"/>
    <w:rsid w:val="00570356"/>
    <w:rsid w:val="00570583"/>
    <w:rsid w:val="00570EF1"/>
    <w:rsid w:val="005714CC"/>
    <w:rsid w:val="0057188C"/>
    <w:rsid w:val="005718DE"/>
    <w:rsid w:val="00571900"/>
    <w:rsid w:val="00571925"/>
    <w:rsid w:val="0057198F"/>
    <w:rsid w:val="00571B5F"/>
    <w:rsid w:val="00572098"/>
    <w:rsid w:val="005720BD"/>
    <w:rsid w:val="0057234C"/>
    <w:rsid w:val="0057246E"/>
    <w:rsid w:val="00572767"/>
    <w:rsid w:val="00572852"/>
    <w:rsid w:val="005728B6"/>
    <w:rsid w:val="00572977"/>
    <w:rsid w:val="00572B03"/>
    <w:rsid w:val="00572B2B"/>
    <w:rsid w:val="00572CEF"/>
    <w:rsid w:val="00572FD4"/>
    <w:rsid w:val="00573354"/>
    <w:rsid w:val="0057337E"/>
    <w:rsid w:val="00573794"/>
    <w:rsid w:val="005743A2"/>
    <w:rsid w:val="005745B8"/>
    <w:rsid w:val="0057469A"/>
    <w:rsid w:val="005746F6"/>
    <w:rsid w:val="005749ED"/>
    <w:rsid w:val="00574A0A"/>
    <w:rsid w:val="00574B01"/>
    <w:rsid w:val="00574D36"/>
    <w:rsid w:val="00574F1C"/>
    <w:rsid w:val="00574F44"/>
    <w:rsid w:val="00574F59"/>
    <w:rsid w:val="005753B8"/>
    <w:rsid w:val="005754AE"/>
    <w:rsid w:val="005754FA"/>
    <w:rsid w:val="00575870"/>
    <w:rsid w:val="00575920"/>
    <w:rsid w:val="00575A66"/>
    <w:rsid w:val="00575B9B"/>
    <w:rsid w:val="0057627C"/>
    <w:rsid w:val="00576785"/>
    <w:rsid w:val="00576A27"/>
    <w:rsid w:val="00576C02"/>
    <w:rsid w:val="00576E0F"/>
    <w:rsid w:val="00576F85"/>
    <w:rsid w:val="0057708A"/>
    <w:rsid w:val="00577094"/>
    <w:rsid w:val="00577258"/>
    <w:rsid w:val="0057788C"/>
    <w:rsid w:val="00577A31"/>
    <w:rsid w:val="00577B87"/>
    <w:rsid w:val="00577D13"/>
    <w:rsid w:val="0058012E"/>
    <w:rsid w:val="005802EC"/>
    <w:rsid w:val="00580727"/>
    <w:rsid w:val="00580B49"/>
    <w:rsid w:val="00580D74"/>
    <w:rsid w:val="005810D3"/>
    <w:rsid w:val="00581104"/>
    <w:rsid w:val="00581A87"/>
    <w:rsid w:val="00581AB7"/>
    <w:rsid w:val="005821F7"/>
    <w:rsid w:val="00582206"/>
    <w:rsid w:val="00582424"/>
    <w:rsid w:val="005825CF"/>
    <w:rsid w:val="005826CB"/>
    <w:rsid w:val="00582FB0"/>
    <w:rsid w:val="00583080"/>
    <w:rsid w:val="005830BD"/>
    <w:rsid w:val="0058332D"/>
    <w:rsid w:val="00583393"/>
    <w:rsid w:val="00583531"/>
    <w:rsid w:val="00583556"/>
    <w:rsid w:val="00583A72"/>
    <w:rsid w:val="00583A88"/>
    <w:rsid w:val="00583B79"/>
    <w:rsid w:val="00583C52"/>
    <w:rsid w:val="00583CF1"/>
    <w:rsid w:val="00584310"/>
    <w:rsid w:val="00584C99"/>
    <w:rsid w:val="00584F9D"/>
    <w:rsid w:val="005851F0"/>
    <w:rsid w:val="0058556A"/>
    <w:rsid w:val="00585C58"/>
    <w:rsid w:val="00585E05"/>
    <w:rsid w:val="00585ECE"/>
    <w:rsid w:val="00586401"/>
    <w:rsid w:val="005864D8"/>
    <w:rsid w:val="0058674B"/>
    <w:rsid w:val="005868D4"/>
    <w:rsid w:val="00586A67"/>
    <w:rsid w:val="00586EB1"/>
    <w:rsid w:val="0058701F"/>
    <w:rsid w:val="00587469"/>
    <w:rsid w:val="005874A1"/>
    <w:rsid w:val="00587B46"/>
    <w:rsid w:val="00587D43"/>
    <w:rsid w:val="00590039"/>
    <w:rsid w:val="00590508"/>
    <w:rsid w:val="005906FE"/>
    <w:rsid w:val="00590731"/>
    <w:rsid w:val="005907C6"/>
    <w:rsid w:val="00590AE5"/>
    <w:rsid w:val="00591057"/>
    <w:rsid w:val="00591083"/>
    <w:rsid w:val="00591175"/>
    <w:rsid w:val="005914E5"/>
    <w:rsid w:val="00591D60"/>
    <w:rsid w:val="00591D7F"/>
    <w:rsid w:val="00592027"/>
    <w:rsid w:val="0059209F"/>
    <w:rsid w:val="005920E0"/>
    <w:rsid w:val="0059221E"/>
    <w:rsid w:val="005922E4"/>
    <w:rsid w:val="005922E9"/>
    <w:rsid w:val="00592565"/>
    <w:rsid w:val="00592728"/>
    <w:rsid w:val="00592C1A"/>
    <w:rsid w:val="00592D4E"/>
    <w:rsid w:val="00592F3F"/>
    <w:rsid w:val="00593260"/>
    <w:rsid w:val="00593C46"/>
    <w:rsid w:val="00593EEF"/>
    <w:rsid w:val="00593F12"/>
    <w:rsid w:val="005940C8"/>
    <w:rsid w:val="005940F6"/>
    <w:rsid w:val="0059412B"/>
    <w:rsid w:val="005942C8"/>
    <w:rsid w:val="00594937"/>
    <w:rsid w:val="00594BB4"/>
    <w:rsid w:val="00594C50"/>
    <w:rsid w:val="00594DB9"/>
    <w:rsid w:val="00594DC2"/>
    <w:rsid w:val="00594E3D"/>
    <w:rsid w:val="0059526C"/>
    <w:rsid w:val="00595308"/>
    <w:rsid w:val="00595372"/>
    <w:rsid w:val="0059541C"/>
    <w:rsid w:val="0059557C"/>
    <w:rsid w:val="0059577D"/>
    <w:rsid w:val="005959F6"/>
    <w:rsid w:val="00595ACD"/>
    <w:rsid w:val="00595D84"/>
    <w:rsid w:val="00595EAD"/>
    <w:rsid w:val="00596423"/>
    <w:rsid w:val="00596644"/>
    <w:rsid w:val="005966CF"/>
    <w:rsid w:val="00596755"/>
    <w:rsid w:val="0059679C"/>
    <w:rsid w:val="00596BDE"/>
    <w:rsid w:val="00596D8A"/>
    <w:rsid w:val="00596E2A"/>
    <w:rsid w:val="005971C3"/>
    <w:rsid w:val="00597215"/>
    <w:rsid w:val="005975E8"/>
    <w:rsid w:val="005978EB"/>
    <w:rsid w:val="00597CE2"/>
    <w:rsid w:val="005A0147"/>
    <w:rsid w:val="005A0183"/>
    <w:rsid w:val="005A01FC"/>
    <w:rsid w:val="005A0425"/>
    <w:rsid w:val="005A07FD"/>
    <w:rsid w:val="005A089D"/>
    <w:rsid w:val="005A0962"/>
    <w:rsid w:val="005A0CD9"/>
    <w:rsid w:val="005A0DD4"/>
    <w:rsid w:val="005A0EFF"/>
    <w:rsid w:val="005A106D"/>
    <w:rsid w:val="005A10E8"/>
    <w:rsid w:val="005A10EB"/>
    <w:rsid w:val="005A1EF2"/>
    <w:rsid w:val="005A1F3B"/>
    <w:rsid w:val="005A21D1"/>
    <w:rsid w:val="005A2298"/>
    <w:rsid w:val="005A259E"/>
    <w:rsid w:val="005A28BF"/>
    <w:rsid w:val="005A2CFF"/>
    <w:rsid w:val="005A2E0F"/>
    <w:rsid w:val="005A3130"/>
    <w:rsid w:val="005A32E4"/>
    <w:rsid w:val="005A36A1"/>
    <w:rsid w:val="005A3768"/>
    <w:rsid w:val="005A3E7B"/>
    <w:rsid w:val="005A4306"/>
    <w:rsid w:val="005A439A"/>
    <w:rsid w:val="005A490C"/>
    <w:rsid w:val="005A497C"/>
    <w:rsid w:val="005A4F8E"/>
    <w:rsid w:val="005A50AD"/>
    <w:rsid w:val="005A527C"/>
    <w:rsid w:val="005A533B"/>
    <w:rsid w:val="005A55A1"/>
    <w:rsid w:val="005A57E5"/>
    <w:rsid w:val="005A57F8"/>
    <w:rsid w:val="005A5C2A"/>
    <w:rsid w:val="005A6194"/>
    <w:rsid w:val="005A6313"/>
    <w:rsid w:val="005A6A6F"/>
    <w:rsid w:val="005A6C34"/>
    <w:rsid w:val="005A6D74"/>
    <w:rsid w:val="005A72DA"/>
    <w:rsid w:val="005B0364"/>
    <w:rsid w:val="005B03FC"/>
    <w:rsid w:val="005B04DE"/>
    <w:rsid w:val="005B0E34"/>
    <w:rsid w:val="005B1518"/>
    <w:rsid w:val="005B16ED"/>
    <w:rsid w:val="005B1C66"/>
    <w:rsid w:val="005B1E17"/>
    <w:rsid w:val="005B1E6A"/>
    <w:rsid w:val="005B220F"/>
    <w:rsid w:val="005B2BD3"/>
    <w:rsid w:val="005B2DB2"/>
    <w:rsid w:val="005B319C"/>
    <w:rsid w:val="005B370D"/>
    <w:rsid w:val="005B3969"/>
    <w:rsid w:val="005B3B02"/>
    <w:rsid w:val="005B41DE"/>
    <w:rsid w:val="005B42EF"/>
    <w:rsid w:val="005B452B"/>
    <w:rsid w:val="005B46DE"/>
    <w:rsid w:val="005B47AE"/>
    <w:rsid w:val="005B48F0"/>
    <w:rsid w:val="005B4EF6"/>
    <w:rsid w:val="005B4FA7"/>
    <w:rsid w:val="005B510A"/>
    <w:rsid w:val="005B51FB"/>
    <w:rsid w:val="005B5D68"/>
    <w:rsid w:val="005B5EDA"/>
    <w:rsid w:val="005B634A"/>
    <w:rsid w:val="005B657E"/>
    <w:rsid w:val="005B68C9"/>
    <w:rsid w:val="005B6B30"/>
    <w:rsid w:val="005B6D4C"/>
    <w:rsid w:val="005B71A9"/>
    <w:rsid w:val="005B7267"/>
    <w:rsid w:val="005B74E9"/>
    <w:rsid w:val="005B75A2"/>
    <w:rsid w:val="005B76D0"/>
    <w:rsid w:val="005B7759"/>
    <w:rsid w:val="005B7810"/>
    <w:rsid w:val="005B7E68"/>
    <w:rsid w:val="005B7ECE"/>
    <w:rsid w:val="005B7EE5"/>
    <w:rsid w:val="005B7FF2"/>
    <w:rsid w:val="005C0BC9"/>
    <w:rsid w:val="005C0CBA"/>
    <w:rsid w:val="005C0DD6"/>
    <w:rsid w:val="005C15FA"/>
    <w:rsid w:val="005C1677"/>
    <w:rsid w:val="005C1679"/>
    <w:rsid w:val="005C17EA"/>
    <w:rsid w:val="005C187C"/>
    <w:rsid w:val="005C18D5"/>
    <w:rsid w:val="005C1E52"/>
    <w:rsid w:val="005C2163"/>
    <w:rsid w:val="005C21A0"/>
    <w:rsid w:val="005C2212"/>
    <w:rsid w:val="005C2306"/>
    <w:rsid w:val="005C2397"/>
    <w:rsid w:val="005C23AF"/>
    <w:rsid w:val="005C27D6"/>
    <w:rsid w:val="005C27DD"/>
    <w:rsid w:val="005C2A0E"/>
    <w:rsid w:val="005C3327"/>
    <w:rsid w:val="005C3359"/>
    <w:rsid w:val="005C342D"/>
    <w:rsid w:val="005C35B8"/>
    <w:rsid w:val="005C36B8"/>
    <w:rsid w:val="005C3743"/>
    <w:rsid w:val="005C3A30"/>
    <w:rsid w:val="005C3AE9"/>
    <w:rsid w:val="005C3BA9"/>
    <w:rsid w:val="005C3D34"/>
    <w:rsid w:val="005C3E6D"/>
    <w:rsid w:val="005C418B"/>
    <w:rsid w:val="005C4523"/>
    <w:rsid w:val="005C4530"/>
    <w:rsid w:val="005C457A"/>
    <w:rsid w:val="005C45B0"/>
    <w:rsid w:val="005C470E"/>
    <w:rsid w:val="005C4AEA"/>
    <w:rsid w:val="005C4E30"/>
    <w:rsid w:val="005C5912"/>
    <w:rsid w:val="005C5B0E"/>
    <w:rsid w:val="005C5D1E"/>
    <w:rsid w:val="005C5E3B"/>
    <w:rsid w:val="005C5FF8"/>
    <w:rsid w:val="005C66C9"/>
    <w:rsid w:val="005C66D8"/>
    <w:rsid w:val="005C6868"/>
    <w:rsid w:val="005C69AD"/>
    <w:rsid w:val="005C6C99"/>
    <w:rsid w:val="005C6F54"/>
    <w:rsid w:val="005C73B4"/>
    <w:rsid w:val="005C73C7"/>
    <w:rsid w:val="005C74E6"/>
    <w:rsid w:val="005C760B"/>
    <w:rsid w:val="005C76DA"/>
    <w:rsid w:val="005C7890"/>
    <w:rsid w:val="005C7BF2"/>
    <w:rsid w:val="005C7CD0"/>
    <w:rsid w:val="005C7E8D"/>
    <w:rsid w:val="005C7F3D"/>
    <w:rsid w:val="005C7F88"/>
    <w:rsid w:val="005D02A7"/>
    <w:rsid w:val="005D04BB"/>
    <w:rsid w:val="005D084C"/>
    <w:rsid w:val="005D0A45"/>
    <w:rsid w:val="005D0DB2"/>
    <w:rsid w:val="005D0E86"/>
    <w:rsid w:val="005D0EAB"/>
    <w:rsid w:val="005D13F7"/>
    <w:rsid w:val="005D1540"/>
    <w:rsid w:val="005D19E9"/>
    <w:rsid w:val="005D1C6E"/>
    <w:rsid w:val="005D21D5"/>
    <w:rsid w:val="005D26A8"/>
    <w:rsid w:val="005D27C5"/>
    <w:rsid w:val="005D2921"/>
    <w:rsid w:val="005D2F92"/>
    <w:rsid w:val="005D3295"/>
    <w:rsid w:val="005D3646"/>
    <w:rsid w:val="005D3A1E"/>
    <w:rsid w:val="005D3AD6"/>
    <w:rsid w:val="005D3BE9"/>
    <w:rsid w:val="005D3D03"/>
    <w:rsid w:val="005D4079"/>
    <w:rsid w:val="005D40E1"/>
    <w:rsid w:val="005D4428"/>
    <w:rsid w:val="005D459F"/>
    <w:rsid w:val="005D4686"/>
    <w:rsid w:val="005D4D01"/>
    <w:rsid w:val="005D51BB"/>
    <w:rsid w:val="005D5278"/>
    <w:rsid w:val="005D5329"/>
    <w:rsid w:val="005D5629"/>
    <w:rsid w:val="005D5657"/>
    <w:rsid w:val="005D577F"/>
    <w:rsid w:val="005D5794"/>
    <w:rsid w:val="005D5AB2"/>
    <w:rsid w:val="005D5C45"/>
    <w:rsid w:val="005D5E7E"/>
    <w:rsid w:val="005D5ECF"/>
    <w:rsid w:val="005D6879"/>
    <w:rsid w:val="005D6896"/>
    <w:rsid w:val="005D6B61"/>
    <w:rsid w:val="005D71AA"/>
    <w:rsid w:val="005D7549"/>
    <w:rsid w:val="005D758F"/>
    <w:rsid w:val="005D7821"/>
    <w:rsid w:val="005D79A8"/>
    <w:rsid w:val="005D7AFF"/>
    <w:rsid w:val="005D7CFC"/>
    <w:rsid w:val="005D7D5C"/>
    <w:rsid w:val="005D7EA7"/>
    <w:rsid w:val="005E0142"/>
    <w:rsid w:val="005E020B"/>
    <w:rsid w:val="005E0761"/>
    <w:rsid w:val="005E0803"/>
    <w:rsid w:val="005E0AF6"/>
    <w:rsid w:val="005E0C95"/>
    <w:rsid w:val="005E0DBD"/>
    <w:rsid w:val="005E1045"/>
    <w:rsid w:val="005E1338"/>
    <w:rsid w:val="005E1664"/>
    <w:rsid w:val="005E189B"/>
    <w:rsid w:val="005E1BF1"/>
    <w:rsid w:val="005E1D01"/>
    <w:rsid w:val="005E1FF7"/>
    <w:rsid w:val="005E20F8"/>
    <w:rsid w:val="005E23DA"/>
    <w:rsid w:val="005E270B"/>
    <w:rsid w:val="005E276F"/>
    <w:rsid w:val="005E2A6B"/>
    <w:rsid w:val="005E2B2C"/>
    <w:rsid w:val="005E2B4A"/>
    <w:rsid w:val="005E2D03"/>
    <w:rsid w:val="005E31D8"/>
    <w:rsid w:val="005E34EC"/>
    <w:rsid w:val="005E3591"/>
    <w:rsid w:val="005E3839"/>
    <w:rsid w:val="005E39D2"/>
    <w:rsid w:val="005E39F6"/>
    <w:rsid w:val="005E3C5D"/>
    <w:rsid w:val="005E3C76"/>
    <w:rsid w:val="005E4147"/>
    <w:rsid w:val="005E41C0"/>
    <w:rsid w:val="005E44A1"/>
    <w:rsid w:val="005E47EB"/>
    <w:rsid w:val="005E47F9"/>
    <w:rsid w:val="005E4A62"/>
    <w:rsid w:val="005E4C71"/>
    <w:rsid w:val="005E4DE7"/>
    <w:rsid w:val="005E4E69"/>
    <w:rsid w:val="005E4E9D"/>
    <w:rsid w:val="005E54EA"/>
    <w:rsid w:val="005E5ACE"/>
    <w:rsid w:val="005E5BBE"/>
    <w:rsid w:val="005E5E39"/>
    <w:rsid w:val="005E6243"/>
    <w:rsid w:val="005E6874"/>
    <w:rsid w:val="005E6C30"/>
    <w:rsid w:val="005E6D47"/>
    <w:rsid w:val="005E6DCC"/>
    <w:rsid w:val="005E6F47"/>
    <w:rsid w:val="005E6F93"/>
    <w:rsid w:val="005E6FEC"/>
    <w:rsid w:val="005E793F"/>
    <w:rsid w:val="005E7A43"/>
    <w:rsid w:val="005E7EDC"/>
    <w:rsid w:val="005E7F3F"/>
    <w:rsid w:val="005F04E8"/>
    <w:rsid w:val="005F0983"/>
    <w:rsid w:val="005F0BF6"/>
    <w:rsid w:val="005F0D40"/>
    <w:rsid w:val="005F0D81"/>
    <w:rsid w:val="005F0F8F"/>
    <w:rsid w:val="005F1187"/>
    <w:rsid w:val="005F129F"/>
    <w:rsid w:val="005F146D"/>
    <w:rsid w:val="005F1774"/>
    <w:rsid w:val="005F19C1"/>
    <w:rsid w:val="005F19F7"/>
    <w:rsid w:val="005F1BB6"/>
    <w:rsid w:val="005F1C0F"/>
    <w:rsid w:val="005F1C41"/>
    <w:rsid w:val="005F1CA1"/>
    <w:rsid w:val="005F1EE6"/>
    <w:rsid w:val="005F2054"/>
    <w:rsid w:val="005F23F2"/>
    <w:rsid w:val="005F2832"/>
    <w:rsid w:val="005F2BFF"/>
    <w:rsid w:val="005F2E21"/>
    <w:rsid w:val="005F30AD"/>
    <w:rsid w:val="005F38A9"/>
    <w:rsid w:val="005F3CAB"/>
    <w:rsid w:val="005F3CEB"/>
    <w:rsid w:val="005F3D83"/>
    <w:rsid w:val="005F4135"/>
    <w:rsid w:val="005F42D4"/>
    <w:rsid w:val="005F4479"/>
    <w:rsid w:val="005F44CA"/>
    <w:rsid w:val="005F4691"/>
    <w:rsid w:val="005F48B7"/>
    <w:rsid w:val="005F4BE4"/>
    <w:rsid w:val="005F4DA5"/>
    <w:rsid w:val="005F4EF3"/>
    <w:rsid w:val="005F5259"/>
    <w:rsid w:val="005F58C3"/>
    <w:rsid w:val="005F5D71"/>
    <w:rsid w:val="005F6087"/>
    <w:rsid w:val="005F6590"/>
    <w:rsid w:val="005F6593"/>
    <w:rsid w:val="005F66BF"/>
    <w:rsid w:val="005F68E6"/>
    <w:rsid w:val="005F709A"/>
    <w:rsid w:val="005F729A"/>
    <w:rsid w:val="005F7339"/>
    <w:rsid w:val="005F738B"/>
    <w:rsid w:val="005F75AF"/>
    <w:rsid w:val="005F7764"/>
    <w:rsid w:val="005F7828"/>
    <w:rsid w:val="005F7B16"/>
    <w:rsid w:val="006000DE"/>
    <w:rsid w:val="00600224"/>
    <w:rsid w:val="0060023E"/>
    <w:rsid w:val="00600703"/>
    <w:rsid w:val="00600792"/>
    <w:rsid w:val="006008A0"/>
    <w:rsid w:val="00600DDE"/>
    <w:rsid w:val="00600EC0"/>
    <w:rsid w:val="00601030"/>
    <w:rsid w:val="0060135C"/>
    <w:rsid w:val="0060194B"/>
    <w:rsid w:val="00601AF6"/>
    <w:rsid w:val="00601BFA"/>
    <w:rsid w:val="00601C19"/>
    <w:rsid w:val="006023DD"/>
    <w:rsid w:val="00602438"/>
    <w:rsid w:val="006026BC"/>
    <w:rsid w:val="00603395"/>
    <w:rsid w:val="00603396"/>
    <w:rsid w:val="006037D5"/>
    <w:rsid w:val="00603A90"/>
    <w:rsid w:val="00603B6B"/>
    <w:rsid w:val="00603D4F"/>
    <w:rsid w:val="00603D8D"/>
    <w:rsid w:val="00603E91"/>
    <w:rsid w:val="006041EA"/>
    <w:rsid w:val="006043D6"/>
    <w:rsid w:val="00604620"/>
    <w:rsid w:val="006047C1"/>
    <w:rsid w:val="00604857"/>
    <w:rsid w:val="0060499D"/>
    <w:rsid w:val="00604AA8"/>
    <w:rsid w:val="00604C05"/>
    <w:rsid w:val="00604FD3"/>
    <w:rsid w:val="0060542D"/>
    <w:rsid w:val="00605658"/>
    <w:rsid w:val="00605682"/>
    <w:rsid w:val="00605783"/>
    <w:rsid w:val="006058BF"/>
    <w:rsid w:val="0060595C"/>
    <w:rsid w:val="00605B7E"/>
    <w:rsid w:val="00605DBE"/>
    <w:rsid w:val="00606322"/>
    <w:rsid w:val="00606664"/>
    <w:rsid w:val="00606B14"/>
    <w:rsid w:val="00606B9D"/>
    <w:rsid w:val="00606D26"/>
    <w:rsid w:val="00607096"/>
    <w:rsid w:val="00607112"/>
    <w:rsid w:val="0060743C"/>
    <w:rsid w:val="00607477"/>
    <w:rsid w:val="00607696"/>
    <w:rsid w:val="006076FC"/>
    <w:rsid w:val="00607740"/>
    <w:rsid w:val="0060782D"/>
    <w:rsid w:val="00607CF4"/>
    <w:rsid w:val="006102AA"/>
    <w:rsid w:val="006108AB"/>
    <w:rsid w:val="006109F9"/>
    <w:rsid w:val="00610A5D"/>
    <w:rsid w:val="00610E80"/>
    <w:rsid w:val="00610F4D"/>
    <w:rsid w:val="00611319"/>
    <w:rsid w:val="006113A2"/>
    <w:rsid w:val="00611630"/>
    <w:rsid w:val="006116A0"/>
    <w:rsid w:val="00611814"/>
    <w:rsid w:val="0061183F"/>
    <w:rsid w:val="00611E8E"/>
    <w:rsid w:val="00611EEF"/>
    <w:rsid w:val="0061204D"/>
    <w:rsid w:val="006121A7"/>
    <w:rsid w:val="0061245E"/>
    <w:rsid w:val="00612614"/>
    <w:rsid w:val="006126BB"/>
    <w:rsid w:val="006128D4"/>
    <w:rsid w:val="00612D88"/>
    <w:rsid w:val="00612EAE"/>
    <w:rsid w:val="00612EEB"/>
    <w:rsid w:val="0061330D"/>
    <w:rsid w:val="006133A1"/>
    <w:rsid w:val="00613AB7"/>
    <w:rsid w:val="00613C93"/>
    <w:rsid w:val="00613DAB"/>
    <w:rsid w:val="00613DC2"/>
    <w:rsid w:val="00613E9A"/>
    <w:rsid w:val="00614122"/>
    <w:rsid w:val="00614221"/>
    <w:rsid w:val="006144C3"/>
    <w:rsid w:val="006145C2"/>
    <w:rsid w:val="00614730"/>
    <w:rsid w:val="006148C2"/>
    <w:rsid w:val="00614A13"/>
    <w:rsid w:val="00614B3C"/>
    <w:rsid w:val="00614BEA"/>
    <w:rsid w:val="00614FEA"/>
    <w:rsid w:val="00615231"/>
    <w:rsid w:val="0061528F"/>
    <w:rsid w:val="006158B3"/>
    <w:rsid w:val="00615A80"/>
    <w:rsid w:val="00615C39"/>
    <w:rsid w:val="00615CBD"/>
    <w:rsid w:val="006160FD"/>
    <w:rsid w:val="006161DC"/>
    <w:rsid w:val="006161F8"/>
    <w:rsid w:val="00616610"/>
    <w:rsid w:val="00616826"/>
    <w:rsid w:val="00616B09"/>
    <w:rsid w:val="00616D2B"/>
    <w:rsid w:val="0061703B"/>
    <w:rsid w:val="00617779"/>
    <w:rsid w:val="00617E0A"/>
    <w:rsid w:val="00620157"/>
    <w:rsid w:val="0062052E"/>
    <w:rsid w:val="00620C74"/>
    <w:rsid w:val="00620CBB"/>
    <w:rsid w:val="00620D7E"/>
    <w:rsid w:val="00620DDE"/>
    <w:rsid w:val="00620FA0"/>
    <w:rsid w:val="006211C3"/>
    <w:rsid w:val="006212AC"/>
    <w:rsid w:val="006217DC"/>
    <w:rsid w:val="0062193E"/>
    <w:rsid w:val="00621CFF"/>
    <w:rsid w:val="00621E0A"/>
    <w:rsid w:val="006220A3"/>
    <w:rsid w:val="006223B0"/>
    <w:rsid w:val="0062254F"/>
    <w:rsid w:val="006225B6"/>
    <w:rsid w:val="00622A53"/>
    <w:rsid w:val="00622F10"/>
    <w:rsid w:val="00623713"/>
    <w:rsid w:val="00623BB8"/>
    <w:rsid w:val="0062413E"/>
    <w:rsid w:val="00624D95"/>
    <w:rsid w:val="00624FD8"/>
    <w:rsid w:val="0062545E"/>
    <w:rsid w:val="006256D1"/>
    <w:rsid w:val="00625B04"/>
    <w:rsid w:val="00625B94"/>
    <w:rsid w:val="0062600C"/>
    <w:rsid w:val="00626034"/>
    <w:rsid w:val="006260A6"/>
    <w:rsid w:val="00626141"/>
    <w:rsid w:val="006263CD"/>
    <w:rsid w:val="0062657E"/>
    <w:rsid w:val="006265D1"/>
    <w:rsid w:val="0062674F"/>
    <w:rsid w:val="00626E9B"/>
    <w:rsid w:val="00626EE0"/>
    <w:rsid w:val="006270E3"/>
    <w:rsid w:val="00627251"/>
    <w:rsid w:val="0062754C"/>
    <w:rsid w:val="0062769F"/>
    <w:rsid w:val="00627918"/>
    <w:rsid w:val="006279A5"/>
    <w:rsid w:val="00627B58"/>
    <w:rsid w:val="00630597"/>
    <w:rsid w:val="006305FB"/>
    <w:rsid w:val="0063082D"/>
    <w:rsid w:val="00630974"/>
    <w:rsid w:val="00630B23"/>
    <w:rsid w:val="00630B86"/>
    <w:rsid w:val="00630B99"/>
    <w:rsid w:val="00630CE9"/>
    <w:rsid w:val="00631026"/>
    <w:rsid w:val="006310C6"/>
    <w:rsid w:val="0063151B"/>
    <w:rsid w:val="0063166C"/>
    <w:rsid w:val="00631720"/>
    <w:rsid w:val="00631830"/>
    <w:rsid w:val="00631995"/>
    <w:rsid w:val="006319A3"/>
    <w:rsid w:val="00631E29"/>
    <w:rsid w:val="00632186"/>
    <w:rsid w:val="00632800"/>
    <w:rsid w:val="00632A7A"/>
    <w:rsid w:val="00632C89"/>
    <w:rsid w:val="00632D7D"/>
    <w:rsid w:val="00632EB8"/>
    <w:rsid w:val="00632FA3"/>
    <w:rsid w:val="00633450"/>
    <w:rsid w:val="00633462"/>
    <w:rsid w:val="0063362C"/>
    <w:rsid w:val="00633AD2"/>
    <w:rsid w:val="00633E87"/>
    <w:rsid w:val="006343E2"/>
    <w:rsid w:val="0063477C"/>
    <w:rsid w:val="00634830"/>
    <w:rsid w:val="00634D04"/>
    <w:rsid w:val="00634E84"/>
    <w:rsid w:val="00634E99"/>
    <w:rsid w:val="00634F33"/>
    <w:rsid w:val="00634FD2"/>
    <w:rsid w:val="006350FE"/>
    <w:rsid w:val="00635155"/>
    <w:rsid w:val="006352B9"/>
    <w:rsid w:val="0063545E"/>
    <w:rsid w:val="00635588"/>
    <w:rsid w:val="00635854"/>
    <w:rsid w:val="00635975"/>
    <w:rsid w:val="00635A14"/>
    <w:rsid w:val="006361E3"/>
    <w:rsid w:val="00636898"/>
    <w:rsid w:val="00636DA8"/>
    <w:rsid w:val="0063707C"/>
    <w:rsid w:val="00637192"/>
    <w:rsid w:val="00637286"/>
    <w:rsid w:val="00637537"/>
    <w:rsid w:val="006376D2"/>
    <w:rsid w:val="0063780B"/>
    <w:rsid w:val="006379F7"/>
    <w:rsid w:val="00637E13"/>
    <w:rsid w:val="00640120"/>
    <w:rsid w:val="00640285"/>
    <w:rsid w:val="006405EA"/>
    <w:rsid w:val="00640A8C"/>
    <w:rsid w:val="00640B3F"/>
    <w:rsid w:val="00640B99"/>
    <w:rsid w:val="00640DAF"/>
    <w:rsid w:val="00640FFB"/>
    <w:rsid w:val="0064125F"/>
    <w:rsid w:val="00641352"/>
    <w:rsid w:val="00641562"/>
    <w:rsid w:val="00641825"/>
    <w:rsid w:val="0064197A"/>
    <w:rsid w:val="00641C09"/>
    <w:rsid w:val="00641C7F"/>
    <w:rsid w:val="00641DC0"/>
    <w:rsid w:val="00641EF7"/>
    <w:rsid w:val="006421B6"/>
    <w:rsid w:val="006422D6"/>
    <w:rsid w:val="00642645"/>
    <w:rsid w:val="00642943"/>
    <w:rsid w:val="00642C0B"/>
    <w:rsid w:val="00643460"/>
    <w:rsid w:val="00643533"/>
    <w:rsid w:val="00643A58"/>
    <w:rsid w:val="00643A5D"/>
    <w:rsid w:val="00644041"/>
    <w:rsid w:val="0064415F"/>
    <w:rsid w:val="00644196"/>
    <w:rsid w:val="006443EA"/>
    <w:rsid w:val="00644797"/>
    <w:rsid w:val="006448E1"/>
    <w:rsid w:val="00644904"/>
    <w:rsid w:val="006449C8"/>
    <w:rsid w:val="00644A50"/>
    <w:rsid w:val="00644D34"/>
    <w:rsid w:val="00645076"/>
    <w:rsid w:val="006456E5"/>
    <w:rsid w:val="0064592D"/>
    <w:rsid w:val="0064594C"/>
    <w:rsid w:val="006459E0"/>
    <w:rsid w:val="00645A17"/>
    <w:rsid w:val="00645B26"/>
    <w:rsid w:val="00645BEA"/>
    <w:rsid w:val="00645F76"/>
    <w:rsid w:val="0064607E"/>
    <w:rsid w:val="006460FB"/>
    <w:rsid w:val="00646146"/>
    <w:rsid w:val="00646472"/>
    <w:rsid w:val="00646D32"/>
    <w:rsid w:val="0064703F"/>
    <w:rsid w:val="00647064"/>
    <w:rsid w:val="0064717E"/>
    <w:rsid w:val="00647307"/>
    <w:rsid w:val="00647660"/>
    <w:rsid w:val="0064778E"/>
    <w:rsid w:val="00647971"/>
    <w:rsid w:val="00647D44"/>
    <w:rsid w:val="006502A3"/>
    <w:rsid w:val="0065052B"/>
    <w:rsid w:val="00650A50"/>
    <w:rsid w:val="00650DF0"/>
    <w:rsid w:val="00650E2F"/>
    <w:rsid w:val="00650EE9"/>
    <w:rsid w:val="00651244"/>
    <w:rsid w:val="00651400"/>
    <w:rsid w:val="006515FF"/>
    <w:rsid w:val="00651CAF"/>
    <w:rsid w:val="00651F12"/>
    <w:rsid w:val="006520DE"/>
    <w:rsid w:val="006524E4"/>
    <w:rsid w:val="00652579"/>
    <w:rsid w:val="00652622"/>
    <w:rsid w:val="00652678"/>
    <w:rsid w:val="00652700"/>
    <w:rsid w:val="0065271D"/>
    <w:rsid w:val="00652ADC"/>
    <w:rsid w:val="00652BA1"/>
    <w:rsid w:val="00652C49"/>
    <w:rsid w:val="00652CB2"/>
    <w:rsid w:val="00652CC4"/>
    <w:rsid w:val="00652E65"/>
    <w:rsid w:val="006531B8"/>
    <w:rsid w:val="006534D5"/>
    <w:rsid w:val="00653A48"/>
    <w:rsid w:val="00653B39"/>
    <w:rsid w:val="006540D5"/>
    <w:rsid w:val="00654260"/>
    <w:rsid w:val="00654854"/>
    <w:rsid w:val="00654A05"/>
    <w:rsid w:val="00654B31"/>
    <w:rsid w:val="00654B80"/>
    <w:rsid w:val="00654C17"/>
    <w:rsid w:val="00654C9A"/>
    <w:rsid w:val="00654E08"/>
    <w:rsid w:val="00654F23"/>
    <w:rsid w:val="00655074"/>
    <w:rsid w:val="006550CD"/>
    <w:rsid w:val="006551CA"/>
    <w:rsid w:val="006551D9"/>
    <w:rsid w:val="006554EC"/>
    <w:rsid w:val="006556A1"/>
    <w:rsid w:val="00655739"/>
    <w:rsid w:val="006558FB"/>
    <w:rsid w:val="00655AA0"/>
    <w:rsid w:val="00655B69"/>
    <w:rsid w:val="00655CBF"/>
    <w:rsid w:val="0065662C"/>
    <w:rsid w:val="00656859"/>
    <w:rsid w:val="00656AF0"/>
    <w:rsid w:val="00656CD4"/>
    <w:rsid w:val="0065742C"/>
    <w:rsid w:val="006578BF"/>
    <w:rsid w:val="00657C20"/>
    <w:rsid w:val="00657E37"/>
    <w:rsid w:val="00657E40"/>
    <w:rsid w:val="00657E9A"/>
    <w:rsid w:val="00660366"/>
    <w:rsid w:val="006603F0"/>
    <w:rsid w:val="00660576"/>
    <w:rsid w:val="00660B5B"/>
    <w:rsid w:val="00661050"/>
    <w:rsid w:val="00661122"/>
    <w:rsid w:val="00661400"/>
    <w:rsid w:val="00661591"/>
    <w:rsid w:val="006615B4"/>
    <w:rsid w:val="006617FA"/>
    <w:rsid w:val="006618C0"/>
    <w:rsid w:val="0066191C"/>
    <w:rsid w:val="00661994"/>
    <w:rsid w:val="006623F4"/>
    <w:rsid w:val="00662650"/>
    <w:rsid w:val="006631D8"/>
    <w:rsid w:val="00663758"/>
    <w:rsid w:val="006637CF"/>
    <w:rsid w:val="00663ABE"/>
    <w:rsid w:val="006643A3"/>
    <w:rsid w:val="00664562"/>
    <w:rsid w:val="00664615"/>
    <w:rsid w:val="00664DCD"/>
    <w:rsid w:val="00665537"/>
    <w:rsid w:val="0066585E"/>
    <w:rsid w:val="00665B4D"/>
    <w:rsid w:val="006660B0"/>
    <w:rsid w:val="0066611F"/>
    <w:rsid w:val="00666BD3"/>
    <w:rsid w:val="00666CF2"/>
    <w:rsid w:val="00666DCF"/>
    <w:rsid w:val="0066717F"/>
    <w:rsid w:val="0066723A"/>
    <w:rsid w:val="00667274"/>
    <w:rsid w:val="00667342"/>
    <w:rsid w:val="0066764C"/>
    <w:rsid w:val="006676E4"/>
    <w:rsid w:val="00667790"/>
    <w:rsid w:val="006700D1"/>
    <w:rsid w:val="0067044B"/>
    <w:rsid w:val="006707AD"/>
    <w:rsid w:val="00670B1F"/>
    <w:rsid w:val="00670B60"/>
    <w:rsid w:val="00670CB0"/>
    <w:rsid w:val="00671723"/>
    <w:rsid w:val="00671ACE"/>
    <w:rsid w:val="00671B88"/>
    <w:rsid w:val="00671EEC"/>
    <w:rsid w:val="00671F03"/>
    <w:rsid w:val="00671FB0"/>
    <w:rsid w:val="006722C3"/>
    <w:rsid w:val="00672338"/>
    <w:rsid w:val="0067256F"/>
    <w:rsid w:val="006726AF"/>
    <w:rsid w:val="0067273D"/>
    <w:rsid w:val="00672961"/>
    <w:rsid w:val="00672B11"/>
    <w:rsid w:val="00672E5C"/>
    <w:rsid w:val="006730AD"/>
    <w:rsid w:val="0067346E"/>
    <w:rsid w:val="00673509"/>
    <w:rsid w:val="0067397E"/>
    <w:rsid w:val="00673EBC"/>
    <w:rsid w:val="00674741"/>
    <w:rsid w:val="00674843"/>
    <w:rsid w:val="006749AB"/>
    <w:rsid w:val="00674D31"/>
    <w:rsid w:val="00674F31"/>
    <w:rsid w:val="00674F85"/>
    <w:rsid w:val="006756C7"/>
    <w:rsid w:val="00675890"/>
    <w:rsid w:val="00676480"/>
    <w:rsid w:val="006764D6"/>
    <w:rsid w:val="006766F1"/>
    <w:rsid w:val="00676981"/>
    <w:rsid w:val="00676B1F"/>
    <w:rsid w:val="00676D17"/>
    <w:rsid w:val="006775C3"/>
    <w:rsid w:val="0067761F"/>
    <w:rsid w:val="0067773A"/>
    <w:rsid w:val="006779DC"/>
    <w:rsid w:val="00677AF0"/>
    <w:rsid w:val="006800CA"/>
    <w:rsid w:val="0068011F"/>
    <w:rsid w:val="0068049D"/>
    <w:rsid w:val="00680513"/>
    <w:rsid w:val="006806B9"/>
    <w:rsid w:val="00680702"/>
    <w:rsid w:val="006807AF"/>
    <w:rsid w:val="006809F5"/>
    <w:rsid w:val="00680B8A"/>
    <w:rsid w:val="00680BD0"/>
    <w:rsid w:val="00680D49"/>
    <w:rsid w:val="00680EA2"/>
    <w:rsid w:val="00680EA9"/>
    <w:rsid w:val="0068114D"/>
    <w:rsid w:val="006816B1"/>
    <w:rsid w:val="006818CC"/>
    <w:rsid w:val="00681A8B"/>
    <w:rsid w:val="00681AA5"/>
    <w:rsid w:val="00681AB5"/>
    <w:rsid w:val="00681CC7"/>
    <w:rsid w:val="00681E23"/>
    <w:rsid w:val="0068201B"/>
    <w:rsid w:val="00682064"/>
    <w:rsid w:val="00682252"/>
    <w:rsid w:val="00682E6D"/>
    <w:rsid w:val="00683487"/>
    <w:rsid w:val="006834E8"/>
    <w:rsid w:val="00683603"/>
    <w:rsid w:val="006836F0"/>
    <w:rsid w:val="00683853"/>
    <w:rsid w:val="006838B5"/>
    <w:rsid w:val="00683982"/>
    <w:rsid w:val="00683C24"/>
    <w:rsid w:val="00683E19"/>
    <w:rsid w:val="00683E3E"/>
    <w:rsid w:val="0068441E"/>
    <w:rsid w:val="00684564"/>
    <w:rsid w:val="00684607"/>
    <w:rsid w:val="00684620"/>
    <w:rsid w:val="0068471D"/>
    <w:rsid w:val="00684881"/>
    <w:rsid w:val="00684AEB"/>
    <w:rsid w:val="00685288"/>
    <w:rsid w:val="006854A1"/>
    <w:rsid w:val="006854AB"/>
    <w:rsid w:val="006855B3"/>
    <w:rsid w:val="00685BFF"/>
    <w:rsid w:val="00685E23"/>
    <w:rsid w:val="00685F70"/>
    <w:rsid w:val="0068612D"/>
    <w:rsid w:val="00686DCE"/>
    <w:rsid w:val="00686E22"/>
    <w:rsid w:val="00686EE8"/>
    <w:rsid w:val="006875B6"/>
    <w:rsid w:val="00687953"/>
    <w:rsid w:val="00687D8E"/>
    <w:rsid w:val="00687DDE"/>
    <w:rsid w:val="00687F9A"/>
    <w:rsid w:val="00687FC6"/>
    <w:rsid w:val="00690767"/>
    <w:rsid w:val="006907D0"/>
    <w:rsid w:val="00690838"/>
    <w:rsid w:val="0069089F"/>
    <w:rsid w:val="00690AAF"/>
    <w:rsid w:val="00690C74"/>
    <w:rsid w:val="006910DE"/>
    <w:rsid w:val="00691150"/>
    <w:rsid w:val="0069127B"/>
    <w:rsid w:val="0069149F"/>
    <w:rsid w:val="006917AE"/>
    <w:rsid w:val="006918A3"/>
    <w:rsid w:val="00691B1B"/>
    <w:rsid w:val="00691D80"/>
    <w:rsid w:val="00691FE5"/>
    <w:rsid w:val="006920C2"/>
    <w:rsid w:val="006923AB"/>
    <w:rsid w:val="006925BF"/>
    <w:rsid w:val="006926DE"/>
    <w:rsid w:val="00692790"/>
    <w:rsid w:val="00692808"/>
    <w:rsid w:val="00692815"/>
    <w:rsid w:val="00692A3C"/>
    <w:rsid w:val="00692D3D"/>
    <w:rsid w:val="00692F18"/>
    <w:rsid w:val="006934D8"/>
    <w:rsid w:val="00693581"/>
    <w:rsid w:val="00693EEA"/>
    <w:rsid w:val="0069403A"/>
    <w:rsid w:val="00694542"/>
    <w:rsid w:val="00694546"/>
    <w:rsid w:val="00694547"/>
    <w:rsid w:val="00694648"/>
    <w:rsid w:val="00694A9F"/>
    <w:rsid w:val="00694D03"/>
    <w:rsid w:val="00694E6C"/>
    <w:rsid w:val="00694F9D"/>
    <w:rsid w:val="0069504B"/>
    <w:rsid w:val="006952F6"/>
    <w:rsid w:val="0069531C"/>
    <w:rsid w:val="0069554D"/>
    <w:rsid w:val="0069577D"/>
    <w:rsid w:val="00695826"/>
    <w:rsid w:val="00695848"/>
    <w:rsid w:val="00696230"/>
    <w:rsid w:val="00696275"/>
    <w:rsid w:val="006962B1"/>
    <w:rsid w:val="006963E1"/>
    <w:rsid w:val="006969FB"/>
    <w:rsid w:val="00696BF9"/>
    <w:rsid w:val="0069747C"/>
    <w:rsid w:val="00697551"/>
    <w:rsid w:val="006976C7"/>
    <w:rsid w:val="00697849"/>
    <w:rsid w:val="00697F10"/>
    <w:rsid w:val="006A0015"/>
    <w:rsid w:val="006A0129"/>
    <w:rsid w:val="006A01CB"/>
    <w:rsid w:val="006A0245"/>
    <w:rsid w:val="006A0358"/>
    <w:rsid w:val="006A0A57"/>
    <w:rsid w:val="006A0B3A"/>
    <w:rsid w:val="006A0F47"/>
    <w:rsid w:val="006A118B"/>
    <w:rsid w:val="006A1285"/>
    <w:rsid w:val="006A129B"/>
    <w:rsid w:val="006A135B"/>
    <w:rsid w:val="006A13D4"/>
    <w:rsid w:val="006A15A7"/>
    <w:rsid w:val="006A174B"/>
    <w:rsid w:val="006A180D"/>
    <w:rsid w:val="006A18EE"/>
    <w:rsid w:val="006A1A20"/>
    <w:rsid w:val="006A1B56"/>
    <w:rsid w:val="006A1CB0"/>
    <w:rsid w:val="006A1D76"/>
    <w:rsid w:val="006A21CD"/>
    <w:rsid w:val="006A26D7"/>
    <w:rsid w:val="006A276F"/>
    <w:rsid w:val="006A2977"/>
    <w:rsid w:val="006A2ACA"/>
    <w:rsid w:val="006A2B62"/>
    <w:rsid w:val="006A2C83"/>
    <w:rsid w:val="006A2CE6"/>
    <w:rsid w:val="006A2E0C"/>
    <w:rsid w:val="006A2F8D"/>
    <w:rsid w:val="006A3777"/>
    <w:rsid w:val="006A38BD"/>
    <w:rsid w:val="006A3C9A"/>
    <w:rsid w:val="006A3D75"/>
    <w:rsid w:val="006A40B2"/>
    <w:rsid w:val="006A4130"/>
    <w:rsid w:val="006A4265"/>
    <w:rsid w:val="006A47B0"/>
    <w:rsid w:val="006A48EE"/>
    <w:rsid w:val="006A49F1"/>
    <w:rsid w:val="006A4AB2"/>
    <w:rsid w:val="006A4C41"/>
    <w:rsid w:val="006A4EA1"/>
    <w:rsid w:val="006A4EAD"/>
    <w:rsid w:val="006A4EBC"/>
    <w:rsid w:val="006A5222"/>
    <w:rsid w:val="006A53D5"/>
    <w:rsid w:val="006A56AF"/>
    <w:rsid w:val="006A5AF3"/>
    <w:rsid w:val="006A5EA1"/>
    <w:rsid w:val="006A612D"/>
    <w:rsid w:val="006A61EE"/>
    <w:rsid w:val="006A62FB"/>
    <w:rsid w:val="006A640D"/>
    <w:rsid w:val="006A697E"/>
    <w:rsid w:val="006A7311"/>
    <w:rsid w:val="006A747A"/>
    <w:rsid w:val="006A7482"/>
    <w:rsid w:val="006A750D"/>
    <w:rsid w:val="006A7957"/>
    <w:rsid w:val="006A79A3"/>
    <w:rsid w:val="006A7DAD"/>
    <w:rsid w:val="006B0062"/>
    <w:rsid w:val="006B009B"/>
    <w:rsid w:val="006B05CA"/>
    <w:rsid w:val="006B0755"/>
    <w:rsid w:val="006B13D8"/>
    <w:rsid w:val="006B1502"/>
    <w:rsid w:val="006B1AB7"/>
    <w:rsid w:val="006B1D07"/>
    <w:rsid w:val="006B1D1D"/>
    <w:rsid w:val="006B1E3A"/>
    <w:rsid w:val="006B1ED9"/>
    <w:rsid w:val="006B1EFC"/>
    <w:rsid w:val="006B2172"/>
    <w:rsid w:val="006B241C"/>
    <w:rsid w:val="006B2487"/>
    <w:rsid w:val="006B255A"/>
    <w:rsid w:val="006B27B4"/>
    <w:rsid w:val="006B28D6"/>
    <w:rsid w:val="006B299E"/>
    <w:rsid w:val="006B2BA1"/>
    <w:rsid w:val="006B2C60"/>
    <w:rsid w:val="006B3265"/>
    <w:rsid w:val="006B3375"/>
    <w:rsid w:val="006B3589"/>
    <w:rsid w:val="006B35B9"/>
    <w:rsid w:val="006B37C3"/>
    <w:rsid w:val="006B391E"/>
    <w:rsid w:val="006B396D"/>
    <w:rsid w:val="006B39C1"/>
    <w:rsid w:val="006B3BDC"/>
    <w:rsid w:val="006B3E87"/>
    <w:rsid w:val="006B3FC3"/>
    <w:rsid w:val="006B417D"/>
    <w:rsid w:val="006B41F2"/>
    <w:rsid w:val="006B44A2"/>
    <w:rsid w:val="006B48D1"/>
    <w:rsid w:val="006B4982"/>
    <w:rsid w:val="006B4A14"/>
    <w:rsid w:val="006B4C0F"/>
    <w:rsid w:val="006B4D14"/>
    <w:rsid w:val="006B5256"/>
    <w:rsid w:val="006B53AC"/>
    <w:rsid w:val="006B545C"/>
    <w:rsid w:val="006B546A"/>
    <w:rsid w:val="006B57C1"/>
    <w:rsid w:val="006B5913"/>
    <w:rsid w:val="006B5D08"/>
    <w:rsid w:val="006B615D"/>
    <w:rsid w:val="006B62ED"/>
    <w:rsid w:val="006B656C"/>
    <w:rsid w:val="006B657E"/>
    <w:rsid w:val="006B659B"/>
    <w:rsid w:val="006B6695"/>
    <w:rsid w:val="006B683E"/>
    <w:rsid w:val="006B6926"/>
    <w:rsid w:val="006B6946"/>
    <w:rsid w:val="006B6A9D"/>
    <w:rsid w:val="006B6AA3"/>
    <w:rsid w:val="006B6BF5"/>
    <w:rsid w:val="006B6C4B"/>
    <w:rsid w:val="006B6EE3"/>
    <w:rsid w:val="006B70C3"/>
    <w:rsid w:val="006B742E"/>
    <w:rsid w:val="006B78F6"/>
    <w:rsid w:val="006B7A69"/>
    <w:rsid w:val="006B7CCC"/>
    <w:rsid w:val="006B7CEA"/>
    <w:rsid w:val="006B7E55"/>
    <w:rsid w:val="006B7FB7"/>
    <w:rsid w:val="006C00E9"/>
    <w:rsid w:val="006C03EA"/>
    <w:rsid w:val="006C09CD"/>
    <w:rsid w:val="006C0AA8"/>
    <w:rsid w:val="006C0B7C"/>
    <w:rsid w:val="006C0EC9"/>
    <w:rsid w:val="006C115C"/>
    <w:rsid w:val="006C11D1"/>
    <w:rsid w:val="006C1266"/>
    <w:rsid w:val="006C1659"/>
    <w:rsid w:val="006C1AB2"/>
    <w:rsid w:val="006C1BCC"/>
    <w:rsid w:val="006C1BF6"/>
    <w:rsid w:val="006C1C9B"/>
    <w:rsid w:val="006C1CD4"/>
    <w:rsid w:val="006C2079"/>
    <w:rsid w:val="006C2206"/>
    <w:rsid w:val="006C221D"/>
    <w:rsid w:val="006C2287"/>
    <w:rsid w:val="006C232E"/>
    <w:rsid w:val="006C2597"/>
    <w:rsid w:val="006C2E3D"/>
    <w:rsid w:val="006C356C"/>
    <w:rsid w:val="006C35DB"/>
    <w:rsid w:val="006C3ED1"/>
    <w:rsid w:val="006C4005"/>
    <w:rsid w:val="006C4168"/>
    <w:rsid w:val="006C42BC"/>
    <w:rsid w:val="006C432B"/>
    <w:rsid w:val="006C460B"/>
    <w:rsid w:val="006C49DD"/>
    <w:rsid w:val="006C4BD3"/>
    <w:rsid w:val="006C4F50"/>
    <w:rsid w:val="006C500C"/>
    <w:rsid w:val="006C525F"/>
    <w:rsid w:val="006C59BE"/>
    <w:rsid w:val="006C5A9D"/>
    <w:rsid w:val="006C5AA0"/>
    <w:rsid w:val="006C5C79"/>
    <w:rsid w:val="006C60F7"/>
    <w:rsid w:val="006C6413"/>
    <w:rsid w:val="006C650B"/>
    <w:rsid w:val="006C689C"/>
    <w:rsid w:val="006C6AB1"/>
    <w:rsid w:val="006C6BE2"/>
    <w:rsid w:val="006C6D58"/>
    <w:rsid w:val="006C7061"/>
    <w:rsid w:val="006C72EF"/>
    <w:rsid w:val="006C7696"/>
    <w:rsid w:val="006D0132"/>
    <w:rsid w:val="006D0190"/>
    <w:rsid w:val="006D0686"/>
    <w:rsid w:val="006D07C3"/>
    <w:rsid w:val="006D08FF"/>
    <w:rsid w:val="006D0B38"/>
    <w:rsid w:val="006D1016"/>
    <w:rsid w:val="006D1607"/>
    <w:rsid w:val="006D1F7A"/>
    <w:rsid w:val="006D2272"/>
    <w:rsid w:val="006D282D"/>
    <w:rsid w:val="006D2D5E"/>
    <w:rsid w:val="006D2E68"/>
    <w:rsid w:val="006D3153"/>
    <w:rsid w:val="006D35DF"/>
    <w:rsid w:val="006D36D7"/>
    <w:rsid w:val="006D39DA"/>
    <w:rsid w:val="006D3B49"/>
    <w:rsid w:val="006D3E65"/>
    <w:rsid w:val="006D3EA7"/>
    <w:rsid w:val="006D4259"/>
    <w:rsid w:val="006D4819"/>
    <w:rsid w:val="006D540B"/>
    <w:rsid w:val="006D5AA0"/>
    <w:rsid w:val="006D5DE3"/>
    <w:rsid w:val="006D5FD2"/>
    <w:rsid w:val="006D6079"/>
    <w:rsid w:val="006D60DE"/>
    <w:rsid w:val="006D6A56"/>
    <w:rsid w:val="006D6D63"/>
    <w:rsid w:val="006D6DD9"/>
    <w:rsid w:val="006D7514"/>
    <w:rsid w:val="006D7896"/>
    <w:rsid w:val="006D7C99"/>
    <w:rsid w:val="006D7D50"/>
    <w:rsid w:val="006E0254"/>
    <w:rsid w:val="006E0A3F"/>
    <w:rsid w:val="006E0C14"/>
    <w:rsid w:val="006E0E46"/>
    <w:rsid w:val="006E0E51"/>
    <w:rsid w:val="006E0F4B"/>
    <w:rsid w:val="006E15BB"/>
    <w:rsid w:val="006E15C4"/>
    <w:rsid w:val="006E1720"/>
    <w:rsid w:val="006E1899"/>
    <w:rsid w:val="006E1A69"/>
    <w:rsid w:val="006E1BA1"/>
    <w:rsid w:val="006E1C68"/>
    <w:rsid w:val="006E213A"/>
    <w:rsid w:val="006E2151"/>
    <w:rsid w:val="006E239E"/>
    <w:rsid w:val="006E2925"/>
    <w:rsid w:val="006E29BE"/>
    <w:rsid w:val="006E2EBB"/>
    <w:rsid w:val="006E2F22"/>
    <w:rsid w:val="006E325B"/>
    <w:rsid w:val="006E40C9"/>
    <w:rsid w:val="006E43B1"/>
    <w:rsid w:val="006E4411"/>
    <w:rsid w:val="006E4A04"/>
    <w:rsid w:val="006E4D6D"/>
    <w:rsid w:val="006E4DDF"/>
    <w:rsid w:val="006E4FE1"/>
    <w:rsid w:val="006E5391"/>
    <w:rsid w:val="006E5513"/>
    <w:rsid w:val="006E5600"/>
    <w:rsid w:val="006E5920"/>
    <w:rsid w:val="006E5BC7"/>
    <w:rsid w:val="006E5C1F"/>
    <w:rsid w:val="006E5D88"/>
    <w:rsid w:val="006E6391"/>
    <w:rsid w:val="006E63F0"/>
    <w:rsid w:val="006E64F0"/>
    <w:rsid w:val="006E66E5"/>
    <w:rsid w:val="006E68DD"/>
    <w:rsid w:val="006E68E8"/>
    <w:rsid w:val="006E6A1D"/>
    <w:rsid w:val="006E6CE9"/>
    <w:rsid w:val="006E6EF0"/>
    <w:rsid w:val="006E6F32"/>
    <w:rsid w:val="006E6F5C"/>
    <w:rsid w:val="006E6FB0"/>
    <w:rsid w:val="006E721D"/>
    <w:rsid w:val="006E7D06"/>
    <w:rsid w:val="006F02C1"/>
    <w:rsid w:val="006F0580"/>
    <w:rsid w:val="006F0586"/>
    <w:rsid w:val="006F0711"/>
    <w:rsid w:val="006F08FA"/>
    <w:rsid w:val="006F11C3"/>
    <w:rsid w:val="006F172D"/>
    <w:rsid w:val="006F19EE"/>
    <w:rsid w:val="006F1FA4"/>
    <w:rsid w:val="006F294F"/>
    <w:rsid w:val="006F2984"/>
    <w:rsid w:val="006F2A85"/>
    <w:rsid w:val="006F2AC0"/>
    <w:rsid w:val="006F2BFB"/>
    <w:rsid w:val="006F317D"/>
    <w:rsid w:val="006F31CE"/>
    <w:rsid w:val="006F353C"/>
    <w:rsid w:val="006F42B6"/>
    <w:rsid w:val="006F42DD"/>
    <w:rsid w:val="006F42F7"/>
    <w:rsid w:val="006F433B"/>
    <w:rsid w:val="006F46B0"/>
    <w:rsid w:val="006F482F"/>
    <w:rsid w:val="006F48DA"/>
    <w:rsid w:val="006F4E10"/>
    <w:rsid w:val="006F51B3"/>
    <w:rsid w:val="006F525A"/>
    <w:rsid w:val="006F5418"/>
    <w:rsid w:val="006F5500"/>
    <w:rsid w:val="006F5567"/>
    <w:rsid w:val="006F57F6"/>
    <w:rsid w:val="006F58B5"/>
    <w:rsid w:val="006F5EA2"/>
    <w:rsid w:val="006F5EBB"/>
    <w:rsid w:val="006F5F28"/>
    <w:rsid w:val="006F5FC8"/>
    <w:rsid w:val="006F6096"/>
    <w:rsid w:val="006F6574"/>
    <w:rsid w:val="006F6584"/>
    <w:rsid w:val="006F66E0"/>
    <w:rsid w:val="006F66FA"/>
    <w:rsid w:val="006F6736"/>
    <w:rsid w:val="006F6970"/>
    <w:rsid w:val="006F6FE3"/>
    <w:rsid w:val="006F751B"/>
    <w:rsid w:val="006F776C"/>
    <w:rsid w:val="006F79A1"/>
    <w:rsid w:val="006F7F40"/>
    <w:rsid w:val="00700139"/>
    <w:rsid w:val="0070036B"/>
    <w:rsid w:val="00700673"/>
    <w:rsid w:val="0070084E"/>
    <w:rsid w:val="00700A25"/>
    <w:rsid w:val="00700DEF"/>
    <w:rsid w:val="00700F21"/>
    <w:rsid w:val="00700F93"/>
    <w:rsid w:val="00701198"/>
    <w:rsid w:val="007018D2"/>
    <w:rsid w:val="0070196E"/>
    <w:rsid w:val="00701A17"/>
    <w:rsid w:val="00702589"/>
    <w:rsid w:val="0070369E"/>
    <w:rsid w:val="007036F7"/>
    <w:rsid w:val="007037C2"/>
    <w:rsid w:val="007038F8"/>
    <w:rsid w:val="00703BB5"/>
    <w:rsid w:val="00703CCC"/>
    <w:rsid w:val="00703F2B"/>
    <w:rsid w:val="00703FB4"/>
    <w:rsid w:val="0070438E"/>
    <w:rsid w:val="007046E5"/>
    <w:rsid w:val="007046EC"/>
    <w:rsid w:val="00704CA1"/>
    <w:rsid w:val="00704D46"/>
    <w:rsid w:val="00704F74"/>
    <w:rsid w:val="00705540"/>
    <w:rsid w:val="007055BB"/>
    <w:rsid w:val="00705DB9"/>
    <w:rsid w:val="00705E4D"/>
    <w:rsid w:val="0070602C"/>
    <w:rsid w:val="007062DF"/>
    <w:rsid w:val="0070656A"/>
    <w:rsid w:val="0070670D"/>
    <w:rsid w:val="007069B2"/>
    <w:rsid w:val="00706A07"/>
    <w:rsid w:val="00706B53"/>
    <w:rsid w:val="00706DA1"/>
    <w:rsid w:val="00706FCE"/>
    <w:rsid w:val="007070FA"/>
    <w:rsid w:val="00707142"/>
    <w:rsid w:val="007071BF"/>
    <w:rsid w:val="007071DB"/>
    <w:rsid w:val="00707431"/>
    <w:rsid w:val="007074D9"/>
    <w:rsid w:val="00707687"/>
    <w:rsid w:val="0071028E"/>
    <w:rsid w:val="00710555"/>
    <w:rsid w:val="007105B7"/>
    <w:rsid w:val="007105BC"/>
    <w:rsid w:val="007106B3"/>
    <w:rsid w:val="00710EF4"/>
    <w:rsid w:val="00711654"/>
    <w:rsid w:val="0071180D"/>
    <w:rsid w:val="007118BF"/>
    <w:rsid w:val="00711CD6"/>
    <w:rsid w:val="00712085"/>
    <w:rsid w:val="007123BE"/>
    <w:rsid w:val="00712530"/>
    <w:rsid w:val="007127FC"/>
    <w:rsid w:val="00712B6B"/>
    <w:rsid w:val="00712B73"/>
    <w:rsid w:val="0071300B"/>
    <w:rsid w:val="00713685"/>
    <w:rsid w:val="00713748"/>
    <w:rsid w:val="00713ECF"/>
    <w:rsid w:val="00713F0D"/>
    <w:rsid w:val="00714074"/>
    <w:rsid w:val="00714236"/>
    <w:rsid w:val="00714283"/>
    <w:rsid w:val="00714305"/>
    <w:rsid w:val="0071448E"/>
    <w:rsid w:val="007148C6"/>
    <w:rsid w:val="00714964"/>
    <w:rsid w:val="00714A23"/>
    <w:rsid w:val="00715018"/>
    <w:rsid w:val="007150B5"/>
    <w:rsid w:val="00715771"/>
    <w:rsid w:val="00715FAC"/>
    <w:rsid w:val="007165E0"/>
    <w:rsid w:val="007166F4"/>
    <w:rsid w:val="00716B3F"/>
    <w:rsid w:val="00716B53"/>
    <w:rsid w:val="00716B93"/>
    <w:rsid w:val="00716D90"/>
    <w:rsid w:val="00716FA1"/>
    <w:rsid w:val="0071709F"/>
    <w:rsid w:val="007171F9"/>
    <w:rsid w:val="0071721C"/>
    <w:rsid w:val="0071765A"/>
    <w:rsid w:val="007176C8"/>
    <w:rsid w:val="00717965"/>
    <w:rsid w:val="00717BED"/>
    <w:rsid w:val="00717E47"/>
    <w:rsid w:val="00717E9E"/>
    <w:rsid w:val="0072001F"/>
    <w:rsid w:val="007201FD"/>
    <w:rsid w:val="007204C2"/>
    <w:rsid w:val="00720555"/>
    <w:rsid w:val="007205BF"/>
    <w:rsid w:val="00720741"/>
    <w:rsid w:val="00720869"/>
    <w:rsid w:val="00720AC7"/>
    <w:rsid w:val="00720B7A"/>
    <w:rsid w:val="0072109E"/>
    <w:rsid w:val="007213B1"/>
    <w:rsid w:val="00721574"/>
    <w:rsid w:val="007215DC"/>
    <w:rsid w:val="0072172E"/>
    <w:rsid w:val="0072192C"/>
    <w:rsid w:val="00721B72"/>
    <w:rsid w:val="00721BA4"/>
    <w:rsid w:val="007224CD"/>
    <w:rsid w:val="00722745"/>
    <w:rsid w:val="00722B49"/>
    <w:rsid w:val="00722DCC"/>
    <w:rsid w:val="007231DC"/>
    <w:rsid w:val="0072351E"/>
    <w:rsid w:val="0072365C"/>
    <w:rsid w:val="007237E6"/>
    <w:rsid w:val="00723931"/>
    <w:rsid w:val="00723A07"/>
    <w:rsid w:val="00723C14"/>
    <w:rsid w:val="00723D00"/>
    <w:rsid w:val="00724544"/>
    <w:rsid w:val="00724C12"/>
    <w:rsid w:val="00724D13"/>
    <w:rsid w:val="0072538B"/>
    <w:rsid w:val="00725517"/>
    <w:rsid w:val="007257F3"/>
    <w:rsid w:val="00725D16"/>
    <w:rsid w:val="00725F78"/>
    <w:rsid w:val="0072604D"/>
    <w:rsid w:val="007261E3"/>
    <w:rsid w:val="0072682D"/>
    <w:rsid w:val="0072688B"/>
    <w:rsid w:val="00726914"/>
    <w:rsid w:val="00726C60"/>
    <w:rsid w:val="00726D72"/>
    <w:rsid w:val="00726F2C"/>
    <w:rsid w:val="0072700F"/>
    <w:rsid w:val="0072721C"/>
    <w:rsid w:val="007275D3"/>
    <w:rsid w:val="00727983"/>
    <w:rsid w:val="00727F58"/>
    <w:rsid w:val="00730002"/>
    <w:rsid w:val="007300FC"/>
    <w:rsid w:val="0073051D"/>
    <w:rsid w:val="007307CE"/>
    <w:rsid w:val="00730860"/>
    <w:rsid w:val="00730A43"/>
    <w:rsid w:val="0073108C"/>
    <w:rsid w:val="007310AB"/>
    <w:rsid w:val="007312AE"/>
    <w:rsid w:val="007315B8"/>
    <w:rsid w:val="007318C7"/>
    <w:rsid w:val="00731C0A"/>
    <w:rsid w:val="00731CF4"/>
    <w:rsid w:val="00731E5C"/>
    <w:rsid w:val="00732001"/>
    <w:rsid w:val="00732192"/>
    <w:rsid w:val="0073226A"/>
    <w:rsid w:val="00732417"/>
    <w:rsid w:val="00732870"/>
    <w:rsid w:val="007329E8"/>
    <w:rsid w:val="00732A8A"/>
    <w:rsid w:val="00732AB5"/>
    <w:rsid w:val="00732CBB"/>
    <w:rsid w:val="00732E28"/>
    <w:rsid w:val="007331FB"/>
    <w:rsid w:val="00733239"/>
    <w:rsid w:val="0073334B"/>
    <w:rsid w:val="0073344F"/>
    <w:rsid w:val="0073349D"/>
    <w:rsid w:val="007334F3"/>
    <w:rsid w:val="0073350B"/>
    <w:rsid w:val="007335A9"/>
    <w:rsid w:val="0073373F"/>
    <w:rsid w:val="007338D8"/>
    <w:rsid w:val="00733943"/>
    <w:rsid w:val="007339F2"/>
    <w:rsid w:val="00733D2C"/>
    <w:rsid w:val="00733DD8"/>
    <w:rsid w:val="00733DF1"/>
    <w:rsid w:val="00733E26"/>
    <w:rsid w:val="00733E36"/>
    <w:rsid w:val="00734134"/>
    <w:rsid w:val="007341AB"/>
    <w:rsid w:val="007344CF"/>
    <w:rsid w:val="007345DD"/>
    <w:rsid w:val="00734D32"/>
    <w:rsid w:val="00735019"/>
    <w:rsid w:val="00735931"/>
    <w:rsid w:val="00735A22"/>
    <w:rsid w:val="00735FCB"/>
    <w:rsid w:val="007364E8"/>
    <w:rsid w:val="007365DF"/>
    <w:rsid w:val="00736972"/>
    <w:rsid w:val="00736D9D"/>
    <w:rsid w:val="00737653"/>
    <w:rsid w:val="0073770B"/>
    <w:rsid w:val="0073794C"/>
    <w:rsid w:val="0073796E"/>
    <w:rsid w:val="007379DB"/>
    <w:rsid w:val="00737EE5"/>
    <w:rsid w:val="00737EF2"/>
    <w:rsid w:val="007402EC"/>
    <w:rsid w:val="00740349"/>
    <w:rsid w:val="007403CD"/>
    <w:rsid w:val="00740547"/>
    <w:rsid w:val="00740899"/>
    <w:rsid w:val="00740976"/>
    <w:rsid w:val="007409A9"/>
    <w:rsid w:val="00740CAE"/>
    <w:rsid w:val="00740CE5"/>
    <w:rsid w:val="007411B7"/>
    <w:rsid w:val="007412FB"/>
    <w:rsid w:val="00741441"/>
    <w:rsid w:val="007415C1"/>
    <w:rsid w:val="00741964"/>
    <w:rsid w:val="00741D38"/>
    <w:rsid w:val="00741DF8"/>
    <w:rsid w:val="00741E3E"/>
    <w:rsid w:val="00741F40"/>
    <w:rsid w:val="007423D0"/>
    <w:rsid w:val="00742F3C"/>
    <w:rsid w:val="007430DC"/>
    <w:rsid w:val="00743369"/>
    <w:rsid w:val="0074369D"/>
    <w:rsid w:val="0074378B"/>
    <w:rsid w:val="00743A37"/>
    <w:rsid w:val="00743AC3"/>
    <w:rsid w:val="00743BB3"/>
    <w:rsid w:val="00743ED8"/>
    <w:rsid w:val="00743FA2"/>
    <w:rsid w:val="0074406F"/>
    <w:rsid w:val="00744170"/>
    <w:rsid w:val="00744264"/>
    <w:rsid w:val="00744370"/>
    <w:rsid w:val="007446AD"/>
    <w:rsid w:val="00744B08"/>
    <w:rsid w:val="00744D1F"/>
    <w:rsid w:val="0074503E"/>
    <w:rsid w:val="007452B3"/>
    <w:rsid w:val="007455DD"/>
    <w:rsid w:val="007458CD"/>
    <w:rsid w:val="00745B09"/>
    <w:rsid w:val="00746502"/>
    <w:rsid w:val="00746597"/>
    <w:rsid w:val="00746AE0"/>
    <w:rsid w:val="0074720E"/>
    <w:rsid w:val="00747D20"/>
    <w:rsid w:val="00747D8C"/>
    <w:rsid w:val="0075041E"/>
    <w:rsid w:val="00750451"/>
    <w:rsid w:val="007505D8"/>
    <w:rsid w:val="007507BF"/>
    <w:rsid w:val="00750946"/>
    <w:rsid w:val="00750B72"/>
    <w:rsid w:val="00750B88"/>
    <w:rsid w:val="00750BB7"/>
    <w:rsid w:val="00750D11"/>
    <w:rsid w:val="00750E69"/>
    <w:rsid w:val="00751182"/>
    <w:rsid w:val="0075193E"/>
    <w:rsid w:val="00751C88"/>
    <w:rsid w:val="0075206A"/>
    <w:rsid w:val="0075251F"/>
    <w:rsid w:val="007527A9"/>
    <w:rsid w:val="00752846"/>
    <w:rsid w:val="00752A26"/>
    <w:rsid w:val="00752A8E"/>
    <w:rsid w:val="00752AED"/>
    <w:rsid w:val="007532C3"/>
    <w:rsid w:val="007532CC"/>
    <w:rsid w:val="00753791"/>
    <w:rsid w:val="00753B95"/>
    <w:rsid w:val="00753B97"/>
    <w:rsid w:val="00753F81"/>
    <w:rsid w:val="0075453B"/>
    <w:rsid w:val="00754625"/>
    <w:rsid w:val="007547F2"/>
    <w:rsid w:val="0075496A"/>
    <w:rsid w:val="00754D78"/>
    <w:rsid w:val="007551AB"/>
    <w:rsid w:val="00756075"/>
    <w:rsid w:val="007562E4"/>
    <w:rsid w:val="00756548"/>
    <w:rsid w:val="00756BD3"/>
    <w:rsid w:val="00756E41"/>
    <w:rsid w:val="0075728B"/>
    <w:rsid w:val="00757336"/>
    <w:rsid w:val="00757354"/>
    <w:rsid w:val="007576BF"/>
    <w:rsid w:val="0075790F"/>
    <w:rsid w:val="00757A0A"/>
    <w:rsid w:val="00757AE4"/>
    <w:rsid w:val="00757EEF"/>
    <w:rsid w:val="007601B0"/>
    <w:rsid w:val="00760387"/>
    <w:rsid w:val="00760691"/>
    <w:rsid w:val="007609D8"/>
    <w:rsid w:val="00760BF1"/>
    <w:rsid w:val="00761740"/>
    <w:rsid w:val="007617B4"/>
    <w:rsid w:val="00761BE4"/>
    <w:rsid w:val="00761BF0"/>
    <w:rsid w:val="00761EC7"/>
    <w:rsid w:val="00762159"/>
    <w:rsid w:val="00762693"/>
    <w:rsid w:val="00762CEB"/>
    <w:rsid w:val="00763266"/>
    <w:rsid w:val="00763393"/>
    <w:rsid w:val="0076352C"/>
    <w:rsid w:val="00763773"/>
    <w:rsid w:val="00763954"/>
    <w:rsid w:val="00763AB8"/>
    <w:rsid w:val="00763D4F"/>
    <w:rsid w:val="00763D9C"/>
    <w:rsid w:val="007642AF"/>
    <w:rsid w:val="0076439D"/>
    <w:rsid w:val="007646C3"/>
    <w:rsid w:val="007649FF"/>
    <w:rsid w:val="00764D1F"/>
    <w:rsid w:val="00764DC4"/>
    <w:rsid w:val="00765152"/>
    <w:rsid w:val="007651D5"/>
    <w:rsid w:val="00765418"/>
    <w:rsid w:val="0076546F"/>
    <w:rsid w:val="00765754"/>
    <w:rsid w:val="007658B8"/>
    <w:rsid w:val="007658BA"/>
    <w:rsid w:val="00765ACD"/>
    <w:rsid w:val="00765E0A"/>
    <w:rsid w:val="00766315"/>
    <w:rsid w:val="007663AC"/>
    <w:rsid w:val="007663B2"/>
    <w:rsid w:val="00766B7C"/>
    <w:rsid w:val="00767092"/>
    <w:rsid w:val="00767486"/>
    <w:rsid w:val="00767C09"/>
    <w:rsid w:val="00767D81"/>
    <w:rsid w:val="007701C3"/>
    <w:rsid w:val="007701D7"/>
    <w:rsid w:val="0077026A"/>
    <w:rsid w:val="007703D0"/>
    <w:rsid w:val="0077047A"/>
    <w:rsid w:val="00770569"/>
    <w:rsid w:val="00770BB9"/>
    <w:rsid w:val="00770FF4"/>
    <w:rsid w:val="0077165B"/>
    <w:rsid w:val="00771848"/>
    <w:rsid w:val="007719F7"/>
    <w:rsid w:val="00771AF8"/>
    <w:rsid w:val="00771CD5"/>
    <w:rsid w:val="00771D08"/>
    <w:rsid w:val="007722AB"/>
    <w:rsid w:val="00772418"/>
    <w:rsid w:val="0077245F"/>
    <w:rsid w:val="007724EC"/>
    <w:rsid w:val="00772765"/>
    <w:rsid w:val="00772A10"/>
    <w:rsid w:val="00772E90"/>
    <w:rsid w:val="00772EBE"/>
    <w:rsid w:val="0077304C"/>
    <w:rsid w:val="00773C06"/>
    <w:rsid w:val="00773D5C"/>
    <w:rsid w:val="007741B4"/>
    <w:rsid w:val="007741BC"/>
    <w:rsid w:val="007747FD"/>
    <w:rsid w:val="00774948"/>
    <w:rsid w:val="00774A8F"/>
    <w:rsid w:val="00774A9C"/>
    <w:rsid w:val="00774B21"/>
    <w:rsid w:val="00774CD0"/>
    <w:rsid w:val="00774D92"/>
    <w:rsid w:val="00775088"/>
    <w:rsid w:val="00775113"/>
    <w:rsid w:val="00775400"/>
    <w:rsid w:val="007759BD"/>
    <w:rsid w:val="00775A21"/>
    <w:rsid w:val="00775AC5"/>
    <w:rsid w:val="00775BBA"/>
    <w:rsid w:val="00775BFE"/>
    <w:rsid w:val="0077626A"/>
    <w:rsid w:val="00776425"/>
    <w:rsid w:val="007764C5"/>
    <w:rsid w:val="00776532"/>
    <w:rsid w:val="0077684A"/>
    <w:rsid w:val="0077689E"/>
    <w:rsid w:val="00776CC0"/>
    <w:rsid w:val="00776DBF"/>
    <w:rsid w:val="00776DEE"/>
    <w:rsid w:val="00776E4D"/>
    <w:rsid w:val="00776E5E"/>
    <w:rsid w:val="00777307"/>
    <w:rsid w:val="0077781A"/>
    <w:rsid w:val="00777CB3"/>
    <w:rsid w:val="00777F5C"/>
    <w:rsid w:val="00777F8A"/>
    <w:rsid w:val="00780154"/>
    <w:rsid w:val="007802DD"/>
    <w:rsid w:val="007803D1"/>
    <w:rsid w:val="0078056B"/>
    <w:rsid w:val="00780A55"/>
    <w:rsid w:val="00780D0D"/>
    <w:rsid w:val="00781110"/>
    <w:rsid w:val="0078161B"/>
    <w:rsid w:val="00781717"/>
    <w:rsid w:val="0078202F"/>
    <w:rsid w:val="00782130"/>
    <w:rsid w:val="007821AC"/>
    <w:rsid w:val="007821F9"/>
    <w:rsid w:val="007825F2"/>
    <w:rsid w:val="007829FB"/>
    <w:rsid w:val="00782C24"/>
    <w:rsid w:val="00782EB1"/>
    <w:rsid w:val="007830B5"/>
    <w:rsid w:val="007834B6"/>
    <w:rsid w:val="0078373F"/>
    <w:rsid w:val="00783897"/>
    <w:rsid w:val="0078389E"/>
    <w:rsid w:val="00783972"/>
    <w:rsid w:val="00783C7F"/>
    <w:rsid w:val="00783CE0"/>
    <w:rsid w:val="00784A71"/>
    <w:rsid w:val="00784C78"/>
    <w:rsid w:val="00784EA9"/>
    <w:rsid w:val="00785207"/>
    <w:rsid w:val="007855E9"/>
    <w:rsid w:val="0078570F"/>
    <w:rsid w:val="00785763"/>
    <w:rsid w:val="007857B6"/>
    <w:rsid w:val="00785829"/>
    <w:rsid w:val="007858D3"/>
    <w:rsid w:val="00785C34"/>
    <w:rsid w:val="00785D2E"/>
    <w:rsid w:val="00785FB5"/>
    <w:rsid w:val="007860A2"/>
    <w:rsid w:val="00786173"/>
    <w:rsid w:val="00786211"/>
    <w:rsid w:val="00786288"/>
    <w:rsid w:val="00786813"/>
    <w:rsid w:val="0078696F"/>
    <w:rsid w:val="00786EA7"/>
    <w:rsid w:val="0078727E"/>
    <w:rsid w:val="00787C32"/>
    <w:rsid w:val="00790289"/>
    <w:rsid w:val="0079030F"/>
    <w:rsid w:val="0079035C"/>
    <w:rsid w:val="00790DA6"/>
    <w:rsid w:val="007910F2"/>
    <w:rsid w:val="00791379"/>
    <w:rsid w:val="0079148F"/>
    <w:rsid w:val="0079156C"/>
    <w:rsid w:val="007918D3"/>
    <w:rsid w:val="00791D1F"/>
    <w:rsid w:val="00791E0B"/>
    <w:rsid w:val="00792009"/>
    <w:rsid w:val="00792098"/>
    <w:rsid w:val="00792668"/>
    <w:rsid w:val="007926F5"/>
    <w:rsid w:val="007927AA"/>
    <w:rsid w:val="00792B2A"/>
    <w:rsid w:val="00792CF9"/>
    <w:rsid w:val="00792D01"/>
    <w:rsid w:val="0079372B"/>
    <w:rsid w:val="00793B67"/>
    <w:rsid w:val="00793E56"/>
    <w:rsid w:val="00794227"/>
    <w:rsid w:val="00794491"/>
    <w:rsid w:val="007947CE"/>
    <w:rsid w:val="00794CF8"/>
    <w:rsid w:val="0079512C"/>
    <w:rsid w:val="007951B5"/>
    <w:rsid w:val="0079543A"/>
    <w:rsid w:val="00795BC3"/>
    <w:rsid w:val="00795D2F"/>
    <w:rsid w:val="00795F00"/>
    <w:rsid w:val="00795FFF"/>
    <w:rsid w:val="007963FC"/>
    <w:rsid w:val="007965EF"/>
    <w:rsid w:val="00796903"/>
    <w:rsid w:val="00796C9D"/>
    <w:rsid w:val="00796F00"/>
    <w:rsid w:val="007970CD"/>
    <w:rsid w:val="007970E5"/>
    <w:rsid w:val="00797561"/>
    <w:rsid w:val="00797742"/>
    <w:rsid w:val="00797798"/>
    <w:rsid w:val="00797B37"/>
    <w:rsid w:val="00797DCA"/>
    <w:rsid w:val="00797EAD"/>
    <w:rsid w:val="00797EB4"/>
    <w:rsid w:val="00797F55"/>
    <w:rsid w:val="007A00D0"/>
    <w:rsid w:val="007A00F1"/>
    <w:rsid w:val="007A020F"/>
    <w:rsid w:val="007A021D"/>
    <w:rsid w:val="007A03E9"/>
    <w:rsid w:val="007A0BEC"/>
    <w:rsid w:val="007A0C35"/>
    <w:rsid w:val="007A0CE8"/>
    <w:rsid w:val="007A0F89"/>
    <w:rsid w:val="007A10A1"/>
    <w:rsid w:val="007A1190"/>
    <w:rsid w:val="007A119A"/>
    <w:rsid w:val="007A15BA"/>
    <w:rsid w:val="007A1E82"/>
    <w:rsid w:val="007A2020"/>
    <w:rsid w:val="007A2024"/>
    <w:rsid w:val="007A333B"/>
    <w:rsid w:val="007A3399"/>
    <w:rsid w:val="007A3504"/>
    <w:rsid w:val="007A384E"/>
    <w:rsid w:val="007A38CD"/>
    <w:rsid w:val="007A397D"/>
    <w:rsid w:val="007A3D54"/>
    <w:rsid w:val="007A3F27"/>
    <w:rsid w:val="007A40FC"/>
    <w:rsid w:val="007A427A"/>
    <w:rsid w:val="007A49A2"/>
    <w:rsid w:val="007A4C3D"/>
    <w:rsid w:val="007A4C79"/>
    <w:rsid w:val="007A4DC5"/>
    <w:rsid w:val="007A4DC8"/>
    <w:rsid w:val="007A4E0D"/>
    <w:rsid w:val="007A4EC8"/>
    <w:rsid w:val="007A5173"/>
    <w:rsid w:val="007A5411"/>
    <w:rsid w:val="007A54F1"/>
    <w:rsid w:val="007A570C"/>
    <w:rsid w:val="007A5896"/>
    <w:rsid w:val="007A5AC6"/>
    <w:rsid w:val="007A5C27"/>
    <w:rsid w:val="007A6458"/>
    <w:rsid w:val="007A6586"/>
    <w:rsid w:val="007A6828"/>
    <w:rsid w:val="007A6D15"/>
    <w:rsid w:val="007A6FD0"/>
    <w:rsid w:val="007A7056"/>
    <w:rsid w:val="007A7279"/>
    <w:rsid w:val="007A735A"/>
    <w:rsid w:val="007A750B"/>
    <w:rsid w:val="007A7A4B"/>
    <w:rsid w:val="007A7F9E"/>
    <w:rsid w:val="007A7FC9"/>
    <w:rsid w:val="007B0377"/>
    <w:rsid w:val="007B0674"/>
    <w:rsid w:val="007B1203"/>
    <w:rsid w:val="007B182B"/>
    <w:rsid w:val="007B1951"/>
    <w:rsid w:val="007B1974"/>
    <w:rsid w:val="007B1C4D"/>
    <w:rsid w:val="007B1D57"/>
    <w:rsid w:val="007B20AE"/>
    <w:rsid w:val="007B2174"/>
    <w:rsid w:val="007B22FF"/>
    <w:rsid w:val="007B235E"/>
    <w:rsid w:val="007B2580"/>
    <w:rsid w:val="007B2F46"/>
    <w:rsid w:val="007B304C"/>
    <w:rsid w:val="007B3163"/>
    <w:rsid w:val="007B3325"/>
    <w:rsid w:val="007B339E"/>
    <w:rsid w:val="007B354A"/>
    <w:rsid w:val="007B38B3"/>
    <w:rsid w:val="007B38CF"/>
    <w:rsid w:val="007B3BCF"/>
    <w:rsid w:val="007B3E1A"/>
    <w:rsid w:val="007B406D"/>
    <w:rsid w:val="007B42A1"/>
    <w:rsid w:val="007B43DC"/>
    <w:rsid w:val="007B47C8"/>
    <w:rsid w:val="007B50FB"/>
    <w:rsid w:val="007B5663"/>
    <w:rsid w:val="007B575B"/>
    <w:rsid w:val="007B5791"/>
    <w:rsid w:val="007B5B69"/>
    <w:rsid w:val="007B5C9F"/>
    <w:rsid w:val="007B5D05"/>
    <w:rsid w:val="007B5E59"/>
    <w:rsid w:val="007B63D6"/>
    <w:rsid w:val="007B6706"/>
    <w:rsid w:val="007B671C"/>
    <w:rsid w:val="007B683E"/>
    <w:rsid w:val="007B6EA3"/>
    <w:rsid w:val="007B74EE"/>
    <w:rsid w:val="007B7834"/>
    <w:rsid w:val="007B78E3"/>
    <w:rsid w:val="007B7954"/>
    <w:rsid w:val="007B7ABB"/>
    <w:rsid w:val="007B7E3B"/>
    <w:rsid w:val="007B7F70"/>
    <w:rsid w:val="007C01E5"/>
    <w:rsid w:val="007C04AA"/>
    <w:rsid w:val="007C06EE"/>
    <w:rsid w:val="007C0756"/>
    <w:rsid w:val="007C1246"/>
    <w:rsid w:val="007C15D9"/>
    <w:rsid w:val="007C170B"/>
    <w:rsid w:val="007C1802"/>
    <w:rsid w:val="007C1A18"/>
    <w:rsid w:val="007C1A9F"/>
    <w:rsid w:val="007C1DD8"/>
    <w:rsid w:val="007C1E4D"/>
    <w:rsid w:val="007C231B"/>
    <w:rsid w:val="007C2348"/>
    <w:rsid w:val="007C28D6"/>
    <w:rsid w:val="007C2A6A"/>
    <w:rsid w:val="007C2CEA"/>
    <w:rsid w:val="007C2DCB"/>
    <w:rsid w:val="007C2E01"/>
    <w:rsid w:val="007C3203"/>
    <w:rsid w:val="007C3462"/>
    <w:rsid w:val="007C34B4"/>
    <w:rsid w:val="007C39B6"/>
    <w:rsid w:val="007C3AAA"/>
    <w:rsid w:val="007C3C4B"/>
    <w:rsid w:val="007C40F9"/>
    <w:rsid w:val="007C445D"/>
    <w:rsid w:val="007C4470"/>
    <w:rsid w:val="007C4479"/>
    <w:rsid w:val="007C48E2"/>
    <w:rsid w:val="007C4E73"/>
    <w:rsid w:val="007C4FFC"/>
    <w:rsid w:val="007C5108"/>
    <w:rsid w:val="007C510D"/>
    <w:rsid w:val="007C51CE"/>
    <w:rsid w:val="007C541C"/>
    <w:rsid w:val="007C5443"/>
    <w:rsid w:val="007C55EF"/>
    <w:rsid w:val="007C5B50"/>
    <w:rsid w:val="007C5C13"/>
    <w:rsid w:val="007C5C93"/>
    <w:rsid w:val="007C6038"/>
    <w:rsid w:val="007C611C"/>
    <w:rsid w:val="007C65F7"/>
    <w:rsid w:val="007C6642"/>
    <w:rsid w:val="007C6813"/>
    <w:rsid w:val="007C6B1F"/>
    <w:rsid w:val="007C6C54"/>
    <w:rsid w:val="007C6E40"/>
    <w:rsid w:val="007C6F57"/>
    <w:rsid w:val="007C71EE"/>
    <w:rsid w:val="007C72D9"/>
    <w:rsid w:val="007C75C3"/>
    <w:rsid w:val="007C75ED"/>
    <w:rsid w:val="007C7767"/>
    <w:rsid w:val="007D05C2"/>
    <w:rsid w:val="007D05D1"/>
    <w:rsid w:val="007D074D"/>
    <w:rsid w:val="007D07DA"/>
    <w:rsid w:val="007D0910"/>
    <w:rsid w:val="007D0C6F"/>
    <w:rsid w:val="007D0D86"/>
    <w:rsid w:val="007D0E7C"/>
    <w:rsid w:val="007D0F70"/>
    <w:rsid w:val="007D1DB8"/>
    <w:rsid w:val="007D2C4E"/>
    <w:rsid w:val="007D2FC7"/>
    <w:rsid w:val="007D30FF"/>
    <w:rsid w:val="007D311F"/>
    <w:rsid w:val="007D313F"/>
    <w:rsid w:val="007D33C0"/>
    <w:rsid w:val="007D3926"/>
    <w:rsid w:val="007D3D08"/>
    <w:rsid w:val="007D43EB"/>
    <w:rsid w:val="007D44EB"/>
    <w:rsid w:val="007D495B"/>
    <w:rsid w:val="007D4FC0"/>
    <w:rsid w:val="007D5150"/>
    <w:rsid w:val="007D530E"/>
    <w:rsid w:val="007D54AE"/>
    <w:rsid w:val="007D54B1"/>
    <w:rsid w:val="007D58C6"/>
    <w:rsid w:val="007D5DF9"/>
    <w:rsid w:val="007D6014"/>
    <w:rsid w:val="007D65C3"/>
    <w:rsid w:val="007D66D1"/>
    <w:rsid w:val="007D66E1"/>
    <w:rsid w:val="007D6AAF"/>
    <w:rsid w:val="007D6AEB"/>
    <w:rsid w:val="007D70CA"/>
    <w:rsid w:val="007D7580"/>
    <w:rsid w:val="007D76DD"/>
    <w:rsid w:val="007D776C"/>
    <w:rsid w:val="007D77E5"/>
    <w:rsid w:val="007D7A80"/>
    <w:rsid w:val="007E01EF"/>
    <w:rsid w:val="007E03F0"/>
    <w:rsid w:val="007E0656"/>
    <w:rsid w:val="007E06EC"/>
    <w:rsid w:val="007E0A0B"/>
    <w:rsid w:val="007E0DCB"/>
    <w:rsid w:val="007E1470"/>
    <w:rsid w:val="007E1562"/>
    <w:rsid w:val="007E16AC"/>
    <w:rsid w:val="007E1A04"/>
    <w:rsid w:val="007E1D9F"/>
    <w:rsid w:val="007E1FBC"/>
    <w:rsid w:val="007E23B8"/>
    <w:rsid w:val="007E24A2"/>
    <w:rsid w:val="007E2815"/>
    <w:rsid w:val="007E29A5"/>
    <w:rsid w:val="007E2D46"/>
    <w:rsid w:val="007E3057"/>
    <w:rsid w:val="007E31E5"/>
    <w:rsid w:val="007E34EC"/>
    <w:rsid w:val="007E3536"/>
    <w:rsid w:val="007E3AD1"/>
    <w:rsid w:val="007E3D02"/>
    <w:rsid w:val="007E41E0"/>
    <w:rsid w:val="007E43F8"/>
    <w:rsid w:val="007E45BE"/>
    <w:rsid w:val="007E45D3"/>
    <w:rsid w:val="007E45F6"/>
    <w:rsid w:val="007E47EE"/>
    <w:rsid w:val="007E4A0D"/>
    <w:rsid w:val="007E4BE1"/>
    <w:rsid w:val="007E4CE7"/>
    <w:rsid w:val="007E4DE9"/>
    <w:rsid w:val="007E4FD2"/>
    <w:rsid w:val="007E50F9"/>
    <w:rsid w:val="007E5186"/>
    <w:rsid w:val="007E5345"/>
    <w:rsid w:val="007E558B"/>
    <w:rsid w:val="007E5C15"/>
    <w:rsid w:val="007E5C66"/>
    <w:rsid w:val="007E5E7A"/>
    <w:rsid w:val="007E644A"/>
    <w:rsid w:val="007E64BF"/>
    <w:rsid w:val="007E6668"/>
    <w:rsid w:val="007E669D"/>
    <w:rsid w:val="007E66C6"/>
    <w:rsid w:val="007E6959"/>
    <w:rsid w:val="007E6A3F"/>
    <w:rsid w:val="007E6C56"/>
    <w:rsid w:val="007E7304"/>
    <w:rsid w:val="007E755C"/>
    <w:rsid w:val="007E76C2"/>
    <w:rsid w:val="007E77CD"/>
    <w:rsid w:val="007E77E9"/>
    <w:rsid w:val="007E7801"/>
    <w:rsid w:val="007E78E9"/>
    <w:rsid w:val="007E78F7"/>
    <w:rsid w:val="007E79CF"/>
    <w:rsid w:val="007E7D4F"/>
    <w:rsid w:val="007F0309"/>
    <w:rsid w:val="007F0498"/>
    <w:rsid w:val="007F0ACB"/>
    <w:rsid w:val="007F0AD7"/>
    <w:rsid w:val="007F0CFF"/>
    <w:rsid w:val="007F101E"/>
    <w:rsid w:val="007F1844"/>
    <w:rsid w:val="007F194C"/>
    <w:rsid w:val="007F2047"/>
    <w:rsid w:val="007F27FA"/>
    <w:rsid w:val="007F289F"/>
    <w:rsid w:val="007F291B"/>
    <w:rsid w:val="007F2DB4"/>
    <w:rsid w:val="007F2E30"/>
    <w:rsid w:val="007F30F8"/>
    <w:rsid w:val="007F3319"/>
    <w:rsid w:val="007F359B"/>
    <w:rsid w:val="007F3788"/>
    <w:rsid w:val="007F3879"/>
    <w:rsid w:val="007F3A99"/>
    <w:rsid w:val="007F3C67"/>
    <w:rsid w:val="007F45D0"/>
    <w:rsid w:val="007F47AE"/>
    <w:rsid w:val="007F494E"/>
    <w:rsid w:val="007F49DB"/>
    <w:rsid w:val="007F4D52"/>
    <w:rsid w:val="007F503E"/>
    <w:rsid w:val="007F5453"/>
    <w:rsid w:val="007F5662"/>
    <w:rsid w:val="007F56CF"/>
    <w:rsid w:val="007F5881"/>
    <w:rsid w:val="007F58F3"/>
    <w:rsid w:val="007F5B00"/>
    <w:rsid w:val="007F5CC2"/>
    <w:rsid w:val="007F5D9B"/>
    <w:rsid w:val="007F5FFB"/>
    <w:rsid w:val="007F61AE"/>
    <w:rsid w:val="007F646B"/>
    <w:rsid w:val="007F6561"/>
    <w:rsid w:val="007F65A0"/>
    <w:rsid w:val="007F69EE"/>
    <w:rsid w:val="007F6AAB"/>
    <w:rsid w:val="007F6F05"/>
    <w:rsid w:val="007F6FC8"/>
    <w:rsid w:val="007F7A63"/>
    <w:rsid w:val="007F7C09"/>
    <w:rsid w:val="007F7DB5"/>
    <w:rsid w:val="007F7EF6"/>
    <w:rsid w:val="00800073"/>
    <w:rsid w:val="008000B3"/>
    <w:rsid w:val="008000EF"/>
    <w:rsid w:val="00800592"/>
    <w:rsid w:val="008007FF"/>
    <w:rsid w:val="0080088E"/>
    <w:rsid w:val="00800A63"/>
    <w:rsid w:val="00800DEC"/>
    <w:rsid w:val="008011F3"/>
    <w:rsid w:val="008013BF"/>
    <w:rsid w:val="008015CD"/>
    <w:rsid w:val="008016A2"/>
    <w:rsid w:val="00801762"/>
    <w:rsid w:val="00801CFC"/>
    <w:rsid w:val="00801E02"/>
    <w:rsid w:val="00802045"/>
    <w:rsid w:val="00802276"/>
    <w:rsid w:val="00802386"/>
    <w:rsid w:val="008024A4"/>
    <w:rsid w:val="00802C15"/>
    <w:rsid w:val="00802DAE"/>
    <w:rsid w:val="008032A0"/>
    <w:rsid w:val="0080330A"/>
    <w:rsid w:val="00803917"/>
    <w:rsid w:val="00803E49"/>
    <w:rsid w:val="00803F19"/>
    <w:rsid w:val="008041BE"/>
    <w:rsid w:val="00804270"/>
    <w:rsid w:val="008042E0"/>
    <w:rsid w:val="008045AA"/>
    <w:rsid w:val="0080468B"/>
    <w:rsid w:val="008046C1"/>
    <w:rsid w:val="00804731"/>
    <w:rsid w:val="0080490A"/>
    <w:rsid w:val="00804C73"/>
    <w:rsid w:val="00804EAC"/>
    <w:rsid w:val="00805077"/>
    <w:rsid w:val="008051BE"/>
    <w:rsid w:val="008053D0"/>
    <w:rsid w:val="00805910"/>
    <w:rsid w:val="00805AA3"/>
    <w:rsid w:val="00805B76"/>
    <w:rsid w:val="00805E96"/>
    <w:rsid w:val="008063E6"/>
    <w:rsid w:val="008065AA"/>
    <w:rsid w:val="00806672"/>
    <w:rsid w:val="00806704"/>
    <w:rsid w:val="00806748"/>
    <w:rsid w:val="00806807"/>
    <w:rsid w:val="00806988"/>
    <w:rsid w:val="00806B81"/>
    <w:rsid w:val="00806C0D"/>
    <w:rsid w:val="00806DE0"/>
    <w:rsid w:val="00806E92"/>
    <w:rsid w:val="008070B4"/>
    <w:rsid w:val="00807118"/>
    <w:rsid w:val="00807477"/>
    <w:rsid w:val="008075DF"/>
    <w:rsid w:val="00807C15"/>
    <w:rsid w:val="00810199"/>
    <w:rsid w:val="008104A8"/>
    <w:rsid w:val="008108C9"/>
    <w:rsid w:val="00810E5A"/>
    <w:rsid w:val="008112E9"/>
    <w:rsid w:val="00812014"/>
    <w:rsid w:val="00812129"/>
    <w:rsid w:val="008126F0"/>
    <w:rsid w:val="00812842"/>
    <w:rsid w:val="00812BBE"/>
    <w:rsid w:val="00812CC4"/>
    <w:rsid w:val="00812E88"/>
    <w:rsid w:val="008134B2"/>
    <w:rsid w:val="0081391B"/>
    <w:rsid w:val="008139BA"/>
    <w:rsid w:val="00813A5C"/>
    <w:rsid w:val="00813B81"/>
    <w:rsid w:val="00814020"/>
    <w:rsid w:val="0081455F"/>
    <w:rsid w:val="00814B08"/>
    <w:rsid w:val="00814E78"/>
    <w:rsid w:val="00815AE4"/>
    <w:rsid w:val="00815B51"/>
    <w:rsid w:val="00815B8B"/>
    <w:rsid w:val="00815CFD"/>
    <w:rsid w:val="0081630D"/>
    <w:rsid w:val="0081633F"/>
    <w:rsid w:val="0081643E"/>
    <w:rsid w:val="008165F6"/>
    <w:rsid w:val="0081675A"/>
    <w:rsid w:val="00816A49"/>
    <w:rsid w:val="00816E7A"/>
    <w:rsid w:val="008171D8"/>
    <w:rsid w:val="0081727D"/>
    <w:rsid w:val="0081769F"/>
    <w:rsid w:val="00817992"/>
    <w:rsid w:val="00817CF7"/>
    <w:rsid w:val="008203B1"/>
    <w:rsid w:val="008206CC"/>
    <w:rsid w:val="0082089D"/>
    <w:rsid w:val="008209B8"/>
    <w:rsid w:val="00820BE5"/>
    <w:rsid w:val="00820C1F"/>
    <w:rsid w:val="00820EA2"/>
    <w:rsid w:val="00820EAE"/>
    <w:rsid w:val="00821164"/>
    <w:rsid w:val="008216AF"/>
    <w:rsid w:val="00821F2B"/>
    <w:rsid w:val="00822782"/>
    <w:rsid w:val="00822D3B"/>
    <w:rsid w:val="0082315E"/>
    <w:rsid w:val="00823435"/>
    <w:rsid w:val="008237FE"/>
    <w:rsid w:val="00823B47"/>
    <w:rsid w:val="00823BD7"/>
    <w:rsid w:val="00823D67"/>
    <w:rsid w:val="00823EE1"/>
    <w:rsid w:val="00823EED"/>
    <w:rsid w:val="00824107"/>
    <w:rsid w:val="008242C0"/>
    <w:rsid w:val="00824A20"/>
    <w:rsid w:val="00824F00"/>
    <w:rsid w:val="0082509E"/>
    <w:rsid w:val="008252DC"/>
    <w:rsid w:val="008252F2"/>
    <w:rsid w:val="00825864"/>
    <w:rsid w:val="008258C2"/>
    <w:rsid w:val="00825C92"/>
    <w:rsid w:val="00825F16"/>
    <w:rsid w:val="008260AB"/>
    <w:rsid w:val="00826189"/>
    <w:rsid w:val="0082633C"/>
    <w:rsid w:val="008263CF"/>
    <w:rsid w:val="0082644D"/>
    <w:rsid w:val="00826697"/>
    <w:rsid w:val="00826AD5"/>
    <w:rsid w:val="00827148"/>
    <w:rsid w:val="00827175"/>
    <w:rsid w:val="00827178"/>
    <w:rsid w:val="0082736B"/>
    <w:rsid w:val="00827575"/>
    <w:rsid w:val="008276E4"/>
    <w:rsid w:val="00827922"/>
    <w:rsid w:val="00827AD5"/>
    <w:rsid w:val="00827CFC"/>
    <w:rsid w:val="00830158"/>
    <w:rsid w:val="00830582"/>
    <w:rsid w:val="00830845"/>
    <w:rsid w:val="008308BE"/>
    <w:rsid w:val="0083096B"/>
    <w:rsid w:val="00830E9F"/>
    <w:rsid w:val="00830F0F"/>
    <w:rsid w:val="008310DC"/>
    <w:rsid w:val="00831220"/>
    <w:rsid w:val="008312A8"/>
    <w:rsid w:val="008313F5"/>
    <w:rsid w:val="0083166F"/>
    <w:rsid w:val="008316B3"/>
    <w:rsid w:val="0083199E"/>
    <w:rsid w:val="00831B16"/>
    <w:rsid w:val="00831F74"/>
    <w:rsid w:val="00831FD7"/>
    <w:rsid w:val="008320BE"/>
    <w:rsid w:val="00832309"/>
    <w:rsid w:val="00832353"/>
    <w:rsid w:val="00832599"/>
    <w:rsid w:val="00832609"/>
    <w:rsid w:val="00832613"/>
    <w:rsid w:val="00832662"/>
    <w:rsid w:val="008326D4"/>
    <w:rsid w:val="00832C33"/>
    <w:rsid w:val="00832DE9"/>
    <w:rsid w:val="00832EC1"/>
    <w:rsid w:val="0083307C"/>
    <w:rsid w:val="008331E3"/>
    <w:rsid w:val="00833333"/>
    <w:rsid w:val="008335CD"/>
    <w:rsid w:val="00833AB5"/>
    <w:rsid w:val="00833B49"/>
    <w:rsid w:val="00833D3E"/>
    <w:rsid w:val="00834222"/>
    <w:rsid w:val="00834483"/>
    <w:rsid w:val="008347DA"/>
    <w:rsid w:val="00834B0C"/>
    <w:rsid w:val="00834DB3"/>
    <w:rsid w:val="00835286"/>
    <w:rsid w:val="008354E4"/>
    <w:rsid w:val="0083564B"/>
    <w:rsid w:val="008356A7"/>
    <w:rsid w:val="00835D84"/>
    <w:rsid w:val="00835EF8"/>
    <w:rsid w:val="0083649A"/>
    <w:rsid w:val="00836C37"/>
    <w:rsid w:val="00836CBE"/>
    <w:rsid w:val="00836EF0"/>
    <w:rsid w:val="00836F51"/>
    <w:rsid w:val="008373F6"/>
    <w:rsid w:val="0083789A"/>
    <w:rsid w:val="0083790D"/>
    <w:rsid w:val="00837D70"/>
    <w:rsid w:val="00837DFA"/>
    <w:rsid w:val="00840010"/>
    <w:rsid w:val="0084051A"/>
    <w:rsid w:val="008405AB"/>
    <w:rsid w:val="0084086C"/>
    <w:rsid w:val="00840A7E"/>
    <w:rsid w:val="00840B78"/>
    <w:rsid w:val="00840C4B"/>
    <w:rsid w:val="00840EFE"/>
    <w:rsid w:val="00841741"/>
    <w:rsid w:val="00841791"/>
    <w:rsid w:val="00841FE4"/>
    <w:rsid w:val="00842024"/>
    <w:rsid w:val="00842573"/>
    <w:rsid w:val="00842653"/>
    <w:rsid w:val="00842B99"/>
    <w:rsid w:val="00843112"/>
    <w:rsid w:val="008431E5"/>
    <w:rsid w:val="008432B1"/>
    <w:rsid w:val="0084352C"/>
    <w:rsid w:val="00843667"/>
    <w:rsid w:val="0084373E"/>
    <w:rsid w:val="00843D0F"/>
    <w:rsid w:val="00843E0A"/>
    <w:rsid w:val="00843E64"/>
    <w:rsid w:val="00844237"/>
    <w:rsid w:val="00844448"/>
    <w:rsid w:val="0084479A"/>
    <w:rsid w:val="008449E5"/>
    <w:rsid w:val="00844C2F"/>
    <w:rsid w:val="00845131"/>
    <w:rsid w:val="0084546B"/>
    <w:rsid w:val="00845561"/>
    <w:rsid w:val="0084556F"/>
    <w:rsid w:val="0084597C"/>
    <w:rsid w:val="00845C98"/>
    <w:rsid w:val="00845E9B"/>
    <w:rsid w:val="00845EF2"/>
    <w:rsid w:val="00845F50"/>
    <w:rsid w:val="00845FCA"/>
    <w:rsid w:val="00845FFA"/>
    <w:rsid w:val="008460C0"/>
    <w:rsid w:val="008461C4"/>
    <w:rsid w:val="0084643D"/>
    <w:rsid w:val="0084692F"/>
    <w:rsid w:val="00846C82"/>
    <w:rsid w:val="00846D28"/>
    <w:rsid w:val="00846E39"/>
    <w:rsid w:val="008477C5"/>
    <w:rsid w:val="008477D8"/>
    <w:rsid w:val="00847AA4"/>
    <w:rsid w:val="00847BA6"/>
    <w:rsid w:val="00847DB0"/>
    <w:rsid w:val="00847E31"/>
    <w:rsid w:val="00850091"/>
    <w:rsid w:val="008501EC"/>
    <w:rsid w:val="00850262"/>
    <w:rsid w:val="00850287"/>
    <w:rsid w:val="00850496"/>
    <w:rsid w:val="008506B5"/>
    <w:rsid w:val="00850B45"/>
    <w:rsid w:val="00851140"/>
    <w:rsid w:val="00851421"/>
    <w:rsid w:val="00851422"/>
    <w:rsid w:val="00851660"/>
    <w:rsid w:val="0085169E"/>
    <w:rsid w:val="00851BCF"/>
    <w:rsid w:val="00851CFC"/>
    <w:rsid w:val="00851D11"/>
    <w:rsid w:val="00852101"/>
    <w:rsid w:val="008521E0"/>
    <w:rsid w:val="0085227A"/>
    <w:rsid w:val="00852453"/>
    <w:rsid w:val="008524F0"/>
    <w:rsid w:val="00852897"/>
    <w:rsid w:val="008529DC"/>
    <w:rsid w:val="00852A47"/>
    <w:rsid w:val="00852DD9"/>
    <w:rsid w:val="00852E60"/>
    <w:rsid w:val="00852EC6"/>
    <w:rsid w:val="0085346E"/>
    <w:rsid w:val="00853511"/>
    <w:rsid w:val="008535B8"/>
    <w:rsid w:val="00853645"/>
    <w:rsid w:val="00853B88"/>
    <w:rsid w:val="00853BE2"/>
    <w:rsid w:val="00853C48"/>
    <w:rsid w:val="00853FDA"/>
    <w:rsid w:val="0085430B"/>
    <w:rsid w:val="008543A0"/>
    <w:rsid w:val="00854574"/>
    <w:rsid w:val="008546C7"/>
    <w:rsid w:val="008546EA"/>
    <w:rsid w:val="00854C24"/>
    <w:rsid w:val="00854CE8"/>
    <w:rsid w:val="00854DF9"/>
    <w:rsid w:val="00854F3B"/>
    <w:rsid w:val="00855456"/>
    <w:rsid w:val="0085546C"/>
    <w:rsid w:val="008555DB"/>
    <w:rsid w:val="00855805"/>
    <w:rsid w:val="00855B9C"/>
    <w:rsid w:val="0085623E"/>
    <w:rsid w:val="008565C2"/>
    <w:rsid w:val="00856914"/>
    <w:rsid w:val="00856A45"/>
    <w:rsid w:val="00856B63"/>
    <w:rsid w:val="00856CD5"/>
    <w:rsid w:val="00856D09"/>
    <w:rsid w:val="00856DCF"/>
    <w:rsid w:val="00856EFD"/>
    <w:rsid w:val="0085712E"/>
    <w:rsid w:val="0085746B"/>
    <w:rsid w:val="00857636"/>
    <w:rsid w:val="0085777C"/>
    <w:rsid w:val="0085783B"/>
    <w:rsid w:val="00857EE9"/>
    <w:rsid w:val="00860166"/>
    <w:rsid w:val="008601CF"/>
    <w:rsid w:val="0086090D"/>
    <w:rsid w:val="00860B6E"/>
    <w:rsid w:val="00860C4F"/>
    <w:rsid w:val="00861047"/>
    <w:rsid w:val="008612C7"/>
    <w:rsid w:val="0086137D"/>
    <w:rsid w:val="00861A91"/>
    <w:rsid w:val="00861C21"/>
    <w:rsid w:val="00861EBF"/>
    <w:rsid w:val="00861EE8"/>
    <w:rsid w:val="008620D7"/>
    <w:rsid w:val="00862229"/>
    <w:rsid w:val="00862320"/>
    <w:rsid w:val="00862651"/>
    <w:rsid w:val="00863BCA"/>
    <w:rsid w:val="00863C9E"/>
    <w:rsid w:val="00863CB4"/>
    <w:rsid w:val="00863DA6"/>
    <w:rsid w:val="00863DAC"/>
    <w:rsid w:val="00863FEF"/>
    <w:rsid w:val="00864094"/>
    <w:rsid w:val="008640A0"/>
    <w:rsid w:val="008641C5"/>
    <w:rsid w:val="0086479D"/>
    <w:rsid w:val="008647B6"/>
    <w:rsid w:val="0086481E"/>
    <w:rsid w:val="00864986"/>
    <w:rsid w:val="00864AB1"/>
    <w:rsid w:val="00864C4A"/>
    <w:rsid w:val="00864D99"/>
    <w:rsid w:val="008653EB"/>
    <w:rsid w:val="0086545B"/>
    <w:rsid w:val="008656C3"/>
    <w:rsid w:val="00865769"/>
    <w:rsid w:val="00865953"/>
    <w:rsid w:val="00866086"/>
    <w:rsid w:val="008661A3"/>
    <w:rsid w:val="00866210"/>
    <w:rsid w:val="00866223"/>
    <w:rsid w:val="008662D7"/>
    <w:rsid w:val="00866387"/>
    <w:rsid w:val="00866414"/>
    <w:rsid w:val="00866884"/>
    <w:rsid w:val="00866E87"/>
    <w:rsid w:val="008670FC"/>
    <w:rsid w:val="00867167"/>
    <w:rsid w:val="0086727A"/>
    <w:rsid w:val="00867511"/>
    <w:rsid w:val="00867B2B"/>
    <w:rsid w:val="00867E3E"/>
    <w:rsid w:val="00867FF2"/>
    <w:rsid w:val="008703E1"/>
    <w:rsid w:val="00870648"/>
    <w:rsid w:val="00870EA4"/>
    <w:rsid w:val="008712FF"/>
    <w:rsid w:val="008713A7"/>
    <w:rsid w:val="008713AA"/>
    <w:rsid w:val="0087152B"/>
    <w:rsid w:val="008717AC"/>
    <w:rsid w:val="008717C2"/>
    <w:rsid w:val="00871B55"/>
    <w:rsid w:val="00871E4B"/>
    <w:rsid w:val="00871F47"/>
    <w:rsid w:val="00872635"/>
    <w:rsid w:val="008726E4"/>
    <w:rsid w:val="00872755"/>
    <w:rsid w:val="00872868"/>
    <w:rsid w:val="00872A90"/>
    <w:rsid w:val="00872BD2"/>
    <w:rsid w:val="00872CCE"/>
    <w:rsid w:val="00872F4F"/>
    <w:rsid w:val="00872FA4"/>
    <w:rsid w:val="008734F9"/>
    <w:rsid w:val="008736CB"/>
    <w:rsid w:val="0087375D"/>
    <w:rsid w:val="00873879"/>
    <w:rsid w:val="00873AFB"/>
    <w:rsid w:val="00873E9E"/>
    <w:rsid w:val="00874372"/>
    <w:rsid w:val="008743A0"/>
    <w:rsid w:val="008744DC"/>
    <w:rsid w:val="0087478A"/>
    <w:rsid w:val="008748EF"/>
    <w:rsid w:val="00874B31"/>
    <w:rsid w:val="00874C67"/>
    <w:rsid w:val="00875073"/>
    <w:rsid w:val="00875470"/>
    <w:rsid w:val="0087555F"/>
    <w:rsid w:val="00875659"/>
    <w:rsid w:val="0087579A"/>
    <w:rsid w:val="00875898"/>
    <w:rsid w:val="008758AF"/>
    <w:rsid w:val="00875ADD"/>
    <w:rsid w:val="00875EC3"/>
    <w:rsid w:val="008760C5"/>
    <w:rsid w:val="0087619A"/>
    <w:rsid w:val="0087658B"/>
    <w:rsid w:val="00876702"/>
    <w:rsid w:val="00876A2C"/>
    <w:rsid w:val="00876A73"/>
    <w:rsid w:val="00876AF5"/>
    <w:rsid w:val="00876B0A"/>
    <w:rsid w:val="00876B84"/>
    <w:rsid w:val="00876F6E"/>
    <w:rsid w:val="008773BD"/>
    <w:rsid w:val="0087799B"/>
    <w:rsid w:val="00877A3B"/>
    <w:rsid w:val="00877CD1"/>
    <w:rsid w:val="00877EE2"/>
    <w:rsid w:val="008804DB"/>
    <w:rsid w:val="0088075B"/>
    <w:rsid w:val="00880C19"/>
    <w:rsid w:val="00880D9F"/>
    <w:rsid w:val="008811BD"/>
    <w:rsid w:val="00881344"/>
    <w:rsid w:val="00881427"/>
    <w:rsid w:val="0088152A"/>
    <w:rsid w:val="00881595"/>
    <w:rsid w:val="00881675"/>
    <w:rsid w:val="008816A1"/>
    <w:rsid w:val="00881D25"/>
    <w:rsid w:val="00881F11"/>
    <w:rsid w:val="00881F59"/>
    <w:rsid w:val="00882358"/>
    <w:rsid w:val="008823F6"/>
    <w:rsid w:val="00882ABD"/>
    <w:rsid w:val="00882F6F"/>
    <w:rsid w:val="008830BA"/>
    <w:rsid w:val="008831E1"/>
    <w:rsid w:val="00883DA3"/>
    <w:rsid w:val="00884831"/>
    <w:rsid w:val="00884995"/>
    <w:rsid w:val="008849F0"/>
    <w:rsid w:val="00884E88"/>
    <w:rsid w:val="00885072"/>
    <w:rsid w:val="00885585"/>
    <w:rsid w:val="00885827"/>
    <w:rsid w:val="00885F63"/>
    <w:rsid w:val="00886497"/>
    <w:rsid w:val="00886989"/>
    <w:rsid w:val="00886A69"/>
    <w:rsid w:val="00886C9F"/>
    <w:rsid w:val="00886E6F"/>
    <w:rsid w:val="00887171"/>
    <w:rsid w:val="00887247"/>
    <w:rsid w:val="008872F4"/>
    <w:rsid w:val="00887549"/>
    <w:rsid w:val="008877A0"/>
    <w:rsid w:val="008877F2"/>
    <w:rsid w:val="00887B80"/>
    <w:rsid w:val="00887C36"/>
    <w:rsid w:val="008902D3"/>
    <w:rsid w:val="008905ED"/>
    <w:rsid w:val="00890834"/>
    <w:rsid w:val="008909AB"/>
    <w:rsid w:val="00890F34"/>
    <w:rsid w:val="00891899"/>
    <w:rsid w:val="00891A0E"/>
    <w:rsid w:val="00891BCC"/>
    <w:rsid w:val="00891FCE"/>
    <w:rsid w:val="00892106"/>
    <w:rsid w:val="00892163"/>
    <w:rsid w:val="008923A6"/>
    <w:rsid w:val="00892593"/>
    <w:rsid w:val="0089274D"/>
    <w:rsid w:val="008927DB"/>
    <w:rsid w:val="00892A0C"/>
    <w:rsid w:val="00892A32"/>
    <w:rsid w:val="00892A4A"/>
    <w:rsid w:val="00892C07"/>
    <w:rsid w:val="00892C90"/>
    <w:rsid w:val="00893118"/>
    <w:rsid w:val="0089341E"/>
    <w:rsid w:val="008937C3"/>
    <w:rsid w:val="00893C1C"/>
    <w:rsid w:val="00893CA9"/>
    <w:rsid w:val="00893CAE"/>
    <w:rsid w:val="00893FDE"/>
    <w:rsid w:val="00894000"/>
    <w:rsid w:val="008941AC"/>
    <w:rsid w:val="008942FA"/>
    <w:rsid w:val="00894379"/>
    <w:rsid w:val="008949F3"/>
    <w:rsid w:val="00894D14"/>
    <w:rsid w:val="00894D2A"/>
    <w:rsid w:val="00894D84"/>
    <w:rsid w:val="008951DE"/>
    <w:rsid w:val="008954E5"/>
    <w:rsid w:val="00895944"/>
    <w:rsid w:val="008959BC"/>
    <w:rsid w:val="00895C06"/>
    <w:rsid w:val="00895E27"/>
    <w:rsid w:val="008961E6"/>
    <w:rsid w:val="0089684C"/>
    <w:rsid w:val="0089687B"/>
    <w:rsid w:val="00896921"/>
    <w:rsid w:val="00896A98"/>
    <w:rsid w:val="00896C0E"/>
    <w:rsid w:val="00896D2C"/>
    <w:rsid w:val="0089719B"/>
    <w:rsid w:val="008971B9"/>
    <w:rsid w:val="00897212"/>
    <w:rsid w:val="0089734B"/>
    <w:rsid w:val="00897514"/>
    <w:rsid w:val="0089773E"/>
    <w:rsid w:val="00897D03"/>
    <w:rsid w:val="008A04A4"/>
    <w:rsid w:val="008A0669"/>
    <w:rsid w:val="008A0AD7"/>
    <w:rsid w:val="008A0D61"/>
    <w:rsid w:val="008A1159"/>
    <w:rsid w:val="008A11C9"/>
    <w:rsid w:val="008A14F7"/>
    <w:rsid w:val="008A1525"/>
    <w:rsid w:val="008A179D"/>
    <w:rsid w:val="008A1A82"/>
    <w:rsid w:val="008A1AAF"/>
    <w:rsid w:val="008A1E4E"/>
    <w:rsid w:val="008A271D"/>
    <w:rsid w:val="008A2912"/>
    <w:rsid w:val="008A2B52"/>
    <w:rsid w:val="008A2BFF"/>
    <w:rsid w:val="008A2F0C"/>
    <w:rsid w:val="008A2F43"/>
    <w:rsid w:val="008A2FAB"/>
    <w:rsid w:val="008A30D5"/>
    <w:rsid w:val="008A31B6"/>
    <w:rsid w:val="008A324C"/>
    <w:rsid w:val="008A3505"/>
    <w:rsid w:val="008A3A07"/>
    <w:rsid w:val="008A3EA8"/>
    <w:rsid w:val="008A3F34"/>
    <w:rsid w:val="008A3FEF"/>
    <w:rsid w:val="008A428B"/>
    <w:rsid w:val="008A42A6"/>
    <w:rsid w:val="008A4341"/>
    <w:rsid w:val="008A4433"/>
    <w:rsid w:val="008A449E"/>
    <w:rsid w:val="008A4847"/>
    <w:rsid w:val="008A4C6F"/>
    <w:rsid w:val="008A4EE9"/>
    <w:rsid w:val="008A5209"/>
    <w:rsid w:val="008A524A"/>
    <w:rsid w:val="008A53AE"/>
    <w:rsid w:val="008A544A"/>
    <w:rsid w:val="008A5550"/>
    <w:rsid w:val="008A599D"/>
    <w:rsid w:val="008A5B6A"/>
    <w:rsid w:val="008A5C54"/>
    <w:rsid w:val="008A5D7B"/>
    <w:rsid w:val="008A5FB1"/>
    <w:rsid w:val="008A6117"/>
    <w:rsid w:val="008A64A7"/>
    <w:rsid w:val="008A66A0"/>
    <w:rsid w:val="008A6A76"/>
    <w:rsid w:val="008A6C35"/>
    <w:rsid w:val="008A6DB0"/>
    <w:rsid w:val="008A6DD4"/>
    <w:rsid w:val="008A71F6"/>
    <w:rsid w:val="008A73F0"/>
    <w:rsid w:val="008A7ACA"/>
    <w:rsid w:val="008A7CA2"/>
    <w:rsid w:val="008A7E45"/>
    <w:rsid w:val="008A7E6F"/>
    <w:rsid w:val="008B00BD"/>
    <w:rsid w:val="008B034F"/>
    <w:rsid w:val="008B088F"/>
    <w:rsid w:val="008B0B84"/>
    <w:rsid w:val="008B0C3D"/>
    <w:rsid w:val="008B0D3B"/>
    <w:rsid w:val="008B1015"/>
    <w:rsid w:val="008B186F"/>
    <w:rsid w:val="008B1898"/>
    <w:rsid w:val="008B18B1"/>
    <w:rsid w:val="008B1A51"/>
    <w:rsid w:val="008B1EA5"/>
    <w:rsid w:val="008B2075"/>
    <w:rsid w:val="008B24F1"/>
    <w:rsid w:val="008B2524"/>
    <w:rsid w:val="008B2592"/>
    <w:rsid w:val="008B27F4"/>
    <w:rsid w:val="008B2A07"/>
    <w:rsid w:val="008B2C90"/>
    <w:rsid w:val="008B2E52"/>
    <w:rsid w:val="008B30D6"/>
    <w:rsid w:val="008B334A"/>
    <w:rsid w:val="008B34DC"/>
    <w:rsid w:val="008B3651"/>
    <w:rsid w:val="008B3806"/>
    <w:rsid w:val="008B3C7A"/>
    <w:rsid w:val="008B3CE5"/>
    <w:rsid w:val="008B404E"/>
    <w:rsid w:val="008B417C"/>
    <w:rsid w:val="008B43D9"/>
    <w:rsid w:val="008B4890"/>
    <w:rsid w:val="008B4C69"/>
    <w:rsid w:val="008B4E60"/>
    <w:rsid w:val="008B4EF1"/>
    <w:rsid w:val="008B513E"/>
    <w:rsid w:val="008B5399"/>
    <w:rsid w:val="008B54EE"/>
    <w:rsid w:val="008B57B0"/>
    <w:rsid w:val="008B5809"/>
    <w:rsid w:val="008B5B7B"/>
    <w:rsid w:val="008B5F6B"/>
    <w:rsid w:val="008B6185"/>
    <w:rsid w:val="008B61B6"/>
    <w:rsid w:val="008B6204"/>
    <w:rsid w:val="008B6209"/>
    <w:rsid w:val="008B640C"/>
    <w:rsid w:val="008B6564"/>
    <w:rsid w:val="008B6B9B"/>
    <w:rsid w:val="008B6BFD"/>
    <w:rsid w:val="008B6DC5"/>
    <w:rsid w:val="008B6F06"/>
    <w:rsid w:val="008B6F18"/>
    <w:rsid w:val="008B70DF"/>
    <w:rsid w:val="008B74FD"/>
    <w:rsid w:val="008B7AED"/>
    <w:rsid w:val="008B7CD2"/>
    <w:rsid w:val="008B7E09"/>
    <w:rsid w:val="008C0055"/>
    <w:rsid w:val="008C044F"/>
    <w:rsid w:val="008C0B7A"/>
    <w:rsid w:val="008C0C18"/>
    <w:rsid w:val="008C0DD3"/>
    <w:rsid w:val="008C0DE9"/>
    <w:rsid w:val="008C115F"/>
    <w:rsid w:val="008C1230"/>
    <w:rsid w:val="008C148C"/>
    <w:rsid w:val="008C189B"/>
    <w:rsid w:val="008C1915"/>
    <w:rsid w:val="008C1FB4"/>
    <w:rsid w:val="008C266E"/>
    <w:rsid w:val="008C2804"/>
    <w:rsid w:val="008C2A73"/>
    <w:rsid w:val="008C32F7"/>
    <w:rsid w:val="008C336F"/>
    <w:rsid w:val="008C34A7"/>
    <w:rsid w:val="008C3805"/>
    <w:rsid w:val="008C3977"/>
    <w:rsid w:val="008C3BB4"/>
    <w:rsid w:val="008C3E4C"/>
    <w:rsid w:val="008C40A4"/>
    <w:rsid w:val="008C4259"/>
    <w:rsid w:val="008C446C"/>
    <w:rsid w:val="008C4817"/>
    <w:rsid w:val="008C5052"/>
    <w:rsid w:val="008C507C"/>
    <w:rsid w:val="008C5084"/>
    <w:rsid w:val="008C5243"/>
    <w:rsid w:val="008C5271"/>
    <w:rsid w:val="008C547A"/>
    <w:rsid w:val="008C54CE"/>
    <w:rsid w:val="008C56A9"/>
    <w:rsid w:val="008C5790"/>
    <w:rsid w:val="008C58AE"/>
    <w:rsid w:val="008C5DF3"/>
    <w:rsid w:val="008C5EC1"/>
    <w:rsid w:val="008C67C1"/>
    <w:rsid w:val="008C6AAD"/>
    <w:rsid w:val="008C6AE3"/>
    <w:rsid w:val="008C6C32"/>
    <w:rsid w:val="008C6D44"/>
    <w:rsid w:val="008C6DEC"/>
    <w:rsid w:val="008C6E00"/>
    <w:rsid w:val="008C6EA8"/>
    <w:rsid w:val="008C6FD8"/>
    <w:rsid w:val="008C743C"/>
    <w:rsid w:val="008C7809"/>
    <w:rsid w:val="008C782C"/>
    <w:rsid w:val="008C7EE6"/>
    <w:rsid w:val="008C7FDD"/>
    <w:rsid w:val="008D0290"/>
    <w:rsid w:val="008D0406"/>
    <w:rsid w:val="008D0591"/>
    <w:rsid w:val="008D0C57"/>
    <w:rsid w:val="008D0E73"/>
    <w:rsid w:val="008D1060"/>
    <w:rsid w:val="008D109A"/>
    <w:rsid w:val="008D11F7"/>
    <w:rsid w:val="008D1401"/>
    <w:rsid w:val="008D160A"/>
    <w:rsid w:val="008D16F7"/>
    <w:rsid w:val="008D17C9"/>
    <w:rsid w:val="008D19D9"/>
    <w:rsid w:val="008D1AAE"/>
    <w:rsid w:val="008D1E49"/>
    <w:rsid w:val="008D21AB"/>
    <w:rsid w:val="008D2231"/>
    <w:rsid w:val="008D2337"/>
    <w:rsid w:val="008D24B6"/>
    <w:rsid w:val="008D29AB"/>
    <w:rsid w:val="008D2E10"/>
    <w:rsid w:val="008D3668"/>
    <w:rsid w:val="008D3C34"/>
    <w:rsid w:val="008D3CDA"/>
    <w:rsid w:val="008D3D1A"/>
    <w:rsid w:val="008D3D3D"/>
    <w:rsid w:val="008D3DC5"/>
    <w:rsid w:val="008D3E69"/>
    <w:rsid w:val="008D4033"/>
    <w:rsid w:val="008D43C2"/>
    <w:rsid w:val="008D4794"/>
    <w:rsid w:val="008D4954"/>
    <w:rsid w:val="008D54CD"/>
    <w:rsid w:val="008D5A6A"/>
    <w:rsid w:val="008D673B"/>
    <w:rsid w:val="008D674F"/>
    <w:rsid w:val="008D6766"/>
    <w:rsid w:val="008D6819"/>
    <w:rsid w:val="008D6947"/>
    <w:rsid w:val="008D6CC9"/>
    <w:rsid w:val="008D7200"/>
    <w:rsid w:val="008D7423"/>
    <w:rsid w:val="008D762A"/>
    <w:rsid w:val="008D77FE"/>
    <w:rsid w:val="008D7921"/>
    <w:rsid w:val="008D7B5F"/>
    <w:rsid w:val="008D7E35"/>
    <w:rsid w:val="008E05F7"/>
    <w:rsid w:val="008E07D7"/>
    <w:rsid w:val="008E088F"/>
    <w:rsid w:val="008E099A"/>
    <w:rsid w:val="008E0E86"/>
    <w:rsid w:val="008E10E5"/>
    <w:rsid w:val="008E1636"/>
    <w:rsid w:val="008E17C9"/>
    <w:rsid w:val="008E19DE"/>
    <w:rsid w:val="008E1AD9"/>
    <w:rsid w:val="008E1BF3"/>
    <w:rsid w:val="008E1F87"/>
    <w:rsid w:val="008E20D4"/>
    <w:rsid w:val="008E2126"/>
    <w:rsid w:val="008E219A"/>
    <w:rsid w:val="008E21C4"/>
    <w:rsid w:val="008E2237"/>
    <w:rsid w:val="008E2590"/>
    <w:rsid w:val="008E25D2"/>
    <w:rsid w:val="008E2634"/>
    <w:rsid w:val="008E2641"/>
    <w:rsid w:val="008E26E2"/>
    <w:rsid w:val="008E2746"/>
    <w:rsid w:val="008E27C5"/>
    <w:rsid w:val="008E28A2"/>
    <w:rsid w:val="008E2C41"/>
    <w:rsid w:val="008E2CE6"/>
    <w:rsid w:val="008E3336"/>
    <w:rsid w:val="008E3658"/>
    <w:rsid w:val="008E3897"/>
    <w:rsid w:val="008E3930"/>
    <w:rsid w:val="008E3DC7"/>
    <w:rsid w:val="008E45AB"/>
    <w:rsid w:val="008E4A8C"/>
    <w:rsid w:val="008E4AD3"/>
    <w:rsid w:val="008E4FBA"/>
    <w:rsid w:val="008E4FFF"/>
    <w:rsid w:val="008E52A6"/>
    <w:rsid w:val="008E53AC"/>
    <w:rsid w:val="008E563D"/>
    <w:rsid w:val="008E58F2"/>
    <w:rsid w:val="008E5977"/>
    <w:rsid w:val="008E599F"/>
    <w:rsid w:val="008E5D18"/>
    <w:rsid w:val="008E5D78"/>
    <w:rsid w:val="008E5DFD"/>
    <w:rsid w:val="008E5E5E"/>
    <w:rsid w:val="008E5F4E"/>
    <w:rsid w:val="008E5FBA"/>
    <w:rsid w:val="008E6137"/>
    <w:rsid w:val="008E62C5"/>
    <w:rsid w:val="008E685C"/>
    <w:rsid w:val="008E6B20"/>
    <w:rsid w:val="008E6C9F"/>
    <w:rsid w:val="008E6CE8"/>
    <w:rsid w:val="008E6D1F"/>
    <w:rsid w:val="008E6E25"/>
    <w:rsid w:val="008E6F02"/>
    <w:rsid w:val="008E7377"/>
    <w:rsid w:val="008E7826"/>
    <w:rsid w:val="008E79C8"/>
    <w:rsid w:val="008E7B93"/>
    <w:rsid w:val="008E7DA9"/>
    <w:rsid w:val="008F002E"/>
    <w:rsid w:val="008F0282"/>
    <w:rsid w:val="008F03DC"/>
    <w:rsid w:val="008F0524"/>
    <w:rsid w:val="008F05BD"/>
    <w:rsid w:val="008F0DC7"/>
    <w:rsid w:val="008F0F4A"/>
    <w:rsid w:val="008F138E"/>
    <w:rsid w:val="008F17A8"/>
    <w:rsid w:val="008F1881"/>
    <w:rsid w:val="008F1AD0"/>
    <w:rsid w:val="008F1F79"/>
    <w:rsid w:val="008F205C"/>
    <w:rsid w:val="008F211A"/>
    <w:rsid w:val="008F21C3"/>
    <w:rsid w:val="008F2A95"/>
    <w:rsid w:val="008F2AC4"/>
    <w:rsid w:val="008F2C7D"/>
    <w:rsid w:val="008F2E45"/>
    <w:rsid w:val="008F316D"/>
    <w:rsid w:val="008F31F4"/>
    <w:rsid w:val="008F338E"/>
    <w:rsid w:val="008F3581"/>
    <w:rsid w:val="008F36CB"/>
    <w:rsid w:val="008F3868"/>
    <w:rsid w:val="008F38DD"/>
    <w:rsid w:val="008F3DF1"/>
    <w:rsid w:val="008F40A4"/>
    <w:rsid w:val="008F4222"/>
    <w:rsid w:val="008F441F"/>
    <w:rsid w:val="008F4926"/>
    <w:rsid w:val="008F4A4F"/>
    <w:rsid w:val="008F4B95"/>
    <w:rsid w:val="008F4FB8"/>
    <w:rsid w:val="008F515C"/>
    <w:rsid w:val="008F51D3"/>
    <w:rsid w:val="008F5401"/>
    <w:rsid w:val="008F5557"/>
    <w:rsid w:val="008F580C"/>
    <w:rsid w:val="008F5D5C"/>
    <w:rsid w:val="008F5F0A"/>
    <w:rsid w:val="008F619A"/>
    <w:rsid w:val="008F6207"/>
    <w:rsid w:val="008F63D2"/>
    <w:rsid w:val="008F63E2"/>
    <w:rsid w:val="008F644F"/>
    <w:rsid w:val="008F656E"/>
    <w:rsid w:val="008F6647"/>
    <w:rsid w:val="008F6901"/>
    <w:rsid w:val="008F6C2D"/>
    <w:rsid w:val="008F7634"/>
    <w:rsid w:val="008F785A"/>
    <w:rsid w:val="008F795C"/>
    <w:rsid w:val="008F7A45"/>
    <w:rsid w:val="008F7ABC"/>
    <w:rsid w:val="008F7D06"/>
    <w:rsid w:val="008F7EF6"/>
    <w:rsid w:val="00900495"/>
    <w:rsid w:val="00900717"/>
    <w:rsid w:val="00900D43"/>
    <w:rsid w:val="00900DCF"/>
    <w:rsid w:val="00900FCA"/>
    <w:rsid w:val="00901083"/>
    <w:rsid w:val="00901829"/>
    <w:rsid w:val="00901871"/>
    <w:rsid w:val="00901A8E"/>
    <w:rsid w:val="00901B1C"/>
    <w:rsid w:val="00901B8F"/>
    <w:rsid w:val="00901D70"/>
    <w:rsid w:val="00901E96"/>
    <w:rsid w:val="00901F02"/>
    <w:rsid w:val="00902066"/>
    <w:rsid w:val="0090221D"/>
    <w:rsid w:val="00902471"/>
    <w:rsid w:val="0090298C"/>
    <w:rsid w:val="00902B21"/>
    <w:rsid w:val="00902CF0"/>
    <w:rsid w:val="0090304B"/>
    <w:rsid w:val="0090313F"/>
    <w:rsid w:val="009039A2"/>
    <w:rsid w:val="00903AA2"/>
    <w:rsid w:val="00903AA7"/>
    <w:rsid w:val="00903ADA"/>
    <w:rsid w:val="0090401C"/>
    <w:rsid w:val="0090417C"/>
    <w:rsid w:val="009045F5"/>
    <w:rsid w:val="0090464B"/>
    <w:rsid w:val="00904B16"/>
    <w:rsid w:val="00905148"/>
    <w:rsid w:val="009054F6"/>
    <w:rsid w:val="009054FA"/>
    <w:rsid w:val="009056FD"/>
    <w:rsid w:val="009057DF"/>
    <w:rsid w:val="009058EC"/>
    <w:rsid w:val="00905CE9"/>
    <w:rsid w:val="0090611E"/>
    <w:rsid w:val="00906179"/>
    <w:rsid w:val="009061BB"/>
    <w:rsid w:val="00906217"/>
    <w:rsid w:val="00906253"/>
    <w:rsid w:val="00906654"/>
    <w:rsid w:val="00906F7D"/>
    <w:rsid w:val="009075A4"/>
    <w:rsid w:val="009078A3"/>
    <w:rsid w:val="0090798A"/>
    <w:rsid w:val="00907A35"/>
    <w:rsid w:val="00907A76"/>
    <w:rsid w:val="00907AC1"/>
    <w:rsid w:val="00907B90"/>
    <w:rsid w:val="00907FB4"/>
    <w:rsid w:val="0091017A"/>
    <w:rsid w:val="0091079C"/>
    <w:rsid w:val="00910947"/>
    <w:rsid w:val="00910CD1"/>
    <w:rsid w:val="00910D5D"/>
    <w:rsid w:val="00910F3A"/>
    <w:rsid w:val="009111D1"/>
    <w:rsid w:val="00911421"/>
    <w:rsid w:val="009114CF"/>
    <w:rsid w:val="00911B7D"/>
    <w:rsid w:val="0091223A"/>
    <w:rsid w:val="00912282"/>
    <w:rsid w:val="00912529"/>
    <w:rsid w:val="00912599"/>
    <w:rsid w:val="009125C4"/>
    <w:rsid w:val="0091266B"/>
    <w:rsid w:val="00912783"/>
    <w:rsid w:val="00912859"/>
    <w:rsid w:val="009128A1"/>
    <w:rsid w:val="00912928"/>
    <w:rsid w:val="00912A9F"/>
    <w:rsid w:val="00912CA1"/>
    <w:rsid w:val="00912DAB"/>
    <w:rsid w:val="00913270"/>
    <w:rsid w:val="009137A2"/>
    <w:rsid w:val="00913C95"/>
    <w:rsid w:val="00913F8C"/>
    <w:rsid w:val="009142CD"/>
    <w:rsid w:val="00914818"/>
    <w:rsid w:val="00914A7D"/>
    <w:rsid w:val="00914A83"/>
    <w:rsid w:val="00914DB7"/>
    <w:rsid w:val="00914DC1"/>
    <w:rsid w:val="00914DD3"/>
    <w:rsid w:val="009151CA"/>
    <w:rsid w:val="00915233"/>
    <w:rsid w:val="00915719"/>
    <w:rsid w:val="00915A58"/>
    <w:rsid w:val="00915B2C"/>
    <w:rsid w:val="00915BF9"/>
    <w:rsid w:val="00915E03"/>
    <w:rsid w:val="009162E1"/>
    <w:rsid w:val="009162FE"/>
    <w:rsid w:val="00916906"/>
    <w:rsid w:val="0091708F"/>
    <w:rsid w:val="0091751E"/>
    <w:rsid w:val="009177B1"/>
    <w:rsid w:val="009178F0"/>
    <w:rsid w:val="00917998"/>
    <w:rsid w:val="00917D4A"/>
    <w:rsid w:val="009201BA"/>
    <w:rsid w:val="00920206"/>
    <w:rsid w:val="00920360"/>
    <w:rsid w:val="0092037F"/>
    <w:rsid w:val="00920644"/>
    <w:rsid w:val="00920AAA"/>
    <w:rsid w:val="00920AAB"/>
    <w:rsid w:val="00920C0B"/>
    <w:rsid w:val="00920D26"/>
    <w:rsid w:val="00920E9E"/>
    <w:rsid w:val="009213D9"/>
    <w:rsid w:val="009213DE"/>
    <w:rsid w:val="0092147D"/>
    <w:rsid w:val="0092155B"/>
    <w:rsid w:val="00921564"/>
    <w:rsid w:val="009216CD"/>
    <w:rsid w:val="009217A3"/>
    <w:rsid w:val="009218C1"/>
    <w:rsid w:val="00921C3A"/>
    <w:rsid w:val="00921D13"/>
    <w:rsid w:val="00921EE9"/>
    <w:rsid w:val="0092243F"/>
    <w:rsid w:val="009225A6"/>
    <w:rsid w:val="0092261A"/>
    <w:rsid w:val="0092289E"/>
    <w:rsid w:val="009229DD"/>
    <w:rsid w:val="00922C76"/>
    <w:rsid w:val="00922DC6"/>
    <w:rsid w:val="00922F51"/>
    <w:rsid w:val="009239A1"/>
    <w:rsid w:val="00923D2A"/>
    <w:rsid w:val="00923D8D"/>
    <w:rsid w:val="00923E1A"/>
    <w:rsid w:val="00924209"/>
    <w:rsid w:val="00924418"/>
    <w:rsid w:val="00924A33"/>
    <w:rsid w:val="00924E16"/>
    <w:rsid w:val="00924EA0"/>
    <w:rsid w:val="00925018"/>
    <w:rsid w:val="0092504B"/>
    <w:rsid w:val="009252EA"/>
    <w:rsid w:val="009252F0"/>
    <w:rsid w:val="009253CC"/>
    <w:rsid w:val="0092588A"/>
    <w:rsid w:val="00925BA7"/>
    <w:rsid w:val="00925C76"/>
    <w:rsid w:val="00925D89"/>
    <w:rsid w:val="00925D8C"/>
    <w:rsid w:val="009261FD"/>
    <w:rsid w:val="00926248"/>
    <w:rsid w:val="0092660D"/>
    <w:rsid w:val="009266C9"/>
    <w:rsid w:val="009270A7"/>
    <w:rsid w:val="0092741A"/>
    <w:rsid w:val="009274FA"/>
    <w:rsid w:val="0092759A"/>
    <w:rsid w:val="009277DA"/>
    <w:rsid w:val="009279B6"/>
    <w:rsid w:val="00927DB1"/>
    <w:rsid w:val="00927F9B"/>
    <w:rsid w:val="00930057"/>
    <w:rsid w:val="0093028B"/>
    <w:rsid w:val="0093090B"/>
    <w:rsid w:val="00930A06"/>
    <w:rsid w:val="00930A41"/>
    <w:rsid w:val="00930D09"/>
    <w:rsid w:val="00930D38"/>
    <w:rsid w:val="0093143B"/>
    <w:rsid w:val="009314E5"/>
    <w:rsid w:val="00931750"/>
    <w:rsid w:val="0093175E"/>
    <w:rsid w:val="00931C82"/>
    <w:rsid w:val="00931D47"/>
    <w:rsid w:val="0093209F"/>
    <w:rsid w:val="0093228A"/>
    <w:rsid w:val="00932351"/>
    <w:rsid w:val="00932472"/>
    <w:rsid w:val="00932555"/>
    <w:rsid w:val="0093283B"/>
    <w:rsid w:val="00932943"/>
    <w:rsid w:val="00932CA7"/>
    <w:rsid w:val="009330AB"/>
    <w:rsid w:val="00933143"/>
    <w:rsid w:val="00933519"/>
    <w:rsid w:val="00933679"/>
    <w:rsid w:val="00933681"/>
    <w:rsid w:val="00933714"/>
    <w:rsid w:val="009337C9"/>
    <w:rsid w:val="00933B40"/>
    <w:rsid w:val="00933DF1"/>
    <w:rsid w:val="00933E1A"/>
    <w:rsid w:val="00933F92"/>
    <w:rsid w:val="009341E7"/>
    <w:rsid w:val="009344DB"/>
    <w:rsid w:val="009349A5"/>
    <w:rsid w:val="00934A15"/>
    <w:rsid w:val="00934B67"/>
    <w:rsid w:val="00935E89"/>
    <w:rsid w:val="009360AF"/>
    <w:rsid w:val="00936180"/>
    <w:rsid w:val="00936281"/>
    <w:rsid w:val="00936556"/>
    <w:rsid w:val="009366C4"/>
    <w:rsid w:val="00936A60"/>
    <w:rsid w:val="00936C1C"/>
    <w:rsid w:val="009373DF"/>
    <w:rsid w:val="0093746B"/>
    <w:rsid w:val="009377D8"/>
    <w:rsid w:val="0093793D"/>
    <w:rsid w:val="0093799C"/>
    <w:rsid w:val="00937B42"/>
    <w:rsid w:val="00937B86"/>
    <w:rsid w:val="00937BCD"/>
    <w:rsid w:val="009402CE"/>
    <w:rsid w:val="00940320"/>
    <w:rsid w:val="009403AA"/>
    <w:rsid w:val="00940AF6"/>
    <w:rsid w:val="00940F53"/>
    <w:rsid w:val="00941079"/>
    <w:rsid w:val="00941145"/>
    <w:rsid w:val="00941412"/>
    <w:rsid w:val="0094148D"/>
    <w:rsid w:val="00941933"/>
    <w:rsid w:val="00941CE0"/>
    <w:rsid w:val="00941D15"/>
    <w:rsid w:val="00941FDC"/>
    <w:rsid w:val="00942024"/>
    <w:rsid w:val="00942337"/>
    <w:rsid w:val="0094254F"/>
    <w:rsid w:val="00942611"/>
    <w:rsid w:val="00942731"/>
    <w:rsid w:val="00943087"/>
    <w:rsid w:val="009431C3"/>
    <w:rsid w:val="00943258"/>
    <w:rsid w:val="00943336"/>
    <w:rsid w:val="00943493"/>
    <w:rsid w:val="009435B2"/>
    <w:rsid w:val="0094458E"/>
    <w:rsid w:val="00944652"/>
    <w:rsid w:val="00944AB4"/>
    <w:rsid w:val="00944B87"/>
    <w:rsid w:val="00944BDE"/>
    <w:rsid w:val="00945183"/>
    <w:rsid w:val="009451FA"/>
    <w:rsid w:val="00945266"/>
    <w:rsid w:val="009454DE"/>
    <w:rsid w:val="00945D56"/>
    <w:rsid w:val="00945DC5"/>
    <w:rsid w:val="009464E1"/>
    <w:rsid w:val="0094657F"/>
    <w:rsid w:val="009465B1"/>
    <w:rsid w:val="0094672D"/>
    <w:rsid w:val="00946840"/>
    <w:rsid w:val="00946993"/>
    <w:rsid w:val="00946AE2"/>
    <w:rsid w:val="009471FA"/>
    <w:rsid w:val="009472B6"/>
    <w:rsid w:val="009472E7"/>
    <w:rsid w:val="0094737D"/>
    <w:rsid w:val="00947433"/>
    <w:rsid w:val="0094768F"/>
    <w:rsid w:val="00947838"/>
    <w:rsid w:val="00950199"/>
    <w:rsid w:val="0095045F"/>
    <w:rsid w:val="0095065F"/>
    <w:rsid w:val="009506AF"/>
    <w:rsid w:val="009506C7"/>
    <w:rsid w:val="009507C6"/>
    <w:rsid w:val="009509B6"/>
    <w:rsid w:val="00950E6A"/>
    <w:rsid w:val="00950F89"/>
    <w:rsid w:val="009515DC"/>
    <w:rsid w:val="00951677"/>
    <w:rsid w:val="00951A4F"/>
    <w:rsid w:val="00951A6A"/>
    <w:rsid w:val="00951AAD"/>
    <w:rsid w:val="00951CA1"/>
    <w:rsid w:val="00951E1E"/>
    <w:rsid w:val="00951E2E"/>
    <w:rsid w:val="00951F24"/>
    <w:rsid w:val="009521F7"/>
    <w:rsid w:val="009523A0"/>
    <w:rsid w:val="009525C5"/>
    <w:rsid w:val="0095260B"/>
    <w:rsid w:val="00952CBB"/>
    <w:rsid w:val="00952E3A"/>
    <w:rsid w:val="009531DD"/>
    <w:rsid w:val="009531F7"/>
    <w:rsid w:val="00953431"/>
    <w:rsid w:val="009534AE"/>
    <w:rsid w:val="009538B2"/>
    <w:rsid w:val="00953A18"/>
    <w:rsid w:val="00953B72"/>
    <w:rsid w:val="00953C9F"/>
    <w:rsid w:val="00954488"/>
    <w:rsid w:val="00954555"/>
    <w:rsid w:val="009548A7"/>
    <w:rsid w:val="009549D4"/>
    <w:rsid w:val="00954ACD"/>
    <w:rsid w:val="00954F31"/>
    <w:rsid w:val="0095527D"/>
    <w:rsid w:val="009552AA"/>
    <w:rsid w:val="00955573"/>
    <w:rsid w:val="00955679"/>
    <w:rsid w:val="00955735"/>
    <w:rsid w:val="009558B3"/>
    <w:rsid w:val="00955935"/>
    <w:rsid w:val="00955A6E"/>
    <w:rsid w:val="00955AB0"/>
    <w:rsid w:val="00955DA4"/>
    <w:rsid w:val="00955DF6"/>
    <w:rsid w:val="0095603E"/>
    <w:rsid w:val="0095640E"/>
    <w:rsid w:val="00956604"/>
    <w:rsid w:val="00956738"/>
    <w:rsid w:val="00956AAE"/>
    <w:rsid w:val="00956D16"/>
    <w:rsid w:val="00956EEA"/>
    <w:rsid w:val="00957158"/>
    <w:rsid w:val="00957570"/>
    <w:rsid w:val="00957B07"/>
    <w:rsid w:val="00957EEB"/>
    <w:rsid w:val="00960076"/>
    <w:rsid w:val="009601D5"/>
    <w:rsid w:val="00960243"/>
    <w:rsid w:val="009602E0"/>
    <w:rsid w:val="0096047A"/>
    <w:rsid w:val="009607E0"/>
    <w:rsid w:val="0096094E"/>
    <w:rsid w:val="00960D8B"/>
    <w:rsid w:val="00960F0F"/>
    <w:rsid w:val="00960FC5"/>
    <w:rsid w:val="00960FD0"/>
    <w:rsid w:val="0096116A"/>
    <w:rsid w:val="00961197"/>
    <w:rsid w:val="009614EE"/>
    <w:rsid w:val="009615AF"/>
    <w:rsid w:val="009615D2"/>
    <w:rsid w:val="00961735"/>
    <w:rsid w:val="00961AFD"/>
    <w:rsid w:val="009622B9"/>
    <w:rsid w:val="00962539"/>
    <w:rsid w:val="00962889"/>
    <w:rsid w:val="009629C0"/>
    <w:rsid w:val="00962EAC"/>
    <w:rsid w:val="009633AF"/>
    <w:rsid w:val="00963655"/>
    <w:rsid w:val="009638BC"/>
    <w:rsid w:val="00963BE6"/>
    <w:rsid w:val="00963D2B"/>
    <w:rsid w:val="00963D81"/>
    <w:rsid w:val="00964BC0"/>
    <w:rsid w:val="00964CBB"/>
    <w:rsid w:val="00964F33"/>
    <w:rsid w:val="009653BE"/>
    <w:rsid w:val="00965A7B"/>
    <w:rsid w:val="00966BDA"/>
    <w:rsid w:val="00966CDF"/>
    <w:rsid w:val="00966D37"/>
    <w:rsid w:val="00966D67"/>
    <w:rsid w:val="00966EDD"/>
    <w:rsid w:val="009670B2"/>
    <w:rsid w:val="009670B3"/>
    <w:rsid w:val="00967243"/>
    <w:rsid w:val="009672F3"/>
    <w:rsid w:val="00967343"/>
    <w:rsid w:val="009673AD"/>
    <w:rsid w:val="009674B6"/>
    <w:rsid w:val="0096772C"/>
    <w:rsid w:val="00967AD9"/>
    <w:rsid w:val="00967B73"/>
    <w:rsid w:val="00967EFB"/>
    <w:rsid w:val="00967FE0"/>
    <w:rsid w:val="0097036F"/>
    <w:rsid w:val="00970402"/>
    <w:rsid w:val="009704C2"/>
    <w:rsid w:val="009709C1"/>
    <w:rsid w:val="00971292"/>
    <w:rsid w:val="0097152B"/>
    <w:rsid w:val="009715C7"/>
    <w:rsid w:val="00971682"/>
    <w:rsid w:val="00971A5D"/>
    <w:rsid w:val="00971C34"/>
    <w:rsid w:val="00971D0A"/>
    <w:rsid w:val="00971D0D"/>
    <w:rsid w:val="00972271"/>
    <w:rsid w:val="00972918"/>
    <w:rsid w:val="009729F0"/>
    <w:rsid w:val="00972B75"/>
    <w:rsid w:val="00972D66"/>
    <w:rsid w:val="00972EE0"/>
    <w:rsid w:val="00972F71"/>
    <w:rsid w:val="00972FE5"/>
    <w:rsid w:val="009732A2"/>
    <w:rsid w:val="00973967"/>
    <w:rsid w:val="009739F9"/>
    <w:rsid w:val="00974554"/>
    <w:rsid w:val="00974A8E"/>
    <w:rsid w:val="00974DEE"/>
    <w:rsid w:val="0097520E"/>
    <w:rsid w:val="0097559D"/>
    <w:rsid w:val="00975779"/>
    <w:rsid w:val="009758F8"/>
    <w:rsid w:val="00975952"/>
    <w:rsid w:val="00975E7E"/>
    <w:rsid w:val="00975ED6"/>
    <w:rsid w:val="00976261"/>
    <w:rsid w:val="009762AD"/>
    <w:rsid w:val="009763AC"/>
    <w:rsid w:val="00976803"/>
    <w:rsid w:val="009768D1"/>
    <w:rsid w:val="009777A0"/>
    <w:rsid w:val="00977869"/>
    <w:rsid w:val="00977CAB"/>
    <w:rsid w:val="0098035D"/>
    <w:rsid w:val="009804A4"/>
    <w:rsid w:val="009807C0"/>
    <w:rsid w:val="00980896"/>
    <w:rsid w:val="00980BEE"/>
    <w:rsid w:val="00980D5C"/>
    <w:rsid w:val="00980DA9"/>
    <w:rsid w:val="009810E4"/>
    <w:rsid w:val="009811A4"/>
    <w:rsid w:val="009812E3"/>
    <w:rsid w:val="0098142E"/>
    <w:rsid w:val="00981904"/>
    <w:rsid w:val="0098193E"/>
    <w:rsid w:val="00981B6E"/>
    <w:rsid w:val="00981EF1"/>
    <w:rsid w:val="009822BA"/>
    <w:rsid w:val="009828D2"/>
    <w:rsid w:val="00982996"/>
    <w:rsid w:val="00982B11"/>
    <w:rsid w:val="00982BA3"/>
    <w:rsid w:val="00982C4D"/>
    <w:rsid w:val="00983184"/>
    <w:rsid w:val="0098319B"/>
    <w:rsid w:val="0098323D"/>
    <w:rsid w:val="0098328F"/>
    <w:rsid w:val="0098349D"/>
    <w:rsid w:val="009835A7"/>
    <w:rsid w:val="00983672"/>
    <w:rsid w:val="009837F7"/>
    <w:rsid w:val="009837F9"/>
    <w:rsid w:val="009838DD"/>
    <w:rsid w:val="00983A62"/>
    <w:rsid w:val="00983AF6"/>
    <w:rsid w:val="00983D60"/>
    <w:rsid w:val="00983DDB"/>
    <w:rsid w:val="00983EEF"/>
    <w:rsid w:val="00983F4C"/>
    <w:rsid w:val="009840CF"/>
    <w:rsid w:val="00984308"/>
    <w:rsid w:val="00984538"/>
    <w:rsid w:val="0098479F"/>
    <w:rsid w:val="00984877"/>
    <w:rsid w:val="00984B24"/>
    <w:rsid w:val="00984BFA"/>
    <w:rsid w:val="00984C44"/>
    <w:rsid w:val="00984CF8"/>
    <w:rsid w:val="00984D21"/>
    <w:rsid w:val="00984DCE"/>
    <w:rsid w:val="00984FAD"/>
    <w:rsid w:val="0098513A"/>
    <w:rsid w:val="00985807"/>
    <w:rsid w:val="0098585A"/>
    <w:rsid w:val="00985A14"/>
    <w:rsid w:val="00985EF0"/>
    <w:rsid w:val="00985EF3"/>
    <w:rsid w:val="00985FF9"/>
    <w:rsid w:val="00986421"/>
    <w:rsid w:val="0098656F"/>
    <w:rsid w:val="00986B0C"/>
    <w:rsid w:val="00986C9B"/>
    <w:rsid w:val="00986DDE"/>
    <w:rsid w:val="00986E8A"/>
    <w:rsid w:val="00987211"/>
    <w:rsid w:val="009872C7"/>
    <w:rsid w:val="0098733A"/>
    <w:rsid w:val="009876C5"/>
    <w:rsid w:val="009876FB"/>
    <w:rsid w:val="00987894"/>
    <w:rsid w:val="009878E3"/>
    <w:rsid w:val="0098794D"/>
    <w:rsid w:val="0098798F"/>
    <w:rsid w:val="00987D0A"/>
    <w:rsid w:val="00987E65"/>
    <w:rsid w:val="00987FBE"/>
    <w:rsid w:val="009906DA"/>
    <w:rsid w:val="0099074A"/>
    <w:rsid w:val="00990886"/>
    <w:rsid w:val="009908CE"/>
    <w:rsid w:val="0099094D"/>
    <w:rsid w:val="00990A87"/>
    <w:rsid w:val="00990B7A"/>
    <w:rsid w:val="00991017"/>
    <w:rsid w:val="00991275"/>
    <w:rsid w:val="009916F5"/>
    <w:rsid w:val="009918A5"/>
    <w:rsid w:val="00991A5F"/>
    <w:rsid w:val="00991C51"/>
    <w:rsid w:val="00991D89"/>
    <w:rsid w:val="00991ECA"/>
    <w:rsid w:val="00992328"/>
    <w:rsid w:val="00992443"/>
    <w:rsid w:val="0099247E"/>
    <w:rsid w:val="0099276A"/>
    <w:rsid w:val="00992B83"/>
    <w:rsid w:val="009933F2"/>
    <w:rsid w:val="00993706"/>
    <w:rsid w:val="009939D7"/>
    <w:rsid w:val="00993B0A"/>
    <w:rsid w:val="00993C69"/>
    <w:rsid w:val="00993DD7"/>
    <w:rsid w:val="009941EA"/>
    <w:rsid w:val="009942BD"/>
    <w:rsid w:val="00994342"/>
    <w:rsid w:val="009943B3"/>
    <w:rsid w:val="009946BA"/>
    <w:rsid w:val="009946D9"/>
    <w:rsid w:val="00994D94"/>
    <w:rsid w:val="00994F55"/>
    <w:rsid w:val="0099502C"/>
    <w:rsid w:val="00995260"/>
    <w:rsid w:val="009953FD"/>
    <w:rsid w:val="009956C4"/>
    <w:rsid w:val="0099586E"/>
    <w:rsid w:val="00995AC9"/>
    <w:rsid w:val="00995D02"/>
    <w:rsid w:val="00996475"/>
    <w:rsid w:val="00996781"/>
    <w:rsid w:val="00997096"/>
    <w:rsid w:val="0099716B"/>
    <w:rsid w:val="00997177"/>
    <w:rsid w:val="00997348"/>
    <w:rsid w:val="00997435"/>
    <w:rsid w:val="00997533"/>
    <w:rsid w:val="0099758A"/>
    <w:rsid w:val="00997A1A"/>
    <w:rsid w:val="00997D7A"/>
    <w:rsid w:val="009A06D0"/>
    <w:rsid w:val="009A07F5"/>
    <w:rsid w:val="009A0D4D"/>
    <w:rsid w:val="009A1166"/>
    <w:rsid w:val="009A11BD"/>
    <w:rsid w:val="009A1307"/>
    <w:rsid w:val="009A13FF"/>
    <w:rsid w:val="009A1496"/>
    <w:rsid w:val="009A16EB"/>
    <w:rsid w:val="009A1845"/>
    <w:rsid w:val="009A1900"/>
    <w:rsid w:val="009A1A5B"/>
    <w:rsid w:val="009A1E56"/>
    <w:rsid w:val="009A1E7E"/>
    <w:rsid w:val="009A1EAC"/>
    <w:rsid w:val="009A21AC"/>
    <w:rsid w:val="009A2413"/>
    <w:rsid w:val="009A282F"/>
    <w:rsid w:val="009A2A21"/>
    <w:rsid w:val="009A2AC2"/>
    <w:rsid w:val="009A2CC9"/>
    <w:rsid w:val="009A30A3"/>
    <w:rsid w:val="009A317C"/>
    <w:rsid w:val="009A32FB"/>
    <w:rsid w:val="009A349D"/>
    <w:rsid w:val="009A3791"/>
    <w:rsid w:val="009A3850"/>
    <w:rsid w:val="009A38EB"/>
    <w:rsid w:val="009A399C"/>
    <w:rsid w:val="009A3BBD"/>
    <w:rsid w:val="009A3CDC"/>
    <w:rsid w:val="009A3FD5"/>
    <w:rsid w:val="009A40E5"/>
    <w:rsid w:val="009A40F0"/>
    <w:rsid w:val="009A47D3"/>
    <w:rsid w:val="009A48C6"/>
    <w:rsid w:val="009A48FD"/>
    <w:rsid w:val="009A49D2"/>
    <w:rsid w:val="009A4B15"/>
    <w:rsid w:val="009A4BDA"/>
    <w:rsid w:val="009A4D1C"/>
    <w:rsid w:val="009A4EB6"/>
    <w:rsid w:val="009A5007"/>
    <w:rsid w:val="009A50D2"/>
    <w:rsid w:val="009A51DE"/>
    <w:rsid w:val="009A533A"/>
    <w:rsid w:val="009A53BD"/>
    <w:rsid w:val="009A5DF5"/>
    <w:rsid w:val="009A6101"/>
    <w:rsid w:val="009A6167"/>
    <w:rsid w:val="009A61FC"/>
    <w:rsid w:val="009A63E4"/>
    <w:rsid w:val="009A6521"/>
    <w:rsid w:val="009A6621"/>
    <w:rsid w:val="009A676F"/>
    <w:rsid w:val="009A6839"/>
    <w:rsid w:val="009A699C"/>
    <w:rsid w:val="009A6CE4"/>
    <w:rsid w:val="009A6E35"/>
    <w:rsid w:val="009A6EBE"/>
    <w:rsid w:val="009A7009"/>
    <w:rsid w:val="009A713E"/>
    <w:rsid w:val="009A719E"/>
    <w:rsid w:val="009A74A4"/>
    <w:rsid w:val="009A7546"/>
    <w:rsid w:val="009A7B89"/>
    <w:rsid w:val="009A7BC6"/>
    <w:rsid w:val="009A7D8A"/>
    <w:rsid w:val="009B00AA"/>
    <w:rsid w:val="009B00B0"/>
    <w:rsid w:val="009B00D6"/>
    <w:rsid w:val="009B0387"/>
    <w:rsid w:val="009B04C3"/>
    <w:rsid w:val="009B0619"/>
    <w:rsid w:val="009B139E"/>
    <w:rsid w:val="009B1998"/>
    <w:rsid w:val="009B1E38"/>
    <w:rsid w:val="009B2249"/>
    <w:rsid w:val="009B2262"/>
    <w:rsid w:val="009B22C7"/>
    <w:rsid w:val="009B23CF"/>
    <w:rsid w:val="009B253D"/>
    <w:rsid w:val="009B2640"/>
    <w:rsid w:val="009B2879"/>
    <w:rsid w:val="009B3276"/>
    <w:rsid w:val="009B369F"/>
    <w:rsid w:val="009B3853"/>
    <w:rsid w:val="009B3B16"/>
    <w:rsid w:val="009B3D62"/>
    <w:rsid w:val="009B4305"/>
    <w:rsid w:val="009B43D8"/>
    <w:rsid w:val="009B4483"/>
    <w:rsid w:val="009B45B9"/>
    <w:rsid w:val="009B4AEF"/>
    <w:rsid w:val="009B4B06"/>
    <w:rsid w:val="009B502E"/>
    <w:rsid w:val="009B523D"/>
    <w:rsid w:val="009B5431"/>
    <w:rsid w:val="009B56EF"/>
    <w:rsid w:val="009B5745"/>
    <w:rsid w:val="009B59C9"/>
    <w:rsid w:val="009B5BC5"/>
    <w:rsid w:val="009B5C68"/>
    <w:rsid w:val="009B5C99"/>
    <w:rsid w:val="009B5D0C"/>
    <w:rsid w:val="009B5DC9"/>
    <w:rsid w:val="009B5DE4"/>
    <w:rsid w:val="009B609C"/>
    <w:rsid w:val="009B62E6"/>
    <w:rsid w:val="009B6541"/>
    <w:rsid w:val="009B6714"/>
    <w:rsid w:val="009B682F"/>
    <w:rsid w:val="009B69B9"/>
    <w:rsid w:val="009B6A7E"/>
    <w:rsid w:val="009B71D0"/>
    <w:rsid w:val="009B72DF"/>
    <w:rsid w:val="009B72EC"/>
    <w:rsid w:val="009B75DD"/>
    <w:rsid w:val="009C02F6"/>
    <w:rsid w:val="009C046A"/>
    <w:rsid w:val="009C05F4"/>
    <w:rsid w:val="009C0ADF"/>
    <w:rsid w:val="009C0C2B"/>
    <w:rsid w:val="009C0D19"/>
    <w:rsid w:val="009C0DD2"/>
    <w:rsid w:val="009C0EC8"/>
    <w:rsid w:val="009C0EDE"/>
    <w:rsid w:val="009C1864"/>
    <w:rsid w:val="009C1CD7"/>
    <w:rsid w:val="009C1E12"/>
    <w:rsid w:val="009C25FF"/>
    <w:rsid w:val="009C26EC"/>
    <w:rsid w:val="009C2727"/>
    <w:rsid w:val="009C2A10"/>
    <w:rsid w:val="009C2A50"/>
    <w:rsid w:val="009C2EDC"/>
    <w:rsid w:val="009C2F30"/>
    <w:rsid w:val="009C3002"/>
    <w:rsid w:val="009C350C"/>
    <w:rsid w:val="009C388F"/>
    <w:rsid w:val="009C38EF"/>
    <w:rsid w:val="009C3DC0"/>
    <w:rsid w:val="009C3FA7"/>
    <w:rsid w:val="009C3FC4"/>
    <w:rsid w:val="009C403C"/>
    <w:rsid w:val="009C4323"/>
    <w:rsid w:val="009C45FD"/>
    <w:rsid w:val="009C4794"/>
    <w:rsid w:val="009C4951"/>
    <w:rsid w:val="009C497E"/>
    <w:rsid w:val="009C4B75"/>
    <w:rsid w:val="009C4C53"/>
    <w:rsid w:val="009C4CAF"/>
    <w:rsid w:val="009C50BC"/>
    <w:rsid w:val="009C546D"/>
    <w:rsid w:val="009C55AE"/>
    <w:rsid w:val="009C561E"/>
    <w:rsid w:val="009C5935"/>
    <w:rsid w:val="009C5E1C"/>
    <w:rsid w:val="009C6048"/>
    <w:rsid w:val="009C60A5"/>
    <w:rsid w:val="009C61E0"/>
    <w:rsid w:val="009C6605"/>
    <w:rsid w:val="009C665B"/>
    <w:rsid w:val="009C6708"/>
    <w:rsid w:val="009C67B5"/>
    <w:rsid w:val="009C690C"/>
    <w:rsid w:val="009C6B1A"/>
    <w:rsid w:val="009C6D69"/>
    <w:rsid w:val="009C70C8"/>
    <w:rsid w:val="009C7E3F"/>
    <w:rsid w:val="009C7E42"/>
    <w:rsid w:val="009D002A"/>
    <w:rsid w:val="009D0114"/>
    <w:rsid w:val="009D07C3"/>
    <w:rsid w:val="009D0A67"/>
    <w:rsid w:val="009D0B13"/>
    <w:rsid w:val="009D0C0C"/>
    <w:rsid w:val="009D0FA0"/>
    <w:rsid w:val="009D103C"/>
    <w:rsid w:val="009D1286"/>
    <w:rsid w:val="009D15C9"/>
    <w:rsid w:val="009D15D6"/>
    <w:rsid w:val="009D1630"/>
    <w:rsid w:val="009D1735"/>
    <w:rsid w:val="009D19DC"/>
    <w:rsid w:val="009D1AC9"/>
    <w:rsid w:val="009D1E93"/>
    <w:rsid w:val="009D1ECE"/>
    <w:rsid w:val="009D1F12"/>
    <w:rsid w:val="009D20D1"/>
    <w:rsid w:val="009D28E7"/>
    <w:rsid w:val="009D2B57"/>
    <w:rsid w:val="009D3299"/>
    <w:rsid w:val="009D3308"/>
    <w:rsid w:val="009D33DF"/>
    <w:rsid w:val="009D3D08"/>
    <w:rsid w:val="009D3E5C"/>
    <w:rsid w:val="009D3EF9"/>
    <w:rsid w:val="009D40FF"/>
    <w:rsid w:val="009D4285"/>
    <w:rsid w:val="009D4345"/>
    <w:rsid w:val="009D44DA"/>
    <w:rsid w:val="009D4608"/>
    <w:rsid w:val="009D485A"/>
    <w:rsid w:val="009D4D45"/>
    <w:rsid w:val="009D4DD1"/>
    <w:rsid w:val="009D53D7"/>
    <w:rsid w:val="009D54C5"/>
    <w:rsid w:val="009D5567"/>
    <w:rsid w:val="009D5609"/>
    <w:rsid w:val="009D5EE7"/>
    <w:rsid w:val="009D5F97"/>
    <w:rsid w:val="009D624D"/>
    <w:rsid w:val="009D6353"/>
    <w:rsid w:val="009D66E0"/>
    <w:rsid w:val="009D6833"/>
    <w:rsid w:val="009D713A"/>
    <w:rsid w:val="009D7635"/>
    <w:rsid w:val="009D7F09"/>
    <w:rsid w:val="009E0014"/>
    <w:rsid w:val="009E0223"/>
    <w:rsid w:val="009E0320"/>
    <w:rsid w:val="009E04A1"/>
    <w:rsid w:val="009E087C"/>
    <w:rsid w:val="009E0983"/>
    <w:rsid w:val="009E09F9"/>
    <w:rsid w:val="009E0A59"/>
    <w:rsid w:val="009E0AC9"/>
    <w:rsid w:val="009E0CA9"/>
    <w:rsid w:val="009E0E3F"/>
    <w:rsid w:val="009E0F90"/>
    <w:rsid w:val="009E1039"/>
    <w:rsid w:val="009E10EB"/>
    <w:rsid w:val="009E12AA"/>
    <w:rsid w:val="009E18D7"/>
    <w:rsid w:val="009E1CB4"/>
    <w:rsid w:val="009E1E43"/>
    <w:rsid w:val="009E21F1"/>
    <w:rsid w:val="009E233B"/>
    <w:rsid w:val="009E2426"/>
    <w:rsid w:val="009E28C7"/>
    <w:rsid w:val="009E28CF"/>
    <w:rsid w:val="009E29C8"/>
    <w:rsid w:val="009E2A2A"/>
    <w:rsid w:val="009E2A92"/>
    <w:rsid w:val="009E2C27"/>
    <w:rsid w:val="009E2E5A"/>
    <w:rsid w:val="009E30D4"/>
    <w:rsid w:val="009E31D2"/>
    <w:rsid w:val="009E335D"/>
    <w:rsid w:val="009E3372"/>
    <w:rsid w:val="009E358F"/>
    <w:rsid w:val="009E3638"/>
    <w:rsid w:val="009E3915"/>
    <w:rsid w:val="009E398A"/>
    <w:rsid w:val="009E3CA8"/>
    <w:rsid w:val="009E44BE"/>
    <w:rsid w:val="009E4539"/>
    <w:rsid w:val="009E4AD7"/>
    <w:rsid w:val="009E4C05"/>
    <w:rsid w:val="009E4DD8"/>
    <w:rsid w:val="009E4E7A"/>
    <w:rsid w:val="009E5009"/>
    <w:rsid w:val="009E50D7"/>
    <w:rsid w:val="009E534E"/>
    <w:rsid w:val="009E53A0"/>
    <w:rsid w:val="009E549F"/>
    <w:rsid w:val="009E54E7"/>
    <w:rsid w:val="009E54F6"/>
    <w:rsid w:val="009E562F"/>
    <w:rsid w:val="009E5C2F"/>
    <w:rsid w:val="009E6081"/>
    <w:rsid w:val="009E6543"/>
    <w:rsid w:val="009E66D1"/>
    <w:rsid w:val="009E67F8"/>
    <w:rsid w:val="009E6A27"/>
    <w:rsid w:val="009E6AFF"/>
    <w:rsid w:val="009E70D4"/>
    <w:rsid w:val="009E72BC"/>
    <w:rsid w:val="009E773D"/>
    <w:rsid w:val="009E77D1"/>
    <w:rsid w:val="009E789D"/>
    <w:rsid w:val="009E7995"/>
    <w:rsid w:val="009E7B9E"/>
    <w:rsid w:val="009F019B"/>
    <w:rsid w:val="009F02CB"/>
    <w:rsid w:val="009F0320"/>
    <w:rsid w:val="009F0541"/>
    <w:rsid w:val="009F09EF"/>
    <w:rsid w:val="009F109B"/>
    <w:rsid w:val="009F1260"/>
    <w:rsid w:val="009F127F"/>
    <w:rsid w:val="009F147B"/>
    <w:rsid w:val="009F14FD"/>
    <w:rsid w:val="009F199A"/>
    <w:rsid w:val="009F1B18"/>
    <w:rsid w:val="009F1BFE"/>
    <w:rsid w:val="009F1CFD"/>
    <w:rsid w:val="009F1D74"/>
    <w:rsid w:val="009F1DEF"/>
    <w:rsid w:val="009F2678"/>
    <w:rsid w:val="009F274E"/>
    <w:rsid w:val="009F27E3"/>
    <w:rsid w:val="009F2979"/>
    <w:rsid w:val="009F2A60"/>
    <w:rsid w:val="009F35B6"/>
    <w:rsid w:val="009F389F"/>
    <w:rsid w:val="009F395E"/>
    <w:rsid w:val="009F3B70"/>
    <w:rsid w:val="009F3F15"/>
    <w:rsid w:val="009F4019"/>
    <w:rsid w:val="009F4383"/>
    <w:rsid w:val="009F43C7"/>
    <w:rsid w:val="009F43FD"/>
    <w:rsid w:val="009F4707"/>
    <w:rsid w:val="009F4AB2"/>
    <w:rsid w:val="009F4BF9"/>
    <w:rsid w:val="009F4D33"/>
    <w:rsid w:val="009F4E49"/>
    <w:rsid w:val="009F4E79"/>
    <w:rsid w:val="009F4E86"/>
    <w:rsid w:val="009F4EAF"/>
    <w:rsid w:val="009F4ECD"/>
    <w:rsid w:val="009F4FE1"/>
    <w:rsid w:val="009F5337"/>
    <w:rsid w:val="009F5419"/>
    <w:rsid w:val="009F55F1"/>
    <w:rsid w:val="009F5716"/>
    <w:rsid w:val="009F582A"/>
    <w:rsid w:val="009F5A8C"/>
    <w:rsid w:val="009F5E3D"/>
    <w:rsid w:val="009F6568"/>
    <w:rsid w:val="009F660E"/>
    <w:rsid w:val="009F6742"/>
    <w:rsid w:val="009F6B21"/>
    <w:rsid w:val="009F6BD6"/>
    <w:rsid w:val="009F6D43"/>
    <w:rsid w:val="009F6D90"/>
    <w:rsid w:val="009F6F7B"/>
    <w:rsid w:val="009F7114"/>
    <w:rsid w:val="009F7676"/>
    <w:rsid w:val="009F77C8"/>
    <w:rsid w:val="009F7CA4"/>
    <w:rsid w:val="009F7D73"/>
    <w:rsid w:val="009F7F35"/>
    <w:rsid w:val="009F7F86"/>
    <w:rsid w:val="009F7FC5"/>
    <w:rsid w:val="00A00112"/>
    <w:rsid w:val="00A001CE"/>
    <w:rsid w:val="00A001FC"/>
    <w:rsid w:val="00A00282"/>
    <w:rsid w:val="00A00462"/>
    <w:rsid w:val="00A00591"/>
    <w:rsid w:val="00A01057"/>
    <w:rsid w:val="00A01A3B"/>
    <w:rsid w:val="00A01A9E"/>
    <w:rsid w:val="00A01AA8"/>
    <w:rsid w:val="00A01BF4"/>
    <w:rsid w:val="00A01C5E"/>
    <w:rsid w:val="00A01E38"/>
    <w:rsid w:val="00A01EE6"/>
    <w:rsid w:val="00A02349"/>
    <w:rsid w:val="00A02507"/>
    <w:rsid w:val="00A02979"/>
    <w:rsid w:val="00A02A0D"/>
    <w:rsid w:val="00A02A20"/>
    <w:rsid w:val="00A02A77"/>
    <w:rsid w:val="00A02BE5"/>
    <w:rsid w:val="00A02C25"/>
    <w:rsid w:val="00A02F85"/>
    <w:rsid w:val="00A03023"/>
    <w:rsid w:val="00A03177"/>
    <w:rsid w:val="00A035D1"/>
    <w:rsid w:val="00A03968"/>
    <w:rsid w:val="00A03ADF"/>
    <w:rsid w:val="00A043B0"/>
    <w:rsid w:val="00A044AA"/>
    <w:rsid w:val="00A045AF"/>
    <w:rsid w:val="00A04B46"/>
    <w:rsid w:val="00A04E1E"/>
    <w:rsid w:val="00A04F36"/>
    <w:rsid w:val="00A05043"/>
    <w:rsid w:val="00A0518A"/>
    <w:rsid w:val="00A05260"/>
    <w:rsid w:val="00A05334"/>
    <w:rsid w:val="00A05340"/>
    <w:rsid w:val="00A05836"/>
    <w:rsid w:val="00A05857"/>
    <w:rsid w:val="00A05A5A"/>
    <w:rsid w:val="00A05E77"/>
    <w:rsid w:val="00A05EB3"/>
    <w:rsid w:val="00A06723"/>
    <w:rsid w:val="00A068E7"/>
    <w:rsid w:val="00A06A35"/>
    <w:rsid w:val="00A06AE6"/>
    <w:rsid w:val="00A06C3F"/>
    <w:rsid w:val="00A06DD6"/>
    <w:rsid w:val="00A06E8B"/>
    <w:rsid w:val="00A06F03"/>
    <w:rsid w:val="00A07166"/>
    <w:rsid w:val="00A072A5"/>
    <w:rsid w:val="00A07373"/>
    <w:rsid w:val="00A077B3"/>
    <w:rsid w:val="00A07D26"/>
    <w:rsid w:val="00A100A5"/>
    <w:rsid w:val="00A10277"/>
    <w:rsid w:val="00A10338"/>
    <w:rsid w:val="00A10555"/>
    <w:rsid w:val="00A107C3"/>
    <w:rsid w:val="00A10BE0"/>
    <w:rsid w:val="00A10DCC"/>
    <w:rsid w:val="00A11B62"/>
    <w:rsid w:val="00A11B93"/>
    <w:rsid w:val="00A11D55"/>
    <w:rsid w:val="00A1290D"/>
    <w:rsid w:val="00A13012"/>
    <w:rsid w:val="00A13128"/>
    <w:rsid w:val="00A13E8F"/>
    <w:rsid w:val="00A13F26"/>
    <w:rsid w:val="00A1454D"/>
    <w:rsid w:val="00A148F1"/>
    <w:rsid w:val="00A14B38"/>
    <w:rsid w:val="00A14C4A"/>
    <w:rsid w:val="00A15078"/>
    <w:rsid w:val="00A15304"/>
    <w:rsid w:val="00A1531C"/>
    <w:rsid w:val="00A15567"/>
    <w:rsid w:val="00A1557D"/>
    <w:rsid w:val="00A156B5"/>
    <w:rsid w:val="00A1574B"/>
    <w:rsid w:val="00A1578B"/>
    <w:rsid w:val="00A15EF3"/>
    <w:rsid w:val="00A16333"/>
    <w:rsid w:val="00A163D6"/>
    <w:rsid w:val="00A16492"/>
    <w:rsid w:val="00A16553"/>
    <w:rsid w:val="00A16658"/>
    <w:rsid w:val="00A1666E"/>
    <w:rsid w:val="00A169ED"/>
    <w:rsid w:val="00A16C0C"/>
    <w:rsid w:val="00A16C89"/>
    <w:rsid w:val="00A16F37"/>
    <w:rsid w:val="00A16F74"/>
    <w:rsid w:val="00A172E5"/>
    <w:rsid w:val="00A20685"/>
    <w:rsid w:val="00A20872"/>
    <w:rsid w:val="00A20962"/>
    <w:rsid w:val="00A20D0E"/>
    <w:rsid w:val="00A21000"/>
    <w:rsid w:val="00A2100B"/>
    <w:rsid w:val="00A210F6"/>
    <w:rsid w:val="00A2136E"/>
    <w:rsid w:val="00A21585"/>
    <w:rsid w:val="00A2206B"/>
    <w:rsid w:val="00A220A6"/>
    <w:rsid w:val="00A2216C"/>
    <w:rsid w:val="00A22459"/>
    <w:rsid w:val="00A22715"/>
    <w:rsid w:val="00A22874"/>
    <w:rsid w:val="00A23156"/>
    <w:rsid w:val="00A2334E"/>
    <w:rsid w:val="00A237A5"/>
    <w:rsid w:val="00A237FE"/>
    <w:rsid w:val="00A23819"/>
    <w:rsid w:val="00A23C36"/>
    <w:rsid w:val="00A23D4B"/>
    <w:rsid w:val="00A23EF7"/>
    <w:rsid w:val="00A23F19"/>
    <w:rsid w:val="00A2408E"/>
    <w:rsid w:val="00A24213"/>
    <w:rsid w:val="00A243AA"/>
    <w:rsid w:val="00A2448E"/>
    <w:rsid w:val="00A24495"/>
    <w:rsid w:val="00A24555"/>
    <w:rsid w:val="00A24561"/>
    <w:rsid w:val="00A248AC"/>
    <w:rsid w:val="00A249BA"/>
    <w:rsid w:val="00A24FD6"/>
    <w:rsid w:val="00A25071"/>
    <w:rsid w:val="00A25534"/>
    <w:rsid w:val="00A25567"/>
    <w:rsid w:val="00A255BC"/>
    <w:rsid w:val="00A2592A"/>
    <w:rsid w:val="00A25C1F"/>
    <w:rsid w:val="00A25D00"/>
    <w:rsid w:val="00A25F01"/>
    <w:rsid w:val="00A25F36"/>
    <w:rsid w:val="00A2643A"/>
    <w:rsid w:val="00A26440"/>
    <w:rsid w:val="00A2666F"/>
    <w:rsid w:val="00A26A64"/>
    <w:rsid w:val="00A26B67"/>
    <w:rsid w:val="00A2703B"/>
    <w:rsid w:val="00A27123"/>
    <w:rsid w:val="00A272FF"/>
    <w:rsid w:val="00A273C0"/>
    <w:rsid w:val="00A27923"/>
    <w:rsid w:val="00A27AFB"/>
    <w:rsid w:val="00A27BE5"/>
    <w:rsid w:val="00A27E79"/>
    <w:rsid w:val="00A302DB"/>
    <w:rsid w:val="00A3046A"/>
    <w:rsid w:val="00A3061B"/>
    <w:rsid w:val="00A30A27"/>
    <w:rsid w:val="00A30F79"/>
    <w:rsid w:val="00A31170"/>
    <w:rsid w:val="00A314D7"/>
    <w:rsid w:val="00A319D7"/>
    <w:rsid w:val="00A31E7E"/>
    <w:rsid w:val="00A31EC8"/>
    <w:rsid w:val="00A320AE"/>
    <w:rsid w:val="00A322E2"/>
    <w:rsid w:val="00A3248B"/>
    <w:rsid w:val="00A32502"/>
    <w:rsid w:val="00A325C3"/>
    <w:rsid w:val="00A32BD5"/>
    <w:rsid w:val="00A32D2A"/>
    <w:rsid w:val="00A32EC5"/>
    <w:rsid w:val="00A32EF9"/>
    <w:rsid w:val="00A33003"/>
    <w:rsid w:val="00A337BA"/>
    <w:rsid w:val="00A33D15"/>
    <w:rsid w:val="00A34329"/>
    <w:rsid w:val="00A34394"/>
    <w:rsid w:val="00A344FA"/>
    <w:rsid w:val="00A34757"/>
    <w:rsid w:val="00A348D6"/>
    <w:rsid w:val="00A34B18"/>
    <w:rsid w:val="00A34B78"/>
    <w:rsid w:val="00A34C3E"/>
    <w:rsid w:val="00A34E25"/>
    <w:rsid w:val="00A34F12"/>
    <w:rsid w:val="00A35137"/>
    <w:rsid w:val="00A35183"/>
    <w:rsid w:val="00A3559F"/>
    <w:rsid w:val="00A35646"/>
    <w:rsid w:val="00A3564B"/>
    <w:rsid w:val="00A357AE"/>
    <w:rsid w:val="00A35A02"/>
    <w:rsid w:val="00A35A4F"/>
    <w:rsid w:val="00A35C8F"/>
    <w:rsid w:val="00A35D4F"/>
    <w:rsid w:val="00A36123"/>
    <w:rsid w:val="00A36282"/>
    <w:rsid w:val="00A362C6"/>
    <w:rsid w:val="00A36400"/>
    <w:rsid w:val="00A37237"/>
    <w:rsid w:val="00A3733B"/>
    <w:rsid w:val="00A37771"/>
    <w:rsid w:val="00A37EFA"/>
    <w:rsid w:val="00A37F17"/>
    <w:rsid w:val="00A37FD9"/>
    <w:rsid w:val="00A4001F"/>
    <w:rsid w:val="00A40092"/>
    <w:rsid w:val="00A400F2"/>
    <w:rsid w:val="00A403E0"/>
    <w:rsid w:val="00A4042C"/>
    <w:rsid w:val="00A40521"/>
    <w:rsid w:val="00A40615"/>
    <w:rsid w:val="00A407B6"/>
    <w:rsid w:val="00A40902"/>
    <w:rsid w:val="00A40B8D"/>
    <w:rsid w:val="00A40BDF"/>
    <w:rsid w:val="00A40D36"/>
    <w:rsid w:val="00A40D43"/>
    <w:rsid w:val="00A4107C"/>
    <w:rsid w:val="00A4137F"/>
    <w:rsid w:val="00A41775"/>
    <w:rsid w:val="00A4181D"/>
    <w:rsid w:val="00A41A3C"/>
    <w:rsid w:val="00A41B33"/>
    <w:rsid w:val="00A41B8F"/>
    <w:rsid w:val="00A41BAD"/>
    <w:rsid w:val="00A41F17"/>
    <w:rsid w:val="00A420FF"/>
    <w:rsid w:val="00A42384"/>
    <w:rsid w:val="00A42760"/>
    <w:rsid w:val="00A42781"/>
    <w:rsid w:val="00A42986"/>
    <w:rsid w:val="00A42C60"/>
    <w:rsid w:val="00A42E83"/>
    <w:rsid w:val="00A43189"/>
    <w:rsid w:val="00A4351E"/>
    <w:rsid w:val="00A4374F"/>
    <w:rsid w:val="00A437D4"/>
    <w:rsid w:val="00A4396C"/>
    <w:rsid w:val="00A43A4B"/>
    <w:rsid w:val="00A43AEB"/>
    <w:rsid w:val="00A43AF4"/>
    <w:rsid w:val="00A43CB3"/>
    <w:rsid w:val="00A43EE5"/>
    <w:rsid w:val="00A441FF"/>
    <w:rsid w:val="00A4427B"/>
    <w:rsid w:val="00A442B7"/>
    <w:rsid w:val="00A45071"/>
    <w:rsid w:val="00A45120"/>
    <w:rsid w:val="00A45124"/>
    <w:rsid w:val="00A4520A"/>
    <w:rsid w:val="00A45258"/>
    <w:rsid w:val="00A45383"/>
    <w:rsid w:val="00A453DE"/>
    <w:rsid w:val="00A455EE"/>
    <w:rsid w:val="00A45DB2"/>
    <w:rsid w:val="00A45E1A"/>
    <w:rsid w:val="00A45FAC"/>
    <w:rsid w:val="00A45FE9"/>
    <w:rsid w:val="00A46004"/>
    <w:rsid w:val="00A460C5"/>
    <w:rsid w:val="00A46509"/>
    <w:rsid w:val="00A468EB"/>
    <w:rsid w:val="00A468FF"/>
    <w:rsid w:val="00A46E17"/>
    <w:rsid w:val="00A46FA5"/>
    <w:rsid w:val="00A4717E"/>
    <w:rsid w:val="00A471B8"/>
    <w:rsid w:val="00A47965"/>
    <w:rsid w:val="00A50996"/>
    <w:rsid w:val="00A50C76"/>
    <w:rsid w:val="00A517F6"/>
    <w:rsid w:val="00A519A4"/>
    <w:rsid w:val="00A52142"/>
    <w:rsid w:val="00A523F6"/>
    <w:rsid w:val="00A525D1"/>
    <w:rsid w:val="00A52792"/>
    <w:rsid w:val="00A52918"/>
    <w:rsid w:val="00A52C42"/>
    <w:rsid w:val="00A52E58"/>
    <w:rsid w:val="00A534EA"/>
    <w:rsid w:val="00A5373D"/>
    <w:rsid w:val="00A53A04"/>
    <w:rsid w:val="00A53A69"/>
    <w:rsid w:val="00A53AB6"/>
    <w:rsid w:val="00A53BE7"/>
    <w:rsid w:val="00A53C21"/>
    <w:rsid w:val="00A53E50"/>
    <w:rsid w:val="00A54477"/>
    <w:rsid w:val="00A549AA"/>
    <w:rsid w:val="00A54A1E"/>
    <w:rsid w:val="00A54A76"/>
    <w:rsid w:val="00A54DE4"/>
    <w:rsid w:val="00A54EE9"/>
    <w:rsid w:val="00A54F34"/>
    <w:rsid w:val="00A55248"/>
    <w:rsid w:val="00A5554C"/>
    <w:rsid w:val="00A5559A"/>
    <w:rsid w:val="00A5576F"/>
    <w:rsid w:val="00A55828"/>
    <w:rsid w:val="00A55860"/>
    <w:rsid w:val="00A5586B"/>
    <w:rsid w:val="00A559FE"/>
    <w:rsid w:val="00A55B1A"/>
    <w:rsid w:val="00A55D95"/>
    <w:rsid w:val="00A55DCF"/>
    <w:rsid w:val="00A55ECE"/>
    <w:rsid w:val="00A55F32"/>
    <w:rsid w:val="00A56590"/>
    <w:rsid w:val="00A566F4"/>
    <w:rsid w:val="00A56AC2"/>
    <w:rsid w:val="00A56C7C"/>
    <w:rsid w:val="00A5742C"/>
    <w:rsid w:val="00A576CC"/>
    <w:rsid w:val="00A57763"/>
    <w:rsid w:val="00A579C1"/>
    <w:rsid w:val="00A57C19"/>
    <w:rsid w:val="00A602AD"/>
    <w:rsid w:val="00A60908"/>
    <w:rsid w:val="00A60B78"/>
    <w:rsid w:val="00A61073"/>
    <w:rsid w:val="00A61659"/>
    <w:rsid w:val="00A61819"/>
    <w:rsid w:val="00A61850"/>
    <w:rsid w:val="00A61AA2"/>
    <w:rsid w:val="00A61C44"/>
    <w:rsid w:val="00A62303"/>
    <w:rsid w:val="00A62646"/>
    <w:rsid w:val="00A626C0"/>
    <w:rsid w:val="00A628C8"/>
    <w:rsid w:val="00A62FD4"/>
    <w:rsid w:val="00A630C7"/>
    <w:rsid w:val="00A63380"/>
    <w:rsid w:val="00A63464"/>
    <w:rsid w:val="00A63EB4"/>
    <w:rsid w:val="00A63F50"/>
    <w:rsid w:val="00A64011"/>
    <w:rsid w:val="00A646B6"/>
    <w:rsid w:val="00A647D4"/>
    <w:rsid w:val="00A648D2"/>
    <w:rsid w:val="00A6494A"/>
    <w:rsid w:val="00A64A0F"/>
    <w:rsid w:val="00A65053"/>
    <w:rsid w:val="00A65306"/>
    <w:rsid w:val="00A654D9"/>
    <w:rsid w:val="00A6559B"/>
    <w:rsid w:val="00A65909"/>
    <w:rsid w:val="00A65EB6"/>
    <w:rsid w:val="00A65FA8"/>
    <w:rsid w:val="00A6616F"/>
    <w:rsid w:val="00A6694B"/>
    <w:rsid w:val="00A66B63"/>
    <w:rsid w:val="00A66D90"/>
    <w:rsid w:val="00A66F75"/>
    <w:rsid w:val="00A673B3"/>
    <w:rsid w:val="00A678F8"/>
    <w:rsid w:val="00A67A13"/>
    <w:rsid w:val="00A70159"/>
    <w:rsid w:val="00A70167"/>
    <w:rsid w:val="00A70308"/>
    <w:rsid w:val="00A70479"/>
    <w:rsid w:val="00A7078F"/>
    <w:rsid w:val="00A7082E"/>
    <w:rsid w:val="00A70A5D"/>
    <w:rsid w:val="00A70AF8"/>
    <w:rsid w:val="00A70CB7"/>
    <w:rsid w:val="00A70F86"/>
    <w:rsid w:val="00A71285"/>
    <w:rsid w:val="00A713AF"/>
    <w:rsid w:val="00A71560"/>
    <w:rsid w:val="00A71815"/>
    <w:rsid w:val="00A71B3E"/>
    <w:rsid w:val="00A71B52"/>
    <w:rsid w:val="00A71C43"/>
    <w:rsid w:val="00A71D10"/>
    <w:rsid w:val="00A71E49"/>
    <w:rsid w:val="00A71F1A"/>
    <w:rsid w:val="00A71FCC"/>
    <w:rsid w:val="00A72489"/>
    <w:rsid w:val="00A72536"/>
    <w:rsid w:val="00A72789"/>
    <w:rsid w:val="00A72B44"/>
    <w:rsid w:val="00A72C68"/>
    <w:rsid w:val="00A72D59"/>
    <w:rsid w:val="00A72D9D"/>
    <w:rsid w:val="00A73320"/>
    <w:rsid w:val="00A73594"/>
    <w:rsid w:val="00A73696"/>
    <w:rsid w:val="00A73745"/>
    <w:rsid w:val="00A73C3F"/>
    <w:rsid w:val="00A73C40"/>
    <w:rsid w:val="00A73F4F"/>
    <w:rsid w:val="00A740A1"/>
    <w:rsid w:val="00A74909"/>
    <w:rsid w:val="00A74B1C"/>
    <w:rsid w:val="00A7592A"/>
    <w:rsid w:val="00A75B8D"/>
    <w:rsid w:val="00A75C75"/>
    <w:rsid w:val="00A75DA1"/>
    <w:rsid w:val="00A760C7"/>
    <w:rsid w:val="00A76533"/>
    <w:rsid w:val="00A765B9"/>
    <w:rsid w:val="00A76890"/>
    <w:rsid w:val="00A76B47"/>
    <w:rsid w:val="00A76B79"/>
    <w:rsid w:val="00A77382"/>
    <w:rsid w:val="00A7740D"/>
    <w:rsid w:val="00A774C2"/>
    <w:rsid w:val="00A7796C"/>
    <w:rsid w:val="00A77D80"/>
    <w:rsid w:val="00A77F2C"/>
    <w:rsid w:val="00A8029E"/>
    <w:rsid w:val="00A80508"/>
    <w:rsid w:val="00A80551"/>
    <w:rsid w:val="00A8062F"/>
    <w:rsid w:val="00A80677"/>
    <w:rsid w:val="00A8089C"/>
    <w:rsid w:val="00A80E5D"/>
    <w:rsid w:val="00A80FE3"/>
    <w:rsid w:val="00A811A7"/>
    <w:rsid w:val="00A81207"/>
    <w:rsid w:val="00A8151B"/>
    <w:rsid w:val="00A815BE"/>
    <w:rsid w:val="00A81626"/>
    <w:rsid w:val="00A81860"/>
    <w:rsid w:val="00A8190D"/>
    <w:rsid w:val="00A81C84"/>
    <w:rsid w:val="00A81DC0"/>
    <w:rsid w:val="00A8224D"/>
    <w:rsid w:val="00A824BD"/>
    <w:rsid w:val="00A82571"/>
    <w:rsid w:val="00A8267F"/>
    <w:rsid w:val="00A82748"/>
    <w:rsid w:val="00A82790"/>
    <w:rsid w:val="00A8283C"/>
    <w:rsid w:val="00A82CD0"/>
    <w:rsid w:val="00A82CE3"/>
    <w:rsid w:val="00A82E13"/>
    <w:rsid w:val="00A82E43"/>
    <w:rsid w:val="00A82FB8"/>
    <w:rsid w:val="00A83360"/>
    <w:rsid w:val="00A83619"/>
    <w:rsid w:val="00A83876"/>
    <w:rsid w:val="00A83B01"/>
    <w:rsid w:val="00A83B11"/>
    <w:rsid w:val="00A83B47"/>
    <w:rsid w:val="00A83BD2"/>
    <w:rsid w:val="00A83CB0"/>
    <w:rsid w:val="00A84283"/>
    <w:rsid w:val="00A84624"/>
    <w:rsid w:val="00A84775"/>
    <w:rsid w:val="00A84915"/>
    <w:rsid w:val="00A849D6"/>
    <w:rsid w:val="00A84A9A"/>
    <w:rsid w:val="00A84B39"/>
    <w:rsid w:val="00A84E2A"/>
    <w:rsid w:val="00A8515B"/>
    <w:rsid w:val="00A85282"/>
    <w:rsid w:val="00A8529A"/>
    <w:rsid w:val="00A853A4"/>
    <w:rsid w:val="00A854A4"/>
    <w:rsid w:val="00A8550C"/>
    <w:rsid w:val="00A856D7"/>
    <w:rsid w:val="00A859E9"/>
    <w:rsid w:val="00A85A87"/>
    <w:rsid w:val="00A85D65"/>
    <w:rsid w:val="00A86057"/>
    <w:rsid w:val="00A8633C"/>
    <w:rsid w:val="00A86568"/>
    <w:rsid w:val="00A8694D"/>
    <w:rsid w:val="00A86A81"/>
    <w:rsid w:val="00A86C4C"/>
    <w:rsid w:val="00A86DB4"/>
    <w:rsid w:val="00A87674"/>
    <w:rsid w:val="00A87697"/>
    <w:rsid w:val="00A876C3"/>
    <w:rsid w:val="00A87713"/>
    <w:rsid w:val="00A87737"/>
    <w:rsid w:val="00A8776A"/>
    <w:rsid w:val="00A87895"/>
    <w:rsid w:val="00A87908"/>
    <w:rsid w:val="00A87961"/>
    <w:rsid w:val="00A87B54"/>
    <w:rsid w:val="00A87E0A"/>
    <w:rsid w:val="00A87E71"/>
    <w:rsid w:val="00A87E9F"/>
    <w:rsid w:val="00A87FE4"/>
    <w:rsid w:val="00A902E6"/>
    <w:rsid w:val="00A90906"/>
    <w:rsid w:val="00A909EE"/>
    <w:rsid w:val="00A91064"/>
    <w:rsid w:val="00A91B1E"/>
    <w:rsid w:val="00A91E36"/>
    <w:rsid w:val="00A91EAA"/>
    <w:rsid w:val="00A920A4"/>
    <w:rsid w:val="00A920CA"/>
    <w:rsid w:val="00A922B7"/>
    <w:rsid w:val="00A9238A"/>
    <w:rsid w:val="00A924C4"/>
    <w:rsid w:val="00A926D6"/>
    <w:rsid w:val="00A927CE"/>
    <w:rsid w:val="00A927F5"/>
    <w:rsid w:val="00A92902"/>
    <w:rsid w:val="00A92967"/>
    <w:rsid w:val="00A929A6"/>
    <w:rsid w:val="00A92D4F"/>
    <w:rsid w:val="00A9300E"/>
    <w:rsid w:val="00A93523"/>
    <w:rsid w:val="00A93546"/>
    <w:rsid w:val="00A939AD"/>
    <w:rsid w:val="00A93B86"/>
    <w:rsid w:val="00A93C8F"/>
    <w:rsid w:val="00A93DB6"/>
    <w:rsid w:val="00A94013"/>
    <w:rsid w:val="00A941C6"/>
    <w:rsid w:val="00A945F6"/>
    <w:rsid w:val="00A94F6C"/>
    <w:rsid w:val="00A953D6"/>
    <w:rsid w:val="00A95541"/>
    <w:rsid w:val="00A95961"/>
    <w:rsid w:val="00A95C76"/>
    <w:rsid w:val="00A95C92"/>
    <w:rsid w:val="00A96009"/>
    <w:rsid w:val="00A9627A"/>
    <w:rsid w:val="00A966A8"/>
    <w:rsid w:val="00A9679E"/>
    <w:rsid w:val="00A96886"/>
    <w:rsid w:val="00A96B33"/>
    <w:rsid w:val="00A96CBA"/>
    <w:rsid w:val="00A96D8C"/>
    <w:rsid w:val="00A97014"/>
    <w:rsid w:val="00A97173"/>
    <w:rsid w:val="00A9738B"/>
    <w:rsid w:val="00A975AC"/>
    <w:rsid w:val="00A97633"/>
    <w:rsid w:val="00A97878"/>
    <w:rsid w:val="00A97A14"/>
    <w:rsid w:val="00AA0081"/>
    <w:rsid w:val="00AA01EF"/>
    <w:rsid w:val="00AA04B5"/>
    <w:rsid w:val="00AA0830"/>
    <w:rsid w:val="00AA08B0"/>
    <w:rsid w:val="00AA0A74"/>
    <w:rsid w:val="00AA0A96"/>
    <w:rsid w:val="00AA0B8F"/>
    <w:rsid w:val="00AA0D5B"/>
    <w:rsid w:val="00AA0DAE"/>
    <w:rsid w:val="00AA0DCF"/>
    <w:rsid w:val="00AA0DEC"/>
    <w:rsid w:val="00AA0E75"/>
    <w:rsid w:val="00AA0FB8"/>
    <w:rsid w:val="00AA112B"/>
    <w:rsid w:val="00AA12D9"/>
    <w:rsid w:val="00AA133E"/>
    <w:rsid w:val="00AA1934"/>
    <w:rsid w:val="00AA1CE2"/>
    <w:rsid w:val="00AA2099"/>
    <w:rsid w:val="00AA21B3"/>
    <w:rsid w:val="00AA22AE"/>
    <w:rsid w:val="00AA2310"/>
    <w:rsid w:val="00AA2316"/>
    <w:rsid w:val="00AA268C"/>
    <w:rsid w:val="00AA2AA4"/>
    <w:rsid w:val="00AA2ED8"/>
    <w:rsid w:val="00AA2F11"/>
    <w:rsid w:val="00AA2FA0"/>
    <w:rsid w:val="00AA307D"/>
    <w:rsid w:val="00AA31B6"/>
    <w:rsid w:val="00AA3910"/>
    <w:rsid w:val="00AA3C08"/>
    <w:rsid w:val="00AA3CFC"/>
    <w:rsid w:val="00AA42F8"/>
    <w:rsid w:val="00AA4B27"/>
    <w:rsid w:val="00AA5390"/>
    <w:rsid w:val="00AA59D6"/>
    <w:rsid w:val="00AA5B8F"/>
    <w:rsid w:val="00AA5C32"/>
    <w:rsid w:val="00AA5D9D"/>
    <w:rsid w:val="00AA62F2"/>
    <w:rsid w:val="00AA6B0F"/>
    <w:rsid w:val="00AA6B77"/>
    <w:rsid w:val="00AA6D45"/>
    <w:rsid w:val="00AA6D57"/>
    <w:rsid w:val="00AA6D97"/>
    <w:rsid w:val="00AA6DB0"/>
    <w:rsid w:val="00AA6EF4"/>
    <w:rsid w:val="00AA6EFC"/>
    <w:rsid w:val="00AA70E2"/>
    <w:rsid w:val="00AA7211"/>
    <w:rsid w:val="00AA7273"/>
    <w:rsid w:val="00AA72D1"/>
    <w:rsid w:val="00AA75D8"/>
    <w:rsid w:val="00AA76B5"/>
    <w:rsid w:val="00AA790B"/>
    <w:rsid w:val="00AA7B9A"/>
    <w:rsid w:val="00AB0153"/>
    <w:rsid w:val="00AB0158"/>
    <w:rsid w:val="00AB01FF"/>
    <w:rsid w:val="00AB0214"/>
    <w:rsid w:val="00AB04A0"/>
    <w:rsid w:val="00AB04F5"/>
    <w:rsid w:val="00AB06A5"/>
    <w:rsid w:val="00AB0966"/>
    <w:rsid w:val="00AB09BB"/>
    <w:rsid w:val="00AB0CAC"/>
    <w:rsid w:val="00AB0DD4"/>
    <w:rsid w:val="00AB10D3"/>
    <w:rsid w:val="00AB1570"/>
    <w:rsid w:val="00AB1683"/>
    <w:rsid w:val="00AB16AD"/>
    <w:rsid w:val="00AB1A82"/>
    <w:rsid w:val="00AB1AE1"/>
    <w:rsid w:val="00AB1AF2"/>
    <w:rsid w:val="00AB1BFF"/>
    <w:rsid w:val="00AB22C2"/>
    <w:rsid w:val="00AB256D"/>
    <w:rsid w:val="00AB2772"/>
    <w:rsid w:val="00AB2846"/>
    <w:rsid w:val="00AB289C"/>
    <w:rsid w:val="00AB2ABA"/>
    <w:rsid w:val="00AB2FC4"/>
    <w:rsid w:val="00AB31BD"/>
    <w:rsid w:val="00AB32B2"/>
    <w:rsid w:val="00AB3861"/>
    <w:rsid w:val="00AB394D"/>
    <w:rsid w:val="00AB3961"/>
    <w:rsid w:val="00AB39C0"/>
    <w:rsid w:val="00AB3F92"/>
    <w:rsid w:val="00AB4D4B"/>
    <w:rsid w:val="00AB4D7C"/>
    <w:rsid w:val="00AB5456"/>
    <w:rsid w:val="00AB54FD"/>
    <w:rsid w:val="00AB56AD"/>
    <w:rsid w:val="00AB5941"/>
    <w:rsid w:val="00AB594C"/>
    <w:rsid w:val="00AB5AC9"/>
    <w:rsid w:val="00AB5DAD"/>
    <w:rsid w:val="00AB5ECD"/>
    <w:rsid w:val="00AB5FAC"/>
    <w:rsid w:val="00AB619D"/>
    <w:rsid w:val="00AB68B5"/>
    <w:rsid w:val="00AB6DAB"/>
    <w:rsid w:val="00AB6EDA"/>
    <w:rsid w:val="00AB7053"/>
    <w:rsid w:val="00AB72F5"/>
    <w:rsid w:val="00AB73BD"/>
    <w:rsid w:val="00AB7464"/>
    <w:rsid w:val="00AB75E8"/>
    <w:rsid w:val="00AB765B"/>
    <w:rsid w:val="00AB790E"/>
    <w:rsid w:val="00AB7991"/>
    <w:rsid w:val="00AB7A94"/>
    <w:rsid w:val="00AC008B"/>
    <w:rsid w:val="00AC06F4"/>
    <w:rsid w:val="00AC08C4"/>
    <w:rsid w:val="00AC0A3F"/>
    <w:rsid w:val="00AC0A61"/>
    <w:rsid w:val="00AC0C2F"/>
    <w:rsid w:val="00AC0D57"/>
    <w:rsid w:val="00AC0DF8"/>
    <w:rsid w:val="00AC0EFE"/>
    <w:rsid w:val="00AC1120"/>
    <w:rsid w:val="00AC12D2"/>
    <w:rsid w:val="00AC159C"/>
    <w:rsid w:val="00AC15F5"/>
    <w:rsid w:val="00AC1922"/>
    <w:rsid w:val="00AC1CCE"/>
    <w:rsid w:val="00AC201A"/>
    <w:rsid w:val="00AC2114"/>
    <w:rsid w:val="00AC224A"/>
    <w:rsid w:val="00AC228E"/>
    <w:rsid w:val="00AC2B9B"/>
    <w:rsid w:val="00AC2ED7"/>
    <w:rsid w:val="00AC2F66"/>
    <w:rsid w:val="00AC30D7"/>
    <w:rsid w:val="00AC349C"/>
    <w:rsid w:val="00AC3940"/>
    <w:rsid w:val="00AC39A2"/>
    <w:rsid w:val="00AC3B13"/>
    <w:rsid w:val="00AC3BE1"/>
    <w:rsid w:val="00AC3BE2"/>
    <w:rsid w:val="00AC3C16"/>
    <w:rsid w:val="00AC434C"/>
    <w:rsid w:val="00AC4522"/>
    <w:rsid w:val="00AC4607"/>
    <w:rsid w:val="00AC48BC"/>
    <w:rsid w:val="00AC4DB9"/>
    <w:rsid w:val="00AC5071"/>
    <w:rsid w:val="00AC515A"/>
    <w:rsid w:val="00AC5368"/>
    <w:rsid w:val="00AC5BE3"/>
    <w:rsid w:val="00AC5D07"/>
    <w:rsid w:val="00AC5D08"/>
    <w:rsid w:val="00AC5D1C"/>
    <w:rsid w:val="00AC5E7A"/>
    <w:rsid w:val="00AC5FCD"/>
    <w:rsid w:val="00AC5FE3"/>
    <w:rsid w:val="00AC614A"/>
    <w:rsid w:val="00AC6525"/>
    <w:rsid w:val="00AC668A"/>
    <w:rsid w:val="00AC6C4F"/>
    <w:rsid w:val="00AC727E"/>
    <w:rsid w:val="00AC7601"/>
    <w:rsid w:val="00AC76D9"/>
    <w:rsid w:val="00AC7729"/>
    <w:rsid w:val="00AC7816"/>
    <w:rsid w:val="00AC7B24"/>
    <w:rsid w:val="00AC7FE3"/>
    <w:rsid w:val="00AD0035"/>
    <w:rsid w:val="00AD0088"/>
    <w:rsid w:val="00AD0216"/>
    <w:rsid w:val="00AD0458"/>
    <w:rsid w:val="00AD06CA"/>
    <w:rsid w:val="00AD06DD"/>
    <w:rsid w:val="00AD09EA"/>
    <w:rsid w:val="00AD1333"/>
    <w:rsid w:val="00AD148D"/>
    <w:rsid w:val="00AD1578"/>
    <w:rsid w:val="00AD16B4"/>
    <w:rsid w:val="00AD1914"/>
    <w:rsid w:val="00AD1B36"/>
    <w:rsid w:val="00AD1D5D"/>
    <w:rsid w:val="00AD2324"/>
    <w:rsid w:val="00AD266B"/>
    <w:rsid w:val="00AD27B5"/>
    <w:rsid w:val="00AD2920"/>
    <w:rsid w:val="00AD2AED"/>
    <w:rsid w:val="00AD2D78"/>
    <w:rsid w:val="00AD2DFD"/>
    <w:rsid w:val="00AD36EF"/>
    <w:rsid w:val="00AD370A"/>
    <w:rsid w:val="00AD3819"/>
    <w:rsid w:val="00AD3A12"/>
    <w:rsid w:val="00AD3E7D"/>
    <w:rsid w:val="00AD406E"/>
    <w:rsid w:val="00AD41F4"/>
    <w:rsid w:val="00AD48E6"/>
    <w:rsid w:val="00AD4CD8"/>
    <w:rsid w:val="00AD4D4A"/>
    <w:rsid w:val="00AD4D88"/>
    <w:rsid w:val="00AD509D"/>
    <w:rsid w:val="00AD51F9"/>
    <w:rsid w:val="00AD550B"/>
    <w:rsid w:val="00AD55C8"/>
    <w:rsid w:val="00AD55FD"/>
    <w:rsid w:val="00AD572C"/>
    <w:rsid w:val="00AD595F"/>
    <w:rsid w:val="00AD5D1C"/>
    <w:rsid w:val="00AD61FF"/>
    <w:rsid w:val="00AD6272"/>
    <w:rsid w:val="00AD64A8"/>
    <w:rsid w:val="00AD64BB"/>
    <w:rsid w:val="00AD64F0"/>
    <w:rsid w:val="00AD690D"/>
    <w:rsid w:val="00AD692B"/>
    <w:rsid w:val="00AD6B74"/>
    <w:rsid w:val="00AD6B97"/>
    <w:rsid w:val="00AD6FA3"/>
    <w:rsid w:val="00AD7489"/>
    <w:rsid w:val="00AD7885"/>
    <w:rsid w:val="00AD79B3"/>
    <w:rsid w:val="00AD7A03"/>
    <w:rsid w:val="00AD7FCE"/>
    <w:rsid w:val="00AE0588"/>
    <w:rsid w:val="00AE0967"/>
    <w:rsid w:val="00AE0AC8"/>
    <w:rsid w:val="00AE1135"/>
    <w:rsid w:val="00AE12EB"/>
    <w:rsid w:val="00AE1938"/>
    <w:rsid w:val="00AE1A70"/>
    <w:rsid w:val="00AE1D66"/>
    <w:rsid w:val="00AE1EFB"/>
    <w:rsid w:val="00AE1FC4"/>
    <w:rsid w:val="00AE28A7"/>
    <w:rsid w:val="00AE2D8F"/>
    <w:rsid w:val="00AE3617"/>
    <w:rsid w:val="00AE3865"/>
    <w:rsid w:val="00AE398B"/>
    <w:rsid w:val="00AE39B1"/>
    <w:rsid w:val="00AE3B5D"/>
    <w:rsid w:val="00AE3F14"/>
    <w:rsid w:val="00AE4042"/>
    <w:rsid w:val="00AE4081"/>
    <w:rsid w:val="00AE411C"/>
    <w:rsid w:val="00AE436F"/>
    <w:rsid w:val="00AE4A80"/>
    <w:rsid w:val="00AE4BEF"/>
    <w:rsid w:val="00AE4C76"/>
    <w:rsid w:val="00AE4CCB"/>
    <w:rsid w:val="00AE4DD1"/>
    <w:rsid w:val="00AE557D"/>
    <w:rsid w:val="00AE5AF6"/>
    <w:rsid w:val="00AE5B82"/>
    <w:rsid w:val="00AE672E"/>
    <w:rsid w:val="00AE6989"/>
    <w:rsid w:val="00AE6AEF"/>
    <w:rsid w:val="00AE6BA6"/>
    <w:rsid w:val="00AE6FF8"/>
    <w:rsid w:val="00AE71A5"/>
    <w:rsid w:val="00AE729F"/>
    <w:rsid w:val="00AE7657"/>
    <w:rsid w:val="00AE7935"/>
    <w:rsid w:val="00AE7D84"/>
    <w:rsid w:val="00AE7E3F"/>
    <w:rsid w:val="00AE7ED0"/>
    <w:rsid w:val="00AE7FD2"/>
    <w:rsid w:val="00AE7FF6"/>
    <w:rsid w:val="00AF020A"/>
    <w:rsid w:val="00AF0353"/>
    <w:rsid w:val="00AF0421"/>
    <w:rsid w:val="00AF061A"/>
    <w:rsid w:val="00AF069F"/>
    <w:rsid w:val="00AF0916"/>
    <w:rsid w:val="00AF1077"/>
    <w:rsid w:val="00AF107C"/>
    <w:rsid w:val="00AF13D2"/>
    <w:rsid w:val="00AF1412"/>
    <w:rsid w:val="00AF16C2"/>
    <w:rsid w:val="00AF1701"/>
    <w:rsid w:val="00AF1B0F"/>
    <w:rsid w:val="00AF1D34"/>
    <w:rsid w:val="00AF1D60"/>
    <w:rsid w:val="00AF2049"/>
    <w:rsid w:val="00AF209F"/>
    <w:rsid w:val="00AF2240"/>
    <w:rsid w:val="00AF22D2"/>
    <w:rsid w:val="00AF2E55"/>
    <w:rsid w:val="00AF2EA1"/>
    <w:rsid w:val="00AF2EDC"/>
    <w:rsid w:val="00AF2FDF"/>
    <w:rsid w:val="00AF3126"/>
    <w:rsid w:val="00AF378E"/>
    <w:rsid w:val="00AF3A77"/>
    <w:rsid w:val="00AF3AC6"/>
    <w:rsid w:val="00AF3C4C"/>
    <w:rsid w:val="00AF3D33"/>
    <w:rsid w:val="00AF3D36"/>
    <w:rsid w:val="00AF3DFC"/>
    <w:rsid w:val="00AF41A8"/>
    <w:rsid w:val="00AF4528"/>
    <w:rsid w:val="00AF4769"/>
    <w:rsid w:val="00AF47D6"/>
    <w:rsid w:val="00AF4C68"/>
    <w:rsid w:val="00AF4D5E"/>
    <w:rsid w:val="00AF5067"/>
    <w:rsid w:val="00AF511F"/>
    <w:rsid w:val="00AF525A"/>
    <w:rsid w:val="00AF529E"/>
    <w:rsid w:val="00AF52C2"/>
    <w:rsid w:val="00AF5457"/>
    <w:rsid w:val="00AF55B9"/>
    <w:rsid w:val="00AF5DE3"/>
    <w:rsid w:val="00AF5FA8"/>
    <w:rsid w:val="00AF5FF0"/>
    <w:rsid w:val="00AF61FD"/>
    <w:rsid w:val="00AF6259"/>
    <w:rsid w:val="00AF663C"/>
    <w:rsid w:val="00AF74D4"/>
    <w:rsid w:val="00AF7914"/>
    <w:rsid w:val="00AF7993"/>
    <w:rsid w:val="00AF7A17"/>
    <w:rsid w:val="00AF7D9B"/>
    <w:rsid w:val="00B0011A"/>
    <w:rsid w:val="00B0031F"/>
    <w:rsid w:val="00B00491"/>
    <w:rsid w:val="00B004D4"/>
    <w:rsid w:val="00B00623"/>
    <w:rsid w:val="00B00779"/>
    <w:rsid w:val="00B00ABB"/>
    <w:rsid w:val="00B00C76"/>
    <w:rsid w:val="00B00D74"/>
    <w:rsid w:val="00B010FA"/>
    <w:rsid w:val="00B0147D"/>
    <w:rsid w:val="00B014BF"/>
    <w:rsid w:val="00B0152D"/>
    <w:rsid w:val="00B0154F"/>
    <w:rsid w:val="00B01712"/>
    <w:rsid w:val="00B01B96"/>
    <w:rsid w:val="00B01D75"/>
    <w:rsid w:val="00B02310"/>
    <w:rsid w:val="00B03052"/>
    <w:rsid w:val="00B03233"/>
    <w:rsid w:val="00B03411"/>
    <w:rsid w:val="00B03835"/>
    <w:rsid w:val="00B03C22"/>
    <w:rsid w:val="00B03D92"/>
    <w:rsid w:val="00B0423B"/>
    <w:rsid w:val="00B0458A"/>
    <w:rsid w:val="00B047C6"/>
    <w:rsid w:val="00B04985"/>
    <w:rsid w:val="00B04999"/>
    <w:rsid w:val="00B04AB6"/>
    <w:rsid w:val="00B04B43"/>
    <w:rsid w:val="00B054E9"/>
    <w:rsid w:val="00B05655"/>
    <w:rsid w:val="00B058C2"/>
    <w:rsid w:val="00B0592E"/>
    <w:rsid w:val="00B0596E"/>
    <w:rsid w:val="00B059F9"/>
    <w:rsid w:val="00B05AE2"/>
    <w:rsid w:val="00B05EAF"/>
    <w:rsid w:val="00B05F67"/>
    <w:rsid w:val="00B05F6B"/>
    <w:rsid w:val="00B065AD"/>
    <w:rsid w:val="00B067EE"/>
    <w:rsid w:val="00B068D5"/>
    <w:rsid w:val="00B06AE4"/>
    <w:rsid w:val="00B06B71"/>
    <w:rsid w:val="00B06DC9"/>
    <w:rsid w:val="00B07127"/>
    <w:rsid w:val="00B07568"/>
    <w:rsid w:val="00B0790D"/>
    <w:rsid w:val="00B07993"/>
    <w:rsid w:val="00B07ABC"/>
    <w:rsid w:val="00B07B17"/>
    <w:rsid w:val="00B07E4B"/>
    <w:rsid w:val="00B07EDD"/>
    <w:rsid w:val="00B105BA"/>
    <w:rsid w:val="00B107DD"/>
    <w:rsid w:val="00B10A95"/>
    <w:rsid w:val="00B11368"/>
    <w:rsid w:val="00B11370"/>
    <w:rsid w:val="00B116B3"/>
    <w:rsid w:val="00B11D22"/>
    <w:rsid w:val="00B11E2C"/>
    <w:rsid w:val="00B11EBA"/>
    <w:rsid w:val="00B11FC3"/>
    <w:rsid w:val="00B1201D"/>
    <w:rsid w:val="00B120D4"/>
    <w:rsid w:val="00B121A4"/>
    <w:rsid w:val="00B123FD"/>
    <w:rsid w:val="00B12412"/>
    <w:rsid w:val="00B12416"/>
    <w:rsid w:val="00B12481"/>
    <w:rsid w:val="00B125D2"/>
    <w:rsid w:val="00B12A11"/>
    <w:rsid w:val="00B12A5E"/>
    <w:rsid w:val="00B12B9B"/>
    <w:rsid w:val="00B12C2E"/>
    <w:rsid w:val="00B12DC8"/>
    <w:rsid w:val="00B12EA0"/>
    <w:rsid w:val="00B13250"/>
    <w:rsid w:val="00B1342E"/>
    <w:rsid w:val="00B1350D"/>
    <w:rsid w:val="00B135DF"/>
    <w:rsid w:val="00B1366D"/>
    <w:rsid w:val="00B139B5"/>
    <w:rsid w:val="00B139C5"/>
    <w:rsid w:val="00B13A15"/>
    <w:rsid w:val="00B13B14"/>
    <w:rsid w:val="00B13BC5"/>
    <w:rsid w:val="00B13D79"/>
    <w:rsid w:val="00B13F47"/>
    <w:rsid w:val="00B14007"/>
    <w:rsid w:val="00B14779"/>
    <w:rsid w:val="00B14819"/>
    <w:rsid w:val="00B14A4C"/>
    <w:rsid w:val="00B14AFB"/>
    <w:rsid w:val="00B14BAF"/>
    <w:rsid w:val="00B14EF4"/>
    <w:rsid w:val="00B15142"/>
    <w:rsid w:val="00B153E7"/>
    <w:rsid w:val="00B15463"/>
    <w:rsid w:val="00B15499"/>
    <w:rsid w:val="00B1552A"/>
    <w:rsid w:val="00B15720"/>
    <w:rsid w:val="00B15913"/>
    <w:rsid w:val="00B15B1B"/>
    <w:rsid w:val="00B15DD4"/>
    <w:rsid w:val="00B15DEE"/>
    <w:rsid w:val="00B161EE"/>
    <w:rsid w:val="00B16411"/>
    <w:rsid w:val="00B16776"/>
    <w:rsid w:val="00B16A73"/>
    <w:rsid w:val="00B171A9"/>
    <w:rsid w:val="00B17276"/>
    <w:rsid w:val="00B17F2E"/>
    <w:rsid w:val="00B200D2"/>
    <w:rsid w:val="00B20160"/>
    <w:rsid w:val="00B201A2"/>
    <w:rsid w:val="00B201B8"/>
    <w:rsid w:val="00B20270"/>
    <w:rsid w:val="00B20B91"/>
    <w:rsid w:val="00B20C55"/>
    <w:rsid w:val="00B21017"/>
    <w:rsid w:val="00B212F3"/>
    <w:rsid w:val="00B216B9"/>
    <w:rsid w:val="00B221D1"/>
    <w:rsid w:val="00B2283B"/>
    <w:rsid w:val="00B2294A"/>
    <w:rsid w:val="00B2315F"/>
    <w:rsid w:val="00B231A9"/>
    <w:rsid w:val="00B231F6"/>
    <w:rsid w:val="00B23515"/>
    <w:rsid w:val="00B23834"/>
    <w:rsid w:val="00B239F1"/>
    <w:rsid w:val="00B23A06"/>
    <w:rsid w:val="00B23ADB"/>
    <w:rsid w:val="00B23CD9"/>
    <w:rsid w:val="00B23F72"/>
    <w:rsid w:val="00B240C7"/>
    <w:rsid w:val="00B2413C"/>
    <w:rsid w:val="00B2424A"/>
    <w:rsid w:val="00B24275"/>
    <w:rsid w:val="00B243FF"/>
    <w:rsid w:val="00B244C6"/>
    <w:rsid w:val="00B24850"/>
    <w:rsid w:val="00B24C34"/>
    <w:rsid w:val="00B255AF"/>
    <w:rsid w:val="00B256A9"/>
    <w:rsid w:val="00B25B10"/>
    <w:rsid w:val="00B25F39"/>
    <w:rsid w:val="00B26521"/>
    <w:rsid w:val="00B266D2"/>
    <w:rsid w:val="00B266F2"/>
    <w:rsid w:val="00B267A3"/>
    <w:rsid w:val="00B26836"/>
    <w:rsid w:val="00B26963"/>
    <w:rsid w:val="00B26BF6"/>
    <w:rsid w:val="00B26CD3"/>
    <w:rsid w:val="00B26D2A"/>
    <w:rsid w:val="00B26D93"/>
    <w:rsid w:val="00B27002"/>
    <w:rsid w:val="00B279B6"/>
    <w:rsid w:val="00B27B47"/>
    <w:rsid w:val="00B27BA5"/>
    <w:rsid w:val="00B27EF0"/>
    <w:rsid w:val="00B300B9"/>
    <w:rsid w:val="00B300E6"/>
    <w:rsid w:val="00B302D1"/>
    <w:rsid w:val="00B3030D"/>
    <w:rsid w:val="00B306D0"/>
    <w:rsid w:val="00B308B5"/>
    <w:rsid w:val="00B30A39"/>
    <w:rsid w:val="00B30C60"/>
    <w:rsid w:val="00B30D12"/>
    <w:rsid w:val="00B30DAF"/>
    <w:rsid w:val="00B3121A"/>
    <w:rsid w:val="00B31316"/>
    <w:rsid w:val="00B31485"/>
    <w:rsid w:val="00B31887"/>
    <w:rsid w:val="00B31B6F"/>
    <w:rsid w:val="00B31C5C"/>
    <w:rsid w:val="00B31C64"/>
    <w:rsid w:val="00B31CC2"/>
    <w:rsid w:val="00B31CE9"/>
    <w:rsid w:val="00B3207A"/>
    <w:rsid w:val="00B32229"/>
    <w:rsid w:val="00B3225B"/>
    <w:rsid w:val="00B323E5"/>
    <w:rsid w:val="00B3257F"/>
    <w:rsid w:val="00B32910"/>
    <w:rsid w:val="00B32950"/>
    <w:rsid w:val="00B329B2"/>
    <w:rsid w:val="00B32A19"/>
    <w:rsid w:val="00B32B90"/>
    <w:rsid w:val="00B32DF2"/>
    <w:rsid w:val="00B32E74"/>
    <w:rsid w:val="00B32EF9"/>
    <w:rsid w:val="00B32F81"/>
    <w:rsid w:val="00B32FBE"/>
    <w:rsid w:val="00B330F8"/>
    <w:rsid w:val="00B334E9"/>
    <w:rsid w:val="00B3356F"/>
    <w:rsid w:val="00B33646"/>
    <w:rsid w:val="00B339B1"/>
    <w:rsid w:val="00B33DC2"/>
    <w:rsid w:val="00B34014"/>
    <w:rsid w:val="00B3406C"/>
    <w:rsid w:val="00B34785"/>
    <w:rsid w:val="00B34886"/>
    <w:rsid w:val="00B349AA"/>
    <w:rsid w:val="00B34E13"/>
    <w:rsid w:val="00B35664"/>
    <w:rsid w:val="00B3568B"/>
    <w:rsid w:val="00B35B5A"/>
    <w:rsid w:val="00B35BEA"/>
    <w:rsid w:val="00B35D9B"/>
    <w:rsid w:val="00B36A6F"/>
    <w:rsid w:val="00B36AA6"/>
    <w:rsid w:val="00B36FEA"/>
    <w:rsid w:val="00B3721E"/>
    <w:rsid w:val="00B37361"/>
    <w:rsid w:val="00B373D2"/>
    <w:rsid w:val="00B3740C"/>
    <w:rsid w:val="00B3766C"/>
    <w:rsid w:val="00B379F6"/>
    <w:rsid w:val="00B37BFD"/>
    <w:rsid w:val="00B37E18"/>
    <w:rsid w:val="00B37EED"/>
    <w:rsid w:val="00B40344"/>
    <w:rsid w:val="00B403FF"/>
    <w:rsid w:val="00B40410"/>
    <w:rsid w:val="00B4098C"/>
    <w:rsid w:val="00B409F5"/>
    <w:rsid w:val="00B40BAA"/>
    <w:rsid w:val="00B4131E"/>
    <w:rsid w:val="00B413D2"/>
    <w:rsid w:val="00B41891"/>
    <w:rsid w:val="00B41C02"/>
    <w:rsid w:val="00B41D35"/>
    <w:rsid w:val="00B41D46"/>
    <w:rsid w:val="00B4231D"/>
    <w:rsid w:val="00B4234C"/>
    <w:rsid w:val="00B42642"/>
    <w:rsid w:val="00B428AE"/>
    <w:rsid w:val="00B42999"/>
    <w:rsid w:val="00B4304D"/>
    <w:rsid w:val="00B43071"/>
    <w:rsid w:val="00B432EC"/>
    <w:rsid w:val="00B434ED"/>
    <w:rsid w:val="00B436E9"/>
    <w:rsid w:val="00B43963"/>
    <w:rsid w:val="00B43CB9"/>
    <w:rsid w:val="00B440F3"/>
    <w:rsid w:val="00B442CF"/>
    <w:rsid w:val="00B445E4"/>
    <w:rsid w:val="00B4467B"/>
    <w:rsid w:val="00B44B7D"/>
    <w:rsid w:val="00B45217"/>
    <w:rsid w:val="00B452C5"/>
    <w:rsid w:val="00B4547C"/>
    <w:rsid w:val="00B45800"/>
    <w:rsid w:val="00B45818"/>
    <w:rsid w:val="00B4597D"/>
    <w:rsid w:val="00B45B6D"/>
    <w:rsid w:val="00B45D20"/>
    <w:rsid w:val="00B460B2"/>
    <w:rsid w:val="00B46165"/>
    <w:rsid w:val="00B462DA"/>
    <w:rsid w:val="00B46338"/>
    <w:rsid w:val="00B46708"/>
    <w:rsid w:val="00B46855"/>
    <w:rsid w:val="00B468C6"/>
    <w:rsid w:val="00B46975"/>
    <w:rsid w:val="00B46A64"/>
    <w:rsid w:val="00B46AB2"/>
    <w:rsid w:val="00B46CD8"/>
    <w:rsid w:val="00B46F1A"/>
    <w:rsid w:val="00B4726D"/>
    <w:rsid w:val="00B47444"/>
    <w:rsid w:val="00B474D5"/>
    <w:rsid w:val="00B47674"/>
    <w:rsid w:val="00B476E3"/>
    <w:rsid w:val="00B47CC6"/>
    <w:rsid w:val="00B47D0D"/>
    <w:rsid w:val="00B47DAC"/>
    <w:rsid w:val="00B47EE5"/>
    <w:rsid w:val="00B47F3D"/>
    <w:rsid w:val="00B50717"/>
    <w:rsid w:val="00B50A78"/>
    <w:rsid w:val="00B50B0A"/>
    <w:rsid w:val="00B50EC3"/>
    <w:rsid w:val="00B5107B"/>
    <w:rsid w:val="00B5153E"/>
    <w:rsid w:val="00B517C7"/>
    <w:rsid w:val="00B51B37"/>
    <w:rsid w:val="00B52074"/>
    <w:rsid w:val="00B5214F"/>
    <w:rsid w:val="00B52735"/>
    <w:rsid w:val="00B52988"/>
    <w:rsid w:val="00B52D45"/>
    <w:rsid w:val="00B52DD3"/>
    <w:rsid w:val="00B5313E"/>
    <w:rsid w:val="00B5331E"/>
    <w:rsid w:val="00B5341E"/>
    <w:rsid w:val="00B53D68"/>
    <w:rsid w:val="00B5425F"/>
    <w:rsid w:val="00B54763"/>
    <w:rsid w:val="00B54767"/>
    <w:rsid w:val="00B54818"/>
    <w:rsid w:val="00B5487A"/>
    <w:rsid w:val="00B54A80"/>
    <w:rsid w:val="00B55188"/>
    <w:rsid w:val="00B551C3"/>
    <w:rsid w:val="00B55427"/>
    <w:rsid w:val="00B55A16"/>
    <w:rsid w:val="00B55D89"/>
    <w:rsid w:val="00B55E19"/>
    <w:rsid w:val="00B55EB0"/>
    <w:rsid w:val="00B56089"/>
    <w:rsid w:val="00B56100"/>
    <w:rsid w:val="00B56278"/>
    <w:rsid w:val="00B566D1"/>
    <w:rsid w:val="00B568B4"/>
    <w:rsid w:val="00B56CCA"/>
    <w:rsid w:val="00B56E6D"/>
    <w:rsid w:val="00B56F7C"/>
    <w:rsid w:val="00B5715B"/>
    <w:rsid w:val="00B57422"/>
    <w:rsid w:val="00B5747B"/>
    <w:rsid w:val="00B578AC"/>
    <w:rsid w:val="00B579D2"/>
    <w:rsid w:val="00B57B98"/>
    <w:rsid w:val="00B60044"/>
    <w:rsid w:val="00B6048F"/>
    <w:rsid w:val="00B6072E"/>
    <w:rsid w:val="00B609B0"/>
    <w:rsid w:val="00B60AC6"/>
    <w:rsid w:val="00B61196"/>
    <w:rsid w:val="00B6140C"/>
    <w:rsid w:val="00B61BB8"/>
    <w:rsid w:val="00B61CB4"/>
    <w:rsid w:val="00B61DB7"/>
    <w:rsid w:val="00B61EAC"/>
    <w:rsid w:val="00B61F87"/>
    <w:rsid w:val="00B62072"/>
    <w:rsid w:val="00B6210E"/>
    <w:rsid w:val="00B62CAF"/>
    <w:rsid w:val="00B62EDE"/>
    <w:rsid w:val="00B62EEA"/>
    <w:rsid w:val="00B63567"/>
    <w:rsid w:val="00B63734"/>
    <w:rsid w:val="00B642B1"/>
    <w:rsid w:val="00B6448D"/>
    <w:rsid w:val="00B644D4"/>
    <w:rsid w:val="00B64636"/>
    <w:rsid w:val="00B649FE"/>
    <w:rsid w:val="00B64A61"/>
    <w:rsid w:val="00B64C81"/>
    <w:rsid w:val="00B64CC3"/>
    <w:rsid w:val="00B64E9F"/>
    <w:rsid w:val="00B6535B"/>
    <w:rsid w:val="00B6543E"/>
    <w:rsid w:val="00B655E9"/>
    <w:rsid w:val="00B65688"/>
    <w:rsid w:val="00B657B4"/>
    <w:rsid w:val="00B65823"/>
    <w:rsid w:val="00B65DEB"/>
    <w:rsid w:val="00B65EDB"/>
    <w:rsid w:val="00B662AB"/>
    <w:rsid w:val="00B66681"/>
    <w:rsid w:val="00B668E5"/>
    <w:rsid w:val="00B66AC4"/>
    <w:rsid w:val="00B66C79"/>
    <w:rsid w:val="00B66CC1"/>
    <w:rsid w:val="00B66FF2"/>
    <w:rsid w:val="00B67170"/>
    <w:rsid w:val="00B67CDD"/>
    <w:rsid w:val="00B70151"/>
    <w:rsid w:val="00B7023C"/>
    <w:rsid w:val="00B706C4"/>
    <w:rsid w:val="00B70EEF"/>
    <w:rsid w:val="00B717B2"/>
    <w:rsid w:val="00B71C16"/>
    <w:rsid w:val="00B71E13"/>
    <w:rsid w:val="00B71EEB"/>
    <w:rsid w:val="00B72169"/>
    <w:rsid w:val="00B725EA"/>
    <w:rsid w:val="00B72669"/>
    <w:rsid w:val="00B72878"/>
    <w:rsid w:val="00B72976"/>
    <w:rsid w:val="00B72E1B"/>
    <w:rsid w:val="00B72EA0"/>
    <w:rsid w:val="00B72FD4"/>
    <w:rsid w:val="00B72FE7"/>
    <w:rsid w:val="00B732D9"/>
    <w:rsid w:val="00B736B4"/>
    <w:rsid w:val="00B73B31"/>
    <w:rsid w:val="00B73CF2"/>
    <w:rsid w:val="00B73D0D"/>
    <w:rsid w:val="00B73E52"/>
    <w:rsid w:val="00B74097"/>
    <w:rsid w:val="00B741AF"/>
    <w:rsid w:val="00B7423E"/>
    <w:rsid w:val="00B7436C"/>
    <w:rsid w:val="00B7437F"/>
    <w:rsid w:val="00B7445C"/>
    <w:rsid w:val="00B744D9"/>
    <w:rsid w:val="00B74592"/>
    <w:rsid w:val="00B74768"/>
    <w:rsid w:val="00B74A82"/>
    <w:rsid w:val="00B74BF6"/>
    <w:rsid w:val="00B75018"/>
    <w:rsid w:val="00B7517A"/>
    <w:rsid w:val="00B753B5"/>
    <w:rsid w:val="00B753EC"/>
    <w:rsid w:val="00B75548"/>
    <w:rsid w:val="00B756FE"/>
    <w:rsid w:val="00B75A5F"/>
    <w:rsid w:val="00B75BEF"/>
    <w:rsid w:val="00B76734"/>
    <w:rsid w:val="00B7678B"/>
    <w:rsid w:val="00B76B0B"/>
    <w:rsid w:val="00B76C90"/>
    <w:rsid w:val="00B76C92"/>
    <w:rsid w:val="00B76CFC"/>
    <w:rsid w:val="00B76F2F"/>
    <w:rsid w:val="00B771E4"/>
    <w:rsid w:val="00B77280"/>
    <w:rsid w:val="00B7753D"/>
    <w:rsid w:val="00B77660"/>
    <w:rsid w:val="00B7774B"/>
    <w:rsid w:val="00B77B75"/>
    <w:rsid w:val="00B77E1E"/>
    <w:rsid w:val="00B77FB9"/>
    <w:rsid w:val="00B80002"/>
    <w:rsid w:val="00B802B4"/>
    <w:rsid w:val="00B802BB"/>
    <w:rsid w:val="00B80398"/>
    <w:rsid w:val="00B806C9"/>
    <w:rsid w:val="00B809B1"/>
    <w:rsid w:val="00B81358"/>
    <w:rsid w:val="00B816CC"/>
    <w:rsid w:val="00B81ABA"/>
    <w:rsid w:val="00B82212"/>
    <w:rsid w:val="00B823CB"/>
    <w:rsid w:val="00B8243B"/>
    <w:rsid w:val="00B82473"/>
    <w:rsid w:val="00B82513"/>
    <w:rsid w:val="00B8257F"/>
    <w:rsid w:val="00B828BA"/>
    <w:rsid w:val="00B82994"/>
    <w:rsid w:val="00B82B67"/>
    <w:rsid w:val="00B82C8A"/>
    <w:rsid w:val="00B82D87"/>
    <w:rsid w:val="00B82EEA"/>
    <w:rsid w:val="00B82F65"/>
    <w:rsid w:val="00B83451"/>
    <w:rsid w:val="00B834F9"/>
    <w:rsid w:val="00B838BE"/>
    <w:rsid w:val="00B838F5"/>
    <w:rsid w:val="00B83C49"/>
    <w:rsid w:val="00B84479"/>
    <w:rsid w:val="00B844D5"/>
    <w:rsid w:val="00B848DB"/>
    <w:rsid w:val="00B84A4A"/>
    <w:rsid w:val="00B84C14"/>
    <w:rsid w:val="00B84D45"/>
    <w:rsid w:val="00B84D7D"/>
    <w:rsid w:val="00B84F3A"/>
    <w:rsid w:val="00B8505C"/>
    <w:rsid w:val="00B85185"/>
    <w:rsid w:val="00B855B5"/>
    <w:rsid w:val="00B85D03"/>
    <w:rsid w:val="00B85D36"/>
    <w:rsid w:val="00B85D40"/>
    <w:rsid w:val="00B85D76"/>
    <w:rsid w:val="00B85EE7"/>
    <w:rsid w:val="00B85F3E"/>
    <w:rsid w:val="00B86444"/>
    <w:rsid w:val="00B86498"/>
    <w:rsid w:val="00B869E1"/>
    <w:rsid w:val="00B86E63"/>
    <w:rsid w:val="00B86F31"/>
    <w:rsid w:val="00B8723B"/>
    <w:rsid w:val="00B8754A"/>
    <w:rsid w:val="00B87606"/>
    <w:rsid w:val="00B877CE"/>
    <w:rsid w:val="00B87CA8"/>
    <w:rsid w:val="00B87D00"/>
    <w:rsid w:val="00B90226"/>
    <w:rsid w:val="00B90256"/>
    <w:rsid w:val="00B9051F"/>
    <w:rsid w:val="00B90555"/>
    <w:rsid w:val="00B90F03"/>
    <w:rsid w:val="00B911DE"/>
    <w:rsid w:val="00B911FA"/>
    <w:rsid w:val="00B919CA"/>
    <w:rsid w:val="00B91A46"/>
    <w:rsid w:val="00B91AE3"/>
    <w:rsid w:val="00B91BBC"/>
    <w:rsid w:val="00B91CD6"/>
    <w:rsid w:val="00B91E69"/>
    <w:rsid w:val="00B92188"/>
    <w:rsid w:val="00B9222E"/>
    <w:rsid w:val="00B9231E"/>
    <w:rsid w:val="00B92384"/>
    <w:rsid w:val="00B92421"/>
    <w:rsid w:val="00B9263C"/>
    <w:rsid w:val="00B92708"/>
    <w:rsid w:val="00B9277B"/>
    <w:rsid w:val="00B927D2"/>
    <w:rsid w:val="00B92947"/>
    <w:rsid w:val="00B929FD"/>
    <w:rsid w:val="00B92C7A"/>
    <w:rsid w:val="00B92E61"/>
    <w:rsid w:val="00B930DE"/>
    <w:rsid w:val="00B9356C"/>
    <w:rsid w:val="00B936B4"/>
    <w:rsid w:val="00B937FC"/>
    <w:rsid w:val="00B93C97"/>
    <w:rsid w:val="00B93D64"/>
    <w:rsid w:val="00B93E00"/>
    <w:rsid w:val="00B93ED3"/>
    <w:rsid w:val="00B93F34"/>
    <w:rsid w:val="00B940D1"/>
    <w:rsid w:val="00B9466D"/>
    <w:rsid w:val="00B9470D"/>
    <w:rsid w:val="00B94900"/>
    <w:rsid w:val="00B94B3E"/>
    <w:rsid w:val="00B94C22"/>
    <w:rsid w:val="00B94DE0"/>
    <w:rsid w:val="00B94F4A"/>
    <w:rsid w:val="00B94F5C"/>
    <w:rsid w:val="00B95396"/>
    <w:rsid w:val="00B95C23"/>
    <w:rsid w:val="00B95D47"/>
    <w:rsid w:val="00B95ED5"/>
    <w:rsid w:val="00B95FBE"/>
    <w:rsid w:val="00B96043"/>
    <w:rsid w:val="00B960F8"/>
    <w:rsid w:val="00B96129"/>
    <w:rsid w:val="00B966EB"/>
    <w:rsid w:val="00B96729"/>
    <w:rsid w:val="00B96752"/>
    <w:rsid w:val="00B96D5B"/>
    <w:rsid w:val="00B96DD8"/>
    <w:rsid w:val="00B96FA8"/>
    <w:rsid w:val="00B97346"/>
    <w:rsid w:val="00B975C0"/>
    <w:rsid w:val="00B9767A"/>
    <w:rsid w:val="00B97785"/>
    <w:rsid w:val="00B97836"/>
    <w:rsid w:val="00B97875"/>
    <w:rsid w:val="00B97AC1"/>
    <w:rsid w:val="00B97DD1"/>
    <w:rsid w:val="00BA0076"/>
    <w:rsid w:val="00BA01E0"/>
    <w:rsid w:val="00BA0327"/>
    <w:rsid w:val="00BA069E"/>
    <w:rsid w:val="00BA06EC"/>
    <w:rsid w:val="00BA09CE"/>
    <w:rsid w:val="00BA0A2D"/>
    <w:rsid w:val="00BA0F70"/>
    <w:rsid w:val="00BA120A"/>
    <w:rsid w:val="00BA1274"/>
    <w:rsid w:val="00BA16F4"/>
    <w:rsid w:val="00BA18FA"/>
    <w:rsid w:val="00BA1C3B"/>
    <w:rsid w:val="00BA1F62"/>
    <w:rsid w:val="00BA20AB"/>
    <w:rsid w:val="00BA22F1"/>
    <w:rsid w:val="00BA25AE"/>
    <w:rsid w:val="00BA2771"/>
    <w:rsid w:val="00BA2DA5"/>
    <w:rsid w:val="00BA3037"/>
    <w:rsid w:val="00BA3270"/>
    <w:rsid w:val="00BA349B"/>
    <w:rsid w:val="00BA3518"/>
    <w:rsid w:val="00BA36F1"/>
    <w:rsid w:val="00BA3B0C"/>
    <w:rsid w:val="00BA3C03"/>
    <w:rsid w:val="00BA3D37"/>
    <w:rsid w:val="00BA3E9C"/>
    <w:rsid w:val="00BA3E9F"/>
    <w:rsid w:val="00BA4162"/>
    <w:rsid w:val="00BA4654"/>
    <w:rsid w:val="00BA48DD"/>
    <w:rsid w:val="00BA49AA"/>
    <w:rsid w:val="00BA4FE8"/>
    <w:rsid w:val="00BA510E"/>
    <w:rsid w:val="00BA5564"/>
    <w:rsid w:val="00BA5771"/>
    <w:rsid w:val="00BA5AD2"/>
    <w:rsid w:val="00BA606C"/>
    <w:rsid w:val="00BA60FE"/>
    <w:rsid w:val="00BA6265"/>
    <w:rsid w:val="00BA6411"/>
    <w:rsid w:val="00BA642B"/>
    <w:rsid w:val="00BA6545"/>
    <w:rsid w:val="00BA656F"/>
    <w:rsid w:val="00BA6591"/>
    <w:rsid w:val="00BA66AB"/>
    <w:rsid w:val="00BA6C56"/>
    <w:rsid w:val="00BA6DBC"/>
    <w:rsid w:val="00BA6DFE"/>
    <w:rsid w:val="00BA6E82"/>
    <w:rsid w:val="00BA6FD1"/>
    <w:rsid w:val="00BA7668"/>
    <w:rsid w:val="00BA7AEB"/>
    <w:rsid w:val="00BA7B25"/>
    <w:rsid w:val="00BA7BC9"/>
    <w:rsid w:val="00BA7DE9"/>
    <w:rsid w:val="00BA7F22"/>
    <w:rsid w:val="00BA7FCA"/>
    <w:rsid w:val="00BB005A"/>
    <w:rsid w:val="00BB009D"/>
    <w:rsid w:val="00BB0350"/>
    <w:rsid w:val="00BB039B"/>
    <w:rsid w:val="00BB0451"/>
    <w:rsid w:val="00BB0579"/>
    <w:rsid w:val="00BB0ADB"/>
    <w:rsid w:val="00BB0CAE"/>
    <w:rsid w:val="00BB0D86"/>
    <w:rsid w:val="00BB1B14"/>
    <w:rsid w:val="00BB1B72"/>
    <w:rsid w:val="00BB1D11"/>
    <w:rsid w:val="00BB1D64"/>
    <w:rsid w:val="00BB2238"/>
    <w:rsid w:val="00BB22DF"/>
    <w:rsid w:val="00BB24F6"/>
    <w:rsid w:val="00BB24FB"/>
    <w:rsid w:val="00BB268B"/>
    <w:rsid w:val="00BB274C"/>
    <w:rsid w:val="00BB2A06"/>
    <w:rsid w:val="00BB2A09"/>
    <w:rsid w:val="00BB2A97"/>
    <w:rsid w:val="00BB2AA0"/>
    <w:rsid w:val="00BB2C88"/>
    <w:rsid w:val="00BB2CF5"/>
    <w:rsid w:val="00BB2DE8"/>
    <w:rsid w:val="00BB3118"/>
    <w:rsid w:val="00BB31F1"/>
    <w:rsid w:val="00BB3250"/>
    <w:rsid w:val="00BB3CDC"/>
    <w:rsid w:val="00BB3F3F"/>
    <w:rsid w:val="00BB3FC4"/>
    <w:rsid w:val="00BB418A"/>
    <w:rsid w:val="00BB47BA"/>
    <w:rsid w:val="00BB4A4D"/>
    <w:rsid w:val="00BB4F12"/>
    <w:rsid w:val="00BB4F22"/>
    <w:rsid w:val="00BB5355"/>
    <w:rsid w:val="00BB5664"/>
    <w:rsid w:val="00BB5788"/>
    <w:rsid w:val="00BB599E"/>
    <w:rsid w:val="00BB59BA"/>
    <w:rsid w:val="00BB59D1"/>
    <w:rsid w:val="00BB5E25"/>
    <w:rsid w:val="00BB631D"/>
    <w:rsid w:val="00BB646E"/>
    <w:rsid w:val="00BB68DD"/>
    <w:rsid w:val="00BB6C5B"/>
    <w:rsid w:val="00BB6DB5"/>
    <w:rsid w:val="00BB6E21"/>
    <w:rsid w:val="00BB72D9"/>
    <w:rsid w:val="00BB7615"/>
    <w:rsid w:val="00BB7726"/>
    <w:rsid w:val="00BB7844"/>
    <w:rsid w:val="00BB7857"/>
    <w:rsid w:val="00BB790F"/>
    <w:rsid w:val="00BB7ECA"/>
    <w:rsid w:val="00BC0599"/>
    <w:rsid w:val="00BC0626"/>
    <w:rsid w:val="00BC0814"/>
    <w:rsid w:val="00BC092C"/>
    <w:rsid w:val="00BC0D77"/>
    <w:rsid w:val="00BC0FFA"/>
    <w:rsid w:val="00BC12C7"/>
    <w:rsid w:val="00BC13E5"/>
    <w:rsid w:val="00BC14AA"/>
    <w:rsid w:val="00BC1512"/>
    <w:rsid w:val="00BC1590"/>
    <w:rsid w:val="00BC168C"/>
    <w:rsid w:val="00BC1815"/>
    <w:rsid w:val="00BC184B"/>
    <w:rsid w:val="00BC18A6"/>
    <w:rsid w:val="00BC1A47"/>
    <w:rsid w:val="00BC1B2F"/>
    <w:rsid w:val="00BC1B51"/>
    <w:rsid w:val="00BC1BE2"/>
    <w:rsid w:val="00BC1C4A"/>
    <w:rsid w:val="00BC218A"/>
    <w:rsid w:val="00BC21C8"/>
    <w:rsid w:val="00BC25FF"/>
    <w:rsid w:val="00BC27A6"/>
    <w:rsid w:val="00BC343D"/>
    <w:rsid w:val="00BC359B"/>
    <w:rsid w:val="00BC367C"/>
    <w:rsid w:val="00BC3A9B"/>
    <w:rsid w:val="00BC3FA7"/>
    <w:rsid w:val="00BC42FF"/>
    <w:rsid w:val="00BC489B"/>
    <w:rsid w:val="00BC4A86"/>
    <w:rsid w:val="00BC4BAC"/>
    <w:rsid w:val="00BC4C56"/>
    <w:rsid w:val="00BC4C93"/>
    <w:rsid w:val="00BC5632"/>
    <w:rsid w:val="00BC5670"/>
    <w:rsid w:val="00BC5A54"/>
    <w:rsid w:val="00BC5F86"/>
    <w:rsid w:val="00BC61A3"/>
    <w:rsid w:val="00BC699F"/>
    <w:rsid w:val="00BC6AC7"/>
    <w:rsid w:val="00BC6EDC"/>
    <w:rsid w:val="00BC6FE8"/>
    <w:rsid w:val="00BC7239"/>
    <w:rsid w:val="00BC7321"/>
    <w:rsid w:val="00BC7478"/>
    <w:rsid w:val="00BC7862"/>
    <w:rsid w:val="00BC7EE0"/>
    <w:rsid w:val="00BD005A"/>
    <w:rsid w:val="00BD0202"/>
    <w:rsid w:val="00BD0456"/>
    <w:rsid w:val="00BD055B"/>
    <w:rsid w:val="00BD0644"/>
    <w:rsid w:val="00BD0BD9"/>
    <w:rsid w:val="00BD0C64"/>
    <w:rsid w:val="00BD10B7"/>
    <w:rsid w:val="00BD10EE"/>
    <w:rsid w:val="00BD120B"/>
    <w:rsid w:val="00BD12AF"/>
    <w:rsid w:val="00BD12E8"/>
    <w:rsid w:val="00BD1405"/>
    <w:rsid w:val="00BD1962"/>
    <w:rsid w:val="00BD1A83"/>
    <w:rsid w:val="00BD2664"/>
    <w:rsid w:val="00BD27E3"/>
    <w:rsid w:val="00BD2A71"/>
    <w:rsid w:val="00BD2C44"/>
    <w:rsid w:val="00BD2C4C"/>
    <w:rsid w:val="00BD302A"/>
    <w:rsid w:val="00BD37F1"/>
    <w:rsid w:val="00BD3800"/>
    <w:rsid w:val="00BD398E"/>
    <w:rsid w:val="00BD39C9"/>
    <w:rsid w:val="00BD3AC0"/>
    <w:rsid w:val="00BD4072"/>
    <w:rsid w:val="00BD407B"/>
    <w:rsid w:val="00BD40AE"/>
    <w:rsid w:val="00BD419E"/>
    <w:rsid w:val="00BD42A5"/>
    <w:rsid w:val="00BD443A"/>
    <w:rsid w:val="00BD47C9"/>
    <w:rsid w:val="00BD4B84"/>
    <w:rsid w:val="00BD4C3B"/>
    <w:rsid w:val="00BD4C8E"/>
    <w:rsid w:val="00BD4D42"/>
    <w:rsid w:val="00BD501C"/>
    <w:rsid w:val="00BD51A5"/>
    <w:rsid w:val="00BD5502"/>
    <w:rsid w:val="00BD5675"/>
    <w:rsid w:val="00BD579A"/>
    <w:rsid w:val="00BD5973"/>
    <w:rsid w:val="00BD5ABE"/>
    <w:rsid w:val="00BD5ADB"/>
    <w:rsid w:val="00BD5AE7"/>
    <w:rsid w:val="00BD5CAC"/>
    <w:rsid w:val="00BD5D96"/>
    <w:rsid w:val="00BD5E27"/>
    <w:rsid w:val="00BD6227"/>
    <w:rsid w:val="00BD64E5"/>
    <w:rsid w:val="00BD65DC"/>
    <w:rsid w:val="00BD6646"/>
    <w:rsid w:val="00BD67A1"/>
    <w:rsid w:val="00BD6801"/>
    <w:rsid w:val="00BD6B20"/>
    <w:rsid w:val="00BD6E67"/>
    <w:rsid w:val="00BD761D"/>
    <w:rsid w:val="00BD7B39"/>
    <w:rsid w:val="00BD7CA8"/>
    <w:rsid w:val="00BD7E83"/>
    <w:rsid w:val="00BD7EDD"/>
    <w:rsid w:val="00BD7F23"/>
    <w:rsid w:val="00BE0143"/>
    <w:rsid w:val="00BE01C4"/>
    <w:rsid w:val="00BE01C6"/>
    <w:rsid w:val="00BE03A3"/>
    <w:rsid w:val="00BE083F"/>
    <w:rsid w:val="00BE0A82"/>
    <w:rsid w:val="00BE0BD4"/>
    <w:rsid w:val="00BE0BE9"/>
    <w:rsid w:val="00BE0D37"/>
    <w:rsid w:val="00BE10EE"/>
    <w:rsid w:val="00BE171D"/>
    <w:rsid w:val="00BE1815"/>
    <w:rsid w:val="00BE1DBA"/>
    <w:rsid w:val="00BE1EF8"/>
    <w:rsid w:val="00BE20A9"/>
    <w:rsid w:val="00BE21D0"/>
    <w:rsid w:val="00BE2221"/>
    <w:rsid w:val="00BE2326"/>
    <w:rsid w:val="00BE242D"/>
    <w:rsid w:val="00BE29E4"/>
    <w:rsid w:val="00BE2C22"/>
    <w:rsid w:val="00BE2DFB"/>
    <w:rsid w:val="00BE2EB4"/>
    <w:rsid w:val="00BE2F9C"/>
    <w:rsid w:val="00BE30E5"/>
    <w:rsid w:val="00BE3426"/>
    <w:rsid w:val="00BE3C37"/>
    <w:rsid w:val="00BE40C8"/>
    <w:rsid w:val="00BE40D7"/>
    <w:rsid w:val="00BE422D"/>
    <w:rsid w:val="00BE4487"/>
    <w:rsid w:val="00BE45EE"/>
    <w:rsid w:val="00BE46D3"/>
    <w:rsid w:val="00BE46D6"/>
    <w:rsid w:val="00BE4BCA"/>
    <w:rsid w:val="00BE543E"/>
    <w:rsid w:val="00BE5557"/>
    <w:rsid w:val="00BE5820"/>
    <w:rsid w:val="00BE582A"/>
    <w:rsid w:val="00BE58EE"/>
    <w:rsid w:val="00BE5B2D"/>
    <w:rsid w:val="00BE5B99"/>
    <w:rsid w:val="00BE5BEE"/>
    <w:rsid w:val="00BE5D34"/>
    <w:rsid w:val="00BE6234"/>
    <w:rsid w:val="00BE659D"/>
    <w:rsid w:val="00BE69E5"/>
    <w:rsid w:val="00BE6B3F"/>
    <w:rsid w:val="00BE7149"/>
    <w:rsid w:val="00BE7589"/>
    <w:rsid w:val="00BE7A96"/>
    <w:rsid w:val="00BE7B8A"/>
    <w:rsid w:val="00BE7E5A"/>
    <w:rsid w:val="00BF01E1"/>
    <w:rsid w:val="00BF0399"/>
    <w:rsid w:val="00BF0618"/>
    <w:rsid w:val="00BF0911"/>
    <w:rsid w:val="00BF0A2D"/>
    <w:rsid w:val="00BF0B2C"/>
    <w:rsid w:val="00BF0B32"/>
    <w:rsid w:val="00BF1163"/>
    <w:rsid w:val="00BF12C4"/>
    <w:rsid w:val="00BF1530"/>
    <w:rsid w:val="00BF1D4D"/>
    <w:rsid w:val="00BF1F2F"/>
    <w:rsid w:val="00BF2165"/>
    <w:rsid w:val="00BF2417"/>
    <w:rsid w:val="00BF2523"/>
    <w:rsid w:val="00BF2535"/>
    <w:rsid w:val="00BF2C16"/>
    <w:rsid w:val="00BF2C77"/>
    <w:rsid w:val="00BF317A"/>
    <w:rsid w:val="00BF32AC"/>
    <w:rsid w:val="00BF3314"/>
    <w:rsid w:val="00BF3605"/>
    <w:rsid w:val="00BF39F5"/>
    <w:rsid w:val="00BF3AF6"/>
    <w:rsid w:val="00BF3E2D"/>
    <w:rsid w:val="00BF3F17"/>
    <w:rsid w:val="00BF40B8"/>
    <w:rsid w:val="00BF45A9"/>
    <w:rsid w:val="00BF475A"/>
    <w:rsid w:val="00BF480E"/>
    <w:rsid w:val="00BF4B25"/>
    <w:rsid w:val="00BF4D6B"/>
    <w:rsid w:val="00BF5094"/>
    <w:rsid w:val="00BF5481"/>
    <w:rsid w:val="00BF5551"/>
    <w:rsid w:val="00BF5671"/>
    <w:rsid w:val="00BF5876"/>
    <w:rsid w:val="00BF5A88"/>
    <w:rsid w:val="00BF5AF1"/>
    <w:rsid w:val="00BF5BDE"/>
    <w:rsid w:val="00BF6049"/>
    <w:rsid w:val="00BF6126"/>
    <w:rsid w:val="00BF61D9"/>
    <w:rsid w:val="00BF6329"/>
    <w:rsid w:val="00BF652C"/>
    <w:rsid w:val="00BF6599"/>
    <w:rsid w:val="00BF65DF"/>
    <w:rsid w:val="00BF6754"/>
    <w:rsid w:val="00BF6C9F"/>
    <w:rsid w:val="00BF6E56"/>
    <w:rsid w:val="00BF6E5F"/>
    <w:rsid w:val="00BF6F27"/>
    <w:rsid w:val="00BF71BE"/>
    <w:rsid w:val="00BF7789"/>
    <w:rsid w:val="00BF7D17"/>
    <w:rsid w:val="00BF7DA1"/>
    <w:rsid w:val="00C00254"/>
    <w:rsid w:val="00C002AA"/>
    <w:rsid w:val="00C002B1"/>
    <w:rsid w:val="00C007AD"/>
    <w:rsid w:val="00C00820"/>
    <w:rsid w:val="00C0088B"/>
    <w:rsid w:val="00C00996"/>
    <w:rsid w:val="00C009F0"/>
    <w:rsid w:val="00C00CDF"/>
    <w:rsid w:val="00C00DE9"/>
    <w:rsid w:val="00C011F1"/>
    <w:rsid w:val="00C01440"/>
    <w:rsid w:val="00C016F5"/>
    <w:rsid w:val="00C01734"/>
    <w:rsid w:val="00C017A3"/>
    <w:rsid w:val="00C018EA"/>
    <w:rsid w:val="00C01AB1"/>
    <w:rsid w:val="00C01ABE"/>
    <w:rsid w:val="00C01C2A"/>
    <w:rsid w:val="00C01D70"/>
    <w:rsid w:val="00C01DC1"/>
    <w:rsid w:val="00C02046"/>
    <w:rsid w:val="00C020B8"/>
    <w:rsid w:val="00C02352"/>
    <w:rsid w:val="00C02732"/>
    <w:rsid w:val="00C027F5"/>
    <w:rsid w:val="00C02D42"/>
    <w:rsid w:val="00C03432"/>
    <w:rsid w:val="00C03451"/>
    <w:rsid w:val="00C0378E"/>
    <w:rsid w:val="00C03885"/>
    <w:rsid w:val="00C03982"/>
    <w:rsid w:val="00C039F3"/>
    <w:rsid w:val="00C03C54"/>
    <w:rsid w:val="00C03F38"/>
    <w:rsid w:val="00C04169"/>
    <w:rsid w:val="00C0428F"/>
    <w:rsid w:val="00C0436A"/>
    <w:rsid w:val="00C045A4"/>
    <w:rsid w:val="00C046CC"/>
    <w:rsid w:val="00C04911"/>
    <w:rsid w:val="00C04DF9"/>
    <w:rsid w:val="00C04F9C"/>
    <w:rsid w:val="00C051C4"/>
    <w:rsid w:val="00C054A5"/>
    <w:rsid w:val="00C0579F"/>
    <w:rsid w:val="00C05CEA"/>
    <w:rsid w:val="00C05CFE"/>
    <w:rsid w:val="00C05D0C"/>
    <w:rsid w:val="00C05E10"/>
    <w:rsid w:val="00C05EE2"/>
    <w:rsid w:val="00C0614B"/>
    <w:rsid w:val="00C063DE"/>
    <w:rsid w:val="00C065C2"/>
    <w:rsid w:val="00C068E9"/>
    <w:rsid w:val="00C069D5"/>
    <w:rsid w:val="00C06ACF"/>
    <w:rsid w:val="00C06B9A"/>
    <w:rsid w:val="00C07030"/>
    <w:rsid w:val="00C0767F"/>
    <w:rsid w:val="00C07726"/>
    <w:rsid w:val="00C077C2"/>
    <w:rsid w:val="00C0789C"/>
    <w:rsid w:val="00C0791D"/>
    <w:rsid w:val="00C07BE5"/>
    <w:rsid w:val="00C07C3C"/>
    <w:rsid w:val="00C07DE9"/>
    <w:rsid w:val="00C10262"/>
    <w:rsid w:val="00C10510"/>
    <w:rsid w:val="00C1096F"/>
    <w:rsid w:val="00C10BB0"/>
    <w:rsid w:val="00C10E8E"/>
    <w:rsid w:val="00C10FFE"/>
    <w:rsid w:val="00C110C9"/>
    <w:rsid w:val="00C111FC"/>
    <w:rsid w:val="00C11401"/>
    <w:rsid w:val="00C11593"/>
    <w:rsid w:val="00C11BA1"/>
    <w:rsid w:val="00C11BDD"/>
    <w:rsid w:val="00C11CAF"/>
    <w:rsid w:val="00C11D04"/>
    <w:rsid w:val="00C11E58"/>
    <w:rsid w:val="00C121A5"/>
    <w:rsid w:val="00C1266B"/>
    <w:rsid w:val="00C127BA"/>
    <w:rsid w:val="00C12929"/>
    <w:rsid w:val="00C12C75"/>
    <w:rsid w:val="00C12C84"/>
    <w:rsid w:val="00C12CAF"/>
    <w:rsid w:val="00C12E8B"/>
    <w:rsid w:val="00C13000"/>
    <w:rsid w:val="00C13336"/>
    <w:rsid w:val="00C137D3"/>
    <w:rsid w:val="00C1396F"/>
    <w:rsid w:val="00C13C61"/>
    <w:rsid w:val="00C13D18"/>
    <w:rsid w:val="00C13D7C"/>
    <w:rsid w:val="00C13E2F"/>
    <w:rsid w:val="00C13E85"/>
    <w:rsid w:val="00C1405E"/>
    <w:rsid w:val="00C140C5"/>
    <w:rsid w:val="00C141B2"/>
    <w:rsid w:val="00C14977"/>
    <w:rsid w:val="00C149C1"/>
    <w:rsid w:val="00C149C3"/>
    <w:rsid w:val="00C14B1D"/>
    <w:rsid w:val="00C14EBC"/>
    <w:rsid w:val="00C14F9E"/>
    <w:rsid w:val="00C14FA8"/>
    <w:rsid w:val="00C150C8"/>
    <w:rsid w:val="00C1523F"/>
    <w:rsid w:val="00C15279"/>
    <w:rsid w:val="00C15644"/>
    <w:rsid w:val="00C1584A"/>
    <w:rsid w:val="00C15A06"/>
    <w:rsid w:val="00C15B01"/>
    <w:rsid w:val="00C15B3D"/>
    <w:rsid w:val="00C15FC5"/>
    <w:rsid w:val="00C160BD"/>
    <w:rsid w:val="00C160CC"/>
    <w:rsid w:val="00C162ED"/>
    <w:rsid w:val="00C166E1"/>
    <w:rsid w:val="00C16918"/>
    <w:rsid w:val="00C16A5D"/>
    <w:rsid w:val="00C1707E"/>
    <w:rsid w:val="00C17087"/>
    <w:rsid w:val="00C170AC"/>
    <w:rsid w:val="00C170E2"/>
    <w:rsid w:val="00C17C5B"/>
    <w:rsid w:val="00C17CDF"/>
    <w:rsid w:val="00C17D39"/>
    <w:rsid w:val="00C17F54"/>
    <w:rsid w:val="00C201A3"/>
    <w:rsid w:val="00C2025B"/>
    <w:rsid w:val="00C202DC"/>
    <w:rsid w:val="00C2036F"/>
    <w:rsid w:val="00C20AE2"/>
    <w:rsid w:val="00C20BFC"/>
    <w:rsid w:val="00C20F1D"/>
    <w:rsid w:val="00C21091"/>
    <w:rsid w:val="00C21122"/>
    <w:rsid w:val="00C21174"/>
    <w:rsid w:val="00C212CB"/>
    <w:rsid w:val="00C2172D"/>
    <w:rsid w:val="00C21A80"/>
    <w:rsid w:val="00C21BD9"/>
    <w:rsid w:val="00C22922"/>
    <w:rsid w:val="00C229CD"/>
    <w:rsid w:val="00C22C5F"/>
    <w:rsid w:val="00C22E41"/>
    <w:rsid w:val="00C23394"/>
    <w:rsid w:val="00C23419"/>
    <w:rsid w:val="00C23429"/>
    <w:rsid w:val="00C2349E"/>
    <w:rsid w:val="00C236A9"/>
    <w:rsid w:val="00C23ADE"/>
    <w:rsid w:val="00C23BF8"/>
    <w:rsid w:val="00C23C6F"/>
    <w:rsid w:val="00C23EF7"/>
    <w:rsid w:val="00C23F80"/>
    <w:rsid w:val="00C241E1"/>
    <w:rsid w:val="00C244EC"/>
    <w:rsid w:val="00C245E8"/>
    <w:rsid w:val="00C249F8"/>
    <w:rsid w:val="00C24BE6"/>
    <w:rsid w:val="00C24C12"/>
    <w:rsid w:val="00C24C91"/>
    <w:rsid w:val="00C25F5E"/>
    <w:rsid w:val="00C26043"/>
    <w:rsid w:val="00C26095"/>
    <w:rsid w:val="00C268A7"/>
    <w:rsid w:val="00C2693D"/>
    <w:rsid w:val="00C26B33"/>
    <w:rsid w:val="00C26E52"/>
    <w:rsid w:val="00C26E88"/>
    <w:rsid w:val="00C26E96"/>
    <w:rsid w:val="00C273AE"/>
    <w:rsid w:val="00C273B3"/>
    <w:rsid w:val="00C27837"/>
    <w:rsid w:val="00C278EF"/>
    <w:rsid w:val="00C27C70"/>
    <w:rsid w:val="00C27CEA"/>
    <w:rsid w:val="00C27E18"/>
    <w:rsid w:val="00C300DB"/>
    <w:rsid w:val="00C30230"/>
    <w:rsid w:val="00C303D1"/>
    <w:rsid w:val="00C30440"/>
    <w:rsid w:val="00C304AF"/>
    <w:rsid w:val="00C30511"/>
    <w:rsid w:val="00C306F0"/>
    <w:rsid w:val="00C30897"/>
    <w:rsid w:val="00C309E0"/>
    <w:rsid w:val="00C309E2"/>
    <w:rsid w:val="00C30A8C"/>
    <w:rsid w:val="00C30AC8"/>
    <w:rsid w:val="00C30B3E"/>
    <w:rsid w:val="00C30BAA"/>
    <w:rsid w:val="00C30BF1"/>
    <w:rsid w:val="00C31149"/>
    <w:rsid w:val="00C31379"/>
    <w:rsid w:val="00C3148D"/>
    <w:rsid w:val="00C314D0"/>
    <w:rsid w:val="00C3159E"/>
    <w:rsid w:val="00C31B52"/>
    <w:rsid w:val="00C32347"/>
    <w:rsid w:val="00C32379"/>
    <w:rsid w:val="00C3251E"/>
    <w:rsid w:val="00C32A7D"/>
    <w:rsid w:val="00C32B3D"/>
    <w:rsid w:val="00C32D43"/>
    <w:rsid w:val="00C32DB1"/>
    <w:rsid w:val="00C3314F"/>
    <w:rsid w:val="00C331A7"/>
    <w:rsid w:val="00C3352E"/>
    <w:rsid w:val="00C3358C"/>
    <w:rsid w:val="00C33ACF"/>
    <w:rsid w:val="00C34013"/>
    <w:rsid w:val="00C3463F"/>
    <w:rsid w:val="00C3464B"/>
    <w:rsid w:val="00C347CF"/>
    <w:rsid w:val="00C34B00"/>
    <w:rsid w:val="00C34B13"/>
    <w:rsid w:val="00C34C6A"/>
    <w:rsid w:val="00C34D42"/>
    <w:rsid w:val="00C351BA"/>
    <w:rsid w:val="00C351C6"/>
    <w:rsid w:val="00C3547B"/>
    <w:rsid w:val="00C35722"/>
    <w:rsid w:val="00C35826"/>
    <w:rsid w:val="00C3592E"/>
    <w:rsid w:val="00C3596F"/>
    <w:rsid w:val="00C35B5E"/>
    <w:rsid w:val="00C35C0D"/>
    <w:rsid w:val="00C360E5"/>
    <w:rsid w:val="00C36237"/>
    <w:rsid w:val="00C363CE"/>
    <w:rsid w:val="00C3659C"/>
    <w:rsid w:val="00C368FC"/>
    <w:rsid w:val="00C369F6"/>
    <w:rsid w:val="00C36A24"/>
    <w:rsid w:val="00C36DA5"/>
    <w:rsid w:val="00C36DCB"/>
    <w:rsid w:val="00C36FD3"/>
    <w:rsid w:val="00C37036"/>
    <w:rsid w:val="00C371CC"/>
    <w:rsid w:val="00C371D1"/>
    <w:rsid w:val="00C373FE"/>
    <w:rsid w:val="00C375A6"/>
    <w:rsid w:val="00C37848"/>
    <w:rsid w:val="00C37ED1"/>
    <w:rsid w:val="00C37FD1"/>
    <w:rsid w:val="00C4011D"/>
    <w:rsid w:val="00C409FF"/>
    <w:rsid w:val="00C41053"/>
    <w:rsid w:val="00C4132C"/>
    <w:rsid w:val="00C41363"/>
    <w:rsid w:val="00C413D8"/>
    <w:rsid w:val="00C4144E"/>
    <w:rsid w:val="00C4176E"/>
    <w:rsid w:val="00C417BE"/>
    <w:rsid w:val="00C418BD"/>
    <w:rsid w:val="00C41911"/>
    <w:rsid w:val="00C419D0"/>
    <w:rsid w:val="00C41B35"/>
    <w:rsid w:val="00C41C6F"/>
    <w:rsid w:val="00C41E9A"/>
    <w:rsid w:val="00C42344"/>
    <w:rsid w:val="00C42575"/>
    <w:rsid w:val="00C4269F"/>
    <w:rsid w:val="00C4283E"/>
    <w:rsid w:val="00C42AEF"/>
    <w:rsid w:val="00C42CA6"/>
    <w:rsid w:val="00C42D4C"/>
    <w:rsid w:val="00C430B8"/>
    <w:rsid w:val="00C4314F"/>
    <w:rsid w:val="00C4320D"/>
    <w:rsid w:val="00C4349E"/>
    <w:rsid w:val="00C4366C"/>
    <w:rsid w:val="00C43728"/>
    <w:rsid w:val="00C438B9"/>
    <w:rsid w:val="00C43B75"/>
    <w:rsid w:val="00C43F7B"/>
    <w:rsid w:val="00C44033"/>
    <w:rsid w:val="00C443E9"/>
    <w:rsid w:val="00C44434"/>
    <w:rsid w:val="00C446E5"/>
    <w:rsid w:val="00C448D8"/>
    <w:rsid w:val="00C44EA7"/>
    <w:rsid w:val="00C44F76"/>
    <w:rsid w:val="00C451D5"/>
    <w:rsid w:val="00C45745"/>
    <w:rsid w:val="00C4592B"/>
    <w:rsid w:val="00C45A82"/>
    <w:rsid w:val="00C45C0B"/>
    <w:rsid w:val="00C46024"/>
    <w:rsid w:val="00C46393"/>
    <w:rsid w:val="00C4651A"/>
    <w:rsid w:val="00C467BC"/>
    <w:rsid w:val="00C4691D"/>
    <w:rsid w:val="00C46AB9"/>
    <w:rsid w:val="00C46F83"/>
    <w:rsid w:val="00C470D6"/>
    <w:rsid w:val="00C4716E"/>
    <w:rsid w:val="00C4731B"/>
    <w:rsid w:val="00C47709"/>
    <w:rsid w:val="00C47C57"/>
    <w:rsid w:val="00C500F0"/>
    <w:rsid w:val="00C501CA"/>
    <w:rsid w:val="00C5023D"/>
    <w:rsid w:val="00C503B6"/>
    <w:rsid w:val="00C50677"/>
    <w:rsid w:val="00C51717"/>
    <w:rsid w:val="00C51798"/>
    <w:rsid w:val="00C5192E"/>
    <w:rsid w:val="00C51E83"/>
    <w:rsid w:val="00C51F5C"/>
    <w:rsid w:val="00C51F72"/>
    <w:rsid w:val="00C52039"/>
    <w:rsid w:val="00C52198"/>
    <w:rsid w:val="00C52311"/>
    <w:rsid w:val="00C5248A"/>
    <w:rsid w:val="00C52716"/>
    <w:rsid w:val="00C5278D"/>
    <w:rsid w:val="00C5281F"/>
    <w:rsid w:val="00C52B6A"/>
    <w:rsid w:val="00C52C2F"/>
    <w:rsid w:val="00C52D6E"/>
    <w:rsid w:val="00C52E8E"/>
    <w:rsid w:val="00C53460"/>
    <w:rsid w:val="00C535B1"/>
    <w:rsid w:val="00C535F2"/>
    <w:rsid w:val="00C53C66"/>
    <w:rsid w:val="00C543FA"/>
    <w:rsid w:val="00C5449F"/>
    <w:rsid w:val="00C54888"/>
    <w:rsid w:val="00C54B26"/>
    <w:rsid w:val="00C54E33"/>
    <w:rsid w:val="00C551B9"/>
    <w:rsid w:val="00C552EE"/>
    <w:rsid w:val="00C55442"/>
    <w:rsid w:val="00C55698"/>
    <w:rsid w:val="00C5595C"/>
    <w:rsid w:val="00C55C2D"/>
    <w:rsid w:val="00C55E17"/>
    <w:rsid w:val="00C5618A"/>
    <w:rsid w:val="00C566CE"/>
    <w:rsid w:val="00C5676A"/>
    <w:rsid w:val="00C567F2"/>
    <w:rsid w:val="00C56B9B"/>
    <w:rsid w:val="00C56E37"/>
    <w:rsid w:val="00C56EAE"/>
    <w:rsid w:val="00C57141"/>
    <w:rsid w:val="00C57352"/>
    <w:rsid w:val="00C5799E"/>
    <w:rsid w:val="00C57F81"/>
    <w:rsid w:val="00C6029A"/>
    <w:rsid w:val="00C602DE"/>
    <w:rsid w:val="00C6038A"/>
    <w:rsid w:val="00C6091D"/>
    <w:rsid w:val="00C60AD1"/>
    <w:rsid w:val="00C60C3B"/>
    <w:rsid w:val="00C60FE3"/>
    <w:rsid w:val="00C611F8"/>
    <w:rsid w:val="00C615CD"/>
    <w:rsid w:val="00C6167B"/>
    <w:rsid w:val="00C61C7F"/>
    <w:rsid w:val="00C61F08"/>
    <w:rsid w:val="00C6202B"/>
    <w:rsid w:val="00C62303"/>
    <w:rsid w:val="00C62597"/>
    <w:rsid w:val="00C62739"/>
    <w:rsid w:val="00C6280D"/>
    <w:rsid w:val="00C628E5"/>
    <w:rsid w:val="00C62A30"/>
    <w:rsid w:val="00C62C10"/>
    <w:rsid w:val="00C62F51"/>
    <w:rsid w:val="00C63271"/>
    <w:rsid w:val="00C633D7"/>
    <w:rsid w:val="00C633F5"/>
    <w:rsid w:val="00C63800"/>
    <w:rsid w:val="00C63818"/>
    <w:rsid w:val="00C63FF0"/>
    <w:rsid w:val="00C64205"/>
    <w:rsid w:val="00C646EE"/>
    <w:rsid w:val="00C6492D"/>
    <w:rsid w:val="00C64955"/>
    <w:rsid w:val="00C64EBE"/>
    <w:rsid w:val="00C6504E"/>
    <w:rsid w:val="00C65081"/>
    <w:rsid w:val="00C6512C"/>
    <w:rsid w:val="00C65183"/>
    <w:rsid w:val="00C65612"/>
    <w:rsid w:val="00C65891"/>
    <w:rsid w:val="00C6599D"/>
    <w:rsid w:val="00C65A1F"/>
    <w:rsid w:val="00C65D60"/>
    <w:rsid w:val="00C6610E"/>
    <w:rsid w:val="00C66277"/>
    <w:rsid w:val="00C670D6"/>
    <w:rsid w:val="00C67180"/>
    <w:rsid w:val="00C67565"/>
    <w:rsid w:val="00C67A71"/>
    <w:rsid w:val="00C67B95"/>
    <w:rsid w:val="00C67B9B"/>
    <w:rsid w:val="00C70154"/>
    <w:rsid w:val="00C70272"/>
    <w:rsid w:val="00C70469"/>
    <w:rsid w:val="00C70C4A"/>
    <w:rsid w:val="00C70D00"/>
    <w:rsid w:val="00C70EBA"/>
    <w:rsid w:val="00C70F9D"/>
    <w:rsid w:val="00C7190B"/>
    <w:rsid w:val="00C7190C"/>
    <w:rsid w:val="00C719BF"/>
    <w:rsid w:val="00C719CD"/>
    <w:rsid w:val="00C71C14"/>
    <w:rsid w:val="00C720C5"/>
    <w:rsid w:val="00C72298"/>
    <w:rsid w:val="00C72653"/>
    <w:rsid w:val="00C72977"/>
    <w:rsid w:val="00C72C36"/>
    <w:rsid w:val="00C72DBA"/>
    <w:rsid w:val="00C7322C"/>
    <w:rsid w:val="00C73337"/>
    <w:rsid w:val="00C737C3"/>
    <w:rsid w:val="00C73ADF"/>
    <w:rsid w:val="00C73B11"/>
    <w:rsid w:val="00C73B3E"/>
    <w:rsid w:val="00C73BDB"/>
    <w:rsid w:val="00C73C99"/>
    <w:rsid w:val="00C73CF0"/>
    <w:rsid w:val="00C73E5A"/>
    <w:rsid w:val="00C740BE"/>
    <w:rsid w:val="00C7415F"/>
    <w:rsid w:val="00C742D8"/>
    <w:rsid w:val="00C744B9"/>
    <w:rsid w:val="00C747D6"/>
    <w:rsid w:val="00C7494A"/>
    <w:rsid w:val="00C7529B"/>
    <w:rsid w:val="00C75495"/>
    <w:rsid w:val="00C75AEC"/>
    <w:rsid w:val="00C75C2B"/>
    <w:rsid w:val="00C75DB3"/>
    <w:rsid w:val="00C75E88"/>
    <w:rsid w:val="00C75F14"/>
    <w:rsid w:val="00C76046"/>
    <w:rsid w:val="00C7610A"/>
    <w:rsid w:val="00C76154"/>
    <w:rsid w:val="00C76353"/>
    <w:rsid w:val="00C76435"/>
    <w:rsid w:val="00C76442"/>
    <w:rsid w:val="00C76455"/>
    <w:rsid w:val="00C7653F"/>
    <w:rsid w:val="00C76829"/>
    <w:rsid w:val="00C76A42"/>
    <w:rsid w:val="00C76B0D"/>
    <w:rsid w:val="00C7717C"/>
    <w:rsid w:val="00C7746A"/>
    <w:rsid w:val="00C77714"/>
    <w:rsid w:val="00C77761"/>
    <w:rsid w:val="00C77932"/>
    <w:rsid w:val="00C77AC7"/>
    <w:rsid w:val="00C77D68"/>
    <w:rsid w:val="00C77F0B"/>
    <w:rsid w:val="00C77FAC"/>
    <w:rsid w:val="00C801D2"/>
    <w:rsid w:val="00C80300"/>
    <w:rsid w:val="00C804A0"/>
    <w:rsid w:val="00C80C62"/>
    <w:rsid w:val="00C80D03"/>
    <w:rsid w:val="00C80DCB"/>
    <w:rsid w:val="00C80DD2"/>
    <w:rsid w:val="00C80E67"/>
    <w:rsid w:val="00C80EC4"/>
    <w:rsid w:val="00C80EF2"/>
    <w:rsid w:val="00C80FBB"/>
    <w:rsid w:val="00C810D9"/>
    <w:rsid w:val="00C811CF"/>
    <w:rsid w:val="00C81287"/>
    <w:rsid w:val="00C812E5"/>
    <w:rsid w:val="00C8155D"/>
    <w:rsid w:val="00C817DC"/>
    <w:rsid w:val="00C81AC2"/>
    <w:rsid w:val="00C81FF9"/>
    <w:rsid w:val="00C8211B"/>
    <w:rsid w:val="00C82690"/>
    <w:rsid w:val="00C82940"/>
    <w:rsid w:val="00C82E2D"/>
    <w:rsid w:val="00C83464"/>
    <w:rsid w:val="00C837C1"/>
    <w:rsid w:val="00C839A1"/>
    <w:rsid w:val="00C83A8A"/>
    <w:rsid w:val="00C83C53"/>
    <w:rsid w:val="00C83CE2"/>
    <w:rsid w:val="00C846AE"/>
    <w:rsid w:val="00C85645"/>
    <w:rsid w:val="00C85949"/>
    <w:rsid w:val="00C85A3B"/>
    <w:rsid w:val="00C85FFE"/>
    <w:rsid w:val="00C8605C"/>
    <w:rsid w:val="00C862EA"/>
    <w:rsid w:val="00C86397"/>
    <w:rsid w:val="00C863FC"/>
    <w:rsid w:val="00C86560"/>
    <w:rsid w:val="00C865A4"/>
    <w:rsid w:val="00C865C2"/>
    <w:rsid w:val="00C86672"/>
    <w:rsid w:val="00C8684E"/>
    <w:rsid w:val="00C86AE1"/>
    <w:rsid w:val="00C86CDB"/>
    <w:rsid w:val="00C86F7D"/>
    <w:rsid w:val="00C8703F"/>
    <w:rsid w:val="00C871A4"/>
    <w:rsid w:val="00C871B0"/>
    <w:rsid w:val="00C87413"/>
    <w:rsid w:val="00C8755C"/>
    <w:rsid w:val="00C8774C"/>
    <w:rsid w:val="00C87794"/>
    <w:rsid w:val="00C879F8"/>
    <w:rsid w:val="00C9034B"/>
    <w:rsid w:val="00C9053E"/>
    <w:rsid w:val="00C90B39"/>
    <w:rsid w:val="00C910F2"/>
    <w:rsid w:val="00C910F8"/>
    <w:rsid w:val="00C91273"/>
    <w:rsid w:val="00C9135F"/>
    <w:rsid w:val="00C9140A"/>
    <w:rsid w:val="00C915E2"/>
    <w:rsid w:val="00C91687"/>
    <w:rsid w:val="00C91872"/>
    <w:rsid w:val="00C91987"/>
    <w:rsid w:val="00C91B0E"/>
    <w:rsid w:val="00C91B1A"/>
    <w:rsid w:val="00C91DCA"/>
    <w:rsid w:val="00C91FA5"/>
    <w:rsid w:val="00C9231A"/>
    <w:rsid w:val="00C9270D"/>
    <w:rsid w:val="00C927C9"/>
    <w:rsid w:val="00C92849"/>
    <w:rsid w:val="00C92878"/>
    <w:rsid w:val="00C92952"/>
    <w:rsid w:val="00C92BAE"/>
    <w:rsid w:val="00C92C68"/>
    <w:rsid w:val="00C92C7F"/>
    <w:rsid w:val="00C92CDA"/>
    <w:rsid w:val="00C92D2F"/>
    <w:rsid w:val="00C93241"/>
    <w:rsid w:val="00C932E4"/>
    <w:rsid w:val="00C933AF"/>
    <w:rsid w:val="00C93547"/>
    <w:rsid w:val="00C935BC"/>
    <w:rsid w:val="00C93721"/>
    <w:rsid w:val="00C939FB"/>
    <w:rsid w:val="00C93E5E"/>
    <w:rsid w:val="00C94224"/>
    <w:rsid w:val="00C943A5"/>
    <w:rsid w:val="00C9455C"/>
    <w:rsid w:val="00C945F6"/>
    <w:rsid w:val="00C946C2"/>
    <w:rsid w:val="00C94C7B"/>
    <w:rsid w:val="00C94DDF"/>
    <w:rsid w:val="00C94E36"/>
    <w:rsid w:val="00C94FA4"/>
    <w:rsid w:val="00C95155"/>
    <w:rsid w:val="00C95198"/>
    <w:rsid w:val="00C95391"/>
    <w:rsid w:val="00C953D8"/>
    <w:rsid w:val="00C95484"/>
    <w:rsid w:val="00C95631"/>
    <w:rsid w:val="00C956AF"/>
    <w:rsid w:val="00C9573C"/>
    <w:rsid w:val="00C9578A"/>
    <w:rsid w:val="00C95893"/>
    <w:rsid w:val="00C95E2E"/>
    <w:rsid w:val="00C962E8"/>
    <w:rsid w:val="00C9652B"/>
    <w:rsid w:val="00C9671F"/>
    <w:rsid w:val="00C96744"/>
    <w:rsid w:val="00C96760"/>
    <w:rsid w:val="00C96882"/>
    <w:rsid w:val="00C96D5C"/>
    <w:rsid w:val="00C96E66"/>
    <w:rsid w:val="00C96EC2"/>
    <w:rsid w:val="00C974EB"/>
    <w:rsid w:val="00C97934"/>
    <w:rsid w:val="00C97939"/>
    <w:rsid w:val="00C97B34"/>
    <w:rsid w:val="00CA0010"/>
    <w:rsid w:val="00CA0051"/>
    <w:rsid w:val="00CA05F3"/>
    <w:rsid w:val="00CA0606"/>
    <w:rsid w:val="00CA08AE"/>
    <w:rsid w:val="00CA0A7F"/>
    <w:rsid w:val="00CA0D59"/>
    <w:rsid w:val="00CA10C2"/>
    <w:rsid w:val="00CA14C9"/>
    <w:rsid w:val="00CA1528"/>
    <w:rsid w:val="00CA15C2"/>
    <w:rsid w:val="00CA188B"/>
    <w:rsid w:val="00CA1B0C"/>
    <w:rsid w:val="00CA1E14"/>
    <w:rsid w:val="00CA1F92"/>
    <w:rsid w:val="00CA2143"/>
    <w:rsid w:val="00CA2270"/>
    <w:rsid w:val="00CA22F7"/>
    <w:rsid w:val="00CA2323"/>
    <w:rsid w:val="00CA233B"/>
    <w:rsid w:val="00CA2389"/>
    <w:rsid w:val="00CA2945"/>
    <w:rsid w:val="00CA2F32"/>
    <w:rsid w:val="00CA310E"/>
    <w:rsid w:val="00CA3208"/>
    <w:rsid w:val="00CA33E3"/>
    <w:rsid w:val="00CA3500"/>
    <w:rsid w:val="00CA3598"/>
    <w:rsid w:val="00CA3B39"/>
    <w:rsid w:val="00CA3F75"/>
    <w:rsid w:val="00CA411A"/>
    <w:rsid w:val="00CA43D4"/>
    <w:rsid w:val="00CA445C"/>
    <w:rsid w:val="00CA45F6"/>
    <w:rsid w:val="00CA464E"/>
    <w:rsid w:val="00CA4A61"/>
    <w:rsid w:val="00CA4A74"/>
    <w:rsid w:val="00CA4A97"/>
    <w:rsid w:val="00CA4D6F"/>
    <w:rsid w:val="00CA4F99"/>
    <w:rsid w:val="00CA4FC1"/>
    <w:rsid w:val="00CA4FD4"/>
    <w:rsid w:val="00CA536E"/>
    <w:rsid w:val="00CA567B"/>
    <w:rsid w:val="00CA5866"/>
    <w:rsid w:val="00CA6059"/>
    <w:rsid w:val="00CA610F"/>
    <w:rsid w:val="00CA6242"/>
    <w:rsid w:val="00CA6691"/>
    <w:rsid w:val="00CA6A94"/>
    <w:rsid w:val="00CA6B40"/>
    <w:rsid w:val="00CA6BCC"/>
    <w:rsid w:val="00CA6F49"/>
    <w:rsid w:val="00CA769A"/>
    <w:rsid w:val="00CA796A"/>
    <w:rsid w:val="00CA7ACA"/>
    <w:rsid w:val="00CA7C15"/>
    <w:rsid w:val="00CA7F47"/>
    <w:rsid w:val="00CB0151"/>
    <w:rsid w:val="00CB0477"/>
    <w:rsid w:val="00CB0713"/>
    <w:rsid w:val="00CB0797"/>
    <w:rsid w:val="00CB07BF"/>
    <w:rsid w:val="00CB0845"/>
    <w:rsid w:val="00CB0857"/>
    <w:rsid w:val="00CB0958"/>
    <w:rsid w:val="00CB0B89"/>
    <w:rsid w:val="00CB0DA9"/>
    <w:rsid w:val="00CB11E5"/>
    <w:rsid w:val="00CB1A31"/>
    <w:rsid w:val="00CB1A8E"/>
    <w:rsid w:val="00CB1B75"/>
    <w:rsid w:val="00CB226F"/>
    <w:rsid w:val="00CB23BB"/>
    <w:rsid w:val="00CB25EC"/>
    <w:rsid w:val="00CB2865"/>
    <w:rsid w:val="00CB28C9"/>
    <w:rsid w:val="00CB2ABC"/>
    <w:rsid w:val="00CB2C99"/>
    <w:rsid w:val="00CB2EA8"/>
    <w:rsid w:val="00CB3192"/>
    <w:rsid w:val="00CB3251"/>
    <w:rsid w:val="00CB341F"/>
    <w:rsid w:val="00CB3668"/>
    <w:rsid w:val="00CB3B0F"/>
    <w:rsid w:val="00CB3EB1"/>
    <w:rsid w:val="00CB4017"/>
    <w:rsid w:val="00CB40F7"/>
    <w:rsid w:val="00CB4610"/>
    <w:rsid w:val="00CB4695"/>
    <w:rsid w:val="00CB4957"/>
    <w:rsid w:val="00CB4D43"/>
    <w:rsid w:val="00CB50E4"/>
    <w:rsid w:val="00CB5154"/>
    <w:rsid w:val="00CB5540"/>
    <w:rsid w:val="00CB56AB"/>
    <w:rsid w:val="00CB56B6"/>
    <w:rsid w:val="00CB577E"/>
    <w:rsid w:val="00CB5A44"/>
    <w:rsid w:val="00CB5DB0"/>
    <w:rsid w:val="00CB617E"/>
    <w:rsid w:val="00CB6329"/>
    <w:rsid w:val="00CB6709"/>
    <w:rsid w:val="00CB69F8"/>
    <w:rsid w:val="00CB6AD1"/>
    <w:rsid w:val="00CB6C64"/>
    <w:rsid w:val="00CB6EC5"/>
    <w:rsid w:val="00CB73F0"/>
    <w:rsid w:val="00CB7893"/>
    <w:rsid w:val="00CC027D"/>
    <w:rsid w:val="00CC0738"/>
    <w:rsid w:val="00CC0983"/>
    <w:rsid w:val="00CC09B9"/>
    <w:rsid w:val="00CC0C45"/>
    <w:rsid w:val="00CC10F8"/>
    <w:rsid w:val="00CC16E2"/>
    <w:rsid w:val="00CC17EE"/>
    <w:rsid w:val="00CC1BF5"/>
    <w:rsid w:val="00CC1D82"/>
    <w:rsid w:val="00CC217E"/>
    <w:rsid w:val="00CC26A8"/>
    <w:rsid w:val="00CC29D6"/>
    <w:rsid w:val="00CC2D59"/>
    <w:rsid w:val="00CC2E59"/>
    <w:rsid w:val="00CC3034"/>
    <w:rsid w:val="00CC32BD"/>
    <w:rsid w:val="00CC34D6"/>
    <w:rsid w:val="00CC3711"/>
    <w:rsid w:val="00CC381B"/>
    <w:rsid w:val="00CC385E"/>
    <w:rsid w:val="00CC3882"/>
    <w:rsid w:val="00CC3B54"/>
    <w:rsid w:val="00CC3B7D"/>
    <w:rsid w:val="00CC3C9F"/>
    <w:rsid w:val="00CC3DFE"/>
    <w:rsid w:val="00CC3E3B"/>
    <w:rsid w:val="00CC3EE7"/>
    <w:rsid w:val="00CC3F2D"/>
    <w:rsid w:val="00CC3F5B"/>
    <w:rsid w:val="00CC4009"/>
    <w:rsid w:val="00CC444A"/>
    <w:rsid w:val="00CC48DB"/>
    <w:rsid w:val="00CC4986"/>
    <w:rsid w:val="00CC4A5A"/>
    <w:rsid w:val="00CC4D48"/>
    <w:rsid w:val="00CC4DC9"/>
    <w:rsid w:val="00CC4F05"/>
    <w:rsid w:val="00CC53FD"/>
    <w:rsid w:val="00CC5430"/>
    <w:rsid w:val="00CC554E"/>
    <w:rsid w:val="00CC60CF"/>
    <w:rsid w:val="00CC6286"/>
    <w:rsid w:val="00CC6648"/>
    <w:rsid w:val="00CC69FB"/>
    <w:rsid w:val="00CC6D15"/>
    <w:rsid w:val="00CC6F47"/>
    <w:rsid w:val="00CC7317"/>
    <w:rsid w:val="00CC75E4"/>
    <w:rsid w:val="00CC78C9"/>
    <w:rsid w:val="00CC7BF6"/>
    <w:rsid w:val="00CC7F6E"/>
    <w:rsid w:val="00CD0022"/>
    <w:rsid w:val="00CD0080"/>
    <w:rsid w:val="00CD043A"/>
    <w:rsid w:val="00CD089A"/>
    <w:rsid w:val="00CD0A11"/>
    <w:rsid w:val="00CD0D0A"/>
    <w:rsid w:val="00CD0FE6"/>
    <w:rsid w:val="00CD12A4"/>
    <w:rsid w:val="00CD14AD"/>
    <w:rsid w:val="00CD1AD1"/>
    <w:rsid w:val="00CD1BE3"/>
    <w:rsid w:val="00CD1F3F"/>
    <w:rsid w:val="00CD1F4B"/>
    <w:rsid w:val="00CD2102"/>
    <w:rsid w:val="00CD24E9"/>
    <w:rsid w:val="00CD2657"/>
    <w:rsid w:val="00CD27D4"/>
    <w:rsid w:val="00CD284D"/>
    <w:rsid w:val="00CD2C8F"/>
    <w:rsid w:val="00CD2DD8"/>
    <w:rsid w:val="00CD37DB"/>
    <w:rsid w:val="00CD37EC"/>
    <w:rsid w:val="00CD3989"/>
    <w:rsid w:val="00CD3A96"/>
    <w:rsid w:val="00CD3C81"/>
    <w:rsid w:val="00CD4420"/>
    <w:rsid w:val="00CD4661"/>
    <w:rsid w:val="00CD4DED"/>
    <w:rsid w:val="00CD4E80"/>
    <w:rsid w:val="00CD4F2A"/>
    <w:rsid w:val="00CD5094"/>
    <w:rsid w:val="00CD515C"/>
    <w:rsid w:val="00CD51BF"/>
    <w:rsid w:val="00CD5AAF"/>
    <w:rsid w:val="00CD5B1C"/>
    <w:rsid w:val="00CD5B81"/>
    <w:rsid w:val="00CD5BAF"/>
    <w:rsid w:val="00CD5CB8"/>
    <w:rsid w:val="00CD61B5"/>
    <w:rsid w:val="00CD6342"/>
    <w:rsid w:val="00CD6625"/>
    <w:rsid w:val="00CD6709"/>
    <w:rsid w:val="00CD6900"/>
    <w:rsid w:val="00CD692A"/>
    <w:rsid w:val="00CD6F1C"/>
    <w:rsid w:val="00CD6F75"/>
    <w:rsid w:val="00CD7337"/>
    <w:rsid w:val="00CD7537"/>
    <w:rsid w:val="00CD7626"/>
    <w:rsid w:val="00CD7818"/>
    <w:rsid w:val="00CD781A"/>
    <w:rsid w:val="00CD78F3"/>
    <w:rsid w:val="00CD7CD9"/>
    <w:rsid w:val="00CE000B"/>
    <w:rsid w:val="00CE0291"/>
    <w:rsid w:val="00CE05B8"/>
    <w:rsid w:val="00CE0895"/>
    <w:rsid w:val="00CE0950"/>
    <w:rsid w:val="00CE09A8"/>
    <w:rsid w:val="00CE0A03"/>
    <w:rsid w:val="00CE0D6E"/>
    <w:rsid w:val="00CE0F59"/>
    <w:rsid w:val="00CE1025"/>
    <w:rsid w:val="00CE119A"/>
    <w:rsid w:val="00CE1222"/>
    <w:rsid w:val="00CE136E"/>
    <w:rsid w:val="00CE159F"/>
    <w:rsid w:val="00CE15D9"/>
    <w:rsid w:val="00CE165D"/>
    <w:rsid w:val="00CE188C"/>
    <w:rsid w:val="00CE1AEA"/>
    <w:rsid w:val="00CE1AF8"/>
    <w:rsid w:val="00CE1B1E"/>
    <w:rsid w:val="00CE1B4C"/>
    <w:rsid w:val="00CE1CD3"/>
    <w:rsid w:val="00CE20F8"/>
    <w:rsid w:val="00CE2251"/>
    <w:rsid w:val="00CE2351"/>
    <w:rsid w:val="00CE2583"/>
    <w:rsid w:val="00CE2805"/>
    <w:rsid w:val="00CE29AF"/>
    <w:rsid w:val="00CE2ABB"/>
    <w:rsid w:val="00CE2C6B"/>
    <w:rsid w:val="00CE2CE7"/>
    <w:rsid w:val="00CE2DC0"/>
    <w:rsid w:val="00CE2DFD"/>
    <w:rsid w:val="00CE334C"/>
    <w:rsid w:val="00CE379A"/>
    <w:rsid w:val="00CE3967"/>
    <w:rsid w:val="00CE3A41"/>
    <w:rsid w:val="00CE3B1E"/>
    <w:rsid w:val="00CE3C6A"/>
    <w:rsid w:val="00CE3CD2"/>
    <w:rsid w:val="00CE3D51"/>
    <w:rsid w:val="00CE3F77"/>
    <w:rsid w:val="00CE3FD2"/>
    <w:rsid w:val="00CE4012"/>
    <w:rsid w:val="00CE4159"/>
    <w:rsid w:val="00CE4352"/>
    <w:rsid w:val="00CE47E9"/>
    <w:rsid w:val="00CE4C02"/>
    <w:rsid w:val="00CE51F0"/>
    <w:rsid w:val="00CE525A"/>
    <w:rsid w:val="00CE55B6"/>
    <w:rsid w:val="00CE59F3"/>
    <w:rsid w:val="00CE5D37"/>
    <w:rsid w:val="00CE5D59"/>
    <w:rsid w:val="00CE5E11"/>
    <w:rsid w:val="00CE60CC"/>
    <w:rsid w:val="00CE6388"/>
    <w:rsid w:val="00CE6F9D"/>
    <w:rsid w:val="00CE700D"/>
    <w:rsid w:val="00CE70F3"/>
    <w:rsid w:val="00CE7842"/>
    <w:rsid w:val="00CE7982"/>
    <w:rsid w:val="00CE7C74"/>
    <w:rsid w:val="00CE7DAA"/>
    <w:rsid w:val="00CE7E0F"/>
    <w:rsid w:val="00CE7E71"/>
    <w:rsid w:val="00CF0180"/>
    <w:rsid w:val="00CF01C7"/>
    <w:rsid w:val="00CF02B2"/>
    <w:rsid w:val="00CF0419"/>
    <w:rsid w:val="00CF0436"/>
    <w:rsid w:val="00CF04B6"/>
    <w:rsid w:val="00CF065C"/>
    <w:rsid w:val="00CF0846"/>
    <w:rsid w:val="00CF0D14"/>
    <w:rsid w:val="00CF11CC"/>
    <w:rsid w:val="00CF1369"/>
    <w:rsid w:val="00CF1823"/>
    <w:rsid w:val="00CF1B90"/>
    <w:rsid w:val="00CF1BC6"/>
    <w:rsid w:val="00CF20F3"/>
    <w:rsid w:val="00CF21E8"/>
    <w:rsid w:val="00CF2206"/>
    <w:rsid w:val="00CF2238"/>
    <w:rsid w:val="00CF246C"/>
    <w:rsid w:val="00CF2732"/>
    <w:rsid w:val="00CF289C"/>
    <w:rsid w:val="00CF2E3C"/>
    <w:rsid w:val="00CF2F5A"/>
    <w:rsid w:val="00CF2FB1"/>
    <w:rsid w:val="00CF30A3"/>
    <w:rsid w:val="00CF3519"/>
    <w:rsid w:val="00CF38BC"/>
    <w:rsid w:val="00CF3C3E"/>
    <w:rsid w:val="00CF418D"/>
    <w:rsid w:val="00CF432C"/>
    <w:rsid w:val="00CF44FE"/>
    <w:rsid w:val="00CF452D"/>
    <w:rsid w:val="00CF4654"/>
    <w:rsid w:val="00CF4893"/>
    <w:rsid w:val="00CF4BF1"/>
    <w:rsid w:val="00CF4D33"/>
    <w:rsid w:val="00CF5596"/>
    <w:rsid w:val="00CF58D8"/>
    <w:rsid w:val="00CF5ABA"/>
    <w:rsid w:val="00CF5BFE"/>
    <w:rsid w:val="00CF5C65"/>
    <w:rsid w:val="00CF5CA8"/>
    <w:rsid w:val="00CF64F0"/>
    <w:rsid w:val="00CF6505"/>
    <w:rsid w:val="00CF6630"/>
    <w:rsid w:val="00CF6640"/>
    <w:rsid w:val="00CF6B77"/>
    <w:rsid w:val="00CF6E19"/>
    <w:rsid w:val="00CF6E30"/>
    <w:rsid w:val="00CF715D"/>
    <w:rsid w:val="00CF7294"/>
    <w:rsid w:val="00CF7BB7"/>
    <w:rsid w:val="00CF7D24"/>
    <w:rsid w:val="00D00616"/>
    <w:rsid w:val="00D008ED"/>
    <w:rsid w:val="00D00F3F"/>
    <w:rsid w:val="00D00FA1"/>
    <w:rsid w:val="00D0129A"/>
    <w:rsid w:val="00D0175B"/>
    <w:rsid w:val="00D01B7B"/>
    <w:rsid w:val="00D01C6D"/>
    <w:rsid w:val="00D01CE5"/>
    <w:rsid w:val="00D01EF2"/>
    <w:rsid w:val="00D02202"/>
    <w:rsid w:val="00D02211"/>
    <w:rsid w:val="00D0234A"/>
    <w:rsid w:val="00D0268E"/>
    <w:rsid w:val="00D0269E"/>
    <w:rsid w:val="00D02732"/>
    <w:rsid w:val="00D02858"/>
    <w:rsid w:val="00D028AB"/>
    <w:rsid w:val="00D02997"/>
    <w:rsid w:val="00D02F02"/>
    <w:rsid w:val="00D02F33"/>
    <w:rsid w:val="00D02FDB"/>
    <w:rsid w:val="00D03545"/>
    <w:rsid w:val="00D0396A"/>
    <w:rsid w:val="00D03B05"/>
    <w:rsid w:val="00D03B61"/>
    <w:rsid w:val="00D040F8"/>
    <w:rsid w:val="00D04504"/>
    <w:rsid w:val="00D04BB1"/>
    <w:rsid w:val="00D04EAC"/>
    <w:rsid w:val="00D04FA8"/>
    <w:rsid w:val="00D04FF5"/>
    <w:rsid w:val="00D05219"/>
    <w:rsid w:val="00D05364"/>
    <w:rsid w:val="00D053BE"/>
    <w:rsid w:val="00D055AA"/>
    <w:rsid w:val="00D056BB"/>
    <w:rsid w:val="00D0634D"/>
    <w:rsid w:val="00D064E9"/>
    <w:rsid w:val="00D06523"/>
    <w:rsid w:val="00D066CA"/>
    <w:rsid w:val="00D0676A"/>
    <w:rsid w:val="00D06F16"/>
    <w:rsid w:val="00D07276"/>
    <w:rsid w:val="00D073F8"/>
    <w:rsid w:val="00D0744F"/>
    <w:rsid w:val="00D07AB7"/>
    <w:rsid w:val="00D07AFE"/>
    <w:rsid w:val="00D07E18"/>
    <w:rsid w:val="00D1011E"/>
    <w:rsid w:val="00D1024F"/>
    <w:rsid w:val="00D10740"/>
    <w:rsid w:val="00D108A6"/>
    <w:rsid w:val="00D10AF3"/>
    <w:rsid w:val="00D10D9D"/>
    <w:rsid w:val="00D110D5"/>
    <w:rsid w:val="00D1126F"/>
    <w:rsid w:val="00D11784"/>
    <w:rsid w:val="00D11AD2"/>
    <w:rsid w:val="00D11AE4"/>
    <w:rsid w:val="00D11B5B"/>
    <w:rsid w:val="00D1257C"/>
    <w:rsid w:val="00D12678"/>
    <w:rsid w:val="00D126EE"/>
    <w:rsid w:val="00D127FB"/>
    <w:rsid w:val="00D129CF"/>
    <w:rsid w:val="00D12AC5"/>
    <w:rsid w:val="00D13639"/>
    <w:rsid w:val="00D136A3"/>
    <w:rsid w:val="00D138E8"/>
    <w:rsid w:val="00D13904"/>
    <w:rsid w:val="00D139B6"/>
    <w:rsid w:val="00D141F1"/>
    <w:rsid w:val="00D1427E"/>
    <w:rsid w:val="00D14319"/>
    <w:rsid w:val="00D14411"/>
    <w:rsid w:val="00D1452D"/>
    <w:rsid w:val="00D1480C"/>
    <w:rsid w:val="00D148CF"/>
    <w:rsid w:val="00D14ABA"/>
    <w:rsid w:val="00D14C6D"/>
    <w:rsid w:val="00D14E39"/>
    <w:rsid w:val="00D15224"/>
    <w:rsid w:val="00D1563C"/>
    <w:rsid w:val="00D15667"/>
    <w:rsid w:val="00D157B7"/>
    <w:rsid w:val="00D1585C"/>
    <w:rsid w:val="00D15C32"/>
    <w:rsid w:val="00D15DE6"/>
    <w:rsid w:val="00D15E8F"/>
    <w:rsid w:val="00D15EAB"/>
    <w:rsid w:val="00D16271"/>
    <w:rsid w:val="00D162F6"/>
    <w:rsid w:val="00D163FB"/>
    <w:rsid w:val="00D16432"/>
    <w:rsid w:val="00D164C3"/>
    <w:rsid w:val="00D167BE"/>
    <w:rsid w:val="00D169AC"/>
    <w:rsid w:val="00D16D18"/>
    <w:rsid w:val="00D16D89"/>
    <w:rsid w:val="00D16E5D"/>
    <w:rsid w:val="00D16E93"/>
    <w:rsid w:val="00D17467"/>
    <w:rsid w:val="00D177E5"/>
    <w:rsid w:val="00D17821"/>
    <w:rsid w:val="00D17850"/>
    <w:rsid w:val="00D178DA"/>
    <w:rsid w:val="00D17B63"/>
    <w:rsid w:val="00D17BBA"/>
    <w:rsid w:val="00D17D01"/>
    <w:rsid w:val="00D17FA2"/>
    <w:rsid w:val="00D205F4"/>
    <w:rsid w:val="00D20748"/>
    <w:rsid w:val="00D20834"/>
    <w:rsid w:val="00D20899"/>
    <w:rsid w:val="00D208DE"/>
    <w:rsid w:val="00D209A2"/>
    <w:rsid w:val="00D20C6E"/>
    <w:rsid w:val="00D20E14"/>
    <w:rsid w:val="00D20FCB"/>
    <w:rsid w:val="00D2108B"/>
    <w:rsid w:val="00D21124"/>
    <w:rsid w:val="00D21820"/>
    <w:rsid w:val="00D2191B"/>
    <w:rsid w:val="00D21986"/>
    <w:rsid w:val="00D21A22"/>
    <w:rsid w:val="00D21D5F"/>
    <w:rsid w:val="00D21F9B"/>
    <w:rsid w:val="00D22003"/>
    <w:rsid w:val="00D220AD"/>
    <w:rsid w:val="00D22552"/>
    <w:rsid w:val="00D22C21"/>
    <w:rsid w:val="00D22D25"/>
    <w:rsid w:val="00D22EA0"/>
    <w:rsid w:val="00D2313F"/>
    <w:rsid w:val="00D2345A"/>
    <w:rsid w:val="00D236B3"/>
    <w:rsid w:val="00D23965"/>
    <w:rsid w:val="00D23CF3"/>
    <w:rsid w:val="00D23D9B"/>
    <w:rsid w:val="00D242C3"/>
    <w:rsid w:val="00D242F8"/>
    <w:rsid w:val="00D244D5"/>
    <w:rsid w:val="00D24EF6"/>
    <w:rsid w:val="00D24F58"/>
    <w:rsid w:val="00D24F63"/>
    <w:rsid w:val="00D24F8D"/>
    <w:rsid w:val="00D25082"/>
    <w:rsid w:val="00D25313"/>
    <w:rsid w:val="00D25540"/>
    <w:rsid w:val="00D256D6"/>
    <w:rsid w:val="00D2598B"/>
    <w:rsid w:val="00D259B3"/>
    <w:rsid w:val="00D25C62"/>
    <w:rsid w:val="00D25D80"/>
    <w:rsid w:val="00D25E03"/>
    <w:rsid w:val="00D2631D"/>
    <w:rsid w:val="00D265F5"/>
    <w:rsid w:val="00D2682A"/>
    <w:rsid w:val="00D26F5F"/>
    <w:rsid w:val="00D277A9"/>
    <w:rsid w:val="00D30040"/>
    <w:rsid w:val="00D3034C"/>
    <w:rsid w:val="00D307B6"/>
    <w:rsid w:val="00D307B8"/>
    <w:rsid w:val="00D308B1"/>
    <w:rsid w:val="00D308C9"/>
    <w:rsid w:val="00D309E5"/>
    <w:rsid w:val="00D30C3C"/>
    <w:rsid w:val="00D30D1B"/>
    <w:rsid w:val="00D30D24"/>
    <w:rsid w:val="00D30D2C"/>
    <w:rsid w:val="00D311CA"/>
    <w:rsid w:val="00D313AC"/>
    <w:rsid w:val="00D31B3A"/>
    <w:rsid w:val="00D31DDE"/>
    <w:rsid w:val="00D31F36"/>
    <w:rsid w:val="00D31F9D"/>
    <w:rsid w:val="00D32459"/>
    <w:rsid w:val="00D3251B"/>
    <w:rsid w:val="00D32566"/>
    <w:rsid w:val="00D32976"/>
    <w:rsid w:val="00D32DFA"/>
    <w:rsid w:val="00D3326A"/>
    <w:rsid w:val="00D33291"/>
    <w:rsid w:val="00D336FD"/>
    <w:rsid w:val="00D33796"/>
    <w:rsid w:val="00D338B7"/>
    <w:rsid w:val="00D33CA6"/>
    <w:rsid w:val="00D33CD8"/>
    <w:rsid w:val="00D33E35"/>
    <w:rsid w:val="00D33F16"/>
    <w:rsid w:val="00D33FA9"/>
    <w:rsid w:val="00D34079"/>
    <w:rsid w:val="00D340F9"/>
    <w:rsid w:val="00D341E6"/>
    <w:rsid w:val="00D34274"/>
    <w:rsid w:val="00D342CA"/>
    <w:rsid w:val="00D3437F"/>
    <w:rsid w:val="00D344E0"/>
    <w:rsid w:val="00D345B3"/>
    <w:rsid w:val="00D34817"/>
    <w:rsid w:val="00D348BF"/>
    <w:rsid w:val="00D3491C"/>
    <w:rsid w:val="00D34C30"/>
    <w:rsid w:val="00D35276"/>
    <w:rsid w:val="00D3537D"/>
    <w:rsid w:val="00D353A3"/>
    <w:rsid w:val="00D355BE"/>
    <w:rsid w:val="00D35ACF"/>
    <w:rsid w:val="00D35E09"/>
    <w:rsid w:val="00D35FB0"/>
    <w:rsid w:val="00D36407"/>
    <w:rsid w:val="00D366B7"/>
    <w:rsid w:val="00D36C20"/>
    <w:rsid w:val="00D36C51"/>
    <w:rsid w:val="00D3718D"/>
    <w:rsid w:val="00D37565"/>
    <w:rsid w:val="00D379E6"/>
    <w:rsid w:val="00D37DFF"/>
    <w:rsid w:val="00D37E55"/>
    <w:rsid w:val="00D37F1D"/>
    <w:rsid w:val="00D37F8E"/>
    <w:rsid w:val="00D401EF"/>
    <w:rsid w:val="00D405B4"/>
    <w:rsid w:val="00D4064F"/>
    <w:rsid w:val="00D4088B"/>
    <w:rsid w:val="00D40C6A"/>
    <w:rsid w:val="00D40C8F"/>
    <w:rsid w:val="00D40D6A"/>
    <w:rsid w:val="00D40DDB"/>
    <w:rsid w:val="00D41326"/>
    <w:rsid w:val="00D415A6"/>
    <w:rsid w:val="00D41605"/>
    <w:rsid w:val="00D41916"/>
    <w:rsid w:val="00D419A7"/>
    <w:rsid w:val="00D41C81"/>
    <w:rsid w:val="00D41DAC"/>
    <w:rsid w:val="00D41FE4"/>
    <w:rsid w:val="00D42255"/>
    <w:rsid w:val="00D4248E"/>
    <w:rsid w:val="00D42727"/>
    <w:rsid w:val="00D429C9"/>
    <w:rsid w:val="00D43129"/>
    <w:rsid w:val="00D43181"/>
    <w:rsid w:val="00D434D3"/>
    <w:rsid w:val="00D43B31"/>
    <w:rsid w:val="00D43E77"/>
    <w:rsid w:val="00D440C6"/>
    <w:rsid w:val="00D441B8"/>
    <w:rsid w:val="00D44280"/>
    <w:rsid w:val="00D443B4"/>
    <w:rsid w:val="00D447AC"/>
    <w:rsid w:val="00D452F2"/>
    <w:rsid w:val="00D45836"/>
    <w:rsid w:val="00D458DF"/>
    <w:rsid w:val="00D4592F"/>
    <w:rsid w:val="00D45933"/>
    <w:rsid w:val="00D45B6E"/>
    <w:rsid w:val="00D45C51"/>
    <w:rsid w:val="00D45F50"/>
    <w:rsid w:val="00D45FE7"/>
    <w:rsid w:val="00D46083"/>
    <w:rsid w:val="00D46165"/>
    <w:rsid w:val="00D461DD"/>
    <w:rsid w:val="00D463E4"/>
    <w:rsid w:val="00D46667"/>
    <w:rsid w:val="00D466C1"/>
    <w:rsid w:val="00D46982"/>
    <w:rsid w:val="00D469F5"/>
    <w:rsid w:val="00D46F8B"/>
    <w:rsid w:val="00D46F9F"/>
    <w:rsid w:val="00D4723C"/>
    <w:rsid w:val="00D47483"/>
    <w:rsid w:val="00D47594"/>
    <w:rsid w:val="00D4772E"/>
    <w:rsid w:val="00D4782D"/>
    <w:rsid w:val="00D47E29"/>
    <w:rsid w:val="00D5005F"/>
    <w:rsid w:val="00D50217"/>
    <w:rsid w:val="00D502F1"/>
    <w:rsid w:val="00D5063D"/>
    <w:rsid w:val="00D50661"/>
    <w:rsid w:val="00D507A2"/>
    <w:rsid w:val="00D50DD8"/>
    <w:rsid w:val="00D50FF3"/>
    <w:rsid w:val="00D51093"/>
    <w:rsid w:val="00D510E7"/>
    <w:rsid w:val="00D51207"/>
    <w:rsid w:val="00D51442"/>
    <w:rsid w:val="00D514AB"/>
    <w:rsid w:val="00D51796"/>
    <w:rsid w:val="00D517EB"/>
    <w:rsid w:val="00D51E0F"/>
    <w:rsid w:val="00D5215B"/>
    <w:rsid w:val="00D52375"/>
    <w:rsid w:val="00D524BF"/>
    <w:rsid w:val="00D52977"/>
    <w:rsid w:val="00D53661"/>
    <w:rsid w:val="00D53675"/>
    <w:rsid w:val="00D537C8"/>
    <w:rsid w:val="00D539C4"/>
    <w:rsid w:val="00D53C9C"/>
    <w:rsid w:val="00D53CC8"/>
    <w:rsid w:val="00D53D92"/>
    <w:rsid w:val="00D54039"/>
    <w:rsid w:val="00D543AC"/>
    <w:rsid w:val="00D54473"/>
    <w:rsid w:val="00D546D3"/>
    <w:rsid w:val="00D549C1"/>
    <w:rsid w:val="00D54A97"/>
    <w:rsid w:val="00D54DCC"/>
    <w:rsid w:val="00D54E1C"/>
    <w:rsid w:val="00D54EEF"/>
    <w:rsid w:val="00D550B7"/>
    <w:rsid w:val="00D5517E"/>
    <w:rsid w:val="00D554A8"/>
    <w:rsid w:val="00D556D8"/>
    <w:rsid w:val="00D559DB"/>
    <w:rsid w:val="00D55A02"/>
    <w:rsid w:val="00D55A4D"/>
    <w:rsid w:val="00D55D06"/>
    <w:rsid w:val="00D55D19"/>
    <w:rsid w:val="00D55E30"/>
    <w:rsid w:val="00D56073"/>
    <w:rsid w:val="00D562D7"/>
    <w:rsid w:val="00D56BA8"/>
    <w:rsid w:val="00D56E01"/>
    <w:rsid w:val="00D56E39"/>
    <w:rsid w:val="00D57677"/>
    <w:rsid w:val="00D57CAF"/>
    <w:rsid w:val="00D57ED0"/>
    <w:rsid w:val="00D57EE0"/>
    <w:rsid w:val="00D60081"/>
    <w:rsid w:val="00D601EA"/>
    <w:rsid w:val="00D6022A"/>
    <w:rsid w:val="00D60410"/>
    <w:rsid w:val="00D60542"/>
    <w:rsid w:val="00D608A2"/>
    <w:rsid w:val="00D60A4C"/>
    <w:rsid w:val="00D60B1E"/>
    <w:rsid w:val="00D6101D"/>
    <w:rsid w:val="00D612BA"/>
    <w:rsid w:val="00D614A4"/>
    <w:rsid w:val="00D615D5"/>
    <w:rsid w:val="00D61742"/>
    <w:rsid w:val="00D617DB"/>
    <w:rsid w:val="00D61A90"/>
    <w:rsid w:val="00D61D7B"/>
    <w:rsid w:val="00D61E68"/>
    <w:rsid w:val="00D61F49"/>
    <w:rsid w:val="00D62076"/>
    <w:rsid w:val="00D620C0"/>
    <w:rsid w:val="00D621D4"/>
    <w:rsid w:val="00D623D8"/>
    <w:rsid w:val="00D623E1"/>
    <w:rsid w:val="00D62426"/>
    <w:rsid w:val="00D624F0"/>
    <w:rsid w:val="00D624F3"/>
    <w:rsid w:val="00D62B9C"/>
    <w:rsid w:val="00D62CCC"/>
    <w:rsid w:val="00D62D47"/>
    <w:rsid w:val="00D62E02"/>
    <w:rsid w:val="00D63007"/>
    <w:rsid w:val="00D630CD"/>
    <w:rsid w:val="00D63143"/>
    <w:rsid w:val="00D632B8"/>
    <w:rsid w:val="00D6366E"/>
    <w:rsid w:val="00D6372E"/>
    <w:rsid w:val="00D63C44"/>
    <w:rsid w:val="00D63EA3"/>
    <w:rsid w:val="00D64006"/>
    <w:rsid w:val="00D640D7"/>
    <w:rsid w:val="00D643B4"/>
    <w:rsid w:val="00D6499D"/>
    <w:rsid w:val="00D64A61"/>
    <w:rsid w:val="00D64D96"/>
    <w:rsid w:val="00D65043"/>
    <w:rsid w:val="00D65498"/>
    <w:rsid w:val="00D65521"/>
    <w:rsid w:val="00D65783"/>
    <w:rsid w:val="00D65AE8"/>
    <w:rsid w:val="00D65B54"/>
    <w:rsid w:val="00D65EFD"/>
    <w:rsid w:val="00D65F40"/>
    <w:rsid w:val="00D6629C"/>
    <w:rsid w:val="00D662CF"/>
    <w:rsid w:val="00D6659B"/>
    <w:rsid w:val="00D665CB"/>
    <w:rsid w:val="00D667B5"/>
    <w:rsid w:val="00D6699C"/>
    <w:rsid w:val="00D66A53"/>
    <w:rsid w:val="00D66BEC"/>
    <w:rsid w:val="00D67375"/>
    <w:rsid w:val="00D676BD"/>
    <w:rsid w:val="00D6778F"/>
    <w:rsid w:val="00D678A1"/>
    <w:rsid w:val="00D67DC7"/>
    <w:rsid w:val="00D70071"/>
    <w:rsid w:val="00D700B2"/>
    <w:rsid w:val="00D704F3"/>
    <w:rsid w:val="00D706A0"/>
    <w:rsid w:val="00D70728"/>
    <w:rsid w:val="00D7072A"/>
    <w:rsid w:val="00D7087A"/>
    <w:rsid w:val="00D708E2"/>
    <w:rsid w:val="00D70917"/>
    <w:rsid w:val="00D70A1A"/>
    <w:rsid w:val="00D70C1D"/>
    <w:rsid w:val="00D70ED0"/>
    <w:rsid w:val="00D710C1"/>
    <w:rsid w:val="00D710F1"/>
    <w:rsid w:val="00D7118D"/>
    <w:rsid w:val="00D71359"/>
    <w:rsid w:val="00D71995"/>
    <w:rsid w:val="00D71B0B"/>
    <w:rsid w:val="00D71E2A"/>
    <w:rsid w:val="00D72022"/>
    <w:rsid w:val="00D722F5"/>
    <w:rsid w:val="00D72472"/>
    <w:rsid w:val="00D724D4"/>
    <w:rsid w:val="00D72551"/>
    <w:rsid w:val="00D72589"/>
    <w:rsid w:val="00D72594"/>
    <w:rsid w:val="00D72A92"/>
    <w:rsid w:val="00D72C2F"/>
    <w:rsid w:val="00D72D28"/>
    <w:rsid w:val="00D72DD1"/>
    <w:rsid w:val="00D730AC"/>
    <w:rsid w:val="00D7342D"/>
    <w:rsid w:val="00D7371B"/>
    <w:rsid w:val="00D73953"/>
    <w:rsid w:val="00D73D72"/>
    <w:rsid w:val="00D73FB7"/>
    <w:rsid w:val="00D74095"/>
    <w:rsid w:val="00D742D7"/>
    <w:rsid w:val="00D74697"/>
    <w:rsid w:val="00D7473F"/>
    <w:rsid w:val="00D7483C"/>
    <w:rsid w:val="00D74B65"/>
    <w:rsid w:val="00D74C8A"/>
    <w:rsid w:val="00D75008"/>
    <w:rsid w:val="00D753F5"/>
    <w:rsid w:val="00D754E1"/>
    <w:rsid w:val="00D75609"/>
    <w:rsid w:val="00D756CC"/>
    <w:rsid w:val="00D75C2D"/>
    <w:rsid w:val="00D75C4A"/>
    <w:rsid w:val="00D7615C"/>
    <w:rsid w:val="00D764B7"/>
    <w:rsid w:val="00D765A8"/>
    <w:rsid w:val="00D76D54"/>
    <w:rsid w:val="00D76F10"/>
    <w:rsid w:val="00D76F6D"/>
    <w:rsid w:val="00D77462"/>
    <w:rsid w:val="00D7762E"/>
    <w:rsid w:val="00D77779"/>
    <w:rsid w:val="00D778DC"/>
    <w:rsid w:val="00D77F94"/>
    <w:rsid w:val="00D80118"/>
    <w:rsid w:val="00D8024A"/>
    <w:rsid w:val="00D80336"/>
    <w:rsid w:val="00D805F2"/>
    <w:rsid w:val="00D80758"/>
    <w:rsid w:val="00D808AB"/>
    <w:rsid w:val="00D80AE8"/>
    <w:rsid w:val="00D80CFF"/>
    <w:rsid w:val="00D818B7"/>
    <w:rsid w:val="00D81BD6"/>
    <w:rsid w:val="00D81FD8"/>
    <w:rsid w:val="00D820BF"/>
    <w:rsid w:val="00D8216F"/>
    <w:rsid w:val="00D82197"/>
    <w:rsid w:val="00D82951"/>
    <w:rsid w:val="00D82C06"/>
    <w:rsid w:val="00D83438"/>
    <w:rsid w:val="00D836D9"/>
    <w:rsid w:val="00D837C8"/>
    <w:rsid w:val="00D83870"/>
    <w:rsid w:val="00D8388F"/>
    <w:rsid w:val="00D839D1"/>
    <w:rsid w:val="00D83A9F"/>
    <w:rsid w:val="00D83D00"/>
    <w:rsid w:val="00D83E78"/>
    <w:rsid w:val="00D8428A"/>
    <w:rsid w:val="00D843CB"/>
    <w:rsid w:val="00D84409"/>
    <w:rsid w:val="00D847BD"/>
    <w:rsid w:val="00D850BE"/>
    <w:rsid w:val="00D850D4"/>
    <w:rsid w:val="00D8538B"/>
    <w:rsid w:val="00D854B9"/>
    <w:rsid w:val="00D8577E"/>
    <w:rsid w:val="00D85899"/>
    <w:rsid w:val="00D85E2F"/>
    <w:rsid w:val="00D866A2"/>
    <w:rsid w:val="00D86A6A"/>
    <w:rsid w:val="00D86B9E"/>
    <w:rsid w:val="00D86BB2"/>
    <w:rsid w:val="00D86BCF"/>
    <w:rsid w:val="00D86FCF"/>
    <w:rsid w:val="00D871D8"/>
    <w:rsid w:val="00D875AF"/>
    <w:rsid w:val="00D87621"/>
    <w:rsid w:val="00D87AE8"/>
    <w:rsid w:val="00D87E42"/>
    <w:rsid w:val="00D87E9D"/>
    <w:rsid w:val="00D90111"/>
    <w:rsid w:val="00D90A85"/>
    <w:rsid w:val="00D90F04"/>
    <w:rsid w:val="00D90F43"/>
    <w:rsid w:val="00D9108D"/>
    <w:rsid w:val="00D91941"/>
    <w:rsid w:val="00D91BEA"/>
    <w:rsid w:val="00D92059"/>
    <w:rsid w:val="00D920C0"/>
    <w:rsid w:val="00D9223C"/>
    <w:rsid w:val="00D92252"/>
    <w:rsid w:val="00D9227F"/>
    <w:rsid w:val="00D9255A"/>
    <w:rsid w:val="00D925A1"/>
    <w:rsid w:val="00D92637"/>
    <w:rsid w:val="00D92CDC"/>
    <w:rsid w:val="00D92CFD"/>
    <w:rsid w:val="00D930DD"/>
    <w:rsid w:val="00D9318B"/>
    <w:rsid w:val="00D933A9"/>
    <w:rsid w:val="00D9383E"/>
    <w:rsid w:val="00D9425B"/>
    <w:rsid w:val="00D948FB"/>
    <w:rsid w:val="00D94976"/>
    <w:rsid w:val="00D94E05"/>
    <w:rsid w:val="00D94E2C"/>
    <w:rsid w:val="00D94EFB"/>
    <w:rsid w:val="00D9552D"/>
    <w:rsid w:val="00D955B4"/>
    <w:rsid w:val="00D9568E"/>
    <w:rsid w:val="00D95AA4"/>
    <w:rsid w:val="00D95AD6"/>
    <w:rsid w:val="00D95BC6"/>
    <w:rsid w:val="00D95C29"/>
    <w:rsid w:val="00D96185"/>
    <w:rsid w:val="00D96348"/>
    <w:rsid w:val="00D963F9"/>
    <w:rsid w:val="00D964E6"/>
    <w:rsid w:val="00D96720"/>
    <w:rsid w:val="00D9676A"/>
    <w:rsid w:val="00D96985"/>
    <w:rsid w:val="00D96BA6"/>
    <w:rsid w:val="00D96FE2"/>
    <w:rsid w:val="00D9705E"/>
    <w:rsid w:val="00D972B1"/>
    <w:rsid w:val="00D9759E"/>
    <w:rsid w:val="00D97D48"/>
    <w:rsid w:val="00D97D72"/>
    <w:rsid w:val="00D97F71"/>
    <w:rsid w:val="00DA01D9"/>
    <w:rsid w:val="00DA024B"/>
    <w:rsid w:val="00DA02F3"/>
    <w:rsid w:val="00DA05B9"/>
    <w:rsid w:val="00DA094C"/>
    <w:rsid w:val="00DA1207"/>
    <w:rsid w:val="00DA150C"/>
    <w:rsid w:val="00DA161E"/>
    <w:rsid w:val="00DA1CFE"/>
    <w:rsid w:val="00DA1E46"/>
    <w:rsid w:val="00DA1F57"/>
    <w:rsid w:val="00DA20B2"/>
    <w:rsid w:val="00DA2250"/>
    <w:rsid w:val="00DA24AD"/>
    <w:rsid w:val="00DA24BF"/>
    <w:rsid w:val="00DA26B5"/>
    <w:rsid w:val="00DA2A74"/>
    <w:rsid w:val="00DA2A90"/>
    <w:rsid w:val="00DA2F24"/>
    <w:rsid w:val="00DA38B6"/>
    <w:rsid w:val="00DA3C77"/>
    <w:rsid w:val="00DA3D64"/>
    <w:rsid w:val="00DA3D92"/>
    <w:rsid w:val="00DA406E"/>
    <w:rsid w:val="00DA41E8"/>
    <w:rsid w:val="00DA4251"/>
    <w:rsid w:val="00DA433D"/>
    <w:rsid w:val="00DA4452"/>
    <w:rsid w:val="00DA45A6"/>
    <w:rsid w:val="00DA4A0B"/>
    <w:rsid w:val="00DA4CD2"/>
    <w:rsid w:val="00DA4CFF"/>
    <w:rsid w:val="00DA4ED3"/>
    <w:rsid w:val="00DA4F9C"/>
    <w:rsid w:val="00DA5386"/>
    <w:rsid w:val="00DA5A07"/>
    <w:rsid w:val="00DA5B9D"/>
    <w:rsid w:val="00DA5C60"/>
    <w:rsid w:val="00DA5D4B"/>
    <w:rsid w:val="00DA6161"/>
    <w:rsid w:val="00DA628F"/>
    <w:rsid w:val="00DA6367"/>
    <w:rsid w:val="00DA643C"/>
    <w:rsid w:val="00DA6A2A"/>
    <w:rsid w:val="00DA6B2F"/>
    <w:rsid w:val="00DA6DD1"/>
    <w:rsid w:val="00DA7090"/>
    <w:rsid w:val="00DA71C6"/>
    <w:rsid w:val="00DA74A3"/>
    <w:rsid w:val="00DA74AB"/>
    <w:rsid w:val="00DA7685"/>
    <w:rsid w:val="00DA7A4A"/>
    <w:rsid w:val="00DA7B6F"/>
    <w:rsid w:val="00DA7C5E"/>
    <w:rsid w:val="00DA7C92"/>
    <w:rsid w:val="00DA7DC2"/>
    <w:rsid w:val="00DB0151"/>
    <w:rsid w:val="00DB02D9"/>
    <w:rsid w:val="00DB0631"/>
    <w:rsid w:val="00DB07B6"/>
    <w:rsid w:val="00DB0CD3"/>
    <w:rsid w:val="00DB0EBF"/>
    <w:rsid w:val="00DB16EC"/>
    <w:rsid w:val="00DB1C25"/>
    <w:rsid w:val="00DB1CFA"/>
    <w:rsid w:val="00DB1E55"/>
    <w:rsid w:val="00DB1E82"/>
    <w:rsid w:val="00DB1E93"/>
    <w:rsid w:val="00DB22EE"/>
    <w:rsid w:val="00DB2862"/>
    <w:rsid w:val="00DB293E"/>
    <w:rsid w:val="00DB29C6"/>
    <w:rsid w:val="00DB2DF8"/>
    <w:rsid w:val="00DB3148"/>
    <w:rsid w:val="00DB345B"/>
    <w:rsid w:val="00DB36DC"/>
    <w:rsid w:val="00DB377C"/>
    <w:rsid w:val="00DB38F7"/>
    <w:rsid w:val="00DB39AD"/>
    <w:rsid w:val="00DB39B3"/>
    <w:rsid w:val="00DB3A6B"/>
    <w:rsid w:val="00DB41EE"/>
    <w:rsid w:val="00DB4228"/>
    <w:rsid w:val="00DB4C41"/>
    <w:rsid w:val="00DB4EC9"/>
    <w:rsid w:val="00DB4F49"/>
    <w:rsid w:val="00DB5042"/>
    <w:rsid w:val="00DB504A"/>
    <w:rsid w:val="00DB531B"/>
    <w:rsid w:val="00DB5A26"/>
    <w:rsid w:val="00DB5AC3"/>
    <w:rsid w:val="00DB61C7"/>
    <w:rsid w:val="00DB674F"/>
    <w:rsid w:val="00DB68C4"/>
    <w:rsid w:val="00DB69EA"/>
    <w:rsid w:val="00DB6C60"/>
    <w:rsid w:val="00DB706B"/>
    <w:rsid w:val="00DB719C"/>
    <w:rsid w:val="00DB7345"/>
    <w:rsid w:val="00DB7419"/>
    <w:rsid w:val="00DB794F"/>
    <w:rsid w:val="00DB7B19"/>
    <w:rsid w:val="00DB7CB6"/>
    <w:rsid w:val="00DB7D09"/>
    <w:rsid w:val="00DB7E9B"/>
    <w:rsid w:val="00DC0127"/>
    <w:rsid w:val="00DC0261"/>
    <w:rsid w:val="00DC05F9"/>
    <w:rsid w:val="00DC06CB"/>
    <w:rsid w:val="00DC0738"/>
    <w:rsid w:val="00DC0A6A"/>
    <w:rsid w:val="00DC0B15"/>
    <w:rsid w:val="00DC0B57"/>
    <w:rsid w:val="00DC0D4A"/>
    <w:rsid w:val="00DC1083"/>
    <w:rsid w:val="00DC1136"/>
    <w:rsid w:val="00DC13DD"/>
    <w:rsid w:val="00DC18A5"/>
    <w:rsid w:val="00DC19C3"/>
    <w:rsid w:val="00DC1BEB"/>
    <w:rsid w:val="00DC1BF2"/>
    <w:rsid w:val="00DC1F09"/>
    <w:rsid w:val="00DC1F36"/>
    <w:rsid w:val="00DC1F43"/>
    <w:rsid w:val="00DC212F"/>
    <w:rsid w:val="00DC2191"/>
    <w:rsid w:val="00DC241E"/>
    <w:rsid w:val="00DC2473"/>
    <w:rsid w:val="00DC2C17"/>
    <w:rsid w:val="00DC2D80"/>
    <w:rsid w:val="00DC2EFD"/>
    <w:rsid w:val="00DC3071"/>
    <w:rsid w:val="00DC3594"/>
    <w:rsid w:val="00DC35F8"/>
    <w:rsid w:val="00DC36C9"/>
    <w:rsid w:val="00DC37E4"/>
    <w:rsid w:val="00DC3B99"/>
    <w:rsid w:val="00DC3CC5"/>
    <w:rsid w:val="00DC3F82"/>
    <w:rsid w:val="00DC416B"/>
    <w:rsid w:val="00DC4245"/>
    <w:rsid w:val="00DC4716"/>
    <w:rsid w:val="00DC47CA"/>
    <w:rsid w:val="00DC4AC5"/>
    <w:rsid w:val="00DC4B80"/>
    <w:rsid w:val="00DC4BB9"/>
    <w:rsid w:val="00DC4DD5"/>
    <w:rsid w:val="00DC4F35"/>
    <w:rsid w:val="00DC5483"/>
    <w:rsid w:val="00DC57DA"/>
    <w:rsid w:val="00DC6080"/>
    <w:rsid w:val="00DC60DF"/>
    <w:rsid w:val="00DC62CF"/>
    <w:rsid w:val="00DC636F"/>
    <w:rsid w:val="00DC66F1"/>
    <w:rsid w:val="00DC696E"/>
    <w:rsid w:val="00DC6B50"/>
    <w:rsid w:val="00DC6DC9"/>
    <w:rsid w:val="00DC6FD7"/>
    <w:rsid w:val="00DC70E7"/>
    <w:rsid w:val="00DC7132"/>
    <w:rsid w:val="00DC738B"/>
    <w:rsid w:val="00DC78C9"/>
    <w:rsid w:val="00DC7AA9"/>
    <w:rsid w:val="00DC7B7D"/>
    <w:rsid w:val="00DC7C1C"/>
    <w:rsid w:val="00DC7D73"/>
    <w:rsid w:val="00DC7E1C"/>
    <w:rsid w:val="00DC7F90"/>
    <w:rsid w:val="00DD004D"/>
    <w:rsid w:val="00DD02B2"/>
    <w:rsid w:val="00DD06FA"/>
    <w:rsid w:val="00DD097E"/>
    <w:rsid w:val="00DD099E"/>
    <w:rsid w:val="00DD0B26"/>
    <w:rsid w:val="00DD115F"/>
    <w:rsid w:val="00DD12C5"/>
    <w:rsid w:val="00DD1326"/>
    <w:rsid w:val="00DD1518"/>
    <w:rsid w:val="00DD17FC"/>
    <w:rsid w:val="00DD1892"/>
    <w:rsid w:val="00DD1A5D"/>
    <w:rsid w:val="00DD1A8C"/>
    <w:rsid w:val="00DD1D9F"/>
    <w:rsid w:val="00DD1E6B"/>
    <w:rsid w:val="00DD23EC"/>
    <w:rsid w:val="00DD2408"/>
    <w:rsid w:val="00DD27A6"/>
    <w:rsid w:val="00DD318C"/>
    <w:rsid w:val="00DD376A"/>
    <w:rsid w:val="00DD3EEC"/>
    <w:rsid w:val="00DD42F4"/>
    <w:rsid w:val="00DD4342"/>
    <w:rsid w:val="00DD474D"/>
    <w:rsid w:val="00DD4875"/>
    <w:rsid w:val="00DD49D8"/>
    <w:rsid w:val="00DD503D"/>
    <w:rsid w:val="00DD50B7"/>
    <w:rsid w:val="00DD51B5"/>
    <w:rsid w:val="00DD54BB"/>
    <w:rsid w:val="00DD555F"/>
    <w:rsid w:val="00DD592F"/>
    <w:rsid w:val="00DD6120"/>
    <w:rsid w:val="00DD627A"/>
    <w:rsid w:val="00DD6438"/>
    <w:rsid w:val="00DD67DC"/>
    <w:rsid w:val="00DD6925"/>
    <w:rsid w:val="00DD6C6A"/>
    <w:rsid w:val="00DD6C70"/>
    <w:rsid w:val="00DD6D7F"/>
    <w:rsid w:val="00DD70FC"/>
    <w:rsid w:val="00DD740F"/>
    <w:rsid w:val="00DD74F6"/>
    <w:rsid w:val="00DD77B2"/>
    <w:rsid w:val="00DD7CCE"/>
    <w:rsid w:val="00DE01CD"/>
    <w:rsid w:val="00DE02D0"/>
    <w:rsid w:val="00DE03F0"/>
    <w:rsid w:val="00DE053F"/>
    <w:rsid w:val="00DE05A3"/>
    <w:rsid w:val="00DE05CE"/>
    <w:rsid w:val="00DE0610"/>
    <w:rsid w:val="00DE0626"/>
    <w:rsid w:val="00DE0736"/>
    <w:rsid w:val="00DE08BF"/>
    <w:rsid w:val="00DE09D8"/>
    <w:rsid w:val="00DE0C98"/>
    <w:rsid w:val="00DE0F4D"/>
    <w:rsid w:val="00DE120F"/>
    <w:rsid w:val="00DE1247"/>
    <w:rsid w:val="00DE17DD"/>
    <w:rsid w:val="00DE1BF7"/>
    <w:rsid w:val="00DE1EFB"/>
    <w:rsid w:val="00DE2008"/>
    <w:rsid w:val="00DE20DD"/>
    <w:rsid w:val="00DE225E"/>
    <w:rsid w:val="00DE2284"/>
    <w:rsid w:val="00DE2376"/>
    <w:rsid w:val="00DE2386"/>
    <w:rsid w:val="00DE23E3"/>
    <w:rsid w:val="00DE2452"/>
    <w:rsid w:val="00DE25E1"/>
    <w:rsid w:val="00DE26E6"/>
    <w:rsid w:val="00DE2708"/>
    <w:rsid w:val="00DE27AC"/>
    <w:rsid w:val="00DE293F"/>
    <w:rsid w:val="00DE2B51"/>
    <w:rsid w:val="00DE2C9A"/>
    <w:rsid w:val="00DE2D9A"/>
    <w:rsid w:val="00DE31A8"/>
    <w:rsid w:val="00DE336D"/>
    <w:rsid w:val="00DE339A"/>
    <w:rsid w:val="00DE34E4"/>
    <w:rsid w:val="00DE36DF"/>
    <w:rsid w:val="00DE3821"/>
    <w:rsid w:val="00DE38FE"/>
    <w:rsid w:val="00DE3979"/>
    <w:rsid w:val="00DE4D45"/>
    <w:rsid w:val="00DE4DF7"/>
    <w:rsid w:val="00DE4EEF"/>
    <w:rsid w:val="00DE5078"/>
    <w:rsid w:val="00DE50C3"/>
    <w:rsid w:val="00DE53A6"/>
    <w:rsid w:val="00DE54BD"/>
    <w:rsid w:val="00DE5860"/>
    <w:rsid w:val="00DE5C6D"/>
    <w:rsid w:val="00DE606B"/>
    <w:rsid w:val="00DE6565"/>
    <w:rsid w:val="00DE65D1"/>
    <w:rsid w:val="00DE6844"/>
    <w:rsid w:val="00DE6E11"/>
    <w:rsid w:val="00DE7486"/>
    <w:rsid w:val="00DE7B19"/>
    <w:rsid w:val="00DE7BB4"/>
    <w:rsid w:val="00DE7D28"/>
    <w:rsid w:val="00DF001B"/>
    <w:rsid w:val="00DF0315"/>
    <w:rsid w:val="00DF07B1"/>
    <w:rsid w:val="00DF0BAC"/>
    <w:rsid w:val="00DF0C37"/>
    <w:rsid w:val="00DF0D13"/>
    <w:rsid w:val="00DF0ECC"/>
    <w:rsid w:val="00DF0F6B"/>
    <w:rsid w:val="00DF0FAF"/>
    <w:rsid w:val="00DF0FC9"/>
    <w:rsid w:val="00DF1157"/>
    <w:rsid w:val="00DF170A"/>
    <w:rsid w:val="00DF1C7D"/>
    <w:rsid w:val="00DF1DC9"/>
    <w:rsid w:val="00DF1EBE"/>
    <w:rsid w:val="00DF21E6"/>
    <w:rsid w:val="00DF2496"/>
    <w:rsid w:val="00DF2679"/>
    <w:rsid w:val="00DF2943"/>
    <w:rsid w:val="00DF2BA5"/>
    <w:rsid w:val="00DF3126"/>
    <w:rsid w:val="00DF3177"/>
    <w:rsid w:val="00DF3535"/>
    <w:rsid w:val="00DF3B17"/>
    <w:rsid w:val="00DF3BA8"/>
    <w:rsid w:val="00DF3BBD"/>
    <w:rsid w:val="00DF3EA7"/>
    <w:rsid w:val="00DF3EF4"/>
    <w:rsid w:val="00DF4231"/>
    <w:rsid w:val="00DF442A"/>
    <w:rsid w:val="00DF4625"/>
    <w:rsid w:val="00DF4A82"/>
    <w:rsid w:val="00DF4DAA"/>
    <w:rsid w:val="00DF5700"/>
    <w:rsid w:val="00DF5822"/>
    <w:rsid w:val="00DF5FA8"/>
    <w:rsid w:val="00DF611F"/>
    <w:rsid w:val="00DF636D"/>
    <w:rsid w:val="00DF6462"/>
    <w:rsid w:val="00DF659A"/>
    <w:rsid w:val="00DF6A72"/>
    <w:rsid w:val="00DF6E2A"/>
    <w:rsid w:val="00DF70BF"/>
    <w:rsid w:val="00DF70FB"/>
    <w:rsid w:val="00DF738D"/>
    <w:rsid w:val="00DF7395"/>
    <w:rsid w:val="00DF7512"/>
    <w:rsid w:val="00DF7590"/>
    <w:rsid w:val="00DF7781"/>
    <w:rsid w:val="00DF79CF"/>
    <w:rsid w:val="00DF7CFD"/>
    <w:rsid w:val="00DF7E9D"/>
    <w:rsid w:val="00DF7EE3"/>
    <w:rsid w:val="00E003DB"/>
    <w:rsid w:val="00E00534"/>
    <w:rsid w:val="00E005AD"/>
    <w:rsid w:val="00E005B8"/>
    <w:rsid w:val="00E008AD"/>
    <w:rsid w:val="00E00BAB"/>
    <w:rsid w:val="00E00F90"/>
    <w:rsid w:val="00E0113A"/>
    <w:rsid w:val="00E014C6"/>
    <w:rsid w:val="00E0183E"/>
    <w:rsid w:val="00E01EC8"/>
    <w:rsid w:val="00E01F00"/>
    <w:rsid w:val="00E01F3A"/>
    <w:rsid w:val="00E02259"/>
    <w:rsid w:val="00E02264"/>
    <w:rsid w:val="00E0266B"/>
    <w:rsid w:val="00E026F3"/>
    <w:rsid w:val="00E02745"/>
    <w:rsid w:val="00E0280C"/>
    <w:rsid w:val="00E029B2"/>
    <w:rsid w:val="00E029C9"/>
    <w:rsid w:val="00E02C53"/>
    <w:rsid w:val="00E02EE0"/>
    <w:rsid w:val="00E034AE"/>
    <w:rsid w:val="00E03F67"/>
    <w:rsid w:val="00E04249"/>
    <w:rsid w:val="00E043F0"/>
    <w:rsid w:val="00E04404"/>
    <w:rsid w:val="00E047A5"/>
    <w:rsid w:val="00E0492D"/>
    <w:rsid w:val="00E04BA4"/>
    <w:rsid w:val="00E04BF3"/>
    <w:rsid w:val="00E04CC3"/>
    <w:rsid w:val="00E04F65"/>
    <w:rsid w:val="00E04FC1"/>
    <w:rsid w:val="00E055BD"/>
    <w:rsid w:val="00E0573E"/>
    <w:rsid w:val="00E05BED"/>
    <w:rsid w:val="00E0623E"/>
    <w:rsid w:val="00E0664B"/>
    <w:rsid w:val="00E06661"/>
    <w:rsid w:val="00E0667D"/>
    <w:rsid w:val="00E0676C"/>
    <w:rsid w:val="00E06924"/>
    <w:rsid w:val="00E06B74"/>
    <w:rsid w:val="00E06E74"/>
    <w:rsid w:val="00E070FA"/>
    <w:rsid w:val="00E073E6"/>
    <w:rsid w:val="00E0765F"/>
    <w:rsid w:val="00E07D4B"/>
    <w:rsid w:val="00E1015F"/>
    <w:rsid w:val="00E1019F"/>
    <w:rsid w:val="00E10362"/>
    <w:rsid w:val="00E10583"/>
    <w:rsid w:val="00E106B8"/>
    <w:rsid w:val="00E10815"/>
    <w:rsid w:val="00E1087C"/>
    <w:rsid w:val="00E11020"/>
    <w:rsid w:val="00E11524"/>
    <w:rsid w:val="00E1175F"/>
    <w:rsid w:val="00E117EF"/>
    <w:rsid w:val="00E11B6C"/>
    <w:rsid w:val="00E11DFD"/>
    <w:rsid w:val="00E12827"/>
    <w:rsid w:val="00E1296C"/>
    <w:rsid w:val="00E12BFD"/>
    <w:rsid w:val="00E12DF1"/>
    <w:rsid w:val="00E13067"/>
    <w:rsid w:val="00E1332F"/>
    <w:rsid w:val="00E1333A"/>
    <w:rsid w:val="00E13478"/>
    <w:rsid w:val="00E1391D"/>
    <w:rsid w:val="00E13B94"/>
    <w:rsid w:val="00E13C1B"/>
    <w:rsid w:val="00E13C7F"/>
    <w:rsid w:val="00E14231"/>
    <w:rsid w:val="00E14252"/>
    <w:rsid w:val="00E1462D"/>
    <w:rsid w:val="00E14673"/>
    <w:rsid w:val="00E147DE"/>
    <w:rsid w:val="00E14BF0"/>
    <w:rsid w:val="00E14DC9"/>
    <w:rsid w:val="00E1502E"/>
    <w:rsid w:val="00E15377"/>
    <w:rsid w:val="00E15508"/>
    <w:rsid w:val="00E1587C"/>
    <w:rsid w:val="00E15EC9"/>
    <w:rsid w:val="00E1605C"/>
    <w:rsid w:val="00E1619F"/>
    <w:rsid w:val="00E16323"/>
    <w:rsid w:val="00E16439"/>
    <w:rsid w:val="00E16452"/>
    <w:rsid w:val="00E1662A"/>
    <w:rsid w:val="00E1674C"/>
    <w:rsid w:val="00E1675D"/>
    <w:rsid w:val="00E1686D"/>
    <w:rsid w:val="00E16F11"/>
    <w:rsid w:val="00E17331"/>
    <w:rsid w:val="00E17359"/>
    <w:rsid w:val="00E174C3"/>
    <w:rsid w:val="00E17574"/>
    <w:rsid w:val="00E17774"/>
    <w:rsid w:val="00E17993"/>
    <w:rsid w:val="00E2010B"/>
    <w:rsid w:val="00E202AC"/>
    <w:rsid w:val="00E20651"/>
    <w:rsid w:val="00E20B33"/>
    <w:rsid w:val="00E211C9"/>
    <w:rsid w:val="00E21410"/>
    <w:rsid w:val="00E216A1"/>
    <w:rsid w:val="00E21983"/>
    <w:rsid w:val="00E21986"/>
    <w:rsid w:val="00E21AF0"/>
    <w:rsid w:val="00E21BF5"/>
    <w:rsid w:val="00E21E40"/>
    <w:rsid w:val="00E22764"/>
    <w:rsid w:val="00E229CF"/>
    <w:rsid w:val="00E22A9D"/>
    <w:rsid w:val="00E22C58"/>
    <w:rsid w:val="00E2364C"/>
    <w:rsid w:val="00E23778"/>
    <w:rsid w:val="00E23BCE"/>
    <w:rsid w:val="00E24391"/>
    <w:rsid w:val="00E249D5"/>
    <w:rsid w:val="00E24AF0"/>
    <w:rsid w:val="00E24BED"/>
    <w:rsid w:val="00E24C0E"/>
    <w:rsid w:val="00E24D72"/>
    <w:rsid w:val="00E24F74"/>
    <w:rsid w:val="00E25198"/>
    <w:rsid w:val="00E251FA"/>
    <w:rsid w:val="00E254CD"/>
    <w:rsid w:val="00E25EF1"/>
    <w:rsid w:val="00E260D9"/>
    <w:rsid w:val="00E26214"/>
    <w:rsid w:val="00E262BD"/>
    <w:rsid w:val="00E265F7"/>
    <w:rsid w:val="00E26726"/>
    <w:rsid w:val="00E26812"/>
    <w:rsid w:val="00E26ABB"/>
    <w:rsid w:val="00E26AD9"/>
    <w:rsid w:val="00E26E47"/>
    <w:rsid w:val="00E2729A"/>
    <w:rsid w:val="00E27903"/>
    <w:rsid w:val="00E27927"/>
    <w:rsid w:val="00E27A49"/>
    <w:rsid w:val="00E27B1F"/>
    <w:rsid w:val="00E27C32"/>
    <w:rsid w:val="00E30100"/>
    <w:rsid w:val="00E3020C"/>
    <w:rsid w:val="00E30381"/>
    <w:rsid w:val="00E305D3"/>
    <w:rsid w:val="00E30783"/>
    <w:rsid w:val="00E3089F"/>
    <w:rsid w:val="00E30A04"/>
    <w:rsid w:val="00E30E29"/>
    <w:rsid w:val="00E3112D"/>
    <w:rsid w:val="00E31419"/>
    <w:rsid w:val="00E31699"/>
    <w:rsid w:val="00E317C7"/>
    <w:rsid w:val="00E317C8"/>
    <w:rsid w:val="00E3180E"/>
    <w:rsid w:val="00E318FA"/>
    <w:rsid w:val="00E31A9F"/>
    <w:rsid w:val="00E32290"/>
    <w:rsid w:val="00E32B90"/>
    <w:rsid w:val="00E32E35"/>
    <w:rsid w:val="00E33232"/>
    <w:rsid w:val="00E3347B"/>
    <w:rsid w:val="00E33D0F"/>
    <w:rsid w:val="00E33E57"/>
    <w:rsid w:val="00E34154"/>
    <w:rsid w:val="00E344BF"/>
    <w:rsid w:val="00E344C5"/>
    <w:rsid w:val="00E349AA"/>
    <w:rsid w:val="00E34D47"/>
    <w:rsid w:val="00E35061"/>
    <w:rsid w:val="00E351BD"/>
    <w:rsid w:val="00E353E6"/>
    <w:rsid w:val="00E35436"/>
    <w:rsid w:val="00E354A8"/>
    <w:rsid w:val="00E3586B"/>
    <w:rsid w:val="00E35CC8"/>
    <w:rsid w:val="00E362D3"/>
    <w:rsid w:val="00E363A8"/>
    <w:rsid w:val="00E366DC"/>
    <w:rsid w:val="00E369C5"/>
    <w:rsid w:val="00E36A15"/>
    <w:rsid w:val="00E36AAC"/>
    <w:rsid w:val="00E36B64"/>
    <w:rsid w:val="00E37193"/>
    <w:rsid w:val="00E371E7"/>
    <w:rsid w:val="00E3745D"/>
    <w:rsid w:val="00E376C3"/>
    <w:rsid w:val="00E37DBB"/>
    <w:rsid w:val="00E37E7E"/>
    <w:rsid w:val="00E402A4"/>
    <w:rsid w:val="00E402EA"/>
    <w:rsid w:val="00E4033D"/>
    <w:rsid w:val="00E40369"/>
    <w:rsid w:val="00E4039B"/>
    <w:rsid w:val="00E40429"/>
    <w:rsid w:val="00E407E4"/>
    <w:rsid w:val="00E40D75"/>
    <w:rsid w:val="00E40E0B"/>
    <w:rsid w:val="00E419E0"/>
    <w:rsid w:val="00E41A70"/>
    <w:rsid w:val="00E41AA9"/>
    <w:rsid w:val="00E41B6E"/>
    <w:rsid w:val="00E41C4B"/>
    <w:rsid w:val="00E41F61"/>
    <w:rsid w:val="00E4201D"/>
    <w:rsid w:val="00E420C1"/>
    <w:rsid w:val="00E420E9"/>
    <w:rsid w:val="00E421B7"/>
    <w:rsid w:val="00E4223E"/>
    <w:rsid w:val="00E4225B"/>
    <w:rsid w:val="00E426D5"/>
    <w:rsid w:val="00E42714"/>
    <w:rsid w:val="00E42C4F"/>
    <w:rsid w:val="00E42D14"/>
    <w:rsid w:val="00E42F42"/>
    <w:rsid w:val="00E42FCA"/>
    <w:rsid w:val="00E42FDE"/>
    <w:rsid w:val="00E4327E"/>
    <w:rsid w:val="00E432FC"/>
    <w:rsid w:val="00E43400"/>
    <w:rsid w:val="00E43405"/>
    <w:rsid w:val="00E435C2"/>
    <w:rsid w:val="00E4380D"/>
    <w:rsid w:val="00E43B08"/>
    <w:rsid w:val="00E43D74"/>
    <w:rsid w:val="00E43DCB"/>
    <w:rsid w:val="00E43DEC"/>
    <w:rsid w:val="00E44349"/>
    <w:rsid w:val="00E443FC"/>
    <w:rsid w:val="00E44445"/>
    <w:rsid w:val="00E445C3"/>
    <w:rsid w:val="00E445E1"/>
    <w:rsid w:val="00E4473E"/>
    <w:rsid w:val="00E44C9A"/>
    <w:rsid w:val="00E44CE4"/>
    <w:rsid w:val="00E44F42"/>
    <w:rsid w:val="00E44F56"/>
    <w:rsid w:val="00E44F5F"/>
    <w:rsid w:val="00E4507B"/>
    <w:rsid w:val="00E450E1"/>
    <w:rsid w:val="00E45673"/>
    <w:rsid w:val="00E45B05"/>
    <w:rsid w:val="00E45CB8"/>
    <w:rsid w:val="00E45CFB"/>
    <w:rsid w:val="00E45D98"/>
    <w:rsid w:val="00E45E6A"/>
    <w:rsid w:val="00E45E8A"/>
    <w:rsid w:val="00E46177"/>
    <w:rsid w:val="00E46290"/>
    <w:rsid w:val="00E464EA"/>
    <w:rsid w:val="00E4693A"/>
    <w:rsid w:val="00E469A5"/>
    <w:rsid w:val="00E46DCD"/>
    <w:rsid w:val="00E474ED"/>
    <w:rsid w:val="00E475EE"/>
    <w:rsid w:val="00E47B8F"/>
    <w:rsid w:val="00E47D6E"/>
    <w:rsid w:val="00E47E6D"/>
    <w:rsid w:val="00E47FAD"/>
    <w:rsid w:val="00E501AD"/>
    <w:rsid w:val="00E501C5"/>
    <w:rsid w:val="00E5045F"/>
    <w:rsid w:val="00E50752"/>
    <w:rsid w:val="00E50831"/>
    <w:rsid w:val="00E50996"/>
    <w:rsid w:val="00E50AFE"/>
    <w:rsid w:val="00E51325"/>
    <w:rsid w:val="00E51437"/>
    <w:rsid w:val="00E51621"/>
    <w:rsid w:val="00E516EF"/>
    <w:rsid w:val="00E51E25"/>
    <w:rsid w:val="00E520E0"/>
    <w:rsid w:val="00E521EB"/>
    <w:rsid w:val="00E522C1"/>
    <w:rsid w:val="00E526B9"/>
    <w:rsid w:val="00E529AD"/>
    <w:rsid w:val="00E52A07"/>
    <w:rsid w:val="00E52F06"/>
    <w:rsid w:val="00E52F62"/>
    <w:rsid w:val="00E53016"/>
    <w:rsid w:val="00E531BE"/>
    <w:rsid w:val="00E53292"/>
    <w:rsid w:val="00E53466"/>
    <w:rsid w:val="00E534A0"/>
    <w:rsid w:val="00E5362F"/>
    <w:rsid w:val="00E538A3"/>
    <w:rsid w:val="00E538E2"/>
    <w:rsid w:val="00E53D62"/>
    <w:rsid w:val="00E53F95"/>
    <w:rsid w:val="00E543D8"/>
    <w:rsid w:val="00E546E9"/>
    <w:rsid w:val="00E5487B"/>
    <w:rsid w:val="00E549F2"/>
    <w:rsid w:val="00E54AF6"/>
    <w:rsid w:val="00E54C0A"/>
    <w:rsid w:val="00E54F99"/>
    <w:rsid w:val="00E55642"/>
    <w:rsid w:val="00E556D9"/>
    <w:rsid w:val="00E5585E"/>
    <w:rsid w:val="00E55907"/>
    <w:rsid w:val="00E55C9E"/>
    <w:rsid w:val="00E55D47"/>
    <w:rsid w:val="00E55DEC"/>
    <w:rsid w:val="00E56119"/>
    <w:rsid w:val="00E563CD"/>
    <w:rsid w:val="00E563DF"/>
    <w:rsid w:val="00E569C1"/>
    <w:rsid w:val="00E56F22"/>
    <w:rsid w:val="00E572B9"/>
    <w:rsid w:val="00E57324"/>
    <w:rsid w:val="00E57365"/>
    <w:rsid w:val="00E57493"/>
    <w:rsid w:val="00E575AF"/>
    <w:rsid w:val="00E5798F"/>
    <w:rsid w:val="00E57A9A"/>
    <w:rsid w:val="00E57B60"/>
    <w:rsid w:val="00E57C0F"/>
    <w:rsid w:val="00E57CD3"/>
    <w:rsid w:val="00E57E24"/>
    <w:rsid w:val="00E60083"/>
    <w:rsid w:val="00E60204"/>
    <w:rsid w:val="00E6033A"/>
    <w:rsid w:val="00E60691"/>
    <w:rsid w:val="00E608FC"/>
    <w:rsid w:val="00E60A11"/>
    <w:rsid w:val="00E60E33"/>
    <w:rsid w:val="00E60EB3"/>
    <w:rsid w:val="00E610FD"/>
    <w:rsid w:val="00E6130D"/>
    <w:rsid w:val="00E614C6"/>
    <w:rsid w:val="00E614FC"/>
    <w:rsid w:val="00E61B05"/>
    <w:rsid w:val="00E628E2"/>
    <w:rsid w:val="00E62B05"/>
    <w:rsid w:val="00E62B5A"/>
    <w:rsid w:val="00E62D19"/>
    <w:rsid w:val="00E62E34"/>
    <w:rsid w:val="00E63060"/>
    <w:rsid w:val="00E6352A"/>
    <w:rsid w:val="00E6355E"/>
    <w:rsid w:val="00E63AA6"/>
    <w:rsid w:val="00E63CE5"/>
    <w:rsid w:val="00E647DA"/>
    <w:rsid w:val="00E648E5"/>
    <w:rsid w:val="00E64AEA"/>
    <w:rsid w:val="00E64B65"/>
    <w:rsid w:val="00E64B9A"/>
    <w:rsid w:val="00E64E3A"/>
    <w:rsid w:val="00E64F91"/>
    <w:rsid w:val="00E654C5"/>
    <w:rsid w:val="00E656C4"/>
    <w:rsid w:val="00E6584A"/>
    <w:rsid w:val="00E659EF"/>
    <w:rsid w:val="00E65A64"/>
    <w:rsid w:val="00E65C8D"/>
    <w:rsid w:val="00E65D42"/>
    <w:rsid w:val="00E65D9D"/>
    <w:rsid w:val="00E6653F"/>
    <w:rsid w:val="00E6667F"/>
    <w:rsid w:val="00E66694"/>
    <w:rsid w:val="00E66759"/>
    <w:rsid w:val="00E66B66"/>
    <w:rsid w:val="00E66B8A"/>
    <w:rsid w:val="00E66F3F"/>
    <w:rsid w:val="00E678F1"/>
    <w:rsid w:val="00E67946"/>
    <w:rsid w:val="00E67BBE"/>
    <w:rsid w:val="00E67C36"/>
    <w:rsid w:val="00E67FA8"/>
    <w:rsid w:val="00E7010E"/>
    <w:rsid w:val="00E70249"/>
    <w:rsid w:val="00E7025B"/>
    <w:rsid w:val="00E70312"/>
    <w:rsid w:val="00E70433"/>
    <w:rsid w:val="00E70525"/>
    <w:rsid w:val="00E70BB8"/>
    <w:rsid w:val="00E70DB6"/>
    <w:rsid w:val="00E70E27"/>
    <w:rsid w:val="00E70F4C"/>
    <w:rsid w:val="00E71134"/>
    <w:rsid w:val="00E71157"/>
    <w:rsid w:val="00E712CE"/>
    <w:rsid w:val="00E712EA"/>
    <w:rsid w:val="00E71452"/>
    <w:rsid w:val="00E714CD"/>
    <w:rsid w:val="00E714D7"/>
    <w:rsid w:val="00E715C5"/>
    <w:rsid w:val="00E71729"/>
    <w:rsid w:val="00E719C3"/>
    <w:rsid w:val="00E719CB"/>
    <w:rsid w:val="00E71DCF"/>
    <w:rsid w:val="00E71FE7"/>
    <w:rsid w:val="00E72037"/>
    <w:rsid w:val="00E721E2"/>
    <w:rsid w:val="00E72843"/>
    <w:rsid w:val="00E72B77"/>
    <w:rsid w:val="00E72C07"/>
    <w:rsid w:val="00E72E21"/>
    <w:rsid w:val="00E72F04"/>
    <w:rsid w:val="00E730E3"/>
    <w:rsid w:val="00E7381C"/>
    <w:rsid w:val="00E73907"/>
    <w:rsid w:val="00E73A3A"/>
    <w:rsid w:val="00E73AE8"/>
    <w:rsid w:val="00E73B03"/>
    <w:rsid w:val="00E73C12"/>
    <w:rsid w:val="00E73C6E"/>
    <w:rsid w:val="00E73CDD"/>
    <w:rsid w:val="00E73F5A"/>
    <w:rsid w:val="00E74755"/>
    <w:rsid w:val="00E747FA"/>
    <w:rsid w:val="00E74899"/>
    <w:rsid w:val="00E748F5"/>
    <w:rsid w:val="00E74B65"/>
    <w:rsid w:val="00E74C0C"/>
    <w:rsid w:val="00E759ED"/>
    <w:rsid w:val="00E7634B"/>
    <w:rsid w:val="00E763E9"/>
    <w:rsid w:val="00E7665A"/>
    <w:rsid w:val="00E76748"/>
    <w:rsid w:val="00E76DFC"/>
    <w:rsid w:val="00E76F4D"/>
    <w:rsid w:val="00E77035"/>
    <w:rsid w:val="00E77149"/>
    <w:rsid w:val="00E77B27"/>
    <w:rsid w:val="00E77C66"/>
    <w:rsid w:val="00E77F1C"/>
    <w:rsid w:val="00E80260"/>
    <w:rsid w:val="00E802D1"/>
    <w:rsid w:val="00E803F1"/>
    <w:rsid w:val="00E8069F"/>
    <w:rsid w:val="00E80707"/>
    <w:rsid w:val="00E80B3E"/>
    <w:rsid w:val="00E80C91"/>
    <w:rsid w:val="00E80D40"/>
    <w:rsid w:val="00E80FB9"/>
    <w:rsid w:val="00E810A9"/>
    <w:rsid w:val="00E81370"/>
    <w:rsid w:val="00E81708"/>
    <w:rsid w:val="00E817DB"/>
    <w:rsid w:val="00E81F01"/>
    <w:rsid w:val="00E81F89"/>
    <w:rsid w:val="00E8200F"/>
    <w:rsid w:val="00E82120"/>
    <w:rsid w:val="00E8240E"/>
    <w:rsid w:val="00E82759"/>
    <w:rsid w:val="00E82781"/>
    <w:rsid w:val="00E827D2"/>
    <w:rsid w:val="00E82CDF"/>
    <w:rsid w:val="00E82CE0"/>
    <w:rsid w:val="00E836B5"/>
    <w:rsid w:val="00E83C90"/>
    <w:rsid w:val="00E83E8E"/>
    <w:rsid w:val="00E841DA"/>
    <w:rsid w:val="00E84518"/>
    <w:rsid w:val="00E8474B"/>
    <w:rsid w:val="00E847C6"/>
    <w:rsid w:val="00E849CC"/>
    <w:rsid w:val="00E84AF3"/>
    <w:rsid w:val="00E84C22"/>
    <w:rsid w:val="00E8531D"/>
    <w:rsid w:val="00E853A3"/>
    <w:rsid w:val="00E853CB"/>
    <w:rsid w:val="00E859F8"/>
    <w:rsid w:val="00E85FBC"/>
    <w:rsid w:val="00E8600D"/>
    <w:rsid w:val="00E86131"/>
    <w:rsid w:val="00E863B1"/>
    <w:rsid w:val="00E863DB"/>
    <w:rsid w:val="00E86454"/>
    <w:rsid w:val="00E8649C"/>
    <w:rsid w:val="00E86845"/>
    <w:rsid w:val="00E86918"/>
    <w:rsid w:val="00E869B9"/>
    <w:rsid w:val="00E86A0A"/>
    <w:rsid w:val="00E86CAC"/>
    <w:rsid w:val="00E86DC6"/>
    <w:rsid w:val="00E871CB"/>
    <w:rsid w:val="00E8734D"/>
    <w:rsid w:val="00E8748A"/>
    <w:rsid w:val="00E8767B"/>
    <w:rsid w:val="00E8770E"/>
    <w:rsid w:val="00E8773C"/>
    <w:rsid w:val="00E877F7"/>
    <w:rsid w:val="00E878E6"/>
    <w:rsid w:val="00E87D3D"/>
    <w:rsid w:val="00E90013"/>
    <w:rsid w:val="00E90089"/>
    <w:rsid w:val="00E90188"/>
    <w:rsid w:val="00E9051C"/>
    <w:rsid w:val="00E90B50"/>
    <w:rsid w:val="00E90B99"/>
    <w:rsid w:val="00E90B9A"/>
    <w:rsid w:val="00E90C0F"/>
    <w:rsid w:val="00E90EF2"/>
    <w:rsid w:val="00E90F44"/>
    <w:rsid w:val="00E91678"/>
    <w:rsid w:val="00E917B1"/>
    <w:rsid w:val="00E9186D"/>
    <w:rsid w:val="00E918DE"/>
    <w:rsid w:val="00E92041"/>
    <w:rsid w:val="00E92160"/>
    <w:rsid w:val="00E921CA"/>
    <w:rsid w:val="00E921F7"/>
    <w:rsid w:val="00E926EF"/>
    <w:rsid w:val="00E92D59"/>
    <w:rsid w:val="00E92F1F"/>
    <w:rsid w:val="00E93358"/>
    <w:rsid w:val="00E93399"/>
    <w:rsid w:val="00E93636"/>
    <w:rsid w:val="00E9365C"/>
    <w:rsid w:val="00E9377A"/>
    <w:rsid w:val="00E93A1A"/>
    <w:rsid w:val="00E93A8E"/>
    <w:rsid w:val="00E943C2"/>
    <w:rsid w:val="00E9442D"/>
    <w:rsid w:val="00E9467B"/>
    <w:rsid w:val="00E94820"/>
    <w:rsid w:val="00E94B2D"/>
    <w:rsid w:val="00E94B99"/>
    <w:rsid w:val="00E94C70"/>
    <w:rsid w:val="00E94CFF"/>
    <w:rsid w:val="00E94F37"/>
    <w:rsid w:val="00E95046"/>
    <w:rsid w:val="00E95518"/>
    <w:rsid w:val="00E95D11"/>
    <w:rsid w:val="00E95D55"/>
    <w:rsid w:val="00E9625A"/>
    <w:rsid w:val="00E966EA"/>
    <w:rsid w:val="00E96899"/>
    <w:rsid w:val="00E96959"/>
    <w:rsid w:val="00E96BB5"/>
    <w:rsid w:val="00E96DA9"/>
    <w:rsid w:val="00E96DC9"/>
    <w:rsid w:val="00E96E89"/>
    <w:rsid w:val="00E96F93"/>
    <w:rsid w:val="00E9740D"/>
    <w:rsid w:val="00E974E6"/>
    <w:rsid w:val="00E977B6"/>
    <w:rsid w:val="00E97857"/>
    <w:rsid w:val="00E97E32"/>
    <w:rsid w:val="00EA02DA"/>
    <w:rsid w:val="00EA077B"/>
    <w:rsid w:val="00EA07D4"/>
    <w:rsid w:val="00EA08C9"/>
    <w:rsid w:val="00EA0B8A"/>
    <w:rsid w:val="00EA0CF3"/>
    <w:rsid w:val="00EA0D33"/>
    <w:rsid w:val="00EA0D40"/>
    <w:rsid w:val="00EA0D91"/>
    <w:rsid w:val="00EA0EAA"/>
    <w:rsid w:val="00EA1106"/>
    <w:rsid w:val="00EA117B"/>
    <w:rsid w:val="00EA13D2"/>
    <w:rsid w:val="00EA13E9"/>
    <w:rsid w:val="00EA1678"/>
    <w:rsid w:val="00EA172D"/>
    <w:rsid w:val="00EA1B21"/>
    <w:rsid w:val="00EA1CB9"/>
    <w:rsid w:val="00EA1CBA"/>
    <w:rsid w:val="00EA1FFB"/>
    <w:rsid w:val="00EA2062"/>
    <w:rsid w:val="00EA2185"/>
    <w:rsid w:val="00EA22C5"/>
    <w:rsid w:val="00EA24F8"/>
    <w:rsid w:val="00EA271A"/>
    <w:rsid w:val="00EA2809"/>
    <w:rsid w:val="00EA298B"/>
    <w:rsid w:val="00EA2AF9"/>
    <w:rsid w:val="00EA2B78"/>
    <w:rsid w:val="00EA2C16"/>
    <w:rsid w:val="00EA2D67"/>
    <w:rsid w:val="00EA2EA5"/>
    <w:rsid w:val="00EA300F"/>
    <w:rsid w:val="00EA3368"/>
    <w:rsid w:val="00EA33F2"/>
    <w:rsid w:val="00EA39F6"/>
    <w:rsid w:val="00EA3B24"/>
    <w:rsid w:val="00EA3C08"/>
    <w:rsid w:val="00EA40D3"/>
    <w:rsid w:val="00EA40D4"/>
    <w:rsid w:val="00EA41B7"/>
    <w:rsid w:val="00EA4349"/>
    <w:rsid w:val="00EA441C"/>
    <w:rsid w:val="00EA4447"/>
    <w:rsid w:val="00EA44D7"/>
    <w:rsid w:val="00EA4613"/>
    <w:rsid w:val="00EA4C8D"/>
    <w:rsid w:val="00EA4DCF"/>
    <w:rsid w:val="00EA5283"/>
    <w:rsid w:val="00EA549E"/>
    <w:rsid w:val="00EA569E"/>
    <w:rsid w:val="00EA5736"/>
    <w:rsid w:val="00EA57E4"/>
    <w:rsid w:val="00EA588B"/>
    <w:rsid w:val="00EA5BC1"/>
    <w:rsid w:val="00EA6649"/>
    <w:rsid w:val="00EA69E6"/>
    <w:rsid w:val="00EA6A09"/>
    <w:rsid w:val="00EA6B9A"/>
    <w:rsid w:val="00EA721F"/>
    <w:rsid w:val="00EA72E6"/>
    <w:rsid w:val="00EA7359"/>
    <w:rsid w:val="00EA7552"/>
    <w:rsid w:val="00EA7564"/>
    <w:rsid w:val="00EA7603"/>
    <w:rsid w:val="00EA769B"/>
    <w:rsid w:val="00EA7A35"/>
    <w:rsid w:val="00EA7B1B"/>
    <w:rsid w:val="00EA7D00"/>
    <w:rsid w:val="00EB059F"/>
    <w:rsid w:val="00EB07B2"/>
    <w:rsid w:val="00EB0943"/>
    <w:rsid w:val="00EB0F2A"/>
    <w:rsid w:val="00EB1027"/>
    <w:rsid w:val="00EB14BE"/>
    <w:rsid w:val="00EB15D7"/>
    <w:rsid w:val="00EB15F0"/>
    <w:rsid w:val="00EB1630"/>
    <w:rsid w:val="00EB1838"/>
    <w:rsid w:val="00EB1857"/>
    <w:rsid w:val="00EB1A67"/>
    <w:rsid w:val="00EB1BF1"/>
    <w:rsid w:val="00EB1F75"/>
    <w:rsid w:val="00EB21E9"/>
    <w:rsid w:val="00EB222B"/>
    <w:rsid w:val="00EB240B"/>
    <w:rsid w:val="00EB2434"/>
    <w:rsid w:val="00EB251A"/>
    <w:rsid w:val="00EB2C51"/>
    <w:rsid w:val="00EB3124"/>
    <w:rsid w:val="00EB37C2"/>
    <w:rsid w:val="00EB37DF"/>
    <w:rsid w:val="00EB3805"/>
    <w:rsid w:val="00EB39D8"/>
    <w:rsid w:val="00EB39EF"/>
    <w:rsid w:val="00EB3CC0"/>
    <w:rsid w:val="00EB3DD5"/>
    <w:rsid w:val="00EB4616"/>
    <w:rsid w:val="00EB48BB"/>
    <w:rsid w:val="00EB4A03"/>
    <w:rsid w:val="00EB4A2B"/>
    <w:rsid w:val="00EB4A53"/>
    <w:rsid w:val="00EB4B32"/>
    <w:rsid w:val="00EB4B39"/>
    <w:rsid w:val="00EB4FDD"/>
    <w:rsid w:val="00EB5356"/>
    <w:rsid w:val="00EB593A"/>
    <w:rsid w:val="00EB5B28"/>
    <w:rsid w:val="00EB5C25"/>
    <w:rsid w:val="00EB5E36"/>
    <w:rsid w:val="00EB6077"/>
    <w:rsid w:val="00EB623B"/>
    <w:rsid w:val="00EB63DC"/>
    <w:rsid w:val="00EB65C0"/>
    <w:rsid w:val="00EB663A"/>
    <w:rsid w:val="00EB6E97"/>
    <w:rsid w:val="00EB704F"/>
    <w:rsid w:val="00EB7228"/>
    <w:rsid w:val="00EB7231"/>
    <w:rsid w:val="00EB7501"/>
    <w:rsid w:val="00EB79F7"/>
    <w:rsid w:val="00EB7EDB"/>
    <w:rsid w:val="00EC015B"/>
    <w:rsid w:val="00EC029B"/>
    <w:rsid w:val="00EC0854"/>
    <w:rsid w:val="00EC09DB"/>
    <w:rsid w:val="00EC0FE0"/>
    <w:rsid w:val="00EC1117"/>
    <w:rsid w:val="00EC131D"/>
    <w:rsid w:val="00EC1504"/>
    <w:rsid w:val="00EC1517"/>
    <w:rsid w:val="00EC190A"/>
    <w:rsid w:val="00EC1E7E"/>
    <w:rsid w:val="00EC1F57"/>
    <w:rsid w:val="00EC22F9"/>
    <w:rsid w:val="00EC2603"/>
    <w:rsid w:val="00EC2848"/>
    <w:rsid w:val="00EC2AD2"/>
    <w:rsid w:val="00EC3373"/>
    <w:rsid w:val="00EC33C4"/>
    <w:rsid w:val="00EC3477"/>
    <w:rsid w:val="00EC349C"/>
    <w:rsid w:val="00EC3548"/>
    <w:rsid w:val="00EC39F7"/>
    <w:rsid w:val="00EC3A00"/>
    <w:rsid w:val="00EC3A27"/>
    <w:rsid w:val="00EC3B9E"/>
    <w:rsid w:val="00EC41AA"/>
    <w:rsid w:val="00EC46F5"/>
    <w:rsid w:val="00EC4907"/>
    <w:rsid w:val="00EC4DB5"/>
    <w:rsid w:val="00EC5134"/>
    <w:rsid w:val="00EC55D7"/>
    <w:rsid w:val="00EC5B53"/>
    <w:rsid w:val="00EC5BE1"/>
    <w:rsid w:val="00EC5DD6"/>
    <w:rsid w:val="00EC5EBB"/>
    <w:rsid w:val="00EC5FC3"/>
    <w:rsid w:val="00EC62A7"/>
    <w:rsid w:val="00EC63D1"/>
    <w:rsid w:val="00EC64F7"/>
    <w:rsid w:val="00EC6785"/>
    <w:rsid w:val="00EC6868"/>
    <w:rsid w:val="00EC6AB9"/>
    <w:rsid w:val="00EC6B7B"/>
    <w:rsid w:val="00EC6B9F"/>
    <w:rsid w:val="00EC6C44"/>
    <w:rsid w:val="00EC7195"/>
    <w:rsid w:val="00EC75A6"/>
    <w:rsid w:val="00EC793B"/>
    <w:rsid w:val="00EC7C6A"/>
    <w:rsid w:val="00EC7CA1"/>
    <w:rsid w:val="00ED0167"/>
    <w:rsid w:val="00ED06E3"/>
    <w:rsid w:val="00ED072D"/>
    <w:rsid w:val="00ED0CBD"/>
    <w:rsid w:val="00ED0E98"/>
    <w:rsid w:val="00ED0F5A"/>
    <w:rsid w:val="00ED0FCE"/>
    <w:rsid w:val="00ED12A7"/>
    <w:rsid w:val="00ED12B9"/>
    <w:rsid w:val="00ED1703"/>
    <w:rsid w:val="00ED1838"/>
    <w:rsid w:val="00ED1D93"/>
    <w:rsid w:val="00ED1DD1"/>
    <w:rsid w:val="00ED1EB4"/>
    <w:rsid w:val="00ED1FA5"/>
    <w:rsid w:val="00ED22E0"/>
    <w:rsid w:val="00ED23BA"/>
    <w:rsid w:val="00ED24A0"/>
    <w:rsid w:val="00ED271D"/>
    <w:rsid w:val="00ED274D"/>
    <w:rsid w:val="00ED27BC"/>
    <w:rsid w:val="00ED2800"/>
    <w:rsid w:val="00ED29CC"/>
    <w:rsid w:val="00ED2B06"/>
    <w:rsid w:val="00ED2C9D"/>
    <w:rsid w:val="00ED2D5F"/>
    <w:rsid w:val="00ED32EE"/>
    <w:rsid w:val="00ED3B4F"/>
    <w:rsid w:val="00ED3E7C"/>
    <w:rsid w:val="00ED3ECF"/>
    <w:rsid w:val="00ED432A"/>
    <w:rsid w:val="00ED4457"/>
    <w:rsid w:val="00ED44D8"/>
    <w:rsid w:val="00ED464A"/>
    <w:rsid w:val="00ED47F1"/>
    <w:rsid w:val="00ED48F7"/>
    <w:rsid w:val="00ED4FBE"/>
    <w:rsid w:val="00ED503A"/>
    <w:rsid w:val="00ED52B7"/>
    <w:rsid w:val="00ED52F1"/>
    <w:rsid w:val="00ED57FF"/>
    <w:rsid w:val="00ED59EC"/>
    <w:rsid w:val="00ED5D1C"/>
    <w:rsid w:val="00ED5DDE"/>
    <w:rsid w:val="00ED5E32"/>
    <w:rsid w:val="00ED61CC"/>
    <w:rsid w:val="00ED6203"/>
    <w:rsid w:val="00ED6A85"/>
    <w:rsid w:val="00ED6EF8"/>
    <w:rsid w:val="00ED715F"/>
    <w:rsid w:val="00ED7487"/>
    <w:rsid w:val="00ED76B5"/>
    <w:rsid w:val="00ED77AD"/>
    <w:rsid w:val="00ED78B5"/>
    <w:rsid w:val="00ED7DE2"/>
    <w:rsid w:val="00ED7F48"/>
    <w:rsid w:val="00EE011C"/>
    <w:rsid w:val="00EE028E"/>
    <w:rsid w:val="00EE0D3B"/>
    <w:rsid w:val="00EE0DC0"/>
    <w:rsid w:val="00EE0E1E"/>
    <w:rsid w:val="00EE0EB7"/>
    <w:rsid w:val="00EE0EC1"/>
    <w:rsid w:val="00EE0FA8"/>
    <w:rsid w:val="00EE17FA"/>
    <w:rsid w:val="00EE1929"/>
    <w:rsid w:val="00EE1B78"/>
    <w:rsid w:val="00EE1D40"/>
    <w:rsid w:val="00EE1DCF"/>
    <w:rsid w:val="00EE2031"/>
    <w:rsid w:val="00EE24EB"/>
    <w:rsid w:val="00EE257E"/>
    <w:rsid w:val="00EE2643"/>
    <w:rsid w:val="00EE2B20"/>
    <w:rsid w:val="00EE2B83"/>
    <w:rsid w:val="00EE2E0F"/>
    <w:rsid w:val="00EE300E"/>
    <w:rsid w:val="00EE3664"/>
    <w:rsid w:val="00EE3A5E"/>
    <w:rsid w:val="00EE3EC0"/>
    <w:rsid w:val="00EE3F48"/>
    <w:rsid w:val="00EE4054"/>
    <w:rsid w:val="00EE41A7"/>
    <w:rsid w:val="00EE4425"/>
    <w:rsid w:val="00EE443D"/>
    <w:rsid w:val="00EE4853"/>
    <w:rsid w:val="00EE4A29"/>
    <w:rsid w:val="00EE4B76"/>
    <w:rsid w:val="00EE4D51"/>
    <w:rsid w:val="00EE4EC9"/>
    <w:rsid w:val="00EE577E"/>
    <w:rsid w:val="00EE5B59"/>
    <w:rsid w:val="00EE5C67"/>
    <w:rsid w:val="00EE5F03"/>
    <w:rsid w:val="00EE609E"/>
    <w:rsid w:val="00EE6123"/>
    <w:rsid w:val="00EE658D"/>
    <w:rsid w:val="00EE6599"/>
    <w:rsid w:val="00EE6710"/>
    <w:rsid w:val="00EE6766"/>
    <w:rsid w:val="00EE6999"/>
    <w:rsid w:val="00EE6CDF"/>
    <w:rsid w:val="00EE6D6E"/>
    <w:rsid w:val="00EE6F28"/>
    <w:rsid w:val="00EE6F7F"/>
    <w:rsid w:val="00EE704F"/>
    <w:rsid w:val="00EE73FA"/>
    <w:rsid w:val="00EE77EF"/>
    <w:rsid w:val="00EE7A93"/>
    <w:rsid w:val="00EF012C"/>
    <w:rsid w:val="00EF0182"/>
    <w:rsid w:val="00EF0426"/>
    <w:rsid w:val="00EF063F"/>
    <w:rsid w:val="00EF0F8D"/>
    <w:rsid w:val="00EF0FB1"/>
    <w:rsid w:val="00EF10C1"/>
    <w:rsid w:val="00EF13EB"/>
    <w:rsid w:val="00EF1752"/>
    <w:rsid w:val="00EF1A64"/>
    <w:rsid w:val="00EF20B2"/>
    <w:rsid w:val="00EF217A"/>
    <w:rsid w:val="00EF24E2"/>
    <w:rsid w:val="00EF254D"/>
    <w:rsid w:val="00EF256C"/>
    <w:rsid w:val="00EF25A6"/>
    <w:rsid w:val="00EF25AB"/>
    <w:rsid w:val="00EF2A3B"/>
    <w:rsid w:val="00EF2BD7"/>
    <w:rsid w:val="00EF2CE2"/>
    <w:rsid w:val="00EF2D2F"/>
    <w:rsid w:val="00EF2F79"/>
    <w:rsid w:val="00EF2F7F"/>
    <w:rsid w:val="00EF33C0"/>
    <w:rsid w:val="00EF3690"/>
    <w:rsid w:val="00EF3A09"/>
    <w:rsid w:val="00EF3B9A"/>
    <w:rsid w:val="00EF3DC3"/>
    <w:rsid w:val="00EF3F30"/>
    <w:rsid w:val="00EF48B7"/>
    <w:rsid w:val="00EF4A46"/>
    <w:rsid w:val="00EF4E7F"/>
    <w:rsid w:val="00EF5333"/>
    <w:rsid w:val="00EF5338"/>
    <w:rsid w:val="00EF568A"/>
    <w:rsid w:val="00EF57BF"/>
    <w:rsid w:val="00EF5ADC"/>
    <w:rsid w:val="00EF5CED"/>
    <w:rsid w:val="00EF5D35"/>
    <w:rsid w:val="00EF5D49"/>
    <w:rsid w:val="00EF61A0"/>
    <w:rsid w:val="00EF61FC"/>
    <w:rsid w:val="00EF633F"/>
    <w:rsid w:val="00EF65E3"/>
    <w:rsid w:val="00EF6871"/>
    <w:rsid w:val="00EF68FB"/>
    <w:rsid w:val="00EF6A41"/>
    <w:rsid w:val="00EF6BA4"/>
    <w:rsid w:val="00EF6CDD"/>
    <w:rsid w:val="00EF6D1C"/>
    <w:rsid w:val="00EF7746"/>
    <w:rsid w:val="00EF7767"/>
    <w:rsid w:val="00EF7ED6"/>
    <w:rsid w:val="00EF7F8A"/>
    <w:rsid w:val="00F00134"/>
    <w:rsid w:val="00F00482"/>
    <w:rsid w:val="00F00960"/>
    <w:rsid w:val="00F00CAF"/>
    <w:rsid w:val="00F00D71"/>
    <w:rsid w:val="00F00FBE"/>
    <w:rsid w:val="00F01049"/>
    <w:rsid w:val="00F01434"/>
    <w:rsid w:val="00F01490"/>
    <w:rsid w:val="00F01BB2"/>
    <w:rsid w:val="00F02265"/>
    <w:rsid w:val="00F023DC"/>
    <w:rsid w:val="00F02528"/>
    <w:rsid w:val="00F02532"/>
    <w:rsid w:val="00F029FC"/>
    <w:rsid w:val="00F02AA1"/>
    <w:rsid w:val="00F02C2C"/>
    <w:rsid w:val="00F03023"/>
    <w:rsid w:val="00F030AE"/>
    <w:rsid w:val="00F0314B"/>
    <w:rsid w:val="00F034CF"/>
    <w:rsid w:val="00F03502"/>
    <w:rsid w:val="00F036A9"/>
    <w:rsid w:val="00F037AF"/>
    <w:rsid w:val="00F038A3"/>
    <w:rsid w:val="00F03C3F"/>
    <w:rsid w:val="00F03FEE"/>
    <w:rsid w:val="00F04202"/>
    <w:rsid w:val="00F04555"/>
    <w:rsid w:val="00F04ADA"/>
    <w:rsid w:val="00F04B73"/>
    <w:rsid w:val="00F04F02"/>
    <w:rsid w:val="00F050C5"/>
    <w:rsid w:val="00F0556E"/>
    <w:rsid w:val="00F055AB"/>
    <w:rsid w:val="00F056AA"/>
    <w:rsid w:val="00F056AF"/>
    <w:rsid w:val="00F05A8F"/>
    <w:rsid w:val="00F05CA9"/>
    <w:rsid w:val="00F05E8F"/>
    <w:rsid w:val="00F05F91"/>
    <w:rsid w:val="00F0612F"/>
    <w:rsid w:val="00F06569"/>
    <w:rsid w:val="00F0694F"/>
    <w:rsid w:val="00F0695E"/>
    <w:rsid w:val="00F06B4B"/>
    <w:rsid w:val="00F06E4F"/>
    <w:rsid w:val="00F06F9F"/>
    <w:rsid w:val="00F07326"/>
    <w:rsid w:val="00F073FC"/>
    <w:rsid w:val="00F07F54"/>
    <w:rsid w:val="00F07F85"/>
    <w:rsid w:val="00F10123"/>
    <w:rsid w:val="00F10124"/>
    <w:rsid w:val="00F102C3"/>
    <w:rsid w:val="00F10579"/>
    <w:rsid w:val="00F1058D"/>
    <w:rsid w:val="00F1074E"/>
    <w:rsid w:val="00F10782"/>
    <w:rsid w:val="00F10959"/>
    <w:rsid w:val="00F10C3B"/>
    <w:rsid w:val="00F10E95"/>
    <w:rsid w:val="00F10F3F"/>
    <w:rsid w:val="00F112B8"/>
    <w:rsid w:val="00F114EC"/>
    <w:rsid w:val="00F11620"/>
    <w:rsid w:val="00F1168F"/>
    <w:rsid w:val="00F11756"/>
    <w:rsid w:val="00F11925"/>
    <w:rsid w:val="00F11D55"/>
    <w:rsid w:val="00F11E34"/>
    <w:rsid w:val="00F11F3A"/>
    <w:rsid w:val="00F120AE"/>
    <w:rsid w:val="00F1211F"/>
    <w:rsid w:val="00F121DB"/>
    <w:rsid w:val="00F122A9"/>
    <w:rsid w:val="00F1257F"/>
    <w:rsid w:val="00F13006"/>
    <w:rsid w:val="00F1306E"/>
    <w:rsid w:val="00F13534"/>
    <w:rsid w:val="00F13561"/>
    <w:rsid w:val="00F13655"/>
    <w:rsid w:val="00F13808"/>
    <w:rsid w:val="00F1385C"/>
    <w:rsid w:val="00F13A89"/>
    <w:rsid w:val="00F13B57"/>
    <w:rsid w:val="00F13BC0"/>
    <w:rsid w:val="00F13D7A"/>
    <w:rsid w:val="00F141C3"/>
    <w:rsid w:val="00F143DA"/>
    <w:rsid w:val="00F14464"/>
    <w:rsid w:val="00F146EC"/>
    <w:rsid w:val="00F146F6"/>
    <w:rsid w:val="00F14DEB"/>
    <w:rsid w:val="00F15037"/>
    <w:rsid w:val="00F1555F"/>
    <w:rsid w:val="00F15568"/>
    <w:rsid w:val="00F15E10"/>
    <w:rsid w:val="00F15E1A"/>
    <w:rsid w:val="00F1605A"/>
    <w:rsid w:val="00F16348"/>
    <w:rsid w:val="00F1679A"/>
    <w:rsid w:val="00F16F20"/>
    <w:rsid w:val="00F16F83"/>
    <w:rsid w:val="00F16F86"/>
    <w:rsid w:val="00F17105"/>
    <w:rsid w:val="00F17324"/>
    <w:rsid w:val="00F176DE"/>
    <w:rsid w:val="00F17FA1"/>
    <w:rsid w:val="00F201D3"/>
    <w:rsid w:val="00F2035D"/>
    <w:rsid w:val="00F203A0"/>
    <w:rsid w:val="00F203B4"/>
    <w:rsid w:val="00F2054B"/>
    <w:rsid w:val="00F20B95"/>
    <w:rsid w:val="00F215BE"/>
    <w:rsid w:val="00F21940"/>
    <w:rsid w:val="00F21A98"/>
    <w:rsid w:val="00F21BCC"/>
    <w:rsid w:val="00F21DA0"/>
    <w:rsid w:val="00F21EA3"/>
    <w:rsid w:val="00F21F2F"/>
    <w:rsid w:val="00F22141"/>
    <w:rsid w:val="00F22715"/>
    <w:rsid w:val="00F22B8C"/>
    <w:rsid w:val="00F23269"/>
    <w:rsid w:val="00F23369"/>
    <w:rsid w:val="00F233C0"/>
    <w:rsid w:val="00F23439"/>
    <w:rsid w:val="00F23612"/>
    <w:rsid w:val="00F2371F"/>
    <w:rsid w:val="00F237D5"/>
    <w:rsid w:val="00F238B9"/>
    <w:rsid w:val="00F23B90"/>
    <w:rsid w:val="00F23EAF"/>
    <w:rsid w:val="00F24539"/>
    <w:rsid w:val="00F24560"/>
    <w:rsid w:val="00F2481A"/>
    <w:rsid w:val="00F24836"/>
    <w:rsid w:val="00F251CA"/>
    <w:rsid w:val="00F253CB"/>
    <w:rsid w:val="00F25AF0"/>
    <w:rsid w:val="00F25EB0"/>
    <w:rsid w:val="00F26266"/>
    <w:rsid w:val="00F266F9"/>
    <w:rsid w:val="00F26E06"/>
    <w:rsid w:val="00F2744C"/>
    <w:rsid w:val="00F274E5"/>
    <w:rsid w:val="00F278A6"/>
    <w:rsid w:val="00F27A6A"/>
    <w:rsid w:val="00F27EEA"/>
    <w:rsid w:val="00F27FA9"/>
    <w:rsid w:val="00F300D1"/>
    <w:rsid w:val="00F303B4"/>
    <w:rsid w:val="00F30519"/>
    <w:rsid w:val="00F30A12"/>
    <w:rsid w:val="00F30AAE"/>
    <w:rsid w:val="00F30FE2"/>
    <w:rsid w:val="00F3114D"/>
    <w:rsid w:val="00F31232"/>
    <w:rsid w:val="00F3136F"/>
    <w:rsid w:val="00F3146D"/>
    <w:rsid w:val="00F314C5"/>
    <w:rsid w:val="00F31572"/>
    <w:rsid w:val="00F315F2"/>
    <w:rsid w:val="00F31A36"/>
    <w:rsid w:val="00F31CA6"/>
    <w:rsid w:val="00F31EAB"/>
    <w:rsid w:val="00F32131"/>
    <w:rsid w:val="00F326B3"/>
    <w:rsid w:val="00F327B7"/>
    <w:rsid w:val="00F3281D"/>
    <w:rsid w:val="00F32ACB"/>
    <w:rsid w:val="00F32C81"/>
    <w:rsid w:val="00F32E4D"/>
    <w:rsid w:val="00F32F68"/>
    <w:rsid w:val="00F33268"/>
    <w:rsid w:val="00F332BF"/>
    <w:rsid w:val="00F333EE"/>
    <w:rsid w:val="00F33EAF"/>
    <w:rsid w:val="00F33F2F"/>
    <w:rsid w:val="00F33FCD"/>
    <w:rsid w:val="00F34250"/>
    <w:rsid w:val="00F343AC"/>
    <w:rsid w:val="00F345E2"/>
    <w:rsid w:val="00F34824"/>
    <w:rsid w:val="00F34B5B"/>
    <w:rsid w:val="00F34F41"/>
    <w:rsid w:val="00F34F84"/>
    <w:rsid w:val="00F35054"/>
    <w:rsid w:val="00F351AF"/>
    <w:rsid w:val="00F356FE"/>
    <w:rsid w:val="00F3573B"/>
    <w:rsid w:val="00F358D9"/>
    <w:rsid w:val="00F35A34"/>
    <w:rsid w:val="00F35B4A"/>
    <w:rsid w:val="00F35D9B"/>
    <w:rsid w:val="00F360D4"/>
    <w:rsid w:val="00F364AB"/>
    <w:rsid w:val="00F364D6"/>
    <w:rsid w:val="00F3653B"/>
    <w:rsid w:val="00F367BF"/>
    <w:rsid w:val="00F36833"/>
    <w:rsid w:val="00F3685B"/>
    <w:rsid w:val="00F36A71"/>
    <w:rsid w:val="00F36AE7"/>
    <w:rsid w:val="00F3715F"/>
    <w:rsid w:val="00F371DB"/>
    <w:rsid w:val="00F373D5"/>
    <w:rsid w:val="00F3778E"/>
    <w:rsid w:val="00F378C2"/>
    <w:rsid w:val="00F37AE7"/>
    <w:rsid w:val="00F37DEE"/>
    <w:rsid w:val="00F37E1C"/>
    <w:rsid w:val="00F40042"/>
    <w:rsid w:val="00F403D1"/>
    <w:rsid w:val="00F40456"/>
    <w:rsid w:val="00F404B4"/>
    <w:rsid w:val="00F40716"/>
    <w:rsid w:val="00F4083F"/>
    <w:rsid w:val="00F408C5"/>
    <w:rsid w:val="00F40FEA"/>
    <w:rsid w:val="00F4117A"/>
    <w:rsid w:val="00F41265"/>
    <w:rsid w:val="00F41470"/>
    <w:rsid w:val="00F41989"/>
    <w:rsid w:val="00F419D9"/>
    <w:rsid w:val="00F41A7B"/>
    <w:rsid w:val="00F42BB7"/>
    <w:rsid w:val="00F42E50"/>
    <w:rsid w:val="00F42EC4"/>
    <w:rsid w:val="00F42F0C"/>
    <w:rsid w:val="00F42FCA"/>
    <w:rsid w:val="00F4325B"/>
    <w:rsid w:val="00F43334"/>
    <w:rsid w:val="00F4355D"/>
    <w:rsid w:val="00F43638"/>
    <w:rsid w:val="00F43B10"/>
    <w:rsid w:val="00F43D55"/>
    <w:rsid w:val="00F43DC9"/>
    <w:rsid w:val="00F43E90"/>
    <w:rsid w:val="00F44025"/>
    <w:rsid w:val="00F44189"/>
    <w:rsid w:val="00F444DE"/>
    <w:rsid w:val="00F44995"/>
    <w:rsid w:val="00F44CB4"/>
    <w:rsid w:val="00F4517F"/>
    <w:rsid w:val="00F4519A"/>
    <w:rsid w:val="00F45363"/>
    <w:rsid w:val="00F453E8"/>
    <w:rsid w:val="00F45603"/>
    <w:rsid w:val="00F45F90"/>
    <w:rsid w:val="00F45FDE"/>
    <w:rsid w:val="00F46129"/>
    <w:rsid w:val="00F46480"/>
    <w:rsid w:val="00F467F4"/>
    <w:rsid w:val="00F46899"/>
    <w:rsid w:val="00F46DCA"/>
    <w:rsid w:val="00F46EE4"/>
    <w:rsid w:val="00F47095"/>
    <w:rsid w:val="00F47322"/>
    <w:rsid w:val="00F47636"/>
    <w:rsid w:val="00F47E26"/>
    <w:rsid w:val="00F5039F"/>
    <w:rsid w:val="00F503F2"/>
    <w:rsid w:val="00F504A4"/>
    <w:rsid w:val="00F50DB5"/>
    <w:rsid w:val="00F50F64"/>
    <w:rsid w:val="00F50F6C"/>
    <w:rsid w:val="00F51101"/>
    <w:rsid w:val="00F51191"/>
    <w:rsid w:val="00F51209"/>
    <w:rsid w:val="00F51268"/>
    <w:rsid w:val="00F5126D"/>
    <w:rsid w:val="00F51290"/>
    <w:rsid w:val="00F5156A"/>
    <w:rsid w:val="00F5164F"/>
    <w:rsid w:val="00F517E9"/>
    <w:rsid w:val="00F51B31"/>
    <w:rsid w:val="00F51BF5"/>
    <w:rsid w:val="00F51F2E"/>
    <w:rsid w:val="00F520A3"/>
    <w:rsid w:val="00F52149"/>
    <w:rsid w:val="00F5214E"/>
    <w:rsid w:val="00F52CE3"/>
    <w:rsid w:val="00F532A8"/>
    <w:rsid w:val="00F53385"/>
    <w:rsid w:val="00F53BD3"/>
    <w:rsid w:val="00F53E8A"/>
    <w:rsid w:val="00F542A6"/>
    <w:rsid w:val="00F5446B"/>
    <w:rsid w:val="00F548DC"/>
    <w:rsid w:val="00F54AAF"/>
    <w:rsid w:val="00F55329"/>
    <w:rsid w:val="00F556B2"/>
    <w:rsid w:val="00F55A5F"/>
    <w:rsid w:val="00F55D01"/>
    <w:rsid w:val="00F55F71"/>
    <w:rsid w:val="00F5608D"/>
    <w:rsid w:val="00F5608E"/>
    <w:rsid w:val="00F561FE"/>
    <w:rsid w:val="00F5653C"/>
    <w:rsid w:val="00F56594"/>
    <w:rsid w:val="00F56636"/>
    <w:rsid w:val="00F56738"/>
    <w:rsid w:val="00F569F8"/>
    <w:rsid w:val="00F56AA6"/>
    <w:rsid w:val="00F56AFD"/>
    <w:rsid w:val="00F56C11"/>
    <w:rsid w:val="00F56D1D"/>
    <w:rsid w:val="00F56D8F"/>
    <w:rsid w:val="00F56F4B"/>
    <w:rsid w:val="00F57460"/>
    <w:rsid w:val="00F574FD"/>
    <w:rsid w:val="00F576A3"/>
    <w:rsid w:val="00F5773D"/>
    <w:rsid w:val="00F57A8D"/>
    <w:rsid w:val="00F6023A"/>
    <w:rsid w:val="00F6062E"/>
    <w:rsid w:val="00F607A2"/>
    <w:rsid w:val="00F60871"/>
    <w:rsid w:val="00F60B36"/>
    <w:rsid w:val="00F6105E"/>
    <w:rsid w:val="00F61218"/>
    <w:rsid w:val="00F6150D"/>
    <w:rsid w:val="00F61548"/>
    <w:rsid w:val="00F61676"/>
    <w:rsid w:val="00F61AF7"/>
    <w:rsid w:val="00F61B9F"/>
    <w:rsid w:val="00F61DC1"/>
    <w:rsid w:val="00F61ED7"/>
    <w:rsid w:val="00F61FE9"/>
    <w:rsid w:val="00F621C2"/>
    <w:rsid w:val="00F622F4"/>
    <w:rsid w:val="00F62323"/>
    <w:rsid w:val="00F62571"/>
    <w:rsid w:val="00F625EE"/>
    <w:rsid w:val="00F62AB0"/>
    <w:rsid w:val="00F62B1B"/>
    <w:rsid w:val="00F62D21"/>
    <w:rsid w:val="00F62D7D"/>
    <w:rsid w:val="00F62EA2"/>
    <w:rsid w:val="00F63043"/>
    <w:rsid w:val="00F63341"/>
    <w:rsid w:val="00F6344E"/>
    <w:rsid w:val="00F63543"/>
    <w:rsid w:val="00F63BC4"/>
    <w:rsid w:val="00F63EC2"/>
    <w:rsid w:val="00F640B7"/>
    <w:rsid w:val="00F6412E"/>
    <w:rsid w:val="00F6417F"/>
    <w:rsid w:val="00F642E3"/>
    <w:rsid w:val="00F64323"/>
    <w:rsid w:val="00F6445A"/>
    <w:rsid w:val="00F6450C"/>
    <w:rsid w:val="00F64AF5"/>
    <w:rsid w:val="00F64B58"/>
    <w:rsid w:val="00F64D18"/>
    <w:rsid w:val="00F64E2D"/>
    <w:rsid w:val="00F64E93"/>
    <w:rsid w:val="00F651B2"/>
    <w:rsid w:val="00F65A63"/>
    <w:rsid w:val="00F65B08"/>
    <w:rsid w:val="00F65C7B"/>
    <w:rsid w:val="00F65DDA"/>
    <w:rsid w:val="00F6610F"/>
    <w:rsid w:val="00F66186"/>
    <w:rsid w:val="00F661B6"/>
    <w:rsid w:val="00F662AD"/>
    <w:rsid w:val="00F66480"/>
    <w:rsid w:val="00F664DA"/>
    <w:rsid w:val="00F66515"/>
    <w:rsid w:val="00F66570"/>
    <w:rsid w:val="00F6657D"/>
    <w:rsid w:val="00F66A70"/>
    <w:rsid w:val="00F66D7A"/>
    <w:rsid w:val="00F67208"/>
    <w:rsid w:val="00F67A28"/>
    <w:rsid w:val="00F67B3C"/>
    <w:rsid w:val="00F67D4F"/>
    <w:rsid w:val="00F700C6"/>
    <w:rsid w:val="00F70140"/>
    <w:rsid w:val="00F702B5"/>
    <w:rsid w:val="00F7067F"/>
    <w:rsid w:val="00F70933"/>
    <w:rsid w:val="00F70A84"/>
    <w:rsid w:val="00F70D40"/>
    <w:rsid w:val="00F70DB5"/>
    <w:rsid w:val="00F713FB"/>
    <w:rsid w:val="00F71705"/>
    <w:rsid w:val="00F7172F"/>
    <w:rsid w:val="00F7181B"/>
    <w:rsid w:val="00F71924"/>
    <w:rsid w:val="00F71C6B"/>
    <w:rsid w:val="00F721CB"/>
    <w:rsid w:val="00F723F2"/>
    <w:rsid w:val="00F7285D"/>
    <w:rsid w:val="00F7291D"/>
    <w:rsid w:val="00F7328C"/>
    <w:rsid w:val="00F738E2"/>
    <w:rsid w:val="00F73989"/>
    <w:rsid w:val="00F7405A"/>
    <w:rsid w:val="00F746FB"/>
    <w:rsid w:val="00F74718"/>
    <w:rsid w:val="00F74A2A"/>
    <w:rsid w:val="00F74C88"/>
    <w:rsid w:val="00F74CFD"/>
    <w:rsid w:val="00F75343"/>
    <w:rsid w:val="00F754C7"/>
    <w:rsid w:val="00F75640"/>
    <w:rsid w:val="00F757D0"/>
    <w:rsid w:val="00F75826"/>
    <w:rsid w:val="00F75A68"/>
    <w:rsid w:val="00F75C9F"/>
    <w:rsid w:val="00F75F3E"/>
    <w:rsid w:val="00F763AA"/>
    <w:rsid w:val="00F76552"/>
    <w:rsid w:val="00F766F6"/>
    <w:rsid w:val="00F7682E"/>
    <w:rsid w:val="00F76A22"/>
    <w:rsid w:val="00F76B73"/>
    <w:rsid w:val="00F76CAD"/>
    <w:rsid w:val="00F77038"/>
    <w:rsid w:val="00F77052"/>
    <w:rsid w:val="00F77124"/>
    <w:rsid w:val="00F77283"/>
    <w:rsid w:val="00F77437"/>
    <w:rsid w:val="00F77897"/>
    <w:rsid w:val="00F77A8A"/>
    <w:rsid w:val="00F77AC8"/>
    <w:rsid w:val="00F77ADF"/>
    <w:rsid w:val="00F77C7C"/>
    <w:rsid w:val="00F801E5"/>
    <w:rsid w:val="00F80469"/>
    <w:rsid w:val="00F80509"/>
    <w:rsid w:val="00F8065C"/>
    <w:rsid w:val="00F807E9"/>
    <w:rsid w:val="00F809C4"/>
    <w:rsid w:val="00F810A3"/>
    <w:rsid w:val="00F81190"/>
    <w:rsid w:val="00F81518"/>
    <w:rsid w:val="00F8153D"/>
    <w:rsid w:val="00F8157B"/>
    <w:rsid w:val="00F81F36"/>
    <w:rsid w:val="00F8224A"/>
    <w:rsid w:val="00F825E6"/>
    <w:rsid w:val="00F82B2F"/>
    <w:rsid w:val="00F82CCB"/>
    <w:rsid w:val="00F82F8C"/>
    <w:rsid w:val="00F831C0"/>
    <w:rsid w:val="00F83AE0"/>
    <w:rsid w:val="00F83B65"/>
    <w:rsid w:val="00F83DF5"/>
    <w:rsid w:val="00F8432E"/>
    <w:rsid w:val="00F84425"/>
    <w:rsid w:val="00F844E8"/>
    <w:rsid w:val="00F844FD"/>
    <w:rsid w:val="00F8452E"/>
    <w:rsid w:val="00F84AA8"/>
    <w:rsid w:val="00F84B77"/>
    <w:rsid w:val="00F84E76"/>
    <w:rsid w:val="00F84E9F"/>
    <w:rsid w:val="00F84F58"/>
    <w:rsid w:val="00F85258"/>
    <w:rsid w:val="00F85385"/>
    <w:rsid w:val="00F85433"/>
    <w:rsid w:val="00F85570"/>
    <w:rsid w:val="00F855CC"/>
    <w:rsid w:val="00F8578E"/>
    <w:rsid w:val="00F85A53"/>
    <w:rsid w:val="00F85C86"/>
    <w:rsid w:val="00F8615A"/>
    <w:rsid w:val="00F861B1"/>
    <w:rsid w:val="00F86240"/>
    <w:rsid w:val="00F867E3"/>
    <w:rsid w:val="00F86C27"/>
    <w:rsid w:val="00F86F72"/>
    <w:rsid w:val="00F871F5"/>
    <w:rsid w:val="00F87414"/>
    <w:rsid w:val="00F87806"/>
    <w:rsid w:val="00F878DB"/>
    <w:rsid w:val="00F87BA4"/>
    <w:rsid w:val="00F87F47"/>
    <w:rsid w:val="00F90021"/>
    <w:rsid w:val="00F905CB"/>
    <w:rsid w:val="00F90887"/>
    <w:rsid w:val="00F90891"/>
    <w:rsid w:val="00F91378"/>
    <w:rsid w:val="00F91532"/>
    <w:rsid w:val="00F919E0"/>
    <w:rsid w:val="00F91A72"/>
    <w:rsid w:val="00F91AAF"/>
    <w:rsid w:val="00F91E7D"/>
    <w:rsid w:val="00F91ED0"/>
    <w:rsid w:val="00F91F46"/>
    <w:rsid w:val="00F9226D"/>
    <w:rsid w:val="00F9233C"/>
    <w:rsid w:val="00F924EC"/>
    <w:rsid w:val="00F926F7"/>
    <w:rsid w:val="00F92B4C"/>
    <w:rsid w:val="00F92DAD"/>
    <w:rsid w:val="00F93125"/>
    <w:rsid w:val="00F9333B"/>
    <w:rsid w:val="00F935FF"/>
    <w:rsid w:val="00F93791"/>
    <w:rsid w:val="00F93821"/>
    <w:rsid w:val="00F9383B"/>
    <w:rsid w:val="00F938F4"/>
    <w:rsid w:val="00F93911"/>
    <w:rsid w:val="00F939BD"/>
    <w:rsid w:val="00F939E7"/>
    <w:rsid w:val="00F93EEE"/>
    <w:rsid w:val="00F94337"/>
    <w:rsid w:val="00F94357"/>
    <w:rsid w:val="00F94501"/>
    <w:rsid w:val="00F946C4"/>
    <w:rsid w:val="00F946DA"/>
    <w:rsid w:val="00F94971"/>
    <w:rsid w:val="00F949BF"/>
    <w:rsid w:val="00F94ADD"/>
    <w:rsid w:val="00F94F2B"/>
    <w:rsid w:val="00F94F73"/>
    <w:rsid w:val="00F95044"/>
    <w:rsid w:val="00F95105"/>
    <w:rsid w:val="00F9544C"/>
    <w:rsid w:val="00F95498"/>
    <w:rsid w:val="00F955C3"/>
    <w:rsid w:val="00F9573F"/>
    <w:rsid w:val="00F958B4"/>
    <w:rsid w:val="00F95A59"/>
    <w:rsid w:val="00F95C1B"/>
    <w:rsid w:val="00F95C7F"/>
    <w:rsid w:val="00F95E24"/>
    <w:rsid w:val="00F95E55"/>
    <w:rsid w:val="00F95F70"/>
    <w:rsid w:val="00F966EB"/>
    <w:rsid w:val="00F96797"/>
    <w:rsid w:val="00F969AF"/>
    <w:rsid w:val="00F96D57"/>
    <w:rsid w:val="00F96D5C"/>
    <w:rsid w:val="00F96DA6"/>
    <w:rsid w:val="00F96EAF"/>
    <w:rsid w:val="00F973CF"/>
    <w:rsid w:val="00F97A5F"/>
    <w:rsid w:val="00FA006D"/>
    <w:rsid w:val="00FA05C7"/>
    <w:rsid w:val="00FA09CF"/>
    <w:rsid w:val="00FA0A41"/>
    <w:rsid w:val="00FA0AB5"/>
    <w:rsid w:val="00FA0CF7"/>
    <w:rsid w:val="00FA0CFB"/>
    <w:rsid w:val="00FA1041"/>
    <w:rsid w:val="00FA136D"/>
    <w:rsid w:val="00FA162B"/>
    <w:rsid w:val="00FA1986"/>
    <w:rsid w:val="00FA1ABB"/>
    <w:rsid w:val="00FA1D07"/>
    <w:rsid w:val="00FA1D2E"/>
    <w:rsid w:val="00FA1F82"/>
    <w:rsid w:val="00FA242A"/>
    <w:rsid w:val="00FA24D5"/>
    <w:rsid w:val="00FA26AB"/>
    <w:rsid w:val="00FA26CF"/>
    <w:rsid w:val="00FA27A2"/>
    <w:rsid w:val="00FA287A"/>
    <w:rsid w:val="00FA28BA"/>
    <w:rsid w:val="00FA294B"/>
    <w:rsid w:val="00FA31D2"/>
    <w:rsid w:val="00FA320D"/>
    <w:rsid w:val="00FA3216"/>
    <w:rsid w:val="00FA32B7"/>
    <w:rsid w:val="00FA330A"/>
    <w:rsid w:val="00FA34E8"/>
    <w:rsid w:val="00FA440D"/>
    <w:rsid w:val="00FA454F"/>
    <w:rsid w:val="00FA4666"/>
    <w:rsid w:val="00FA47D0"/>
    <w:rsid w:val="00FA4C07"/>
    <w:rsid w:val="00FA4C85"/>
    <w:rsid w:val="00FA4E0B"/>
    <w:rsid w:val="00FA5128"/>
    <w:rsid w:val="00FA53CC"/>
    <w:rsid w:val="00FA5543"/>
    <w:rsid w:val="00FA5CFC"/>
    <w:rsid w:val="00FA5DA0"/>
    <w:rsid w:val="00FA5DA3"/>
    <w:rsid w:val="00FA6183"/>
    <w:rsid w:val="00FA6274"/>
    <w:rsid w:val="00FA632D"/>
    <w:rsid w:val="00FA65E4"/>
    <w:rsid w:val="00FA6662"/>
    <w:rsid w:val="00FA695C"/>
    <w:rsid w:val="00FA6A75"/>
    <w:rsid w:val="00FA6CE9"/>
    <w:rsid w:val="00FA6F3A"/>
    <w:rsid w:val="00FA714A"/>
    <w:rsid w:val="00FA7729"/>
    <w:rsid w:val="00FA7A7A"/>
    <w:rsid w:val="00FA7AA1"/>
    <w:rsid w:val="00FA7C81"/>
    <w:rsid w:val="00FA7E2A"/>
    <w:rsid w:val="00FA7E2D"/>
    <w:rsid w:val="00FA7E59"/>
    <w:rsid w:val="00FA7F29"/>
    <w:rsid w:val="00FB0139"/>
    <w:rsid w:val="00FB0796"/>
    <w:rsid w:val="00FB0839"/>
    <w:rsid w:val="00FB09A3"/>
    <w:rsid w:val="00FB0C35"/>
    <w:rsid w:val="00FB114D"/>
    <w:rsid w:val="00FB16F7"/>
    <w:rsid w:val="00FB1A57"/>
    <w:rsid w:val="00FB1E4D"/>
    <w:rsid w:val="00FB1E53"/>
    <w:rsid w:val="00FB1F0D"/>
    <w:rsid w:val="00FB26BD"/>
    <w:rsid w:val="00FB26D5"/>
    <w:rsid w:val="00FB2706"/>
    <w:rsid w:val="00FB276B"/>
    <w:rsid w:val="00FB2825"/>
    <w:rsid w:val="00FB285B"/>
    <w:rsid w:val="00FB389C"/>
    <w:rsid w:val="00FB3A48"/>
    <w:rsid w:val="00FB3B2C"/>
    <w:rsid w:val="00FB3CC4"/>
    <w:rsid w:val="00FB3EFD"/>
    <w:rsid w:val="00FB413E"/>
    <w:rsid w:val="00FB4342"/>
    <w:rsid w:val="00FB44BA"/>
    <w:rsid w:val="00FB46C6"/>
    <w:rsid w:val="00FB4789"/>
    <w:rsid w:val="00FB491E"/>
    <w:rsid w:val="00FB49E1"/>
    <w:rsid w:val="00FB4A78"/>
    <w:rsid w:val="00FB4BEE"/>
    <w:rsid w:val="00FB4C5D"/>
    <w:rsid w:val="00FB4DE0"/>
    <w:rsid w:val="00FB4E25"/>
    <w:rsid w:val="00FB4EFF"/>
    <w:rsid w:val="00FB4F3A"/>
    <w:rsid w:val="00FB4FEA"/>
    <w:rsid w:val="00FB52F3"/>
    <w:rsid w:val="00FB5561"/>
    <w:rsid w:val="00FB5927"/>
    <w:rsid w:val="00FB5997"/>
    <w:rsid w:val="00FB5A49"/>
    <w:rsid w:val="00FB5E81"/>
    <w:rsid w:val="00FB5F14"/>
    <w:rsid w:val="00FB61FA"/>
    <w:rsid w:val="00FB63E4"/>
    <w:rsid w:val="00FB65CB"/>
    <w:rsid w:val="00FB675C"/>
    <w:rsid w:val="00FB686D"/>
    <w:rsid w:val="00FB6A2E"/>
    <w:rsid w:val="00FB6B4B"/>
    <w:rsid w:val="00FB6C48"/>
    <w:rsid w:val="00FB6CD2"/>
    <w:rsid w:val="00FB6D6C"/>
    <w:rsid w:val="00FB6FBD"/>
    <w:rsid w:val="00FB72BF"/>
    <w:rsid w:val="00FB7412"/>
    <w:rsid w:val="00FB7895"/>
    <w:rsid w:val="00FB7ABA"/>
    <w:rsid w:val="00FB7D95"/>
    <w:rsid w:val="00FB7EA8"/>
    <w:rsid w:val="00FC02FC"/>
    <w:rsid w:val="00FC0427"/>
    <w:rsid w:val="00FC082D"/>
    <w:rsid w:val="00FC0A0D"/>
    <w:rsid w:val="00FC0D1E"/>
    <w:rsid w:val="00FC117C"/>
    <w:rsid w:val="00FC14C2"/>
    <w:rsid w:val="00FC16AA"/>
    <w:rsid w:val="00FC1AF6"/>
    <w:rsid w:val="00FC2026"/>
    <w:rsid w:val="00FC2102"/>
    <w:rsid w:val="00FC2190"/>
    <w:rsid w:val="00FC2251"/>
    <w:rsid w:val="00FC2472"/>
    <w:rsid w:val="00FC249C"/>
    <w:rsid w:val="00FC2542"/>
    <w:rsid w:val="00FC25AE"/>
    <w:rsid w:val="00FC2672"/>
    <w:rsid w:val="00FC284B"/>
    <w:rsid w:val="00FC2CFF"/>
    <w:rsid w:val="00FC2FC2"/>
    <w:rsid w:val="00FC34BF"/>
    <w:rsid w:val="00FC41E1"/>
    <w:rsid w:val="00FC44AF"/>
    <w:rsid w:val="00FC44D5"/>
    <w:rsid w:val="00FC458C"/>
    <w:rsid w:val="00FC45A2"/>
    <w:rsid w:val="00FC47C7"/>
    <w:rsid w:val="00FC493B"/>
    <w:rsid w:val="00FC4A14"/>
    <w:rsid w:val="00FC515D"/>
    <w:rsid w:val="00FC51A0"/>
    <w:rsid w:val="00FC53EC"/>
    <w:rsid w:val="00FC5442"/>
    <w:rsid w:val="00FC5558"/>
    <w:rsid w:val="00FC56F3"/>
    <w:rsid w:val="00FC57B5"/>
    <w:rsid w:val="00FC580A"/>
    <w:rsid w:val="00FC588F"/>
    <w:rsid w:val="00FC589E"/>
    <w:rsid w:val="00FC5C76"/>
    <w:rsid w:val="00FC6400"/>
    <w:rsid w:val="00FC6626"/>
    <w:rsid w:val="00FC66D3"/>
    <w:rsid w:val="00FC67B8"/>
    <w:rsid w:val="00FC6A5A"/>
    <w:rsid w:val="00FC71CB"/>
    <w:rsid w:val="00FC7506"/>
    <w:rsid w:val="00FC7B3F"/>
    <w:rsid w:val="00FC7BC9"/>
    <w:rsid w:val="00FD011A"/>
    <w:rsid w:val="00FD0146"/>
    <w:rsid w:val="00FD06B8"/>
    <w:rsid w:val="00FD09FF"/>
    <w:rsid w:val="00FD0A24"/>
    <w:rsid w:val="00FD0A4A"/>
    <w:rsid w:val="00FD0E65"/>
    <w:rsid w:val="00FD10EC"/>
    <w:rsid w:val="00FD18D1"/>
    <w:rsid w:val="00FD1D0D"/>
    <w:rsid w:val="00FD1E5D"/>
    <w:rsid w:val="00FD1F5D"/>
    <w:rsid w:val="00FD2309"/>
    <w:rsid w:val="00FD2335"/>
    <w:rsid w:val="00FD25A8"/>
    <w:rsid w:val="00FD2631"/>
    <w:rsid w:val="00FD26D1"/>
    <w:rsid w:val="00FD271C"/>
    <w:rsid w:val="00FD2B4B"/>
    <w:rsid w:val="00FD2D3C"/>
    <w:rsid w:val="00FD2E04"/>
    <w:rsid w:val="00FD3138"/>
    <w:rsid w:val="00FD36D8"/>
    <w:rsid w:val="00FD3709"/>
    <w:rsid w:val="00FD37EC"/>
    <w:rsid w:val="00FD399E"/>
    <w:rsid w:val="00FD3B52"/>
    <w:rsid w:val="00FD3B87"/>
    <w:rsid w:val="00FD4283"/>
    <w:rsid w:val="00FD497D"/>
    <w:rsid w:val="00FD49D2"/>
    <w:rsid w:val="00FD4D0B"/>
    <w:rsid w:val="00FD4DE4"/>
    <w:rsid w:val="00FD4E8B"/>
    <w:rsid w:val="00FD509B"/>
    <w:rsid w:val="00FD5215"/>
    <w:rsid w:val="00FD5895"/>
    <w:rsid w:val="00FD5C2A"/>
    <w:rsid w:val="00FD5D75"/>
    <w:rsid w:val="00FD6004"/>
    <w:rsid w:val="00FD650C"/>
    <w:rsid w:val="00FD69F7"/>
    <w:rsid w:val="00FD6AE1"/>
    <w:rsid w:val="00FD6F41"/>
    <w:rsid w:val="00FD70EF"/>
    <w:rsid w:val="00FD7535"/>
    <w:rsid w:val="00FD7B46"/>
    <w:rsid w:val="00FD7ECD"/>
    <w:rsid w:val="00FE00E9"/>
    <w:rsid w:val="00FE0177"/>
    <w:rsid w:val="00FE0280"/>
    <w:rsid w:val="00FE0282"/>
    <w:rsid w:val="00FE039B"/>
    <w:rsid w:val="00FE042A"/>
    <w:rsid w:val="00FE08CE"/>
    <w:rsid w:val="00FE08E5"/>
    <w:rsid w:val="00FE09AB"/>
    <w:rsid w:val="00FE09AE"/>
    <w:rsid w:val="00FE0C94"/>
    <w:rsid w:val="00FE0F1D"/>
    <w:rsid w:val="00FE1000"/>
    <w:rsid w:val="00FE15A1"/>
    <w:rsid w:val="00FE17A9"/>
    <w:rsid w:val="00FE1868"/>
    <w:rsid w:val="00FE188D"/>
    <w:rsid w:val="00FE1D54"/>
    <w:rsid w:val="00FE1DB7"/>
    <w:rsid w:val="00FE24FC"/>
    <w:rsid w:val="00FE2528"/>
    <w:rsid w:val="00FE256C"/>
    <w:rsid w:val="00FE2712"/>
    <w:rsid w:val="00FE277D"/>
    <w:rsid w:val="00FE2799"/>
    <w:rsid w:val="00FE2AB4"/>
    <w:rsid w:val="00FE2B09"/>
    <w:rsid w:val="00FE2C26"/>
    <w:rsid w:val="00FE2CCA"/>
    <w:rsid w:val="00FE2D1E"/>
    <w:rsid w:val="00FE2DEC"/>
    <w:rsid w:val="00FE341E"/>
    <w:rsid w:val="00FE3A98"/>
    <w:rsid w:val="00FE43B6"/>
    <w:rsid w:val="00FE43F2"/>
    <w:rsid w:val="00FE44B2"/>
    <w:rsid w:val="00FE451E"/>
    <w:rsid w:val="00FE458F"/>
    <w:rsid w:val="00FE483A"/>
    <w:rsid w:val="00FE48D1"/>
    <w:rsid w:val="00FE4B4B"/>
    <w:rsid w:val="00FE4C25"/>
    <w:rsid w:val="00FE4FE9"/>
    <w:rsid w:val="00FE534D"/>
    <w:rsid w:val="00FE558D"/>
    <w:rsid w:val="00FE558F"/>
    <w:rsid w:val="00FE55A2"/>
    <w:rsid w:val="00FE59C7"/>
    <w:rsid w:val="00FE5AF3"/>
    <w:rsid w:val="00FE5B13"/>
    <w:rsid w:val="00FE5B2A"/>
    <w:rsid w:val="00FE5BCC"/>
    <w:rsid w:val="00FE5C2E"/>
    <w:rsid w:val="00FE5C9F"/>
    <w:rsid w:val="00FE6095"/>
    <w:rsid w:val="00FE63EB"/>
    <w:rsid w:val="00FE66C0"/>
    <w:rsid w:val="00FE6FFD"/>
    <w:rsid w:val="00FE71AB"/>
    <w:rsid w:val="00FE7312"/>
    <w:rsid w:val="00FE7540"/>
    <w:rsid w:val="00FE75C5"/>
    <w:rsid w:val="00FE7748"/>
    <w:rsid w:val="00FE7885"/>
    <w:rsid w:val="00FE7A32"/>
    <w:rsid w:val="00FE7F3B"/>
    <w:rsid w:val="00FF01A8"/>
    <w:rsid w:val="00FF05F2"/>
    <w:rsid w:val="00FF09BB"/>
    <w:rsid w:val="00FF0C49"/>
    <w:rsid w:val="00FF0C99"/>
    <w:rsid w:val="00FF0D11"/>
    <w:rsid w:val="00FF14A9"/>
    <w:rsid w:val="00FF179D"/>
    <w:rsid w:val="00FF19F5"/>
    <w:rsid w:val="00FF232A"/>
    <w:rsid w:val="00FF239A"/>
    <w:rsid w:val="00FF2551"/>
    <w:rsid w:val="00FF2628"/>
    <w:rsid w:val="00FF2979"/>
    <w:rsid w:val="00FF2AFD"/>
    <w:rsid w:val="00FF2F9C"/>
    <w:rsid w:val="00FF32C1"/>
    <w:rsid w:val="00FF36A1"/>
    <w:rsid w:val="00FF3970"/>
    <w:rsid w:val="00FF3C46"/>
    <w:rsid w:val="00FF3CC2"/>
    <w:rsid w:val="00FF3DF6"/>
    <w:rsid w:val="00FF3ED2"/>
    <w:rsid w:val="00FF423D"/>
    <w:rsid w:val="00FF457E"/>
    <w:rsid w:val="00FF46AB"/>
    <w:rsid w:val="00FF46AD"/>
    <w:rsid w:val="00FF4749"/>
    <w:rsid w:val="00FF494D"/>
    <w:rsid w:val="00FF5643"/>
    <w:rsid w:val="00FF57C4"/>
    <w:rsid w:val="00FF58D3"/>
    <w:rsid w:val="00FF5DBD"/>
    <w:rsid w:val="00FF5EA1"/>
    <w:rsid w:val="00FF5EC7"/>
    <w:rsid w:val="00FF6008"/>
    <w:rsid w:val="00FF628A"/>
    <w:rsid w:val="00FF6512"/>
    <w:rsid w:val="00FF67E1"/>
    <w:rsid w:val="00FF68C6"/>
    <w:rsid w:val="00FF6C98"/>
    <w:rsid w:val="00FF6E15"/>
    <w:rsid w:val="00FF6EE0"/>
    <w:rsid w:val="00FF70A5"/>
    <w:rsid w:val="00FF7300"/>
    <w:rsid w:val="00FF7597"/>
    <w:rsid w:val="00FF764A"/>
    <w:rsid w:val="00FF78F9"/>
    <w:rsid w:val="00FF7B81"/>
    <w:rsid w:val="00FF7E13"/>
    <w:rsid w:val="01A22664"/>
    <w:rsid w:val="0BA75D0E"/>
    <w:rsid w:val="0DCE4A26"/>
    <w:rsid w:val="0F729112"/>
    <w:rsid w:val="13DE5814"/>
    <w:rsid w:val="142CE0AF"/>
    <w:rsid w:val="186F5814"/>
    <w:rsid w:val="192A33FD"/>
    <w:rsid w:val="1BE81986"/>
    <w:rsid w:val="213987E2"/>
    <w:rsid w:val="2451E263"/>
    <w:rsid w:val="249889B6"/>
    <w:rsid w:val="249D3208"/>
    <w:rsid w:val="2666CE82"/>
    <w:rsid w:val="2767C06C"/>
    <w:rsid w:val="2BE44BCD"/>
    <w:rsid w:val="2FF5DE43"/>
    <w:rsid w:val="3070C18B"/>
    <w:rsid w:val="35C5A1CB"/>
    <w:rsid w:val="379F253A"/>
    <w:rsid w:val="40F374D9"/>
    <w:rsid w:val="447305C3"/>
    <w:rsid w:val="5528A154"/>
    <w:rsid w:val="58DA23B6"/>
    <w:rsid w:val="5D6497FE"/>
    <w:rsid w:val="5D89CE8F"/>
    <w:rsid w:val="63C70B52"/>
    <w:rsid w:val="66DDE95A"/>
    <w:rsid w:val="6E191E92"/>
    <w:rsid w:val="6E1C29E7"/>
    <w:rsid w:val="759F33B1"/>
    <w:rsid w:val="75B4C897"/>
    <w:rsid w:val="7DE062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1637F5FA"/>
  <w15:docId w15:val="{D75D16CA-3BCA-481A-9B61-CF0A7228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7002"/>
    <w:pPr>
      <w:spacing w:after="240" w:line="260" w:lineRule="exact"/>
      <w:jc w:val="both"/>
    </w:pPr>
    <w:rPr>
      <w:rFonts w:ascii="Book Antiqua" w:hAnsi="Book Antiqua"/>
    </w:rPr>
  </w:style>
  <w:style w:type="paragraph" w:styleId="Heading1">
    <w:name w:val="heading 1"/>
    <w:basedOn w:val="HeadingBase"/>
    <w:next w:val="Normal"/>
    <w:link w:val="Heading1Char"/>
    <w:qFormat/>
    <w:rsid w:val="00B27002"/>
    <w:pPr>
      <w:numPr>
        <w:numId w:val="5"/>
      </w:numPr>
      <w:spacing w:after="600"/>
      <w:jc w:val="center"/>
      <w:outlineLvl w:val="0"/>
    </w:pPr>
    <w:rPr>
      <w:b/>
      <w:smallCaps/>
      <w:kern w:val="28"/>
      <w:sz w:val="34"/>
    </w:rPr>
  </w:style>
  <w:style w:type="paragraph" w:styleId="Heading2">
    <w:name w:val="heading 2"/>
    <w:basedOn w:val="HeadingBase"/>
    <w:next w:val="Normal"/>
    <w:link w:val="Heading2Char"/>
    <w:qFormat/>
    <w:rsid w:val="00B27002"/>
    <w:pPr>
      <w:numPr>
        <w:ilvl w:val="1"/>
        <w:numId w:val="5"/>
      </w:numPr>
      <w:spacing w:before="240" w:after="300"/>
      <w:outlineLvl w:val="1"/>
    </w:pPr>
    <w:rPr>
      <w:b/>
      <w:color w:val="000000"/>
      <w:sz w:val="30"/>
    </w:rPr>
  </w:style>
  <w:style w:type="paragraph" w:styleId="Heading3">
    <w:name w:val="heading 3"/>
    <w:basedOn w:val="HeadingBase"/>
    <w:next w:val="Normal"/>
    <w:link w:val="Heading3Char"/>
    <w:qFormat/>
    <w:rsid w:val="00B27002"/>
    <w:pPr>
      <w:spacing w:before="240" w:after="240"/>
      <w:outlineLvl w:val="2"/>
    </w:pPr>
    <w:rPr>
      <w:b/>
      <w:smallCaps/>
      <w:color w:val="000000"/>
      <w:sz w:val="26"/>
    </w:rPr>
  </w:style>
  <w:style w:type="paragraph" w:styleId="Heading4">
    <w:name w:val="heading 4"/>
    <w:basedOn w:val="HeadingBase"/>
    <w:next w:val="Normal"/>
    <w:link w:val="Heading4Char"/>
    <w:qFormat/>
    <w:rsid w:val="00014432"/>
    <w:pPr>
      <w:spacing w:before="120" w:after="120"/>
      <w:outlineLvl w:val="3"/>
    </w:pPr>
    <w:rPr>
      <w:b/>
      <w:color w:val="000000"/>
      <w:sz w:val="20"/>
    </w:rPr>
  </w:style>
  <w:style w:type="paragraph" w:styleId="Heading5">
    <w:name w:val="heading 5"/>
    <w:basedOn w:val="HeadingBase"/>
    <w:next w:val="Normal"/>
    <w:link w:val="Heading5Char"/>
    <w:qFormat/>
    <w:rsid w:val="00B27002"/>
    <w:pPr>
      <w:spacing w:before="240" w:after="120"/>
      <w:outlineLvl w:val="4"/>
    </w:pPr>
    <w:rPr>
      <w:i/>
      <w:color w:val="000000"/>
      <w:sz w:val="20"/>
    </w:rPr>
  </w:style>
  <w:style w:type="paragraph" w:styleId="Heading6">
    <w:name w:val="heading 6"/>
    <w:basedOn w:val="HeadingBase"/>
    <w:next w:val="Normal"/>
    <w:link w:val="Heading6Char"/>
    <w:qFormat/>
    <w:rsid w:val="00B27002"/>
    <w:pPr>
      <w:spacing w:after="120"/>
      <w:outlineLvl w:val="5"/>
    </w:pPr>
    <w:rPr>
      <w:color w:val="000000"/>
      <w:sz w:val="20"/>
    </w:rPr>
  </w:style>
  <w:style w:type="paragraph" w:styleId="Heading7">
    <w:name w:val="heading 7"/>
    <w:basedOn w:val="HeadingBase"/>
    <w:next w:val="Normal"/>
    <w:link w:val="Heading7Char"/>
    <w:qFormat/>
    <w:rsid w:val="00B27002"/>
    <w:pPr>
      <w:spacing w:after="100"/>
      <w:outlineLvl w:val="6"/>
    </w:pPr>
    <w:rPr>
      <w:color w:val="000000"/>
      <w:sz w:val="18"/>
    </w:rPr>
  </w:style>
  <w:style w:type="paragraph" w:styleId="Heading8">
    <w:name w:val="heading 8"/>
    <w:basedOn w:val="Normal"/>
    <w:next w:val="Normal"/>
    <w:link w:val="Heading8Char"/>
    <w:qFormat/>
    <w:rsid w:val="00B27002"/>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B27002"/>
    <w:pPr>
      <w:keepNext/>
    </w:pPr>
    <w:rPr>
      <w:rFonts w:ascii="Arial" w:hAnsi="Arial"/>
      <w:sz w:val="24"/>
    </w:rPr>
  </w:style>
  <w:style w:type="paragraph" w:customStyle="1" w:styleId="BoxHeading">
    <w:name w:val="Box Heading"/>
    <w:basedOn w:val="HeadingBase"/>
    <w:next w:val="Normal"/>
    <w:rsid w:val="00B27002"/>
    <w:pPr>
      <w:spacing w:before="240" w:after="240"/>
      <w:jc w:val="center"/>
    </w:pPr>
    <w:rPr>
      <w:rFonts w:ascii="Helvetica" w:hAnsi="Helvetica"/>
      <w:b/>
      <w:sz w:val="20"/>
    </w:rPr>
  </w:style>
  <w:style w:type="paragraph" w:customStyle="1" w:styleId="HeaderBase">
    <w:name w:val="Header Base"/>
    <w:rsid w:val="00B27002"/>
    <w:rPr>
      <w:rFonts w:ascii="Book Antiqua" w:hAnsi="Book Antiqua"/>
      <w:i/>
    </w:rPr>
  </w:style>
  <w:style w:type="paragraph" w:customStyle="1" w:styleId="FooterBase">
    <w:name w:val="Footer Base"/>
    <w:rsid w:val="00B27002"/>
    <w:rPr>
      <w:rFonts w:ascii="Arial" w:hAnsi="Arial"/>
    </w:rPr>
  </w:style>
  <w:style w:type="paragraph" w:customStyle="1" w:styleId="BoxText">
    <w:name w:val="Box Text"/>
    <w:basedOn w:val="Normal"/>
    <w:rsid w:val="00B27002"/>
    <w:pPr>
      <w:keepNext/>
    </w:pPr>
    <w:rPr>
      <w:rFonts w:ascii="Arial" w:hAnsi="Arial"/>
      <w:lang w:eastAsia="en-US"/>
    </w:rPr>
  </w:style>
  <w:style w:type="paragraph" w:customStyle="1" w:styleId="Classification">
    <w:name w:val="Classification"/>
    <w:basedOn w:val="HeadingBase"/>
    <w:rsid w:val="00B27002"/>
    <w:pPr>
      <w:jc w:val="center"/>
    </w:pPr>
    <w:rPr>
      <w:b/>
      <w:smallCaps/>
      <w:color w:val="000000"/>
    </w:rPr>
  </w:style>
  <w:style w:type="paragraph" w:customStyle="1" w:styleId="ContentsHeading">
    <w:name w:val="Contents Heading"/>
    <w:basedOn w:val="HeadingBase"/>
    <w:next w:val="Normal"/>
    <w:rsid w:val="00B27002"/>
    <w:pPr>
      <w:spacing w:after="360"/>
      <w:jc w:val="center"/>
    </w:pPr>
    <w:rPr>
      <w:b/>
      <w:smallCaps/>
      <w:sz w:val="34"/>
      <w:lang w:val="en-US"/>
    </w:rPr>
  </w:style>
  <w:style w:type="paragraph" w:customStyle="1" w:styleId="ContentsSecondHeading">
    <w:name w:val="Contents Second Heading"/>
    <w:basedOn w:val="HeadingBase"/>
    <w:next w:val="Normal"/>
    <w:rsid w:val="00B27002"/>
    <w:pPr>
      <w:spacing w:after="360"/>
      <w:jc w:val="center"/>
    </w:pPr>
    <w:rPr>
      <w:color w:val="000000"/>
      <w:sz w:val="30"/>
    </w:rPr>
  </w:style>
  <w:style w:type="paragraph" w:styleId="Footer">
    <w:name w:val="footer"/>
    <w:basedOn w:val="FooterBase"/>
    <w:link w:val="FooterChar"/>
    <w:uiPriority w:val="99"/>
    <w:rsid w:val="00B27002"/>
    <w:pPr>
      <w:jc w:val="center"/>
    </w:pPr>
    <w:rPr>
      <w:color w:val="000000"/>
    </w:rPr>
  </w:style>
  <w:style w:type="character" w:styleId="FootnoteReference">
    <w:name w:val="footnote reference"/>
    <w:basedOn w:val="DefaultParagraphFont"/>
    <w:semiHidden/>
    <w:rsid w:val="00B27002"/>
    <w:rPr>
      <w:rFonts w:ascii="Book Antiqua" w:hAnsi="Book Antiqua"/>
      <w:noProof w:val="0"/>
      <w:sz w:val="20"/>
      <w:vertAlign w:val="superscript"/>
      <w:lang w:val="en-AU"/>
    </w:rPr>
  </w:style>
  <w:style w:type="paragraph" w:styleId="FootnoteText">
    <w:name w:val="footnote text"/>
    <w:basedOn w:val="Normal"/>
    <w:link w:val="FootnoteTextChar"/>
    <w:semiHidden/>
    <w:rsid w:val="00B27002"/>
    <w:pPr>
      <w:tabs>
        <w:tab w:val="left" w:pos="283"/>
      </w:tabs>
      <w:spacing w:after="0" w:line="240" w:lineRule="auto"/>
      <w:ind w:left="284" w:hanging="284"/>
    </w:pPr>
    <w:rPr>
      <w:color w:val="000000"/>
      <w:sz w:val="18"/>
    </w:rPr>
  </w:style>
  <w:style w:type="paragraph" w:styleId="Header">
    <w:name w:val="header"/>
    <w:basedOn w:val="HeaderBase"/>
    <w:link w:val="HeaderChar"/>
    <w:rsid w:val="00B27002"/>
  </w:style>
  <w:style w:type="paragraph" w:styleId="Index1">
    <w:name w:val="index 1"/>
    <w:basedOn w:val="Normal"/>
    <w:next w:val="Normal"/>
    <w:autoRedefine/>
    <w:rsid w:val="00B27002"/>
    <w:pPr>
      <w:ind w:left="198" w:hanging="198"/>
    </w:pPr>
    <w:rPr>
      <w:color w:val="000000"/>
      <w:sz w:val="18"/>
    </w:rPr>
  </w:style>
  <w:style w:type="paragraph" w:styleId="Index2">
    <w:name w:val="index 2"/>
    <w:basedOn w:val="Normal"/>
    <w:next w:val="Normal"/>
    <w:autoRedefine/>
    <w:semiHidden/>
    <w:rsid w:val="00B27002"/>
    <w:pPr>
      <w:ind w:left="396" w:hanging="198"/>
    </w:pPr>
    <w:rPr>
      <w:color w:val="000000"/>
      <w:sz w:val="18"/>
    </w:rPr>
  </w:style>
  <w:style w:type="paragraph" w:styleId="Index3">
    <w:name w:val="index 3"/>
    <w:basedOn w:val="Normal"/>
    <w:next w:val="Normal"/>
    <w:autoRedefine/>
    <w:semiHidden/>
    <w:rsid w:val="00B27002"/>
    <w:pPr>
      <w:ind w:left="601" w:hanging="198"/>
    </w:pPr>
    <w:rPr>
      <w:color w:val="000000"/>
      <w:sz w:val="18"/>
    </w:rPr>
  </w:style>
  <w:style w:type="paragraph" w:styleId="IndexHeading">
    <w:name w:val="index heading"/>
    <w:basedOn w:val="Normal"/>
    <w:next w:val="Index1"/>
    <w:rsid w:val="00B27002"/>
    <w:pPr>
      <w:spacing w:before="240" w:after="120"/>
      <w:jc w:val="left"/>
    </w:pPr>
    <w:rPr>
      <w:rFonts w:ascii="Times New Roman" w:hAnsi="Times New Roman"/>
      <w:b/>
      <w:bCs/>
      <w:sz w:val="26"/>
      <w:szCs w:val="26"/>
    </w:rPr>
  </w:style>
  <w:style w:type="character" w:styleId="PageNumber">
    <w:name w:val="page number"/>
    <w:rsid w:val="00B27002"/>
  </w:style>
  <w:style w:type="paragraph" w:customStyle="1" w:styleId="TableHeading">
    <w:name w:val="Table Heading"/>
    <w:basedOn w:val="HeadingBase"/>
    <w:next w:val="TableGraphic"/>
    <w:rsid w:val="00B27002"/>
    <w:pPr>
      <w:spacing w:before="120" w:after="20"/>
    </w:pPr>
    <w:rPr>
      <w:b/>
      <w:color w:val="000000"/>
      <w:sz w:val="20"/>
    </w:rPr>
  </w:style>
  <w:style w:type="paragraph" w:customStyle="1" w:styleId="TableGraphic">
    <w:name w:val="Table Graphic"/>
    <w:basedOn w:val="TableHeading"/>
    <w:next w:val="Normal"/>
    <w:rsid w:val="00B27002"/>
    <w:pPr>
      <w:keepNext w:val="0"/>
      <w:spacing w:before="0"/>
      <w:ind w:right="-113"/>
    </w:pPr>
    <w:rPr>
      <w:b w:val="0"/>
    </w:rPr>
  </w:style>
  <w:style w:type="paragraph" w:customStyle="1" w:styleId="TableHeadingcontinued">
    <w:name w:val="Table Heading continued"/>
    <w:basedOn w:val="HeadingBase"/>
    <w:next w:val="TableGraphic"/>
    <w:rsid w:val="00B27002"/>
    <w:pPr>
      <w:spacing w:before="120" w:after="20"/>
    </w:pPr>
    <w:rPr>
      <w:b/>
      <w:color w:val="000000"/>
      <w:sz w:val="20"/>
    </w:rPr>
  </w:style>
  <w:style w:type="paragraph" w:styleId="TOC1">
    <w:name w:val="toc 1"/>
    <w:basedOn w:val="HeadingBase"/>
    <w:next w:val="Normal"/>
    <w:uiPriority w:val="39"/>
    <w:rsid w:val="00B27002"/>
    <w:pPr>
      <w:tabs>
        <w:tab w:val="right" w:leader="dot" w:pos="7699"/>
      </w:tabs>
      <w:spacing w:before="240"/>
      <w:ind w:left="1418" w:right="851" w:hanging="1418"/>
    </w:pPr>
    <w:rPr>
      <w:rFonts w:ascii="Helvetica" w:hAnsi="Helvetica"/>
      <w:b/>
      <w:smallCaps/>
      <w:color w:val="000000"/>
      <w:sz w:val="20"/>
    </w:rPr>
  </w:style>
  <w:style w:type="paragraph" w:styleId="TOC2">
    <w:name w:val="toc 2"/>
    <w:basedOn w:val="HeadingBase"/>
    <w:next w:val="Normal"/>
    <w:uiPriority w:val="39"/>
    <w:rsid w:val="00B27002"/>
    <w:pPr>
      <w:tabs>
        <w:tab w:val="left" w:pos="1418"/>
        <w:tab w:val="right" w:leader="dot" w:pos="7701"/>
      </w:tabs>
      <w:spacing w:before="120"/>
      <w:ind w:left="1985" w:right="851" w:hanging="567"/>
    </w:pPr>
    <w:rPr>
      <w:sz w:val="20"/>
    </w:rPr>
  </w:style>
  <w:style w:type="paragraph" w:styleId="TOC3">
    <w:name w:val="toc 3"/>
    <w:basedOn w:val="HeadingBase"/>
    <w:next w:val="Normal"/>
    <w:uiPriority w:val="39"/>
    <w:rsid w:val="00B27002"/>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B27002"/>
    <w:pPr>
      <w:jc w:val="right"/>
    </w:pPr>
  </w:style>
  <w:style w:type="paragraph" w:customStyle="1" w:styleId="HeaderEven">
    <w:name w:val="Header Even"/>
    <w:basedOn w:val="HeaderBase"/>
    <w:rsid w:val="00B27002"/>
  </w:style>
  <w:style w:type="paragraph" w:customStyle="1" w:styleId="FileProperties">
    <w:name w:val="File Properties"/>
    <w:basedOn w:val="Normal"/>
    <w:rsid w:val="00B27002"/>
    <w:rPr>
      <w:i/>
      <w:color w:val="000000"/>
    </w:rPr>
  </w:style>
  <w:style w:type="character" w:customStyle="1" w:styleId="FramedHeader">
    <w:name w:val="Framed Header"/>
    <w:basedOn w:val="DefaultParagraphFont"/>
    <w:rsid w:val="00B27002"/>
    <w:rPr>
      <w:rFonts w:ascii="Book Antiqua" w:hAnsi="Book Antiqua"/>
      <w:i/>
      <w:dstrike w:val="0"/>
      <w:sz w:val="20"/>
      <w:szCs w:val="20"/>
      <w:vertAlign w:val="baseline"/>
    </w:rPr>
  </w:style>
  <w:style w:type="paragraph" w:styleId="TOC4">
    <w:name w:val="toc 4"/>
    <w:basedOn w:val="Normal"/>
    <w:next w:val="Normal"/>
    <w:autoRedefine/>
    <w:uiPriority w:val="39"/>
    <w:rsid w:val="00B27002"/>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B27002"/>
    <w:pPr>
      <w:numPr>
        <w:numId w:val="1"/>
      </w:numPr>
    </w:pPr>
  </w:style>
  <w:style w:type="paragraph" w:customStyle="1" w:styleId="DoubleDot">
    <w:name w:val="Double Dot"/>
    <w:basedOn w:val="Bullet"/>
    <w:link w:val="DoubleDotChar"/>
    <w:rsid w:val="00B27002"/>
    <w:pPr>
      <w:numPr>
        <w:ilvl w:val="2"/>
        <w:numId w:val="4"/>
      </w:numPr>
    </w:pPr>
  </w:style>
  <w:style w:type="paragraph" w:customStyle="1" w:styleId="Dash">
    <w:name w:val="Dash"/>
    <w:basedOn w:val="Bullet"/>
    <w:link w:val="DashChar"/>
    <w:rsid w:val="00B27002"/>
    <w:pPr>
      <w:numPr>
        <w:ilvl w:val="1"/>
        <w:numId w:val="4"/>
      </w:numPr>
    </w:pPr>
  </w:style>
  <w:style w:type="paragraph" w:customStyle="1" w:styleId="SingleParagraph">
    <w:name w:val="SingleParagraph"/>
    <w:basedOn w:val="Normal"/>
    <w:next w:val="Normal"/>
    <w:rsid w:val="00B27002"/>
    <w:pPr>
      <w:keepNext/>
      <w:spacing w:after="0" w:line="240" w:lineRule="auto"/>
    </w:pPr>
    <w:rPr>
      <w:color w:val="000000"/>
    </w:rPr>
  </w:style>
  <w:style w:type="paragraph" w:customStyle="1" w:styleId="MeasureTableTextLeftAligned">
    <w:name w:val="Measure Table Text Left Aligned"/>
    <w:basedOn w:val="HeadingBase"/>
    <w:rsid w:val="00B27002"/>
    <w:pPr>
      <w:spacing w:before="20" w:after="20"/>
    </w:pPr>
    <w:rPr>
      <w:color w:val="000000"/>
      <w:sz w:val="16"/>
    </w:rPr>
  </w:style>
  <w:style w:type="paragraph" w:customStyle="1" w:styleId="ChartandTableFootnoteAlpha">
    <w:name w:val="Chart and Table Footnote Alpha"/>
    <w:basedOn w:val="Normal"/>
    <w:next w:val="Normal"/>
    <w:rsid w:val="00B27002"/>
    <w:pPr>
      <w:numPr>
        <w:numId w:val="2"/>
      </w:numPr>
      <w:spacing w:after="0" w:line="240" w:lineRule="auto"/>
    </w:pPr>
    <w:rPr>
      <w:rFonts w:ascii="Arial" w:hAnsi="Arial"/>
      <w:color w:val="000000"/>
      <w:sz w:val="16"/>
    </w:rPr>
  </w:style>
  <w:style w:type="paragraph" w:customStyle="1" w:styleId="MeasureTableHeading">
    <w:name w:val="Measure Table Heading"/>
    <w:basedOn w:val="HeadingBase"/>
    <w:rsid w:val="00B27002"/>
    <w:rPr>
      <w:sz w:val="16"/>
    </w:rPr>
  </w:style>
  <w:style w:type="paragraph" w:customStyle="1" w:styleId="MeasureTableTextRightAligned">
    <w:name w:val="Measure Table Text Right Aligned"/>
    <w:basedOn w:val="HeadingBase"/>
    <w:rsid w:val="00B27002"/>
    <w:pPr>
      <w:spacing w:before="60" w:after="60"/>
      <w:jc w:val="right"/>
    </w:pPr>
    <w:rPr>
      <w:sz w:val="16"/>
    </w:rPr>
  </w:style>
  <w:style w:type="paragraph" w:styleId="TOC5">
    <w:name w:val="toc 5"/>
    <w:basedOn w:val="Normal"/>
    <w:next w:val="Normal"/>
    <w:autoRedefine/>
    <w:uiPriority w:val="39"/>
    <w:rsid w:val="00B27002"/>
    <w:pPr>
      <w:tabs>
        <w:tab w:val="right" w:leader="dot" w:pos="7700"/>
      </w:tabs>
      <w:spacing w:before="60" w:after="0" w:line="240" w:lineRule="auto"/>
      <w:ind w:left="567" w:right="851"/>
      <w:jc w:val="left"/>
    </w:pPr>
  </w:style>
  <w:style w:type="paragraph" w:styleId="TOC6">
    <w:name w:val="toc 6"/>
    <w:basedOn w:val="Normal"/>
    <w:next w:val="Normal"/>
    <w:autoRedefine/>
    <w:uiPriority w:val="39"/>
    <w:rsid w:val="00B27002"/>
    <w:pPr>
      <w:ind w:left="1000"/>
    </w:pPr>
  </w:style>
  <w:style w:type="paragraph" w:styleId="TOC7">
    <w:name w:val="toc 7"/>
    <w:basedOn w:val="Normal"/>
    <w:next w:val="Normal"/>
    <w:autoRedefine/>
    <w:uiPriority w:val="39"/>
    <w:rsid w:val="00B27002"/>
    <w:pPr>
      <w:ind w:left="1200"/>
    </w:pPr>
  </w:style>
  <w:style w:type="paragraph" w:styleId="TOC8">
    <w:name w:val="toc 8"/>
    <w:basedOn w:val="Normal"/>
    <w:next w:val="Normal"/>
    <w:autoRedefine/>
    <w:uiPriority w:val="39"/>
    <w:rsid w:val="00B27002"/>
    <w:pPr>
      <w:ind w:left="1400"/>
    </w:pPr>
  </w:style>
  <w:style w:type="paragraph" w:styleId="TOC9">
    <w:name w:val="toc 9"/>
    <w:basedOn w:val="Normal"/>
    <w:next w:val="Normal"/>
    <w:autoRedefine/>
    <w:uiPriority w:val="39"/>
    <w:rsid w:val="00B27002"/>
    <w:pPr>
      <w:ind w:left="1600"/>
    </w:pPr>
  </w:style>
  <w:style w:type="paragraph" w:styleId="Closing">
    <w:name w:val="Closing"/>
    <w:basedOn w:val="Normal"/>
    <w:link w:val="ClosingChar"/>
    <w:rsid w:val="00B27002"/>
    <w:pPr>
      <w:ind w:left="4252"/>
    </w:pPr>
  </w:style>
  <w:style w:type="paragraph" w:customStyle="1" w:styleId="NoteTableHeading">
    <w:name w:val="Note Table Heading"/>
    <w:basedOn w:val="HeadingBase"/>
    <w:next w:val="TableGraphic"/>
    <w:rsid w:val="00B27002"/>
    <w:pPr>
      <w:spacing w:before="480"/>
    </w:pPr>
    <w:rPr>
      <w:b/>
      <w:color w:val="000000"/>
      <w:sz w:val="20"/>
    </w:rPr>
  </w:style>
  <w:style w:type="character" w:customStyle="1" w:styleId="Italic">
    <w:name w:val="Italic"/>
    <w:basedOn w:val="DefaultParagraphFont"/>
    <w:rsid w:val="00B27002"/>
    <w:rPr>
      <w:i/>
    </w:rPr>
  </w:style>
  <w:style w:type="paragraph" w:customStyle="1" w:styleId="Source">
    <w:name w:val="Source"/>
    <w:basedOn w:val="HeadingBase"/>
    <w:next w:val="Normal"/>
    <w:rsid w:val="00B27002"/>
    <w:pPr>
      <w:jc w:val="both"/>
    </w:pPr>
    <w:rPr>
      <w:sz w:val="16"/>
    </w:rPr>
  </w:style>
  <w:style w:type="paragraph" w:customStyle="1" w:styleId="Exactly">
    <w:name w:val="Exactly"/>
    <w:basedOn w:val="Normal"/>
    <w:next w:val="Normal"/>
    <w:rsid w:val="00B27002"/>
    <w:pPr>
      <w:spacing w:line="240" w:lineRule="auto"/>
    </w:pPr>
  </w:style>
  <w:style w:type="paragraph" w:customStyle="1" w:styleId="TPHeading1">
    <w:name w:val="TP Heading 1"/>
    <w:basedOn w:val="HeadingBase"/>
    <w:rsid w:val="00B27002"/>
    <w:pPr>
      <w:spacing w:after="360"/>
      <w:jc w:val="center"/>
    </w:pPr>
    <w:rPr>
      <w:smallCaps/>
      <w:sz w:val="44"/>
    </w:rPr>
  </w:style>
  <w:style w:type="character" w:customStyle="1" w:styleId="BoxTextItalic">
    <w:name w:val="Box Text Italic"/>
    <w:basedOn w:val="DefaultParagraphFont"/>
    <w:rsid w:val="00B27002"/>
    <w:rPr>
      <w:rFonts w:ascii="Arial" w:hAnsi="Arial"/>
      <w:i/>
      <w:sz w:val="20"/>
    </w:rPr>
  </w:style>
  <w:style w:type="character" w:customStyle="1" w:styleId="Bold">
    <w:name w:val="Bold"/>
    <w:basedOn w:val="DefaultParagraphFont"/>
    <w:rsid w:val="00B27002"/>
    <w:rPr>
      <w:b/>
    </w:rPr>
  </w:style>
  <w:style w:type="paragraph" w:customStyle="1" w:styleId="AppendixText">
    <w:name w:val="AppendixText"/>
    <w:basedOn w:val="Normal"/>
    <w:rsid w:val="00B27002"/>
    <w:pPr>
      <w:ind w:left="851"/>
    </w:pPr>
    <w:rPr>
      <w:color w:val="000000"/>
    </w:rPr>
  </w:style>
  <w:style w:type="paragraph" w:customStyle="1" w:styleId="Appendix3">
    <w:name w:val="Appendix 3"/>
    <w:basedOn w:val="HeadingBase"/>
    <w:next w:val="AppendixText"/>
    <w:rsid w:val="00B27002"/>
    <w:pPr>
      <w:numPr>
        <w:ilvl w:val="2"/>
        <w:numId w:val="6"/>
      </w:numPr>
      <w:spacing w:before="240" w:after="240"/>
    </w:pPr>
    <w:rPr>
      <w:b/>
      <w:smallCaps/>
      <w:sz w:val="26"/>
      <w:szCs w:val="26"/>
    </w:rPr>
  </w:style>
  <w:style w:type="paragraph" w:customStyle="1" w:styleId="Appendix2">
    <w:name w:val="Appendix 2"/>
    <w:basedOn w:val="HeadingBase"/>
    <w:next w:val="AppendixText"/>
    <w:rsid w:val="00B27002"/>
    <w:pPr>
      <w:numPr>
        <w:ilvl w:val="1"/>
        <w:numId w:val="6"/>
      </w:numPr>
      <w:spacing w:before="240" w:after="360"/>
      <w:outlineLvl w:val="2"/>
    </w:pPr>
    <w:rPr>
      <w:b/>
      <w:smallCaps/>
      <w:color w:val="000000"/>
      <w:sz w:val="30"/>
      <w:szCs w:val="30"/>
    </w:rPr>
  </w:style>
  <w:style w:type="paragraph" w:customStyle="1" w:styleId="Appendix1">
    <w:name w:val="Appendix 1"/>
    <w:basedOn w:val="HeadingBase"/>
    <w:next w:val="Appendix2"/>
    <w:rsid w:val="00B27002"/>
    <w:pPr>
      <w:pageBreakBefore/>
      <w:numPr>
        <w:numId w:val="6"/>
      </w:numPr>
      <w:spacing w:after="600"/>
      <w:jc w:val="center"/>
      <w:outlineLvl w:val="0"/>
    </w:pPr>
    <w:rPr>
      <w:b/>
      <w:smallCaps/>
      <w:color w:val="000000"/>
      <w:sz w:val="34"/>
      <w:szCs w:val="34"/>
    </w:rPr>
  </w:style>
  <w:style w:type="character" w:customStyle="1" w:styleId="BoldandItalic">
    <w:name w:val="Bold and Italic"/>
    <w:basedOn w:val="DefaultParagraphFont"/>
    <w:rsid w:val="00B27002"/>
    <w:rPr>
      <w:b/>
      <w:i/>
    </w:rPr>
  </w:style>
  <w:style w:type="paragraph" w:customStyle="1" w:styleId="BoxTextBullet">
    <w:name w:val="Box Text Bullet"/>
    <w:basedOn w:val="Bullet"/>
    <w:rsid w:val="00B27002"/>
    <w:pPr>
      <w:numPr>
        <w:numId w:val="4"/>
      </w:numPr>
    </w:pPr>
    <w:rPr>
      <w:rFonts w:ascii="Arial" w:hAnsi="Arial"/>
    </w:rPr>
  </w:style>
  <w:style w:type="paragraph" w:customStyle="1" w:styleId="MeasureTableTextItalic">
    <w:name w:val="Measure Table Text Italic"/>
    <w:basedOn w:val="Normal"/>
    <w:rsid w:val="00B27002"/>
    <w:pPr>
      <w:keepNext/>
      <w:spacing w:before="20" w:after="20" w:line="240" w:lineRule="auto"/>
      <w:jc w:val="left"/>
    </w:pPr>
    <w:rPr>
      <w:rFonts w:ascii="Arial" w:hAnsi="Arial"/>
      <w:i/>
      <w:color w:val="000000"/>
      <w:sz w:val="16"/>
    </w:rPr>
  </w:style>
  <w:style w:type="paragraph" w:customStyle="1" w:styleId="TESHeading5">
    <w:name w:val="TES Heading 5"/>
    <w:basedOn w:val="Heading4"/>
    <w:next w:val="MeasureTableHeading"/>
    <w:rsid w:val="00D9255A"/>
  </w:style>
  <w:style w:type="paragraph" w:customStyle="1" w:styleId="TESHeading3">
    <w:name w:val="TES Heading 3"/>
    <w:basedOn w:val="Normal"/>
    <w:next w:val="Normal"/>
    <w:rsid w:val="00B27002"/>
    <w:pPr>
      <w:keepNext/>
      <w:spacing w:before="240" w:line="240" w:lineRule="auto"/>
      <w:jc w:val="left"/>
      <w:outlineLvl w:val="2"/>
    </w:pPr>
    <w:rPr>
      <w:rFonts w:ascii="Arial" w:hAnsi="Arial"/>
      <w:b/>
      <w:smallCaps/>
      <w:sz w:val="26"/>
      <w:szCs w:val="26"/>
    </w:rPr>
  </w:style>
  <w:style w:type="paragraph" w:customStyle="1" w:styleId="TableTextBase">
    <w:name w:val="Table Text Base"/>
    <w:rsid w:val="00B27002"/>
    <w:pPr>
      <w:spacing w:before="20" w:after="20"/>
    </w:pPr>
    <w:rPr>
      <w:rFonts w:ascii="Arial" w:hAnsi="Arial"/>
      <w:color w:val="000000"/>
      <w:sz w:val="16"/>
    </w:rPr>
  </w:style>
  <w:style w:type="paragraph" w:customStyle="1" w:styleId="TableColumnHeadingCentred">
    <w:name w:val="Table Column Heading Centred"/>
    <w:basedOn w:val="TableTextBase"/>
    <w:rsid w:val="00B27002"/>
    <w:pPr>
      <w:jc w:val="center"/>
    </w:pPr>
    <w:rPr>
      <w:b/>
    </w:rPr>
  </w:style>
  <w:style w:type="paragraph" w:customStyle="1" w:styleId="TableColumnHeadingLeft">
    <w:name w:val="Table Column Heading Left"/>
    <w:basedOn w:val="TableTextBase"/>
    <w:rsid w:val="00B27002"/>
    <w:rPr>
      <w:b/>
    </w:rPr>
  </w:style>
  <w:style w:type="paragraph" w:customStyle="1" w:styleId="TableColumnHeadingRight">
    <w:name w:val="Table Column Heading Right"/>
    <w:basedOn w:val="TableTextBase"/>
    <w:rsid w:val="00B27002"/>
    <w:pPr>
      <w:jc w:val="right"/>
    </w:pPr>
    <w:rPr>
      <w:b/>
    </w:rPr>
  </w:style>
  <w:style w:type="paragraph" w:customStyle="1" w:styleId="TableTextCentered">
    <w:name w:val="Table Text Centered"/>
    <w:basedOn w:val="TableTextBase"/>
    <w:rsid w:val="00B27002"/>
    <w:pPr>
      <w:jc w:val="center"/>
    </w:pPr>
  </w:style>
  <w:style w:type="paragraph" w:customStyle="1" w:styleId="TableTextIndented">
    <w:name w:val="Table Text Indented"/>
    <w:basedOn w:val="TableTextBase"/>
    <w:rsid w:val="00B27002"/>
    <w:pPr>
      <w:ind w:left="284"/>
    </w:pPr>
  </w:style>
  <w:style w:type="paragraph" w:customStyle="1" w:styleId="TableTextLeft">
    <w:name w:val="Table Text Left"/>
    <w:basedOn w:val="TableTextBase"/>
    <w:rsid w:val="00B27002"/>
  </w:style>
  <w:style w:type="paragraph" w:customStyle="1" w:styleId="TableTextRight">
    <w:name w:val="Table Text Right"/>
    <w:basedOn w:val="TableTextBase"/>
    <w:rsid w:val="00B27002"/>
    <w:pPr>
      <w:jc w:val="right"/>
    </w:pPr>
  </w:style>
  <w:style w:type="paragraph" w:styleId="BalloonText">
    <w:name w:val="Balloon Text"/>
    <w:basedOn w:val="Normal"/>
    <w:link w:val="BalloonTextChar"/>
    <w:unhideWhenUsed/>
    <w:rsid w:val="00546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46AD5"/>
    <w:rPr>
      <w:rFonts w:ascii="Segoe UI" w:hAnsi="Segoe UI" w:cs="Segoe UI"/>
      <w:sz w:val="18"/>
      <w:szCs w:val="18"/>
    </w:rPr>
  </w:style>
  <w:style w:type="character" w:customStyle="1" w:styleId="Heading1Char">
    <w:name w:val="Heading 1 Char"/>
    <w:basedOn w:val="DefaultParagraphFont"/>
    <w:link w:val="Heading1"/>
    <w:rsid w:val="00546AD5"/>
    <w:rPr>
      <w:rFonts w:ascii="Arial" w:hAnsi="Arial"/>
      <w:b/>
      <w:smallCaps/>
      <w:kern w:val="28"/>
      <w:sz w:val="34"/>
    </w:rPr>
  </w:style>
  <w:style w:type="character" w:customStyle="1" w:styleId="Heading2Char">
    <w:name w:val="Heading 2 Char"/>
    <w:basedOn w:val="DefaultParagraphFont"/>
    <w:link w:val="Heading2"/>
    <w:rsid w:val="00546AD5"/>
    <w:rPr>
      <w:rFonts w:ascii="Arial" w:hAnsi="Arial"/>
      <w:b/>
      <w:color w:val="000000"/>
      <w:sz w:val="30"/>
    </w:rPr>
  </w:style>
  <w:style w:type="table" w:styleId="TableGrid">
    <w:name w:val="Table Grid"/>
    <w:basedOn w:val="TableNormal"/>
    <w:uiPriority w:val="59"/>
    <w:rsid w:val="00546A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umbered">
    <w:name w:val="Heading 3 - Numbered"/>
    <w:basedOn w:val="Heading3"/>
    <w:rsid w:val="00546AD5"/>
    <w:pPr>
      <w:tabs>
        <w:tab w:val="num" w:pos="360"/>
      </w:tabs>
    </w:pPr>
    <w:rPr>
      <w:sz w:val="28"/>
    </w:rPr>
  </w:style>
  <w:style w:type="character" w:styleId="CommentReference">
    <w:name w:val="annotation reference"/>
    <w:basedOn w:val="DefaultParagraphFont"/>
    <w:uiPriority w:val="99"/>
    <w:unhideWhenUsed/>
    <w:rsid w:val="00546AD5"/>
    <w:rPr>
      <w:sz w:val="16"/>
      <w:szCs w:val="16"/>
    </w:rPr>
  </w:style>
  <w:style w:type="paragraph" w:styleId="CommentText">
    <w:name w:val="annotation text"/>
    <w:basedOn w:val="Normal"/>
    <w:link w:val="CommentTextChar"/>
    <w:uiPriority w:val="99"/>
    <w:unhideWhenUsed/>
    <w:rsid w:val="00546AD5"/>
    <w:pPr>
      <w:spacing w:line="240" w:lineRule="auto"/>
    </w:pPr>
  </w:style>
  <w:style w:type="character" w:customStyle="1" w:styleId="CommentTextChar">
    <w:name w:val="Comment Text Char"/>
    <w:basedOn w:val="DefaultParagraphFont"/>
    <w:link w:val="CommentText"/>
    <w:uiPriority w:val="99"/>
    <w:rsid w:val="00546AD5"/>
    <w:rPr>
      <w:rFonts w:ascii="Book Antiqua" w:hAnsi="Book Antiqua"/>
    </w:rPr>
  </w:style>
  <w:style w:type="paragraph" w:styleId="CommentSubject">
    <w:name w:val="annotation subject"/>
    <w:basedOn w:val="CommentText"/>
    <w:next w:val="CommentText"/>
    <w:link w:val="CommentSubjectChar"/>
    <w:semiHidden/>
    <w:unhideWhenUsed/>
    <w:rsid w:val="00546AD5"/>
    <w:rPr>
      <w:b/>
      <w:bCs/>
    </w:rPr>
  </w:style>
  <w:style w:type="character" w:customStyle="1" w:styleId="CommentSubjectChar">
    <w:name w:val="Comment Subject Char"/>
    <w:basedOn w:val="CommentTextChar"/>
    <w:link w:val="CommentSubject"/>
    <w:semiHidden/>
    <w:rsid w:val="00546AD5"/>
    <w:rPr>
      <w:rFonts w:ascii="Book Antiqua" w:hAnsi="Book Antiqua"/>
      <w:b/>
      <w:bCs/>
    </w:rPr>
  </w:style>
  <w:style w:type="character" w:customStyle="1" w:styleId="Heading3Char">
    <w:name w:val="Heading 3 Char"/>
    <w:basedOn w:val="DefaultParagraphFont"/>
    <w:link w:val="Heading3"/>
    <w:rsid w:val="00546AD5"/>
    <w:rPr>
      <w:rFonts w:ascii="Arial" w:hAnsi="Arial"/>
      <w:b/>
      <w:smallCaps/>
      <w:color w:val="000000"/>
      <w:sz w:val="26"/>
    </w:rPr>
  </w:style>
  <w:style w:type="character" w:customStyle="1" w:styleId="BulletChar">
    <w:name w:val="Bullet Char"/>
    <w:link w:val="Bullet"/>
    <w:rsid w:val="00546AD5"/>
    <w:rPr>
      <w:rFonts w:ascii="Book Antiqua" w:hAnsi="Book Antiqua"/>
    </w:rPr>
  </w:style>
  <w:style w:type="paragraph" w:customStyle="1" w:styleId="ChartandTableFootnote">
    <w:name w:val="Chart and Table Footnote"/>
    <w:basedOn w:val="Normal"/>
    <w:rsid w:val="00546AD5"/>
    <w:pPr>
      <w:spacing w:after="0" w:line="240" w:lineRule="auto"/>
    </w:pPr>
    <w:rPr>
      <w:rFonts w:ascii="Arial" w:hAnsi="Arial"/>
      <w:color w:val="000000"/>
      <w:sz w:val="16"/>
    </w:rPr>
  </w:style>
  <w:style w:type="character" w:customStyle="1" w:styleId="Heading4Char">
    <w:name w:val="Heading 4 Char"/>
    <w:basedOn w:val="DefaultParagraphFont"/>
    <w:link w:val="Heading4"/>
    <w:rsid w:val="00014432"/>
    <w:rPr>
      <w:rFonts w:ascii="Arial" w:hAnsi="Arial"/>
      <w:b/>
      <w:color w:val="000000"/>
    </w:rPr>
  </w:style>
  <w:style w:type="character" w:customStyle="1" w:styleId="Heading5Char">
    <w:name w:val="Heading 5 Char"/>
    <w:basedOn w:val="DefaultParagraphFont"/>
    <w:link w:val="Heading5"/>
    <w:rsid w:val="00546AD5"/>
    <w:rPr>
      <w:rFonts w:ascii="Arial" w:hAnsi="Arial"/>
      <w:i/>
      <w:color w:val="000000"/>
    </w:rPr>
  </w:style>
  <w:style w:type="character" w:customStyle="1" w:styleId="Heading6Char">
    <w:name w:val="Heading 6 Char"/>
    <w:basedOn w:val="DefaultParagraphFont"/>
    <w:link w:val="Heading6"/>
    <w:rsid w:val="00546AD5"/>
    <w:rPr>
      <w:rFonts w:ascii="Arial" w:hAnsi="Arial"/>
      <w:color w:val="000000"/>
    </w:rPr>
  </w:style>
  <w:style w:type="character" w:customStyle="1" w:styleId="Heading7Char">
    <w:name w:val="Heading 7 Char"/>
    <w:basedOn w:val="DefaultParagraphFont"/>
    <w:link w:val="Heading7"/>
    <w:rsid w:val="00546AD5"/>
    <w:rPr>
      <w:rFonts w:ascii="Arial" w:hAnsi="Arial"/>
      <w:color w:val="000000"/>
      <w:sz w:val="18"/>
    </w:rPr>
  </w:style>
  <w:style w:type="character" w:customStyle="1" w:styleId="Heading8Char">
    <w:name w:val="Heading 8 Char"/>
    <w:basedOn w:val="DefaultParagraphFont"/>
    <w:link w:val="Heading8"/>
    <w:rsid w:val="00546AD5"/>
    <w:rPr>
      <w:rFonts w:ascii="Arial" w:hAnsi="Arial"/>
      <w:i/>
    </w:rPr>
  </w:style>
  <w:style w:type="character" w:customStyle="1" w:styleId="FooterChar">
    <w:name w:val="Footer Char"/>
    <w:basedOn w:val="DefaultParagraphFont"/>
    <w:link w:val="Footer"/>
    <w:uiPriority w:val="99"/>
    <w:rsid w:val="00546AD5"/>
    <w:rPr>
      <w:rFonts w:ascii="Arial" w:hAnsi="Arial"/>
      <w:color w:val="000000"/>
    </w:rPr>
  </w:style>
  <w:style w:type="character" w:customStyle="1" w:styleId="FootnoteTextChar">
    <w:name w:val="Footnote Text Char"/>
    <w:basedOn w:val="DefaultParagraphFont"/>
    <w:link w:val="FootnoteText"/>
    <w:semiHidden/>
    <w:rsid w:val="00546AD5"/>
    <w:rPr>
      <w:rFonts w:ascii="Book Antiqua" w:hAnsi="Book Antiqua"/>
      <w:color w:val="000000"/>
      <w:sz w:val="18"/>
    </w:rPr>
  </w:style>
  <w:style w:type="character" w:customStyle="1" w:styleId="HeaderChar">
    <w:name w:val="Header Char"/>
    <w:basedOn w:val="DefaultParagraphFont"/>
    <w:link w:val="Header"/>
    <w:rsid w:val="00546AD5"/>
    <w:rPr>
      <w:rFonts w:ascii="Book Antiqua" w:hAnsi="Book Antiqua"/>
      <w:i/>
    </w:rPr>
  </w:style>
  <w:style w:type="character" w:customStyle="1" w:styleId="DashChar">
    <w:name w:val="Dash Char"/>
    <w:link w:val="Dash"/>
    <w:rsid w:val="00546AD5"/>
    <w:rPr>
      <w:rFonts w:ascii="Book Antiqua" w:hAnsi="Book Antiqua"/>
    </w:rPr>
  </w:style>
  <w:style w:type="character" w:customStyle="1" w:styleId="ClosingChar">
    <w:name w:val="Closing Char"/>
    <w:basedOn w:val="DefaultParagraphFont"/>
    <w:link w:val="Closing"/>
    <w:rsid w:val="00546AD5"/>
    <w:rPr>
      <w:rFonts w:ascii="Book Antiqua" w:hAnsi="Book Antiqua"/>
    </w:rPr>
  </w:style>
  <w:style w:type="paragraph" w:customStyle="1" w:styleId="TableTextBullet">
    <w:name w:val="Table Text Bullet"/>
    <w:basedOn w:val="Normal"/>
    <w:rsid w:val="00546AD5"/>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546AD5"/>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546AD5"/>
    <w:rPr>
      <w:sz w:val="24"/>
    </w:rPr>
  </w:style>
  <w:style w:type="paragraph" w:styleId="NormalWeb">
    <w:name w:val="Normal (Web)"/>
    <w:basedOn w:val="Normal"/>
    <w:uiPriority w:val="99"/>
    <w:rsid w:val="00546AD5"/>
    <w:rPr>
      <w:sz w:val="18"/>
      <w:szCs w:val="24"/>
    </w:rPr>
  </w:style>
  <w:style w:type="character" w:styleId="Emphasis">
    <w:name w:val="Emphasis"/>
    <w:qFormat/>
    <w:rsid w:val="00546AD5"/>
    <w:rPr>
      <w:i/>
      <w:iCs/>
    </w:rPr>
  </w:style>
  <w:style w:type="paragraph" w:customStyle="1" w:styleId="StyleBoldLeft127cmPatternClearBackground1">
    <w:name w:val="Style Bold Left:  1.27 cm Pattern: Clear (Background 1)"/>
    <w:basedOn w:val="Normal"/>
    <w:rsid w:val="00546AD5"/>
    <w:pPr>
      <w:shd w:val="clear" w:color="auto" w:fill="E6E6E6"/>
      <w:ind w:left="720"/>
    </w:pPr>
    <w:rPr>
      <w:b/>
      <w:bCs/>
    </w:rPr>
  </w:style>
  <w:style w:type="character" w:styleId="Hyperlink">
    <w:name w:val="Hyperlink"/>
    <w:uiPriority w:val="99"/>
    <w:rsid w:val="00546AD5"/>
    <w:rPr>
      <w:noProof/>
      <w:color w:val="auto"/>
      <w:u w:val="none"/>
    </w:rPr>
  </w:style>
  <w:style w:type="paragraph" w:styleId="TOCHeading">
    <w:name w:val="TOC Heading"/>
    <w:basedOn w:val="Heading1"/>
    <w:next w:val="Normal"/>
    <w:uiPriority w:val="39"/>
    <w:unhideWhenUsed/>
    <w:qFormat/>
    <w:rsid w:val="00546AD5"/>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kern w:val="0"/>
      <w:sz w:val="28"/>
      <w:szCs w:val="28"/>
      <w:lang w:val="en-US" w:eastAsia="ja-JP"/>
    </w:rPr>
  </w:style>
  <w:style w:type="character" w:styleId="FollowedHyperlink">
    <w:name w:val="FollowedHyperlink"/>
    <w:basedOn w:val="DefaultParagraphFont"/>
    <w:uiPriority w:val="99"/>
    <w:unhideWhenUsed/>
    <w:rsid w:val="00546AD5"/>
    <w:rPr>
      <w:color w:val="800080" w:themeColor="followedHyperlink"/>
      <w:u w:val="single"/>
    </w:rPr>
  </w:style>
  <w:style w:type="paragraph" w:styleId="Index4">
    <w:name w:val="index 4"/>
    <w:basedOn w:val="Normal"/>
    <w:next w:val="Normal"/>
    <w:autoRedefine/>
    <w:unhideWhenUsed/>
    <w:rsid w:val="00546AD5"/>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546AD5"/>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546AD5"/>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546AD5"/>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546AD5"/>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546AD5"/>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546AD5"/>
    <w:pPr>
      <w:spacing w:before="440"/>
    </w:pPr>
    <w:rPr>
      <w:bCs/>
    </w:rPr>
  </w:style>
  <w:style w:type="paragraph" w:customStyle="1" w:styleId="LEGREFTEXT">
    <w:name w:val="LEG REF TEXT"/>
    <w:basedOn w:val="Normal"/>
    <w:qFormat/>
    <w:rsid w:val="00546AD5"/>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546AD5"/>
    <w:pPr>
      <w:numPr>
        <w:ilvl w:val="0"/>
        <w:numId w:val="0"/>
      </w:numPr>
      <w:tabs>
        <w:tab w:val="left" w:pos="567"/>
      </w:tabs>
      <w:spacing w:before="300" w:after="240"/>
    </w:pPr>
    <w:rPr>
      <w:rFonts w:ascii="Arial Bold" w:hAnsi="Arial Bold"/>
      <w:spacing w:val="-6"/>
      <w:sz w:val="27"/>
    </w:rPr>
  </w:style>
  <w:style w:type="character" w:styleId="Strong">
    <w:name w:val="Strong"/>
    <w:basedOn w:val="DefaultParagraphFont"/>
    <w:qFormat/>
    <w:rsid w:val="00546AD5"/>
    <w:rPr>
      <w:b/>
      <w:bCs/>
    </w:rPr>
  </w:style>
  <w:style w:type="paragraph" w:customStyle="1" w:styleId="OutlineNumbered1">
    <w:name w:val="Outline Numbered 1"/>
    <w:basedOn w:val="Normal"/>
    <w:link w:val="OutlineNumbered1Char"/>
    <w:rsid w:val="00546AD5"/>
    <w:pPr>
      <w:numPr>
        <w:numId w:val="9"/>
      </w:numPr>
    </w:pPr>
  </w:style>
  <w:style w:type="character" w:customStyle="1" w:styleId="OutlineNumbered1Char">
    <w:name w:val="Outline Numbered 1 Char"/>
    <w:basedOn w:val="BulletChar"/>
    <w:link w:val="OutlineNumbered1"/>
    <w:rsid w:val="00546AD5"/>
    <w:rPr>
      <w:rFonts w:ascii="Book Antiqua" w:hAnsi="Book Antiqua"/>
    </w:rPr>
  </w:style>
  <w:style w:type="paragraph" w:customStyle="1" w:styleId="OutlineNumbered2">
    <w:name w:val="Outline Numbered 2"/>
    <w:basedOn w:val="Normal"/>
    <w:link w:val="OutlineNumbered2Char"/>
    <w:rsid w:val="00546AD5"/>
    <w:pPr>
      <w:numPr>
        <w:ilvl w:val="1"/>
        <w:numId w:val="9"/>
      </w:numPr>
    </w:pPr>
  </w:style>
  <w:style w:type="paragraph" w:customStyle="1" w:styleId="OutlineNumbered3">
    <w:name w:val="Outline Numbered 3"/>
    <w:basedOn w:val="Normal"/>
    <w:link w:val="OutlineNumbered3Char"/>
    <w:rsid w:val="00546AD5"/>
    <w:pPr>
      <w:numPr>
        <w:ilvl w:val="2"/>
        <w:numId w:val="9"/>
      </w:numPr>
    </w:pPr>
  </w:style>
  <w:style w:type="paragraph" w:customStyle="1" w:styleId="Heading1-Appendix">
    <w:name w:val="Heading 1 - Appendix"/>
    <w:rsid w:val="00546AD5"/>
    <w:pPr>
      <w:numPr>
        <w:numId w:val="10"/>
      </w:numPr>
      <w:spacing w:after="600"/>
      <w:jc w:val="center"/>
      <w:outlineLvl w:val="0"/>
    </w:pPr>
    <w:rPr>
      <w:rFonts w:ascii="Arial Bold" w:hAnsi="Arial Bold"/>
      <w:b/>
      <w:caps/>
      <w:kern w:val="28"/>
      <w:sz w:val="36"/>
    </w:rPr>
  </w:style>
  <w:style w:type="paragraph" w:customStyle="1" w:styleId="TableTextCentered-Bold">
    <w:name w:val="Table Text Centered - Bold"/>
    <w:basedOn w:val="TableTextCentered"/>
    <w:rsid w:val="00546AD5"/>
    <w:pPr>
      <w:spacing w:before="40" w:after="40"/>
    </w:pPr>
    <w:rPr>
      <w:b/>
    </w:rPr>
  </w:style>
  <w:style w:type="paragraph" w:customStyle="1" w:styleId="Heading1-NotNumbered">
    <w:name w:val="Heading 1 - Not Numbered"/>
    <w:basedOn w:val="Heading1"/>
    <w:rsid w:val="00546AD5"/>
    <w:pPr>
      <w:numPr>
        <w:numId w:val="0"/>
      </w:numPr>
    </w:pPr>
    <w:rPr>
      <w:sz w:val="36"/>
    </w:rPr>
  </w:style>
  <w:style w:type="paragraph" w:customStyle="1" w:styleId="Heading4-Numbered">
    <w:name w:val="Heading 4 - Numbered"/>
    <w:basedOn w:val="Heading4"/>
    <w:rsid w:val="00546AD5"/>
    <w:pPr>
      <w:numPr>
        <w:numId w:val="11"/>
      </w:numPr>
      <w:tabs>
        <w:tab w:val="left" w:pos="340"/>
      </w:tabs>
      <w:ind w:left="340" w:hanging="340"/>
    </w:pPr>
    <w:rPr>
      <w:rFonts w:ascii="Arial Bold" w:hAnsi="Arial Bold"/>
      <w:spacing w:val="-2"/>
      <w:sz w:val="24"/>
    </w:rPr>
  </w:style>
  <w:style w:type="paragraph" w:customStyle="1" w:styleId="Default">
    <w:name w:val="Default"/>
    <w:link w:val="DefaultChar"/>
    <w:rsid w:val="00546AD5"/>
    <w:pPr>
      <w:autoSpaceDE w:val="0"/>
      <w:autoSpaceDN w:val="0"/>
      <w:adjustRightInd w:val="0"/>
    </w:pPr>
    <w:rPr>
      <w:rFonts w:ascii="Book Antiqua" w:hAnsi="Book Antiqua" w:cs="Book Antiqua"/>
      <w:color w:val="000000"/>
      <w:sz w:val="24"/>
      <w:szCs w:val="24"/>
    </w:rPr>
  </w:style>
  <w:style w:type="paragraph" w:customStyle="1" w:styleId="SecurityClassificationHeader">
    <w:name w:val="Security Classification Header"/>
    <w:link w:val="SecurityClassificationHeaderChar"/>
    <w:rsid w:val="00546AD5"/>
    <w:pPr>
      <w:spacing w:before="240" w:after="60"/>
      <w:jc w:val="center"/>
    </w:pPr>
    <w:rPr>
      <w:rFonts w:ascii="Calibri" w:hAnsi="Calibri" w:cs="Calibri"/>
      <w:b/>
      <w:i/>
      <w:caps/>
      <w:sz w:val="24"/>
    </w:rPr>
  </w:style>
  <w:style w:type="character" w:customStyle="1" w:styleId="SecurityClassificationHeaderChar">
    <w:name w:val="Security Classification Header Char"/>
    <w:basedOn w:val="HeaderChar"/>
    <w:link w:val="SecurityClassificationHeader"/>
    <w:rsid w:val="00546AD5"/>
    <w:rPr>
      <w:rFonts w:ascii="Calibri" w:hAnsi="Calibri" w:cs="Calibri"/>
      <w:b/>
      <w:i/>
      <w:caps/>
      <w:sz w:val="24"/>
    </w:rPr>
  </w:style>
  <w:style w:type="paragraph" w:customStyle="1" w:styleId="SecurityClassificationFooter">
    <w:name w:val="Security Classification Footer"/>
    <w:link w:val="SecurityClassificationFooterChar"/>
    <w:rsid w:val="00546AD5"/>
    <w:pPr>
      <w:spacing w:before="60" w:after="240"/>
      <w:jc w:val="center"/>
    </w:pPr>
    <w:rPr>
      <w:rFonts w:ascii="Calibri" w:hAnsi="Calibri" w:cs="Calibri"/>
      <w:b/>
      <w:i/>
      <w:caps/>
      <w:sz w:val="24"/>
    </w:rPr>
  </w:style>
  <w:style w:type="character" w:customStyle="1" w:styleId="SecurityClassificationFooterChar">
    <w:name w:val="Security Classification Footer Char"/>
    <w:basedOn w:val="HeaderChar"/>
    <w:link w:val="SecurityClassificationFooter"/>
    <w:rsid w:val="00546AD5"/>
    <w:rPr>
      <w:rFonts w:ascii="Calibri" w:hAnsi="Calibri" w:cs="Calibri"/>
      <w:b/>
      <w:i/>
      <w:caps/>
      <w:sz w:val="24"/>
    </w:rPr>
  </w:style>
  <w:style w:type="paragraph" w:customStyle="1" w:styleId="DLMSecurityHeader">
    <w:name w:val="DLM Security Header"/>
    <w:link w:val="DLMSecurityHeaderChar"/>
    <w:rsid w:val="00546AD5"/>
    <w:pPr>
      <w:spacing w:before="60" w:after="240"/>
      <w:jc w:val="center"/>
    </w:pPr>
    <w:rPr>
      <w:rFonts w:ascii="Calibri" w:hAnsi="Calibri" w:cs="Calibri"/>
      <w:b/>
      <w:i/>
      <w:caps/>
      <w:sz w:val="24"/>
    </w:rPr>
  </w:style>
  <w:style w:type="character" w:customStyle="1" w:styleId="DLMSecurityHeaderChar">
    <w:name w:val="DLM Security Header Char"/>
    <w:basedOn w:val="HeaderChar"/>
    <w:link w:val="DLMSecurityHeader"/>
    <w:rsid w:val="00546AD5"/>
    <w:rPr>
      <w:rFonts w:ascii="Calibri" w:hAnsi="Calibri" w:cs="Calibri"/>
      <w:b/>
      <w:i/>
      <w:caps/>
      <w:sz w:val="24"/>
    </w:rPr>
  </w:style>
  <w:style w:type="paragraph" w:customStyle="1" w:styleId="DLMSecurityFooter">
    <w:name w:val="DLM Security Footer"/>
    <w:link w:val="DLMSecurityFooterChar"/>
    <w:rsid w:val="00546AD5"/>
    <w:pPr>
      <w:spacing w:before="240" w:after="60"/>
      <w:jc w:val="center"/>
    </w:pPr>
    <w:rPr>
      <w:rFonts w:ascii="Calibri" w:hAnsi="Calibri" w:cs="Calibri"/>
      <w:b/>
      <w:i/>
      <w:caps/>
      <w:sz w:val="24"/>
    </w:rPr>
  </w:style>
  <w:style w:type="character" w:customStyle="1" w:styleId="DLMSecurityFooterChar">
    <w:name w:val="DLM Security Footer Char"/>
    <w:basedOn w:val="HeaderChar"/>
    <w:link w:val="DLMSecurityFooter"/>
    <w:rsid w:val="00546AD5"/>
    <w:rPr>
      <w:rFonts w:ascii="Calibri" w:hAnsi="Calibri" w:cs="Calibri"/>
      <w:b/>
      <w:i/>
      <w:caps/>
      <w:sz w:val="24"/>
    </w:rPr>
  </w:style>
  <w:style w:type="paragraph" w:styleId="Revision">
    <w:name w:val="Revision"/>
    <w:hidden/>
    <w:uiPriority w:val="99"/>
    <w:semiHidden/>
    <w:rsid w:val="00546AD5"/>
    <w:rPr>
      <w:rFonts w:ascii="Book Antiqua" w:hAnsi="Book Antiqua"/>
      <w:color w:val="000000" w:themeColor="text1"/>
    </w:rPr>
  </w:style>
  <w:style w:type="character" w:styleId="UnresolvedMention">
    <w:name w:val="Unresolved Mention"/>
    <w:basedOn w:val="DefaultParagraphFont"/>
    <w:uiPriority w:val="99"/>
    <w:unhideWhenUsed/>
    <w:rsid w:val="00546AD5"/>
    <w:rPr>
      <w:color w:val="605E5C"/>
      <w:shd w:val="clear" w:color="auto" w:fill="E1DFDD"/>
    </w:rPr>
  </w:style>
  <w:style w:type="paragraph" w:customStyle="1" w:styleId="ChartGraphic">
    <w:name w:val="Chart Graphic"/>
    <w:basedOn w:val="Normal"/>
    <w:next w:val="Normal"/>
    <w:link w:val="ChartGraphicChar"/>
    <w:rsid w:val="00546AD5"/>
    <w:pPr>
      <w:spacing w:after="0" w:line="240" w:lineRule="auto"/>
      <w:jc w:val="center"/>
    </w:pPr>
    <w:rPr>
      <w:rFonts w:ascii="Calibri" w:hAnsi="Calibri" w:cs="Calibri"/>
      <w:b/>
      <w:bCs/>
    </w:rPr>
  </w:style>
  <w:style w:type="character" w:customStyle="1" w:styleId="ChartGraphicChar">
    <w:name w:val="Chart Graphic Char"/>
    <w:basedOn w:val="DefaultParagraphFont"/>
    <w:link w:val="ChartGraphic"/>
    <w:rsid w:val="00546AD5"/>
    <w:rPr>
      <w:rFonts w:ascii="Calibri" w:hAnsi="Calibri" w:cs="Calibri"/>
      <w:b/>
      <w:bCs/>
    </w:rPr>
  </w:style>
  <w:style w:type="character" w:styleId="Mention">
    <w:name w:val="Mention"/>
    <w:basedOn w:val="DefaultParagraphFont"/>
    <w:uiPriority w:val="99"/>
    <w:unhideWhenUsed/>
    <w:rsid w:val="00546AD5"/>
    <w:rPr>
      <w:color w:val="2B579A"/>
      <w:shd w:val="clear" w:color="auto" w:fill="E1DFDD"/>
    </w:rPr>
  </w:style>
  <w:style w:type="character" w:customStyle="1" w:styleId="ui-provider">
    <w:name w:val="ui-provider"/>
    <w:basedOn w:val="DefaultParagraphFont"/>
    <w:rsid w:val="00546AD5"/>
  </w:style>
  <w:style w:type="character" w:customStyle="1" w:styleId="DefaultChar">
    <w:name w:val="Default Char"/>
    <w:link w:val="Default"/>
    <w:rsid w:val="00546AD5"/>
    <w:rPr>
      <w:rFonts w:ascii="Book Antiqua" w:hAnsi="Book Antiqua" w:cs="Book Antiqua"/>
      <w:color w:val="000000"/>
      <w:sz w:val="24"/>
      <w:szCs w:val="24"/>
    </w:rPr>
  </w:style>
  <w:style w:type="paragraph" w:customStyle="1" w:styleId="ChartHeading">
    <w:name w:val="Chart Heading"/>
    <w:basedOn w:val="TableHeading"/>
    <w:qFormat/>
    <w:rsid w:val="00546AD5"/>
    <w:pPr>
      <w:jc w:val="center"/>
    </w:pPr>
  </w:style>
  <w:style w:type="character" w:customStyle="1" w:styleId="normaltextrun">
    <w:name w:val="normaltextrun"/>
    <w:basedOn w:val="DefaultParagraphFont"/>
    <w:rsid w:val="00546AD5"/>
  </w:style>
  <w:style w:type="character" w:customStyle="1" w:styleId="eop">
    <w:name w:val="eop"/>
    <w:basedOn w:val="DefaultParagraphFont"/>
    <w:rsid w:val="00546AD5"/>
  </w:style>
  <w:style w:type="paragraph" w:styleId="NormalIndent">
    <w:name w:val="Normal Indent"/>
    <w:basedOn w:val="Normal"/>
    <w:unhideWhenUsed/>
    <w:rsid w:val="00044D21"/>
    <w:pPr>
      <w:ind w:left="720"/>
    </w:pPr>
  </w:style>
  <w:style w:type="paragraph" w:customStyle="1" w:styleId="paragraph">
    <w:name w:val="paragraph"/>
    <w:basedOn w:val="Normal"/>
    <w:rsid w:val="0073344F"/>
    <w:pPr>
      <w:spacing w:before="100" w:beforeAutospacing="1" w:after="100" w:afterAutospacing="1" w:line="240" w:lineRule="auto"/>
      <w:jc w:val="left"/>
    </w:pPr>
    <w:rPr>
      <w:rFonts w:ascii="Times New Roman" w:hAnsi="Times New Roman"/>
      <w:sz w:val="24"/>
      <w:szCs w:val="24"/>
    </w:rPr>
  </w:style>
  <w:style w:type="character" w:customStyle="1" w:styleId="OutlineNumbered2Char">
    <w:name w:val="Outline Numbered 2 Char"/>
    <w:basedOn w:val="DefaultParagraphFont"/>
    <w:link w:val="OutlineNumbered2"/>
    <w:rsid w:val="00F87BA4"/>
    <w:rPr>
      <w:rFonts w:ascii="Book Antiqua" w:hAnsi="Book Antiqua"/>
    </w:rPr>
  </w:style>
  <w:style w:type="character" w:customStyle="1" w:styleId="OutlineNumbered3Char">
    <w:name w:val="Outline Numbered 3 Char"/>
    <w:basedOn w:val="DefaultParagraphFont"/>
    <w:link w:val="OutlineNumbered3"/>
    <w:rsid w:val="00F87BA4"/>
    <w:rPr>
      <w:rFonts w:ascii="Book Antiqua" w:hAnsi="Book Antiqua"/>
    </w:rPr>
  </w:style>
  <w:style w:type="character" w:customStyle="1" w:styleId="DoubleDotChar">
    <w:name w:val="Double Dot Char"/>
    <w:basedOn w:val="DefaultParagraphFont"/>
    <w:link w:val="DoubleDot"/>
    <w:rsid w:val="00F87BA4"/>
    <w:rPr>
      <w:rFonts w:ascii="Book Antiqua" w:hAnsi="Book Antiqua"/>
    </w:rPr>
  </w:style>
  <w:style w:type="table" w:customStyle="1" w:styleId="TableGrid1">
    <w:name w:val="Table Grid1"/>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F87B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semiHidden/>
    <w:unhideWhenUsed/>
    <w:rsid w:val="006B6AA3"/>
    <w:rPr>
      <w:vertAlign w:val="superscript"/>
    </w:rPr>
  </w:style>
  <w:style w:type="table" w:customStyle="1" w:styleId="TableGrid17">
    <w:name w:val="Table Grid17"/>
    <w:basedOn w:val="TableNormal"/>
    <w:next w:val="TableGrid"/>
    <w:uiPriority w:val="59"/>
    <w:rsid w:val="00356D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356D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A5"/>
    <w:uiPriority w:val="99"/>
    <w:rsid w:val="00CA14C9"/>
    <w:rPr>
      <w:rFonts w:cs="Swiss 721 BT"/>
      <w:color w:val="000000"/>
      <w:sz w:val="20"/>
      <w:szCs w:val="20"/>
    </w:rPr>
  </w:style>
  <w:style w:type="paragraph" w:customStyle="1" w:styleId="Footnotestext">
    <w:name w:val="Footnotes text"/>
    <w:basedOn w:val="Normal"/>
    <w:qFormat/>
    <w:rsid w:val="00502B47"/>
    <w:pPr>
      <w:tabs>
        <w:tab w:val="left" w:pos="142"/>
      </w:tabs>
      <w:spacing w:before="80" w:after="0" w:line="240" w:lineRule="auto"/>
      <w:ind w:left="284" w:hanging="284"/>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47390">
      <w:bodyDiv w:val="1"/>
      <w:marLeft w:val="0"/>
      <w:marRight w:val="0"/>
      <w:marTop w:val="0"/>
      <w:marBottom w:val="0"/>
      <w:divBdr>
        <w:top w:val="none" w:sz="0" w:space="0" w:color="auto"/>
        <w:left w:val="none" w:sz="0" w:space="0" w:color="auto"/>
        <w:bottom w:val="none" w:sz="0" w:space="0" w:color="auto"/>
        <w:right w:val="none" w:sz="0" w:space="0" w:color="auto"/>
      </w:divBdr>
    </w:div>
    <w:div w:id="340814233">
      <w:bodyDiv w:val="1"/>
      <w:marLeft w:val="0"/>
      <w:marRight w:val="0"/>
      <w:marTop w:val="0"/>
      <w:marBottom w:val="0"/>
      <w:divBdr>
        <w:top w:val="none" w:sz="0" w:space="0" w:color="auto"/>
        <w:left w:val="none" w:sz="0" w:space="0" w:color="auto"/>
        <w:bottom w:val="none" w:sz="0" w:space="0" w:color="auto"/>
        <w:right w:val="none" w:sz="0" w:space="0" w:color="auto"/>
      </w:divBdr>
    </w:div>
    <w:div w:id="429739081">
      <w:bodyDiv w:val="1"/>
      <w:marLeft w:val="0"/>
      <w:marRight w:val="0"/>
      <w:marTop w:val="0"/>
      <w:marBottom w:val="0"/>
      <w:divBdr>
        <w:top w:val="none" w:sz="0" w:space="0" w:color="auto"/>
        <w:left w:val="none" w:sz="0" w:space="0" w:color="auto"/>
        <w:bottom w:val="none" w:sz="0" w:space="0" w:color="auto"/>
        <w:right w:val="none" w:sz="0" w:space="0" w:color="auto"/>
      </w:divBdr>
    </w:div>
    <w:div w:id="491339279">
      <w:bodyDiv w:val="1"/>
      <w:marLeft w:val="0"/>
      <w:marRight w:val="0"/>
      <w:marTop w:val="0"/>
      <w:marBottom w:val="0"/>
      <w:divBdr>
        <w:top w:val="none" w:sz="0" w:space="0" w:color="auto"/>
        <w:left w:val="none" w:sz="0" w:space="0" w:color="auto"/>
        <w:bottom w:val="none" w:sz="0" w:space="0" w:color="auto"/>
        <w:right w:val="none" w:sz="0" w:space="0" w:color="auto"/>
      </w:divBdr>
    </w:div>
    <w:div w:id="620959221">
      <w:bodyDiv w:val="1"/>
      <w:marLeft w:val="0"/>
      <w:marRight w:val="0"/>
      <w:marTop w:val="0"/>
      <w:marBottom w:val="0"/>
      <w:divBdr>
        <w:top w:val="none" w:sz="0" w:space="0" w:color="auto"/>
        <w:left w:val="none" w:sz="0" w:space="0" w:color="auto"/>
        <w:bottom w:val="none" w:sz="0" w:space="0" w:color="auto"/>
        <w:right w:val="none" w:sz="0" w:space="0" w:color="auto"/>
      </w:divBdr>
    </w:div>
    <w:div w:id="845245546">
      <w:bodyDiv w:val="1"/>
      <w:marLeft w:val="0"/>
      <w:marRight w:val="0"/>
      <w:marTop w:val="0"/>
      <w:marBottom w:val="0"/>
      <w:divBdr>
        <w:top w:val="none" w:sz="0" w:space="0" w:color="auto"/>
        <w:left w:val="none" w:sz="0" w:space="0" w:color="auto"/>
        <w:bottom w:val="none" w:sz="0" w:space="0" w:color="auto"/>
        <w:right w:val="none" w:sz="0" w:space="0" w:color="auto"/>
      </w:divBdr>
    </w:div>
    <w:div w:id="900754251">
      <w:bodyDiv w:val="1"/>
      <w:marLeft w:val="0"/>
      <w:marRight w:val="0"/>
      <w:marTop w:val="0"/>
      <w:marBottom w:val="0"/>
      <w:divBdr>
        <w:top w:val="none" w:sz="0" w:space="0" w:color="auto"/>
        <w:left w:val="none" w:sz="0" w:space="0" w:color="auto"/>
        <w:bottom w:val="none" w:sz="0" w:space="0" w:color="auto"/>
        <w:right w:val="none" w:sz="0" w:space="0" w:color="auto"/>
      </w:divBdr>
    </w:div>
    <w:div w:id="903179862">
      <w:bodyDiv w:val="1"/>
      <w:marLeft w:val="0"/>
      <w:marRight w:val="0"/>
      <w:marTop w:val="0"/>
      <w:marBottom w:val="0"/>
      <w:divBdr>
        <w:top w:val="none" w:sz="0" w:space="0" w:color="auto"/>
        <w:left w:val="none" w:sz="0" w:space="0" w:color="auto"/>
        <w:bottom w:val="none" w:sz="0" w:space="0" w:color="auto"/>
        <w:right w:val="none" w:sz="0" w:space="0" w:color="auto"/>
      </w:divBdr>
    </w:div>
    <w:div w:id="923685078">
      <w:bodyDiv w:val="1"/>
      <w:marLeft w:val="0"/>
      <w:marRight w:val="0"/>
      <w:marTop w:val="0"/>
      <w:marBottom w:val="0"/>
      <w:divBdr>
        <w:top w:val="none" w:sz="0" w:space="0" w:color="auto"/>
        <w:left w:val="none" w:sz="0" w:space="0" w:color="auto"/>
        <w:bottom w:val="none" w:sz="0" w:space="0" w:color="auto"/>
        <w:right w:val="none" w:sz="0" w:space="0" w:color="auto"/>
      </w:divBdr>
    </w:div>
    <w:div w:id="1073742200">
      <w:bodyDiv w:val="1"/>
      <w:marLeft w:val="0"/>
      <w:marRight w:val="0"/>
      <w:marTop w:val="0"/>
      <w:marBottom w:val="0"/>
      <w:divBdr>
        <w:top w:val="none" w:sz="0" w:space="0" w:color="auto"/>
        <w:left w:val="none" w:sz="0" w:space="0" w:color="auto"/>
        <w:bottom w:val="none" w:sz="0" w:space="0" w:color="auto"/>
        <w:right w:val="none" w:sz="0" w:space="0" w:color="auto"/>
      </w:divBdr>
    </w:div>
    <w:div w:id="1229196409">
      <w:bodyDiv w:val="1"/>
      <w:marLeft w:val="0"/>
      <w:marRight w:val="0"/>
      <w:marTop w:val="0"/>
      <w:marBottom w:val="0"/>
      <w:divBdr>
        <w:top w:val="none" w:sz="0" w:space="0" w:color="auto"/>
        <w:left w:val="none" w:sz="0" w:space="0" w:color="auto"/>
        <w:bottom w:val="none" w:sz="0" w:space="0" w:color="auto"/>
        <w:right w:val="none" w:sz="0" w:space="0" w:color="auto"/>
      </w:divBdr>
    </w:div>
    <w:div w:id="1418862720">
      <w:bodyDiv w:val="1"/>
      <w:marLeft w:val="0"/>
      <w:marRight w:val="0"/>
      <w:marTop w:val="0"/>
      <w:marBottom w:val="0"/>
      <w:divBdr>
        <w:top w:val="none" w:sz="0" w:space="0" w:color="auto"/>
        <w:left w:val="none" w:sz="0" w:space="0" w:color="auto"/>
        <w:bottom w:val="none" w:sz="0" w:space="0" w:color="auto"/>
        <w:right w:val="none" w:sz="0" w:space="0" w:color="auto"/>
      </w:divBdr>
    </w:div>
    <w:div w:id="1474373533">
      <w:bodyDiv w:val="1"/>
      <w:marLeft w:val="0"/>
      <w:marRight w:val="0"/>
      <w:marTop w:val="0"/>
      <w:marBottom w:val="0"/>
      <w:divBdr>
        <w:top w:val="none" w:sz="0" w:space="0" w:color="auto"/>
        <w:left w:val="none" w:sz="0" w:space="0" w:color="auto"/>
        <w:bottom w:val="none" w:sz="0" w:space="0" w:color="auto"/>
        <w:right w:val="none" w:sz="0" w:space="0" w:color="auto"/>
      </w:divBdr>
    </w:div>
    <w:div w:id="1512142511">
      <w:bodyDiv w:val="1"/>
      <w:marLeft w:val="0"/>
      <w:marRight w:val="0"/>
      <w:marTop w:val="0"/>
      <w:marBottom w:val="0"/>
      <w:divBdr>
        <w:top w:val="none" w:sz="0" w:space="0" w:color="auto"/>
        <w:left w:val="none" w:sz="0" w:space="0" w:color="auto"/>
        <w:bottom w:val="none" w:sz="0" w:space="0" w:color="auto"/>
        <w:right w:val="none" w:sz="0" w:space="0" w:color="auto"/>
      </w:divBdr>
    </w:div>
    <w:div w:id="1572933179">
      <w:bodyDiv w:val="1"/>
      <w:marLeft w:val="0"/>
      <w:marRight w:val="0"/>
      <w:marTop w:val="0"/>
      <w:marBottom w:val="0"/>
      <w:divBdr>
        <w:top w:val="none" w:sz="0" w:space="0" w:color="auto"/>
        <w:left w:val="none" w:sz="0" w:space="0" w:color="auto"/>
        <w:bottom w:val="none" w:sz="0" w:space="0" w:color="auto"/>
        <w:right w:val="none" w:sz="0" w:space="0" w:color="auto"/>
      </w:divBdr>
    </w:div>
    <w:div w:id="1686590579">
      <w:bodyDiv w:val="1"/>
      <w:marLeft w:val="0"/>
      <w:marRight w:val="0"/>
      <w:marTop w:val="0"/>
      <w:marBottom w:val="0"/>
      <w:divBdr>
        <w:top w:val="none" w:sz="0" w:space="0" w:color="auto"/>
        <w:left w:val="none" w:sz="0" w:space="0" w:color="auto"/>
        <w:bottom w:val="none" w:sz="0" w:space="0" w:color="auto"/>
        <w:right w:val="none" w:sz="0" w:space="0" w:color="auto"/>
      </w:divBdr>
    </w:div>
    <w:div w:id="1734086377">
      <w:bodyDiv w:val="1"/>
      <w:marLeft w:val="0"/>
      <w:marRight w:val="0"/>
      <w:marTop w:val="0"/>
      <w:marBottom w:val="0"/>
      <w:divBdr>
        <w:top w:val="none" w:sz="0" w:space="0" w:color="auto"/>
        <w:left w:val="none" w:sz="0" w:space="0" w:color="auto"/>
        <w:bottom w:val="none" w:sz="0" w:space="0" w:color="auto"/>
        <w:right w:val="none" w:sz="0" w:space="0" w:color="auto"/>
      </w:divBdr>
    </w:div>
    <w:div w:id="1827437512">
      <w:bodyDiv w:val="1"/>
      <w:marLeft w:val="0"/>
      <w:marRight w:val="0"/>
      <w:marTop w:val="0"/>
      <w:marBottom w:val="0"/>
      <w:divBdr>
        <w:top w:val="none" w:sz="0" w:space="0" w:color="auto"/>
        <w:left w:val="none" w:sz="0" w:space="0" w:color="auto"/>
        <w:bottom w:val="none" w:sz="0" w:space="0" w:color="auto"/>
        <w:right w:val="none" w:sz="0" w:space="0" w:color="auto"/>
      </w:divBdr>
    </w:div>
    <w:div w:id="2013097753">
      <w:bodyDiv w:val="1"/>
      <w:marLeft w:val="0"/>
      <w:marRight w:val="0"/>
      <w:marTop w:val="0"/>
      <w:marBottom w:val="0"/>
      <w:divBdr>
        <w:top w:val="none" w:sz="0" w:space="0" w:color="auto"/>
        <w:left w:val="none" w:sz="0" w:space="0" w:color="auto"/>
        <w:bottom w:val="none" w:sz="0" w:space="0" w:color="auto"/>
        <w:right w:val="none" w:sz="0" w:space="0" w:color="auto"/>
      </w:divBdr>
    </w:div>
    <w:div w:id="2021006596">
      <w:bodyDiv w:val="1"/>
      <w:marLeft w:val="0"/>
      <w:marRight w:val="0"/>
      <w:marTop w:val="0"/>
      <w:marBottom w:val="0"/>
      <w:divBdr>
        <w:top w:val="none" w:sz="0" w:space="0" w:color="auto"/>
        <w:left w:val="none" w:sz="0" w:space="0" w:color="auto"/>
        <w:bottom w:val="none" w:sz="0" w:space="0" w:color="auto"/>
        <w:right w:val="none" w:sz="0" w:space="0" w:color="auto"/>
      </w:divBdr>
    </w:div>
    <w:div w:id="2040202612">
      <w:bodyDiv w:val="1"/>
      <w:marLeft w:val="0"/>
      <w:marRight w:val="0"/>
      <w:marTop w:val="0"/>
      <w:marBottom w:val="0"/>
      <w:divBdr>
        <w:top w:val="none" w:sz="0" w:space="0" w:color="auto"/>
        <w:left w:val="none" w:sz="0" w:space="0" w:color="auto"/>
        <w:bottom w:val="none" w:sz="0" w:space="0" w:color="auto"/>
        <w:right w:val="none" w:sz="0" w:space="0" w:color="auto"/>
      </w:divBdr>
    </w:div>
    <w:div w:id="205712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7.xml"/><Relationship Id="rId42" Type="http://schemas.openxmlformats.org/officeDocument/2006/relationships/oleObject" Target="https://austreasury.sharepoint.com/sites/te2425-function/ted/2024-25%20TEIS%20Chart%20Data.xlsx!C2.7!%5b2024-25%20TEIS%20Chart%20Data.xlsx%5dC2.7%20Chart%201" TargetMode="External"/><Relationship Id="rId47" Type="http://schemas.openxmlformats.org/officeDocument/2006/relationships/image" Target="media/image11.emf"/><Relationship Id="rId63" Type="http://schemas.openxmlformats.org/officeDocument/2006/relationships/image" Target="media/image19.emf"/><Relationship Id="rId68" Type="http://schemas.openxmlformats.org/officeDocument/2006/relationships/image" Target="media/image22.emf"/><Relationship Id="rId84" Type="http://schemas.openxmlformats.org/officeDocument/2006/relationships/oleObject" Target="https://austreasury.sharepoint.com/sites/te2425-function/ted/(Including%20feature%20article)%202024-25%20Tax%20Expenditures%20and%20Insights%20Statement%20-%20Chart%20Data.xlsx!C2.27!%5b2024-25%20TEIS%20-%20Chart%20Data.xlsx%5dC2.27%20Chart%201" TargetMode="External"/><Relationship Id="rId89" Type="http://schemas.openxmlformats.org/officeDocument/2006/relationships/image" Target="media/image33.emf"/><Relationship Id="rId16" Type="http://schemas.openxmlformats.org/officeDocument/2006/relationships/header" Target="header4.xml"/><Relationship Id="rId11" Type="http://schemas.openxmlformats.org/officeDocument/2006/relationships/hyperlink" Target="http://www.pmc.gov.au/honours-and-symbols/commonwealth-coat-arms" TargetMode="External"/><Relationship Id="rId32" Type="http://schemas.openxmlformats.org/officeDocument/2006/relationships/oleObject" Target="https://austreasury.sharepoint.com/sites/te2425-function/ted/2024-25%20TEIS%20Chart%20Data.xlsx!C2.2!%5b2024-25%20TEIS%20Chart%20Data.xlsx%5dC2.2%20Chart%203" TargetMode="External"/><Relationship Id="rId37" Type="http://schemas.openxmlformats.org/officeDocument/2006/relationships/image" Target="media/image6.emf"/><Relationship Id="rId53" Type="http://schemas.openxmlformats.org/officeDocument/2006/relationships/image" Target="media/image14.emf"/><Relationship Id="rId58" Type="http://schemas.openxmlformats.org/officeDocument/2006/relationships/oleObject" Target="https://austreasury.sharepoint.com/sites/te2425-function/ted/2024-25%20TEIS%20Chart%20Data.xlsx!C2.21!%5b2024-25%20TEIS%20Chart%20Data.xlsx%5dC2.21%20Chart%201" TargetMode="External"/><Relationship Id="rId74" Type="http://schemas.openxmlformats.org/officeDocument/2006/relationships/oleObject" Target="https://austreasury.sharepoint.com/sites/te2425-function/ted/(No%20feature%20article)%202024-25%20Tax%20Expenditures%20and%20Insights%20Statement%20-%20Chart%20Data.xlsx!C2.22!%5b(No%20feature%20article)%202024-25%20Tax%20Expenditures%20and%20Insights%20Statement%20-%20Chart%20Data.xlsx%5dC2.22%20Chart%202" TargetMode="External"/><Relationship Id="rId79" Type="http://schemas.openxmlformats.org/officeDocument/2006/relationships/image" Target="media/image28.emf"/><Relationship Id="rId102" Type="http://schemas.openxmlformats.org/officeDocument/2006/relationships/footer" Target="footer11.xml"/><Relationship Id="rId5" Type="http://schemas.openxmlformats.org/officeDocument/2006/relationships/footnotes" Target="footnotes.xml"/><Relationship Id="rId90" Type="http://schemas.openxmlformats.org/officeDocument/2006/relationships/oleObject" Target="https://austreasury.sharepoint.com/sites/te2425-function/ted/2024-25%20TEIS%20Chart%20Data.xlsx!C2.28!%5b2024-25%20TEIS%20Chart%20Data.xlsx%5dC2.28%20Chart%201" TargetMode="External"/><Relationship Id="rId95" Type="http://schemas.openxmlformats.org/officeDocument/2006/relationships/image" Target="media/image36.emf"/><Relationship Id="rId22" Type="http://schemas.openxmlformats.org/officeDocument/2006/relationships/footer" Target="footer5.xml"/><Relationship Id="rId27" Type="http://schemas.openxmlformats.org/officeDocument/2006/relationships/header" Target="header10.xml"/><Relationship Id="rId43" Type="http://schemas.openxmlformats.org/officeDocument/2006/relationships/image" Target="media/image9.emf"/><Relationship Id="rId48" Type="http://schemas.openxmlformats.org/officeDocument/2006/relationships/oleObject" Target="https://austreasury.sharepoint.com/sites/te2425-function/ted/(Including%20feature%20article)%202024-25%20Tax%20Expenditures%20and%20Insights%20Statement%20-%20Chart%20Data.xlsx!C2.10!%5b2024-25%20TEIS%20-%20Chart%20Data.xlsx%5dC2.10%20Chart%201" TargetMode="External"/><Relationship Id="rId64" Type="http://schemas.openxmlformats.org/officeDocument/2006/relationships/oleObject" Target="https://austreasury.sharepoint.com/sites/te2425-function/ted/2024-25%20TEIS%20Chart%20Data.xlsx!C2.16!%5b2024-25%20TEIS%20Chart%20Data.xlsx%5dC2.16%20Chart%201" TargetMode="External"/><Relationship Id="rId69" Type="http://schemas.openxmlformats.org/officeDocument/2006/relationships/oleObject" Target="https://austreasury.sharepoint.com/sites/te2425-function/ted/(No%20feature%20article)%202024-25%20Tax%20Expenditures%20and%20Insights%20Statement%20-%20Chart%20Data.xlsx!C2.20!%5b(No%20feature%20article)%202024-25%20Tax%20Expenditures%20and%20Insights%20Statement%20-%20Chart%20Data.xlsx%5dC2.20%20Chart%204" TargetMode="External"/><Relationship Id="rId80" Type="http://schemas.openxmlformats.org/officeDocument/2006/relationships/oleObject" Target="https://austreasury.sharepoint.com/sites/te2425-function/ted/2024-25%20TEIS%20Chart%20Data.xlsx!C2.23!%5b2024-25%20TEIS%20Chart%20Data.xlsx%5dC2.23%20Chart%201" TargetMode="External"/><Relationship Id="rId85" Type="http://schemas.openxmlformats.org/officeDocument/2006/relationships/image" Target="media/image31.emf"/><Relationship Id="rId12" Type="http://schemas.openxmlformats.org/officeDocument/2006/relationships/hyperlink" Target="mailto:media@treasury.gov.au" TargetMode="Externa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image" Target="media/image4.emf"/><Relationship Id="rId38" Type="http://schemas.openxmlformats.org/officeDocument/2006/relationships/oleObject" Target="https://austreasury.sharepoint.com/sites/te2425-function/ted/(Including%20feature%20article)%202024-25%20Tax%20Expenditures%20and%20Insights%20Statement%20-%20Chart%20Data.xlsx!C2.5!%5b2024-25%20TEIS%20-%20Chart%20Data.xlsx%5dC2.5%20Chart%201" TargetMode="External"/><Relationship Id="rId46" Type="http://schemas.openxmlformats.org/officeDocument/2006/relationships/oleObject" Target="https://austreasury.sharepoint.com/sites/te2425-function/ted/2024-25%20TEIS%20Chart%20Data.xlsx!C2.11!%5b2024-25%20TEIS%20Chart%20Data.xlsx%5dC2.11%20Chart%201-1" TargetMode="External"/><Relationship Id="rId59" Type="http://schemas.openxmlformats.org/officeDocument/2006/relationships/image" Target="media/image17.emf"/><Relationship Id="rId67" Type="http://schemas.openxmlformats.org/officeDocument/2006/relationships/image" Target="media/image21.png"/><Relationship Id="rId103"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image" Target="media/image8.emf"/><Relationship Id="rId54" Type="http://schemas.openxmlformats.org/officeDocument/2006/relationships/oleObject" Target="https://austreasury.sharepoint.com/sites/te2425-function/ted/2024-25%20TEIS%20Chart%20Data.xlsx!C2.9!%5b2024-25%20TEIS%20Chart%20Data.xlsx%5dC2.9%20Chart%201" TargetMode="External"/><Relationship Id="rId62" Type="http://schemas.openxmlformats.org/officeDocument/2006/relationships/oleObject" Target="https://austreasury.sharepoint.com/sites/te2425-function/ted/2024-25%20TEIS%20Chart%20Data.xlsx!C2.15!%5b2024-25%20TEIS%20Chart%20Data.xlsx%5dC2.15%20Chart%201" TargetMode="External"/><Relationship Id="rId70" Type="http://schemas.openxmlformats.org/officeDocument/2006/relationships/image" Target="media/image23.emf"/><Relationship Id="rId75" Type="http://schemas.openxmlformats.org/officeDocument/2006/relationships/image" Target="media/image26.emf"/><Relationship Id="rId83" Type="http://schemas.openxmlformats.org/officeDocument/2006/relationships/image" Target="media/image30.emf"/><Relationship Id="rId88" Type="http://schemas.openxmlformats.org/officeDocument/2006/relationships/oleObject" Target="https://austreasury.sharepoint.com/sites/te2425-function/ted/2024-25%20TEIS%20Chart%20Data.xlsx!C2.27!%5b2024-25%20TEIS%20Chart%20Data.xlsx%5dC2.27%20Chart%203" TargetMode="External"/><Relationship Id="rId91" Type="http://schemas.openxmlformats.org/officeDocument/2006/relationships/image" Target="media/image34.emf"/><Relationship Id="rId96" Type="http://schemas.openxmlformats.org/officeDocument/2006/relationships/oleObject" Target="https://austreasury.sharepoint.com/sites/te2425-function/ted/2024-25%20TEIS%20Chart%20Data.xlsx!C2.31!%5b2024-25%20TEIS%20Chart%20Data.xlsx%5dC2.31%20Chart%20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8.xml"/><Relationship Id="rId36" Type="http://schemas.openxmlformats.org/officeDocument/2006/relationships/oleObject" Target="https://austreasury.sharepoint.com/sites/te2425-function/ted/(Including%20feature%20article)%202024-25%20Tax%20Expenditures%20and%20Insights%20Statement%20-%20Chart%20Data.xlsx!C2.4!%5b2024-25%20TEIS%20-%20Chart%20Data.xlsx%5dC2.4%20Chart%201" TargetMode="External"/><Relationship Id="rId49" Type="http://schemas.openxmlformats.org/officeDocument/2006/relationships/image" Target="media/image12.emf"/><Relationship Id="rId57" Type="http://schemas.openxmlformats.org/officeDocument/2006/relationships/image" Target="media/image16.emf"/><Relationship Id="rId10" Type="http://schemas.openxmlformats.org/officeDocument/2006/relationships/image" Target="media/image1.jpeg"/><Relationship Id="rId31" Type="http://schemas.openxmlformats.org/officeDocument/2006/relationships/image" Target="media/image3.emf"/><Relationship Id="rId44" Type="http://schemas.openxmlformats.org/officeDocument/2006/relationships/oleObject" Target="https://austreasury.sharepoint.com/sites/te2425-function/ted/2024-25%20TEIS%20Chart%20Data.xlsx!C2.10!%5b2024-25%20TEIS%20Chart%20Data.xlsx%5dC2.10%20Chart%202" TargetMode="External"/><Relationship Id="rId52" Type="http://schemas.openxmlformats.org/officeDocument/2006/relationships/oleObject" Target="https://austreasury.sharepoint.com/sites/te2425-function/ted/2024-25%20TEIS%20Chart%20Data.xlsx!C2.8!%5b2024-25%20TEIS%20Chart%20Data.xlsx%5dC2.8%20Chart%201" TargetMode="External"/><Relationship Id="rId60" Type="http://schemas.openxmlformats.org/officeDocument/2006/relationships/oleObject" Target="https://austreasury.sharepoint.com/sites/te2425-function/ted/2024-25%20TEIS%20Chart%20Data.xlsx!C2.14!%5b2024-25%20TEIS%20Chart%20Data.xlsx%5dC2.14%20Chart%201" TargetMode="External"/><Relationship Id="rId65" Type="http://schemas.openxmlformats.org/officeDocument/2006/relationships/image" Target="media/image20.emf"/><Relationship Id="rId73" Type="http://schemas.openxmlformats.org/officeDocument/2006/relationships/image" Target="media/image25.emf"/><Relationship Id="rId78" Type="http://schemas.openxmlformats.org/officeDocument/2006/relationships/oleObject" Target="https://austreasury.sharepoint.com/sites/te2425-function/ted/2024-25%20TEIS%20Chart%20Data.xlsx!C2.22!%5b2024-25%20TEIS%20Chart%20Data.xlsx%5dC2.22%20Chart%201" TargetMode="External"/><Relationship Id="rId81" Type="http://schemas.openxmlformats.org/officeDocument/2006/relationships/image" Target="media/image29.emf"/><Relationship Id="rId86" Type="http://schemas.openxmlformats.org/officeDocument/2006/relationships/oleObject" Target="https://austreasury.sharepoint.com/sites/te2425-function/ted/(Including%20feature%20article)%202024-25%20Tax%20Expenditures%20and%20Insights%20Statement%20-%20Chart%20Data.xlsx!C2.28!%5b2024-25%20TEIS%20-%20Chart%20Data.xlsx%5dC2.28%20Chart%201" TargetMode="External"/><Relationship Id="rId94" Type="http://schemas.openxmlformats.org/officeDocument/2006/relationships/oleObject" Target="https://austreasury.sharepoint.com/sites/te2425-function/ted/2024-25%20TEIS%20Chart%20Data.xlsx!C2.30!%5b2024-25%20TEIS%20Chart%20Data.xlsx%5dC2.30%20Chart%201" TargetMode="External"/><Relationship Id="rId99" Type="http://schemas.openxmlformats.org/officeDocument/2006/relationships/footer" Target="footer9.xml"/><Relationship Id="rId10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image" Target="media/image7.emf"/><Relationship Id="rId34" Type="http://schemas.openxmlformats.org/officeDocument/2006/relationships/oleObject" Target="https://austreasury.sharepoint.com/sites/te2425-function/ted/2024-25%20TEIS%20Chart%20Data.xlsx!C2.3!%5b2024-25%20TEIS%20Chart%20Data.xlsx%5dC2.3%20Chart%202" TargetMode="External"/><Relationship Id="rId50" Type="http://schemas.openxmlformats.org/officeDocument/2006/relationships/oleObject" Target="https://austreasury.sharepoint.com/sites/te2425-function/ted/(Including%20feature%20article)%202024-25%20Tax%20Expenditures%20and%20Insights%20Statement%20-%20Chart%20Data.xlsx!C2.11!%5b2024-25%20TEIS%20-%20Chart%20Data.xlsx%5dC2.11%20Chart%201" TargetMode="External"/><Relationship Id="rId55" Type="http://schemas.openxmlformats.org/officeDocument/2006/relationships/image" Target="media/image15.emf"/><Relationship Id="rId76" Type="http://schemas.openxmlformats.org/officeDocument/2006/relationships/oleObject" Target="https://austreasury.sharepoint.com/sites/te2425-function/ted/2024-25%20TEIS%20Chart%20Data.xlsx!RNDTI%204!%5b2024-25%20TEIS%20Chart%20Data.xlsx%5dRNDTI%204Chart%201" TargetMode="External"/><Relationship Id="rId97" Type="http://schemas.openxmlformats.org/officeDocument/2006/relationships/header" Target="header11.xml"/><Relationship Id="rId104"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oleObject" Target="https://austreasury.sharepoint.com/sites/te2425-function/ted/2024-25%20TEIS%20Chart%20Data.xlsx!RNDTI%202!%5b2024-25%20TEIS%20Chart%20Data.xlsx%5dRNDTI%202Chart%203" TargetMode="External"/><Relationship Id="rId92" Type="http://schemas.openxmlformats.org/officeDocument/2006/relationships/oleObject" Target="https://austreasury.sharepoint.com/sites/te2425-function/ted/2024-25%20TEIS%20Chart%20Data.xlsx!C2.29!%5b2024-25%20TEIS%20Chart%20Data.xlsx%5dC2.29%20Chart%201" TargetMode="External"/><Relationship Id="rId2" Type="http://schemas.openxmlformats.org/officeDocument/2006/relationships/styles" Target="styles.xml"/><Relationship Id="rId29" Type="http://schemas.openxmlformats.org/officeDocument/2006/relationships/image" Target="media/image2.emf"/><Relationship Id="rId24" Type="http://schemas.openxmlformats.org/officeDocument/2006/relationships/header" Target="header9.xml"/><Relationship Id="rId40" Type="http://schemas.openxmlformats.org/officeDocument/2006/relationships/oleObject" Target="https://austreasury.sharepoint.com/sites/te2425-function/ted/2024-25%20TEIS%20Chart%20Data.xlsx!C2.6!%5b2024-25%20TEIS%20Chart%20Data.xlsx%5dC2.6%20Chart%201" TargetMode="External"/><Relationship Id="rId45" Type="http://schemas.openxmlformats.org/officeDocument/2006/relationships/image" Target="media/image10.emf"/><Relationship Id="rId66" Type="http://schemas.openxmlformats.org/officeDocument/2006/relationships/oleObject" Target="https://austreasury.sharepoint.com/sites/te2425-function/ted/2024-25%20TEIS%20Chart%20Data.xlsx!C2.17!%5b2024-25%20TEIS%20Chart%20Data.xlsx%5dC2.17%20Chart%203" TargetMode="External"/><Relationship Id="rId87" Type="http://schemas.openxmlformats.org/officeDocument/2006/relationships/image" Target="media/image32.emf"/><Relationship Id="rId61" Type="http://schemas.openxmlformats.org/officeDocument/2006/relationships/image" Target="media/image18.emf"/><Relationship Id="rId82" Type="http://schemas.openxmlformats.org/officeDocument/2006/relationships/oleObject" Target="https://austreasury.sharepoint.com/sites/te2425-function/ted/(Including%20feature%20article)%202024-25%20Tax%20Expenditures%20and%20Insights%20Statement%20-%20Chart%20Data.xlsx!C2.26!%5b2024-25%20TEIS%20-%20Chart%20Data.xlsx%5dC2.26%20Chart%201" TargetMode="External"/><Relationship Id="rId19" Type="http://schemas.openxmlformats.org/officeDocument/2006/relationships/footer" Target="footer3.xml"/><Relationship Id="rId14" Type="http://schemas.openxmlformats.org/officeDocument/2006/relationships/header" Target="header3.xml"/><Relationship Id="rId30" Type="http://schemas.openxmlformats.org/officeDocument/2006/relationships/oleObject" Target="https://austreasury.sharepoint.com/sites/te2425-function/ted/2024-25%20TEIS%20Chart%20Data.xlsx!C3.1!%5b2024-25%20TEIS%20Chart%20Data.xlsx%5dC3.1%20Chart%201" TargetMode="External"/><Relationship Id="rId35" Type="http://schemas.openxmlformats.org/officeDocument/2006/relationships/image" Target="media/image5.emf"/><Relationship Id="rId56" Type="http://schemas.openxmlformats.org/officeDocument/2006/relationships/oleObject" Target="https://austreasury.sharepoint.com/sites/te2425-function/ted/(Including%20feature%20article)%202024-25%20Tax%20Expenditures%20and%20Insights%20Statement%20-%20Chart%20Data.xlsx!C2.14!%5b2024-25%20TEIS%20-%20Chart%20Data.xlsx%5dC2.14%20Chart%201" TargetMode="External"/><Relationship Id="rId77" Type="http://schemas.openxmlformats.org/officeDocument/2006/relationships/image" Target="media/image27.emf"/><Relationship Id="rId100" Type="http://schemas.openxmlformats.org/officeDocument/2006/relationships/footer" Target="footer10.xml"/><Relationship Id="rId8" Type="http://schemas.openxmlformats.org/officeDocument/2006/relationships/footer" Target="footer1.xml"/><Relationship Id="rId51" Type="http://schemas.openxmlformats.org/officeDocument/2006/relationships/image" Target="media/image13.emf"/><Relationship Id="rId72" Type="http://schemas.openxmlformats.org/officeDocument/2006/relationships/image" Target="media/image24.png"/><Relationship Id="rId93" Type="http://schemas.openxmlformats.org/officeDocument/2006/relationships/image" Target="media/image35.emf"/><Relationship Id="rId98" Type="http://schemas.openxmlformats.org/officeDocument/2006/relationships/header" Target="header1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215</Pages>
  <Words>65277</Words>
  <Characters>372082</Characters>
  <Application>Microsoft Office Word</Application>
  <DocSecurity>0</DocSecurity>
  <Lines>3100</Lines>
  <Paragraphs>872</Paragraphs>
  <ScaleCrop>false</ScaleCrop>
  <HeadingPairs>
    <vt:vector size="2" baseType="variant">
      <vt:variant>
        <vt:lpstr>Title</vt:lpstr>
      </vt:variant>
      <vt:variant>
        <vt:i4>1</vt:i4>
      </vt:variant>
    </vt:vector>
  </HeadingPairs>
  <TitlesOfParts>
    <vt:vector size="1" baseType="lpstr">
      <vt:lpstr>2024-2025 Tax Expenditures and Insights Statement</vt:lpstr>
    </vt:vector>
  </TitlesOfParts>
  <Company/>
  <LinksUpToDate>false</LinksUpToDate>
  <CharactersWithSpaces>436487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Tax Expenditures and Insights Statement</dc:title>
  <dc:subject/>
  <dc:creator>Australian Government - The Treasury</dc:creator>
  <cp:keywords/>
  <cp:lastModifiedBy>Becher, Sebastian</cp:lastModifiedBy>
  <cp:revision>2</cp:revision>
  <dcterms:created xsi:type="dcterms:W3CDTF">2024-12-22T23:35:00Z</dcterms:created>
  <dcterms:modified xsi:type="dcterms:W3CDTF">2024-12-22T23:37:00Z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2024-12-22T23:36:24Z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cf3425ac-0418-4774-9613-357e7054e586</vt:lpwstr>
  </property>
  <property fmtid="{D5CDD505-2E9C-101B-9397-08002B2CF9AE}" pid="8" name="MSIP_Label_4f932d64-9ab1-4d9b-81d2-a3a8b82dd47d_ContentBits">
    <vt:lpwstr>0</vt:lpwstr>
  </property>
</Properties>
</file>